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F6CDA1E" w14:textId="734495A6" w:rsidR="000749BA" w:rsidRPr="00FF14AC" w:rsidRDefault="000749BA" w:rsidP="000749BA">
      <w:pPr>
        <w:spacing w:before="100" w:beforeAutospacing="1" w:after="100" w:afterAutospacing="1" w:line="480" w:lineRule="auto"/>
      </w:pPr>
      <w:bookmarkStart w:id="0" w:name="_Hlk145010648"/>
      <w:bookmarkStart w:id="1" w:name="_Toc113555148"/>
      <w:bookmarkEnd w:id="0"/>
      <w:r w:rsidRPr="00B9278E">
        <w:rPr>
          <w:b/>
          <w:bCs/>
        </w:rPr>
        <w:t>Journal Name:</w:t>
      </w:r>
      <w:r>
        <w:t xml:space="preserve"> </w:t>
      </w:r>
      <w:r w:rsidR="00B44FFD">
        <w:t>Ecology and Evolution</w:t>
      </w:r>
    </w:p>
    <w:p w14:paraId="6DF89467" w14:textId="6BFC6506" w:rsidR="000749BA" w:rsidRPr="00FF14AC" w:rsidRDefault="000749BA" w:rsidP="000749BA">
      <w:pPr>
        <w:spacing w:before="100" w:beforeAutospacing="1" w:after="100" w:afterAutospacing="1" w:line="480" w:lineRule="auto"/>
      </w:pPr>
      <w:r w:rsidRPr="00B9278E">
        <w:rPr>
          <w:b/>
          <w:bCs/>
        </w:rPr>
        <w:t>Manuscript Title:</w:t>
      </w:r>
      <w:r>
        <w:t xml:space="preserve"> </w:t>
      </w:r>
      <w:r w:rsidR="00BF36F3">
        <w:t>Precipitation</w:t>
      </w:r>
      <w:r w:rsidR="005F7CF4">
        <w:t xml:space="preserve"> Drives</w:t>
      </w:r>
      <w:r w:rsidR="00AD07BF">
        <w:t xml:space="preserve"> Frugivory</w:t>
      </w:r>
      <w:r>
        <w:t xml:space="preserve"> in a</w:t>
      </w:r>
      <w:r w:rsidRPr="00886CDC">
        <w:t xml:space="preserve"> Subtropical</w:t>
      </w:r>
      <w:r>
        <w:t xml:space="preserve"> Generalist Herbivore, the</w:t>
      </w:r>
      <w:r w:rsidRPr="00886CDC">
        <w:t xml:space="preserve"> Gopher Tortoise</w:t>
      </w:r>
      <w:r w:rsidR="00E8560E">
        <w:t xml:space="preserve">, and </w:t>
      </w:r>
      <w:r w:rsidR="00DA3415">
        <w:t>A</w:t>
      </w:r>
      <w:r w:rsidR="005F7CF4">
        <w:t>lters its</w:t>
      </w:r>
      <w:r w:rsidR="00657A2C">
        <w:t xml:space="preserve"> Functional</w:t>
      </w:r>
      <w:r w:rsidR="005F7CF4">
        <w:t xml:space="preserve"> </w:t>
      </w:r>
      <w:r w:rsidR="00AD55BD">
        <w:t>Role</w:t>
      </w:r>
      <w:r w:rsidR="005F7CF4">
        <w:t xml:space="preserve"> as a</w:t>
      </w:r>
      <w:r>
        <w:t xml:space="preserve"> Seed Dispers</w:t>
      </w:r>
      <w:r w:rsidR="005F7CF4">
        <w:t>er</w:t>
      </w:r>
    </w:p>
    <w:p w14:paraId="746215A5" w14:textId="77777777" w:rsidR="000749BA" w:rsidRDefault="000749BA" w:rsidP="000749BA">
      <w:pPr>
        <w:spacing w:before="100" w:beforeAutospacing="1" w:after="100" w:afterAutospacing="1" w:line="480" w:lineRule="auto"/>
      </w:pPr>
      <w:r>
        <w:rPr>
          <w:b/>
          <w:bCs/>
        </w:rPr>
        <w:t>Author Names:</w:t>
      </w:r>
      <w:r>
        <w:t xml:space="preserve"> </w:t>
      </w:r>
      <w:r>
        <w:br/>
        <w:t>Adrian Figueroa</w:t>
      </w:r>
      <w:r>
        <w:rPr>
          <w:vertAlign w:val="superscript"/>
        </w:rPr>
        <w:t>1,2*</w:t>
      </w:r>
      <w:r>
        <w:br/>
        <w:t>Pavel Chernyavskiy</w:t>
      </w:r>
      <w:r>
        <w:rPr>
          <w:vertAlign w:val="superscript"/>
        </w:rPr>
        <w:t>3</w:t>
      </w:r>
      <w:r>
        <w:br/>
        <w:t>Michael Greenacre</w:t>
      </w:r>
      <w:r>
        <w:rPr>
          <w:vertAlign w:val="superscript"/>
        </w:rPr>
        <w:t>4</w:t>
      </w:r>
    </w:p>
    <w:p w14:paraId="71E5603C" w14:textId="77777777" w:rsidR="000749BA" w:rsidRPr="00E970BD" w:rsidRDefault="000749BA" w:rsidP="000749BA">
      <w:pPr>
        <w:spacing w:before="100" w:beforeAutospacing="1" w:after="100" w:afterAutospacing="1" w:line="480" w:lineRule="auto"/>
        <w:rPr>
          <w:lang w:val="es-US"/>
        </w:rPr>
      </w:pPr>
      <w:r w:rsidRPr="00E970BD">
        <w:rPr>
          <w:lang w:val="es-US"/>
        </w:rPr>
        <w:t>Alyssa Herrera</w:t>
      </w:r>
      <w:r>
        <w:rPr>
          <w:vertAlign w:val="superscript"/>
          <w:lang w:val="es-US"/>
        </w:rPr>
        <w:t>5</w:t>
      </w:r>
      <w:r w:rsidRPr="00E970BD">
        <w:rPr>
          <w:lang w:val="es-US"/>
        </w:rPr>
        <w:br/>
        <w:t>Lydia Cuni</w:t>
      </w:r>
      <w:r>
        <w:rPr>
          <w:vertAlign w:val="superscript"/>
          <w:lang w:val="es-US"/>
        </w:rPr>
        <w:t>6</w:t>
      </w:r>
      <w:r w:rsidRPr="00E970BD">
        <w:rPr>
          <w:lang w:val="es-US"/>
        </w:rPr>
        <w:br/>
        <w:t>Jennifer Villate</w:t>
      </w:r>
      <w:r w:rsidRPr="00E970BD">
        <w:rPr>
          <w:vertAlign w:val="superscript"/>
          <w:lang w:val="es-US"/>
        </w:rPr>
        <w:t>2</w:t>
      </w:r>
    </w:p>
    <w:p w14:paraId="07A9E366" w14:textId="77777777" w:rsidR="000749BA" w:rsidRDefault="000749BA" w:rsidP="000749BA">
      <w:pPr>
        <w:spacing w:before="100" w:beforeAutospacing="1" w:after="100" w:afterAutospacing="1" w:line="480" w:lineRule="auto"/>
        <w:rPr>
          <w:vertAlign w:val="superscript"/>
        </w:rPr>
      </w:pPr>
      <w:r>
        <w:t>Mauro Galetti</w:t>
      </w:r>
      <w:r>
        <w:rPr>
          <w:vertAlign w:val="superscript"/>
        </w:rPr>
        <w:t>7</w:t>
      </w:r>
    </w:p>
    <w:p w14:paraId="1B856E70" w14:textId="77777777" w:rsidR="000749BA" w:rsidRPr="003D4F87" w:rsidRDefault="000749BA" w:rsidP="000749BA">
      <w:pPr>
        <w:spacing w:before="100" w:beforeAutospacing="1" w:after="100" w:afterAutospacing="1" w:line="480" w:lineRule="auto"/>
      </w:pPr>
      <w:r w:rsidRPr="003D4F87">
        <w:t>Hong Liu</w:t>
      </w:r>
      <w:r>
        <w:rPr>
          <w:vertAlign w:val="superscript"/>
        </w:rPr>
        <w:t>2</w:t>
      </w:r>
      <w:r w:rsidRPr="000F1996">
        <w:rPr>
          <w:vertAlign w:val="superscript"/>
        </w:rPr>
        <w:t>†</w:t>
      </w:r>
    </w:p>
    <w:p w14:paraId="68EA82DF" w14:textId="77777777" w:rsidR="000749BA" w:rsidRDefault="000749BA" w:rsidP="000749BA">
      <w:pPr>
        <w:spacing w:before="100" w:beforeAutospacing="1" w:after="100" w:afterAutospacing="1" w:line="480" w:lineRule="auto"/>
      </w:pPr>
      <w:r>
        <w:t>Steven Whitfield</w:t>
      </w:r>
      <w:r>
        <w:rPr>
          <w:vertAlign w:val="superscript"/>
        </w:rPr>
        <w:t>8</w:t>
      </w:r>
      <w:r w:rsidRPr="000F1996">
        <w:rPr>
          <w:vertAlign w:val="superscript"/>
        </w:rPr>
        <w:t>†</w:t>
      </w:r>
      <w:r>
        <w:br/>
      </w:r>
    </w:p>
    <w:p w14:paraId="07AB8A18" w14:textId="77777777" w:rsidR="000749BA" w:rsidRDefault="000749BA" w:rsidP="000749BA">
      <w:pPr>
        <w:spacing w:before="100" w:beforeAutospacing="1" w:after="100" w:afterAutospacing="1" w:line="480" w:lineRule="auto"/>
      </w:pPr>
      <w:r>
        <w:t>* Corresponding author</w:t>
      </w:r>
    </w:p>
    <w:p w14:paraId="5ADD6F78" w14:textId="77777777" w:rsidR="000749BA" w:rsidRPr="00623159" w:rsidRDefault="000749BA" w:rsidP="000749BA">
      <w:pPr>
        <w:spacing w:before="100" w:beforeAutospacing="1" w:after="100" w:afterAutospacing="1" w:line="480" w:lineRule="auto"/>
      </w:pPr>
      <w:r w:rsidRPr="008D62DF">
        <w:t>†</w:t>
      </w:r>
      <w:r>
        <w:t xml:space="preserve"> Senior co-authorship</w:t>
      </w:r>
    </w:p>
    <w:p w14:paraId="7C0A23A2" w14:textId="77777777" w:rsidR="000749BA" w:rsidRDefault="000749BA" w:rsidP="000749BA">
      <w:pPr>
        <w:widowControl/>
        <w:overflowPunct/>
        <w:autoSpaceDE/>
        <w:autoSpaceDN/>
        <w:adjustRightInd/>
        <w:spacing w:after="160"/>
        <w:contextualSpacing w:val="0"/>
        <w:rPr>
          <w:b/>
          <w:bCs/>
        </w:rPr>
      </w:pPr>
    </w:p>
    <w:p w14:paraId="2C060446" w14:textId="77777777" w:rsidR="000749BA" w:rsidRDefault="000749BA" w:rsidP="000749BA">
      <w:pPr>
        <w:widowControl/>
        <w:overflowPunct/>
        <w:autoSpaceDE/>
        <w:autoSpaceDN/>
        <w:adjustRightInd/>
        <w:spacing w:after="160"/>
        <w:contextualSpacing w:val="0"/>
      </w:pPr>
      <w:r w:rsidRPr="001F1DBB">
        <w:rPr>
          <w:b/>
          <w:bCs/>
        </w:rPr>
        <w:t>Affiliations:</w:t>
      </w:r>
    </w:p>
    <w:p w14:paraId="7DDEC62C" w14:textId="4457C86E" w:rsidR="000749BA" w:rsidRPr="00632DB1" w:rsidRDefault="000749BA" w:rsidP="000749BA">
      <w:pPr>
        <w:widowControl/>
        <w:overflowPunct/>
        <w:autoSpaceDE/>
        <w:autoSpaceDN/>
        <w:adjustRightInd/>
        <w:spacing w:line="480" w:lineRule="auto"/>
        <w:rPr>
          <w:bCs/>
          <w:szCs w:val="24"/>
          <w:vertAlign w:val="superscript"/>
        </w:rPr>
      </w:pPr>
      <w:r w:rsidRPr="00632DB1">
        <w:rPr>
          <w:bCs/>
          <w:szCs w:val="24"/>
          <w:vertAlign w:val="superscript"/>
        </w:rPr>
        <w:t>1</w:t>
      </w:r>
      <w:r w:rsidRPr="00632DB1">
        <w:rPr>
          <w:bCs/>
          <w:szCs w:val="24"/>
          <w:lang w:val="pt-BR"/>
        </w:rPr>
        <w:t xml:space="preserve">Department of </w:t>
      </w:r>
      <w:r>
        <w:rPr>
          <w:bCs/>
          <w:szCs w:val="24"/>
          <w:lang w:val="pt-BR"/>
        </w:rPr>
        <w:t>Wi</w:t>
      </w:r>
      <w:r w:rsidR="0010319B">
        <w:rPr>
          <w:bCs/>
          <w:szCs w:val="24"/>
          <w:lang w:val="pt-BR"/>
        </w:rPr>
        <w:t>l</w:t>
      </w:r>
      <w:r>
        <w:rPr>
          <w:bCs/>
          <w:szCs w:val="24"/>
          <w:lang w:val="pt-BR"/>
        </w:rPr>
        <w:t>dlife Ecology and Conservation</w:t>
      </w:r>
      <w:r w:rsidRPr="00632DB1">
        <w:rPr>
          <w:bCs/>
          <w:szCs w:val="24"/>
          <w:lang w:val="pt-BR"/>
        </w:rPr>
        <w:t xml:space="preserve">, </w:t>
      </w:r>
      <w:r>
        <w:rPr>
          <w:bCs/>
          <w:szCs w:val="24"/>
          <w:lang w:val="pt-BR"/>
        </w:rPr>
        <w:t xml:space="preserve">University of </w:t>
      </w:r>
      <w:r w:rsidRPr="00632DB1">
        <w:rPr>
          <w:bCs/>
          <w:szCs w:val="24"/>
          <w:lang w:val="pt-BR"/>
        </w:rPr>
        <w:t xml:space="preserve">Florida, </w:t>
      </w:r>
      <w:r>
        <w:rPr>
          <w:bCs/>
          <w:szCs w:val="24"/>
          <w:lang w:val="pt-BR"/>
        </w:rPr>
        <w:t>Gainesville</w:t>
      </w:r>
      <w:r w:rsidRPr="00632DB1">
        <w:rPr>
          <w:bCs/>
          <w:szCs w:val="24"/>
          <w:lang w:val="pt-BR"/>
        </w:rPr>
        <w:t>, Florida, USA</w:t>
      </w:r>
    </w:p>
    <w:p w14:paraId="66657088" w14:textId="77777777" w:rsidR="000749BA" w:rsidRDefault="000749BA" w:rsidP="000749BA">
      <w:pPr>
        <w:widowControl/>
        <w:overflowPunct/>
        <w:autoSpaceDE/>
        <w:autoSpaceDN/>
        <w:adjustRightInd/>
        <w:spacing w:line="480" w:lineRule="auto"/>
        <w:rPr>
          <w:bCs/>
          <w:szCs w:val="24"/>
          <w:vertAlign w:val="superscript"/>
        </w:rPr>
      </w:pPr>
      <w:r>
        <w:rPr>
          <w:bCs/>
          <w:szCs w:val="24"/>
          <w:vertAlign w:val="superscript"/>
        </w:rPr>
        <w:t>2</w:t>
      </w:r>
      <w:r w:rsidRPr="00632DB1">
        <w:rPr>
          <w:bCs/>
          <w:szCs w:val="24"/>
          <w:lang w:val="pt-BR"/>
        </w:rPr>
        <w:t>Department of Earth and Environment, Florida International University, Miami, Florida, USA</w:t>
      </w:r>
    </w:p>
    <w:p w14:paraId="5C9AF6A2" w14:textId="77777777" w:rsidR="000749BA" w:rsidRPr="00632DB1" w:rsidRDefault="000749BA" w:rsidP="000749BA">
      <w:pPr>
        <w:widowControl/>
        <w:overflowPunct/>
        <w:autoSpaceDE/>
        <w:autoSpaceDN/>
        <w:adjustRightInd/>
        <w:spacing w:line="480" w:lineRule="auto"/>
        <w:rPr>
          <w:bCs/>
          <w:szCs w:val="24"/>
          <w:vertAlign w:val="superscript"/>
        </w:rPr>
      </w:pPr>
      <w:r>
        <w:rPr>
          <w:bCs/>
          <w:szCs w:val="24"/>
          <w:vertAlign w:val="superscript"/>
        </w:rPr>
        <w:t>3</w:t>
      </w:r>
      <w:r w:rsidRPr="005E0C22">
        <w:rPr>
          <w:bCs/>
          <w:szCs w:val="24"/>
        </w:rPr>
        <w:t>Department of Public Health Sciences, Division of Biostatistic</w:t>
      </w:r>
      <w:r w:rsidRPr="00632DB1">
        <w:rPr>
          <w:bCs/>
          <w:szCs w:val="24"/>
        </w:rPr>
        <w:t xml:space="preserve">s, University of </w:t>
      </w:r>
      <w:r>
        <w:rPr>
          <w:bCs/>
          <w:szCs w:val="24"/>
        </w:rPr>
        <w:t>Virginia</w:t>
      </w:r>
      <w:r w:rsidRPr="00632DB1">
        <w:rPr>
          <w:bCs/>
          <w:szCs w:val="24"/>
        </w:rPr>
        <w:t xml:space="preserve">, </w:t>
      </w:r>
      <w:r>
        <w:rPr>
          <w:bCs/>
          <w:szCs w:val="24"/>
        </w:rPr>
        <w:t>Charlottesville</w:t>
      </w:r>
      <w:r w:rsidRPr="00632DB1">
        <w:rPr>
          <w:bCs/>
          <w:szCs w:val="24"/>
        </w:rPr>
        <w:t xml:space="preserve">, </w:t>
      </w:r>
      <w:r>
        <w:rPr>
          <w:bCs/>
          <w:szCs w:val="24"/>
        </w:rPr>
        <w:t>Virginia</w:t>
      </w:r>
      <w:r w:rsidRPr="00632DB1">
        <w:rPr>
          <w:bCs/>
          <w:szCs w:val="24"/>
        </w:rPr>
        <w:t>, USA</w:t>
      </w:r>
    </w:p>
    <w:p w14:paraId="3FF48DE7" w14:textId="77777777" w:rsidR="000749BA" w:rsidRPr="002830D6" w:rsidRDefault="000749BA" w:rsidP="000749BA">
      <w:pPr>
        <w:widowControl/>
        <w:overflowPunct/>
        <w:autoSpaceDE/>
        <w:autoSpaceDN/>
        <w:adjustRightInd/>
        <w:spacing w:line="480" w:lineRule="auto"/>
        <w:rPr>
          <w:bCs/>
          <w:szCs w:val="24"/>
          <w:vertAlign w:val="superscript"/>
        </w:rPr>
      </w:pPr>
      <w:r>
        <w:rPr>
          <w:bCs/>
          <w:szCs w:val="24"/>
          <w:vertAlign w:val="superscript"/>
        </w:rPr>
        <w:t>4</w:t>
      </w:r>
      <w:r w:rsidRPr="002830D6">
        <w:rPr>
          <w:bCs/>
          <w:szCs w:val="24"/>
          <w:lang w:val="pt-BR"/>
        </w:rPr>
        <w:t>Department of Economics and Business</w:t>
      </w:r>
      <w:r>
        <w:rPr>
          <w:bCs/>
          <w:szCs w:val="24"/>
          <w:lang w:val="pt-BR"/>
        </w:rPr>
        <w:t xml:space="preserve">, </w:t>
      </w:r>
      <w:r w:rsidRPr="00801AA9">
        <w:rPr>
          <w:bCs/>
          <w:szCs w:val="24"/>
          <w:lang w:val="pt-BR"/>
        </w:rPr>
        <w:t>Universitat Pompeu Fabra</w:t>
      </w:r>
      <w:r>
        <w:rPr>
          <w:bCs/>
          <w:szCs w:val="24"/>
          <w:lang w:val="pt-BR"/>
        </w:rPr>
        <w:t xml:space="preserve">, </w:t>
      </w:r>
      <w:r w:rsidRPr="00B652CB">
        <w:rPr>
          <w:bCs/>
          <w:szCs w:val="24"/>
          <w:lang w:val="pt-BR"/>
        </w:rPr>
        <w:t>Barcelona, Spain</w:t>
      </w:r>
    </w:p>
    <w:p w14:paraId="23F4A3B9" w14:textId="77777777" w:rsidR="000749BA" w:rsidRPr="00E970BD" w:rsidRDefault="000749BA" w:rsidP="000749BA">
      <w:pPr>
        <w:widowControl/>
        <w:overflowPunct/>
        <w:autoSpaceDE/>
        <w:autoSpaceDN/>
        <w:adjustRightInd/>
        <w:spacing w:line="480" w:lineRule="auto"/>
        <w:rPr>
          <w:bCs/>
          <w:szCs w:val="24"/>
          <w:vertAlign w:val="superscript"/>
          <w:lang w:val="es-US"/>
        </w:rPr>
      </w:pPr>
      <w:r w:rsidRPr="00E970BD">
        <w:rPr>
          <w:bCs/>
          <w:szCs w:val="24"/>
          <w:vertAlign w:val="superscript"/>
          <w:lang w:val="es-US"/>
        </w:rPr>
        <w:lastRenderedPageBreak/>
        <w:t>5</w:t>
      </w:r>
      <w:r w:rsidRPr="00632DB1">
        <w:rPr>
          <w:bCs/>
          <w:szCs w:val="24"/>
          <w:lang w:val="pt-BR"/>
        </w:rPr>
        <w:t>Department of Biological Sciences, Florida International University, Miami, Florida, USA</w:t>
      </w:r>
    </w:p>
    <w:p w14:paraId="7B39AAA6" w14:textId="77777777" w:rsidR="000749BA" w:rsidRDefault="000749BA" w:rsidP="000749BA">
      <w:pPr>
        <w:widowControl/>
        <w:overflowPunct/>
        <w:autoSpaceDE/>
        <w:autoSpaceDN/>
        <w:adjustRightInd/>
        <w:spacing w:line="480" w:lineRule="auto"/>
        <w:rPr>
          <w:bCs/>
          <w:szCs w:val="24"/>
          <w:lang w:val="pt-BR"/>
        </w:rPr>
      </w:pPr>
      <w:r w:rsidRPr="00E970BD">
        <w:rPr>
          <w:bCs/>
          <w:szCs w:val="24"/>
          <w:vertAlign w:val="superscript"/>
          <w:lang w:val="es-US"/>
        </w:rPr>
        <w:t>6</w:t>
      </w:r>
      <w:r w:rsidRPr="00632DB1">
        <w:rPr>
          <w:bCs/>
          <w:szCs w:val="24"/>
          <w:lang w:val="pt-BR"/>
        </w:rPr>
        <w:t>Fairchild Tropical Botanic Garden, Coral Gables, Florida, USA</w:t>
      </w:r>
    </w:p>
    <w:p w14:paraId="6E549637" w14:textId="77777777" w:rsidR="000749BA" w:rsidRPr="00632DB1" w:rsidRDefault="000749BA" w:rsidP="000749BA">
      <w:pPr>
        <w:widowControl/>
        <w:overflowPunct/>
        <w:autoSpaceDE/>
        <w:autoSpaceDN/>
        <w:adjustRightInd/>
        <w:spacing w:line="480" w:lineRule="auto"/>
        <w:rPr>
          <w:bCs/>
          <w:szCs w:val="24"/>
          <w:lang w:val="pt-BR"/>
        </w:rPr>
      </w:pPr>
      <w:r>
        <w:rPr>
          <w:bCs/>
          <w:szCs w:val="24"/>
          <w:vertAlign w:val="superscript"/>
          <w:lang w:val="es-US"/>
        </w:rPr>
        <w:t>7</w:t>
      </w:r>
      <w:r w:rsidRPr="00632DB1">
        <w:rPr>
          <w:bCs/>
          <w:szCs w:val="24"/>
          <w:lang w:val="pt-BR"/>
        </w:rPr>
        <w:t>Departamento de Biodiversidade, Instituto de Biociências, Universidade Estadual Paulista (UNESP), Rio Claro, SP, Brazil</w:t>
      </w:r>
    </w:p>
    <w:p w14:paraId="3E13BC2F" w14:textId="77777777" w:rsidR="000749BA" w:rsidRPr="00632DB1" w:rsidRDefault="000749BA" w:rsidP="0049701F">
      <w:pPr>
        <w:widowControl/>
        <w:overflowPunct/>
        <w:autoSpaceDE/>
        <w:autoSpaceDN/>
        <w:adjustRightInd/>
        <w:spacing w:line="480" w:lineRule="auto"/>
        <w:contextualSpacing w:val="0"/>
        <w:rPr>
          <w:bCs/>
          <w:szCs w:val="24"/>
          <w:vertAlign w:val="superscript"/>
        </w:rPr>
      </w:pPr>
      <w:r>
        <w:rPr>
          <w:bCs/>
          <w:szCs w:val="24"/>
          <w:vertAlign w:val="superscript"/>
        </w:rPr>
        <w:t>8</w:t>
      </w:r>
      <w:r>
        <w:rPr>
          <w:bCs/>
          <w:szCs w:val="24"/>
        </w:rPr>
        <w:t>Audubon Nature Institute, New Orleans, Louisiana, USA</w:t>
      </w:r>
    </w:p>
    <w:p w14:paraId="162728D3" w14:textId="77777777" w:rsidR="000749BA" w:rsidRPr="00667542" w:rsidRDefault="000749BA" w:rsidP="0049701F">
      <w:pPr>
        <w:widowControl/>
        <w:overflowPunct/>
        <w:autoSpaceDE/>
        <w:autoSpaceDN/>
        <w:adjustRightInd/>
        <w:spacing w:line="480" w:lineRule="auto"/>
        <w:contextualSpacing w:val="0"/>
      </w:pPr>
    </w:p>
    <w:p w14:paraId="20160B5A" w14:textId="6BE095DF" w:rsidR="0001132B" w:rsidRDefault="000749BA" w:rsidP="0049701F">
      <w:pPr>
        <w:widowControl/>
        <w:overflowPunct/>
        <w:autoSpaceDE/>
        <w:autoSpaceDN/>
        <w:adjustRightInd/>
        <w:spacing w:line="480" w:lineRule="auto"/>
        <w:contextualSpacing w:val="0"/>
      </w:pPr>
      <w:r>
        <w:rPr>
          <w:b/>
          <w:bCs/>
        </w:rPr>
        <w:t>Corresponding Author:</w:t>
      </w:r>
      <w:r>
        <w:t xml:space="preserve"> Adrian Figueroa (</w:t>
      </w:r>
      <w:hyperlink r:id="rId8" w:history="1">
        <w:r w:rsidRPr="00D22F79">
          <w:rPr>
            <w:rStyle w:val="Hyperlink"/>
            <w:rFonts w:eastAsiaTheme="majorEastAsia"/>
          </w:rPr>
          <w:t>adrian721@ufl.edu</w:t>
        </w:r>
      </w:hyperlink>
      <w:r>
        <w:t xml:space="preserve">; </w:t>
      </w:r>
      <w:hyperlink r:id="rId9" w:history="1">
        <w:r w:rsidRPr="00D22F79">
          <w:rPr>
            <w:rStyle w:val="Hyperlink"/>
            <w:rFonts w:eastAsiaTheme="majorEastAsia"/>
          </w:rPr>
          <w:t>afigu083@fiu.edu</w:t>
        </w:r>
      </w:hyperlink>
      <w:r>
        <w:t xml:space="preserve">; </w:t>
      </w:r>
      <w:hyperlink r:id="rId10" w:history="1">
        <w:r w:rsidR="00435B0D" w:rsidRPr="00E26B6C">
          <w:rPr>
            <w:rStyle w:val="Hyperlink"/>
            <w:rFonts w:eastAsiaTheme="majorEastAsia"/>
          </w:rPr>
          <w:t>adr.fig.phd@gmail.com</w:t>
        </w:r>
      </w:hyperlink>
      <w:r>
        <w:t>)</w:t>
      </w:r>
    </w:p>
    <w:p w14:paraId="01AC72E9" w14:textId="77777777" w:rsidR="0001132B" w:rsidRDefault="0001132B">
      <w:pPr>
        <w:widowControl/>
        <w:overflowPunct/>
        <w:autoSpaceDE/>
        <w:autoSpaceDN/>
        <w:adjustRightInd/>
        <w:spacing w:after="160"/>
        <w:contextualSpacing w:val="0"/>
      </w:pPr>
    </w:p>
    <w:p w14:paraId="1F8617E6" w14:textId="32AE2B9B" w:rsidR="0049701F" w:rsidRPr="0049701F" w:rsidRDefault="0049701F" w:rsidP="0049701F">
      <w:pPr>
        <w:widowControl/>
        <w:overflowPunct/>
        <w:autoSpaceDE/>
        <w:autoSpaceDN/>
        <w:adjustRightInd/>
        <w:spacing w:line="480" w:lineRule="auto"/>
        <w:contextualSpacing w:val="0"/>
      </w:pPr>
      <w:r w:rsidRPr="0049701F">
        <w:rPr>
          <w:b/>
          <w:bCs/>
        </w:rPr>
        <w:t>Author Contributions:</w:t>
      </w:r>
      <w:r>
        <w:t xml:space="preserve"> </w:t>
      </w:r>
      <w:r w:rsidRPr="0049701F">
        <w:t xml:space="preserve">AF conceptualized the project, carried out the fieldwork, performed the data analysis, and wrote the manuscript. </w:t>
      </w:r>
      <w:r w:rsidR="005919EB">
        <w:t>PC and MG</w:t>
      </w:r>
      <w:r w:rsidRPr="0049701F">
        <w:t xml:space="preserve"> provided guidance in the data analysis phase and provided suggestions in the </w:t>
      </w:r>
      <w:r w:rsidR="005919EB">
        <w:t>visualization of the data</w:t>
      </w:r>
      <w:r w:rsidRPr="0049701F">
        <w:t>. AH assisted AF in much of the scat collection and dissection which was crucial to the completion of the project. LC provided expert help in plant identification for the scat analysis. JV continued scat collection for about one-third of the study period which was crucial to increasing sample size. M</w:t>
      </w:r>
      <w:r w:rsidR="005919EB">
        <w:t>G</w:t>
      </w:r>
      <w:r w:rsidRPr="0049701F">
        <w:t xml:space="preserve"> worked closely with AF in the</w:t>
      </w:r>
      <w:r w:rsidR="005919EB">
        <w:t xml:space="preserve"> theoretical</w:t>
      </w:r>
      <w:r w:rsidRPr="0049701F">
        <w:t xml:space="preserve"> framing </w:t>
      </w:r>
      <w:r w:rsidR="005B3A54">
        <w:t>of the project and interpretation of the results</w:t>
      </w:r>
      <w:r w:rsidRPr="0049701F">
        <w:t xml:space="preserve">. </w:t>
      </w:r>
      <w:r w:rsidR="00A76792" w:rsidRPr="0049701F">
        <w:t xml:space="preserve">HL guided the execution of the study and provided multiple rounds of comments and revisions. </w:t>
      </w:r>
      <w:r w:rsidRPr="0049701F">
        <w:t>SMW provided the infrastructure to conduct this work, joined in fieldwork, and helped with writing.</w:t>
      </w:r>
    </w:p>
    <w:p w14:paraId="3898C168" w14:textId="77777777" w:rsidR="0049701F" w:rsidRDefault="0049701F">
      <w:pPr>
        <w:widowControl/>
        <w:overflowPunct/>
        <w:autoSpaceDE/>
        <w:autoSpaceDN/>
        <w:adjustRightInd/>
        <w:spacing w:after="160"/>
        <w:contextualSpacing w:val="0"/>
      </w:pPr>
    </w:p>
    <w:p w14:paraId="20F1D8E8" w14:textId="41C6D5C9" w:rsidR="009C2F89" w:rsidRDefault="0001132B" w:rsidP="0001132B">
      <w:pPr>
        <w:widowControl/>
        <w:overflowPunct/>
        <w:autoSpaceDE/>
        <w:autoSpaceDN/>
        <w:adjustRightInd/>
        <w:spacing w:line="480" w:lineRule="auto"/>
        <w:rPr>
          <w:szCs w:val="24"/>
        </w:rPr>
      </w:pPr>
      <w:r>
        <w:rPr>
          <w:b/>
          <w:bCs/>
          <w:szCs w:val="24"/>
        </w:rPr>
        <w:t>Data Availability Statement</w:t>
      </w:r>
      <w:r w:rsidRPr="00632DB1">
        <w:rPr>
          <w:b/>
          <w:bCs/>
          <w:szCs w:val="24"/>
        </w:rPr>
        <w:t>:</w:t>
      </w:r>
      <w:r w:rsidRPr="00632DB1">
        <w:rPr>
          <w:szCs w:val="24"/>
        </w:rPr>
        <w:t xml:space="preserve"> </w:t>
      </w:r>
      <w:r w:rsidRPr="00FD66D0">
        <w:rPr>
          <w:szCs w:val="24"/>
        </w:rPr>
        <w:t xml:space="preserve">The datasets used and/or analyzed during the current study are available from the corresponding author </w:t>
      </w:r>
      <w:r w:rsidR="00641030">
        <w:rPr>
          <w:szCs w:val="24"/>
        </w:rPr>
        <w:t xml:space="preserve">at the following </w:t>
      </w:r>
      <w:hyperlink r:id="rId11" w:history="1">
        <w:r w:rsidR="00641030" w:rsidRPr="00641030">
          <w:rPr>
            <w:rStyle w:val="Hyperlink"/>
            <w:szCs w:val="24"/>
          </w:rPr>
          <w:t>link</w:t>
        </w:r>
      </w:hyperlink>
      <w:r w:rsidRPr="00FD66D0">
        <w:rPr>
          <w:szCs w:val="24"/>
        </w:rPr>
        <w:t>.</w:t>
      </w:r>
    </w:p>
    <w:p w14:paraId="178860B2" w14:textId="77777777" w:rsidR="009C2F89" w:rsidRDefault="009C2F89" w:rsidP="0001132B">
      <w:pPr>
        <w:widowControl/>
        <w:overflowPunct/>
        <w:autoSpaceDE/>
        <w:autoSpaceDN/>
        <w:adjustRightInd/>
        <w:spacing w:line="480" w:lineRule="auto"/>
        <w:rPr>
          <w:szCs w:val="24"/>
        </w:rPr>
      </w:pPr>
    </w:p>
    <w:p w14:paraId="7FF9396F" w14:textId="692EBEF0" w:rsidR="000749BA" w:rsidRPr="0001132B" w:rsidRDefault="009C2F89" w:rsidP="0001132B">
      <w:pPr>
        <w:widowControl/>
        <w:overflowPunct/>
        <w:autoSpaceDE/>
        <w:autoSpaceDN/>
        <w:adjustRightInd/>
        <w:spacing w:line="480" w:lineRule="auto"/>
        <w:rPr>
          <w:szCs w:val="24"/>
        </w:rPr>
      </w:pPr>
      <w:r w:rsidRPr="0056529B">
        <w:rPr>
          <w:b/>
          <w:bCs/>
          <w:szCs w:val="24"/>
        </w:rPr>
        <w:t>Conflict</w:t>
      </w:r>
      <w:r>
        <w:rPr>
          <w:b/>
          <w:bCs/>
          <w:szCs w:val="24"/>
        </w:rPr>
        <w:t>s</w:t>
      </w:r>
      <w:r w:rsidRPr="0056529B">
        <w:rPr>
          <w:b/>
          <w:bCs/>
          <w:szCs w:val="24"/>
        </w:rPr>
        <w:t xml:space="preserve"> of Interest:</w:t>
      </w:r>
      <w:r>
        <w:rPr>
          <w:szCs w:val="24"/>
        </w:rPr>
        <w:t xml:space="preserve"> </w:t>
      </w:r>
      <w:r w:rsidRPr="00303C12">
        <w:rPr>
          <w:szCs w:val="24"/>
        </w:rPr>
        <w:t>The authors declare that they have no conflict of interest.</w:t>
      </w:r>
      <w:r w:rsidR="000749BA">
        <w:rPr>
          <w:b/>
          <w:bCs/>
          <w:u w:val="single"/>
        </w:rPr>
        <w:br w:type="page"/>
      </w:r>
    </w:p>
    <w:p w14:paraId="7427147A" w14:textId="38A729BE" w:rsidR="00C3771E" w:rsidRDefault="00223444" w:rsidP="00D06E69">
      <w:pPr>
        <w:spacing w:before="100" w:beforeAutospacing="1" w:after="100" w:afterAutospacing="1" w:line="480" w:lineRule="auto"/>
        <w:mirrorIndents/>
      </w:pPr>
      <w:r>
        <w:rPr>
          <w:b/>
          <w:bCs/>
          <w:u w:val="single"/>
        </w:rPr>
        <w:lastRenderedPageBreak/>
        <w:t>ABSTRACT</w:t>
      </w:r>
    </w:p>
    <w:p w14:paraId="499A7940" w14:textId="6801F0F6" w:rsidR="00AA58E3" w:rsidRDefault="003669D3" w:rsidP="00D06E69">
      <w:pPr>
        <w:spacing w:before="100" w:beforeAutospacing="1" w:after="100" w:afterAutospacing="1" w:line="480" w:lineRule="auto"/>
        <w:mirrorIndents/>
      </w:pPr>
      <w:r w:rsidRPr="003669D3">
        <w:t>Consumers employ a variety of foraging strategies</w:t>
      </w:r>
      <w:r w:rsidR="007D10FE">
        <w:t>,</w:t>
      </w:r>
      <w:r w:rsidRPr="003669D3">
        <w:t xml:space="preserve"> and oftentimes the foraging strategy employed is related to resource availability. As consumers acquire resources, they may interact with their resource base in mutualistic or antagonistic ways – falling along a mutualism-antagonism continuum – with implications for ecological processes such as seed dispersal. However, patterns of resource use vary </w:t>
      </w:r>
      <w:r w:rsidR="00BC55A3" w:rsidRPr="003669D3">
        <w:t>temporally,</w:t>
      </w:r>
      <w:r w:rsidRPr="003669D3">
        <w:t xml:space="preserve"> and textbook herbivores may switch foraging tactics to become more frugivorous in periods of greater</w:t>
      </w:r>
      <w:r w:rsidR="00BA70D6">
        <w:t xml:space="preserve"> fleshy</w:t>
      </w:r>
      <w:r w:rsidRPr="003669D3">
        <w:t xml:space="preserve"> fruit availability. In this study, we investigated how </w:t>
      </w:r>
      <w:r w:rsidR="00BA70D6">
        <w:t>fleshy fruit consumption</w:t>
      </w:r>
      <w:r w:rsidRPr="003669D3">
        <w:t xml:space="preserve"> of a generalist herbivore – the gopher tortoise (</w:t>
      </w:r>
      <w:r w:rsidRPr="00BA70D6">
        <w:rPr>
          <w:i/>
          <w:iCs/>
        </w:rPr>
        <w:t>Gopherus polyphemus</w:t>
      </w:r>
      <w:r w:rsidRPr="003669D3">
        <w:t xml:space="preserve">) – shifts intra-annually following seasonal precipitation and </w:t>
      </w:r>
      <w:r w:rsidR="001F027A">
        <w:t xml:space="preserve">subsequently examined how </w:t>
      </w:r>
      <w:r w:rsidR="00BA70D6">
        <w:t>this shift</w:t>
      </w:r>
      <w:r w:rsidR="001F027A">
        <w:t xml:space="preserve"> toward </w:t>
      </w:r>
      <w:r w:rsidR="007D10FE">
        <w:t>increased frugivory influence</w:t>
      </w:r>
      <w:r w:rsidR="00BA70D6">
        <w:t>s</w:t>
      </w:r>
      <w:r w:rsidR="007D10FE">
        <w:t xml:space="preserve"> the suite of plant syndromes dispersed</w:t>
      </w:r>
      <w:r w:rsidRPr="003669D3">
        <w:t>. We noted a clear intra-annual shift toward a more frugivorous diet</w:t>
      </w:r>
      <w:r w:rsidR="00BA70D6">
        <w:t xml:space="preserve"> which </w:t>
      </w:r>
      <w:r w:rsidR="00BC55A3">
        <w:t>coincided with seasonal precipitation</w:t>
      </w:r>
      <w:r w:rsidRPr="003669D3">
        <w:t xml:space="preserve"> and subsequently </w:t>
      </w:r>
      <w:r w:rsidR="00BC55A3">
        <w:t>observed a marked shift in the plant syndromes dispersed with increasing frugivory</w:t>
      </w:r>
      <w:r w:rsidRPr="003669D3">
        <w:t xml:space="preserve">. We found that as this generalist herbivore became more frugivorous, it dispersed a greater </w:t>
      </w:r>
      <w:r w:rsidR="00AA58E3">
        <w:t>variety</w:t>
      </w:r>
      <w:r w:rsidRPr="003669D3">
        <w:t xml:space="preserve"> of plant </w:t>
      </w:r>
      <w:r w:rsidR="00AA58E3">
        <w:t>syndromes</w:t>
      </w:r>
      <w:r w:rsidR="00405081">
        <w:t xml:space="preserve"> </w:t>
      </w:r>
      <w:r w:rsidR="005143F2">
        <w:t>at low levels of frugivory</w:t>
      </w:r>
      <w:r w:rsidR="00AA58E3">
        <w:t xml:space="preserve">. However, when </w:t>
      </w:r>
      <w:r w:rsidR="00405081">
        <w:t>the gopher tortoise</w:t>
      </w:r>
      <w:r w:rsidR="00AA58E3">
        <w:t xml:space="preserve"> exhibited high levels of frugivory, the </w:t>
      </w:r>
      <w:r w:rsidR="00405081">
        <w:t>seed load</w:t>
      </w:r>
      <w:r w:rsidR="00AA58E3">
        <w:t xml:space="preserve"> was dominated by those exhibiting the Endozoochory syndrome. This study illustrates a functional shift in a seed dispersing herbivore toward that of a classical frugivore</w:t>
      </w:r>
      <w:r w:rsidR="005143F2">
        <w:t>,</w:t>
      </w:r>
      <w:r w:rsidRPr="003669D3">
        <w:t xml:space="preserve"> suggest</w:t>
      </w:r>
      <w:r w:rsidR="005143F2">
        <w:t>ing</w:t>
      </w:r>
      <w:r w:rsidRPr="003669D3">
        <w:t xml:space="preserve"> that temporal variation in foraging strategy and the temporal scale in which foraging habits and seed dispersal interactions are quantified</w:t>
      </w:r>
      <w:r w:rsidR="00015A58">
        <w:t xml:space="preserve"> have implications for the suite of plant syndromes species disperse</w:t>
      </w:r>
      <w:r w:rsidRPr="003669D3">
        <w:t>.</w:t>
      </w:r>
      <w:r w:rsidR="005143F2">
        <w:t xml:space="preserve"> Furthermore, tradeoffs may exist that provide plants with the Endozoochory syndrome with a competitive advantage over seeds with contrasting </w:t>
      </w:r>
      <w:r w:rsidR="0091734A">
        <w:t>traits</w:t>
      </w:r>
      <w:r w:rsidR="005143F2">
        <w:t>, such as the Foliage is the Fruit syndrome</w:t>
      </w:r>
      <w:r w:rsidR="0091734A">
        <w:t xml:space="preserve"> which is </w:t>
      </w:r>
      <w:r w:rsidR="00786137">
        <w:t>expected to experience greater dispersal by classical herbivores.</w:t>
      </w:r>
    </w:p>
    <w:p w14:paraId="11786CFB" w14:textId="0BF98171" w:rsidR="00EA0458" w:rsidRPr="00EA0458" w:rsidRDefault="00EA0458" w:rsidP="00EA0458">
      <w:r>
        <w:rPr>
          <w:b/>
          <w:bCs/>
        </w:rPr>
        <w:t>Key Words:</w:t>
      </w:r>
      <w:r>
        <w:t xml:space="preserve"> Frugivory, herbivory, seed dispersal, mutualism</w:t>
      </w:r>
      <w:r w:rsidR="00AA1A6C">
        <w:t xml:space="preserve">, </w:t>
      </w:r>
      <w:r w:rsidR="00AA1A6C" w:rsidRPr="0080682A">
        <w:t>plant–animal interaction</w:t>
      </w:r>
      <w:r>
        <w:t>, gopher tortoise</w:t>
      </w:r>
      <w:r>
        <w:rPr>
          <w:b/>
          <w:bCs/>
          <w:u w:val="single"/>
        </w:rPr>
        <w:br w:type="page"/>
      </w:r>
    </w:p>
    <w:p w14:paraId="0B54081A" w14:textId="526F435F" w:rsidR="002950FE" w:rsidRPr="001E6575" w:rsidRDefault="002950FE" w:rsidP="00D06E69">
      <w:pPr>
        <w:spacing w:before="100" w:beforeAutospacing="1" w:after="100" w:afterAutospacing="1" w:line="480" w:lineRule="auto"/>
        <w:mirrorIndents/>
        <w:rPr>
          <w:b/>
          <w:bCs/>
          <w:u w:val="single"/>
        </w:rPr>
      </w:pPr>
      <w:r w:rsidRPr="001E6575">
        <w:rPr>
          <w:b/>
          <w:bCs/>
          <w:u w:val="single"/>
        </w:rPr>
        <w:lastRenderedPageBreak/>
        <w:t>INTRODUCTION</w:t>
      </w:r>
      <w:bookmarkEnd w:id="1"/>
    </w:p>
    <w:p w14:paraId="23A25CE3" w14:textId="78C53549" w:rsidR="00B42DD7" w:rsidRDefault="001A0C8F" w:rsidP="008611A2">
      <w:pPr>
        <w:spacing w:before="100" w:beforeAutospacing="1" w:after="100" w:afterAutospacing="1" w:line="480" w:lineRule="auto"/>
        <w:ind w:firstLine="720"/>
        <w:mirrorIndents/>
      </w:pPr>
      <w:r>
        <w:t xml:space="preserve">Resource </w:t>
      </w:r>
      <w:r w:rsidR="00FA68D2">
        <w:t>u</w:t>
      </w:r>
      <w:r w:rsidR="00911CFA">
        <w:t>tilization</w:t>
      </w:r>
      <w:r>
        <w:t xml:space="preserve"> </w:t>
      </w:r>
      <w:r w:rsidR="00911CFA">
        <w:t>is a</w:t>
      </w:r>
      <w:r>
        <w:t xml:space="preserve"> fundamental </w:t>
      </w:r>
      <w:r w:rsidR="000D3638">
        <w:t xml:space="preserve">ecological </w:t>
      </w:r>
      <w:r>
        <w:t>process that mediate</w:t>
      </w:r>
      <w:r w:rsidR="00911CFA">
        <w:t>s</w:t>
      </w:r>
      <w:r>
        <w:t xml:space="preserve"> a variety of interactions</w:t>
      </w:r>
      <w:r w:rsidR="0005413A">
        <w:t>,</w:t>
      </w:r>
      <w:r>
        <w:t xml:space="preserve"> from mutualis</w:t>
      </w:r>
      <w:r w:rsidR="001A5DC3">
        <w:t>ms</w:t>
      </w:r>
      <w:r>
        <w:t xml:space="preserve"> to antagonis</w:t>
      </w:r>
      <w:r w:rsidR="001A5DC3">
        <w:t>ms</w:t>
      </w:r>
      <w:r>
        <w:t xml:space="preserve"> </w:t>
      </w:r>
      <w:r>
        <w:fldChar w:fldCharType="begin"/>
      </w:r>
      <w:r>
        <w:instrText xml:space="preserve"> ADDIN ZOTERO_ITEM CSL_CITATION {"citationID":"OAL2LI9i","properties":{"formattedCitation":"(Bronstein 2015)","plainCitation":"(Bronstein 2015)","noteIndex":0},"citationItems":[{"id":6131,"uris":["http://zotero.org/users/10895328/items/IUXZUBTU"],"itemData":{"id":6131,"type":"book","abstract":"Mutualisms, interactions between two species that benefit both of them, have long captured the public imagination. Their influence transcends levels of biological organization from cells to populations, communities, and ecosystems. Mutualistic symbioses were crucial to the origin of eukaryotic cells, and perhaps to the invasion of land. Mutualisms occur in every terrestrial and aquatic habitat; indeed, ecologists now believe that almost every species on Earth is involved directly or indirectly in one or more of these interactions. Mutualisms are essential to the reproduction and survival of virtually all organisms, as well as to nutrient cycles in ecosystems. Furthermore, the key ecosystem services that mutualists provide mean that they are increasingly being considered as conservation priorities, ironically at the same time as the acute risks to their ecological and evolutionary persistence are increasingly being identified. This volume, the first general work on mutualism to appear in almost thirty years, provides a detailed and conceptually-oriented overview of the subject. Focusing on a range of ecological and evolutionary aspects over different scales (from individual to ecosystem), the chapters in this book provide expert coverage of our current understanding of mutualism whilst highlighting the most important questions that remain to be answered. In bringing together a diverse team of expert contributors, this novel text captures the excitement of a dynamic field that will help to define its future research agenda.","ISBN":"978-0-19-967565-4","publisher":"Oxford University Press","title":"Mutualism","author":[{"family":"Bronstein","given":"J. L."}],"issued":{"date-parts":[["2015"]]}}}],"schema":"https://github.com/citation-style-language/schema/raw/master/csl-citation.json"} </w:instrText>
      </w:r>
      <w:r>
        <w:fldChar w:fldCharType="separate"/>
      </w:r>
      <w:r w:rsidRPr="001B1E62">
        <w:t>(Bronstein 2015)</w:t>
      </w:r>
      <w:r>
        <w:fldChar w:fldCharType="end"/>
      </w:r>
      <w:r>
        <w:t xml:space="preserve">. </w:t>
      </w:r>
      <w:r w:rsidR="00705E97">
        <w:t>Investigating</w:t>
      </w:r>
      <w:r w:rsidR="006B546A">
        <w:t xml:space="preserve"> resource use</w:t>
      </w:r>
      <w:r>
        <w:t xml:space="preserve"> patterns </w:t>
      </w:r>
      <w:r w:rsidR="00C93BEF">
        <w:t>provide</w:t>
      </w:r>
      <w:r w:rsidR="006B546A">
        <w:t>s</w:t>
      </w:r>
      <w:r>
        <w:t xml:space="preserve"> insight into the </w:t>
      </w:r>
      <w:r w:rsidR="00254923">
        <w:t>trophic</w:t>
      </w:r>
      <w:r w:rsidR="006B546A">
        <w:t xml:space="preserve"> </w:t>
      </w:r>
      <w:r>
        <w:t xml:space="preserve">niche </w:t>
      </w:r>
      <w:r w:rsidR="006B546A">
        <w:t>species</w:t>
      </w:r>
      <w:r>
        <w:t xml:space="preserve"> occup</w:t>
      </w:r>
      <w:r w:rsidR="006B546A">
        <w:t>y</w:t>
      </w:r>
      <w:r>
        <w:t xml:space="preserve"> and the functional role</w:t>
      </w:r>
      <w:r w:rsidR="00C80C70">
        <w:t>s</w:t>
      </w:r>
      <w:r>
        <w:t xml:space="preserve"> </w:t>
      </w:r>
      <w:r w:rsidR="006B546A">
        <w:t>they may</w:t>
      </w:r>
      <w:r>
        <w:t xml:space="preserve"> </w:t>
      </w:r>
      <w:r w:rsidR="000D3638">
        <w:t>play</w:t>
      </w:r>
      <w:r>
        <w:t xml:space="preserve"> in an ecosystem </w:t>
      </w:r>
      <w:r>
        <w:fldChar w:fldCharType="begin"/>
      </w:r>
      <w:r w:rsidR="004B0E5C">
        <w:instrText xml:space="preserve"> ADDIN ZOTERO_ITEM CSL_CITATION {"citationID":"5NoiJFEG","properties":{"formattedCitation":"(Elton 2001, Chase and Leibold 2009)","plainCitation":"(Elton 2001, Chase and Leibold 2009)","noteIndex":0},"citationItems":[{"id":13283,"uris":["http://zotero.org/users/10895328/items/8D8JRG8Q"],"itemData":{"id":13283,"type":"book","abstract":"Charles Elton was one of the founders of ecology, and his Animal Ecology was one of the seminal works that defined the field. In this book Elton introduced and drew together many principles still central to ecology today, including succession, niche, food webs, and the links between communities and ecosystems, each of which he illustrated with well-chosen examples. Many of Elton’s ideas have proven remarkably prescient—for instance, his emphasis on the role climatic changes play in population fluctuations anticipated recent research in this area stimulated by concerns about global warming.For Chicago’s reprint of this classic work, ecologists Mathew A. Leibold and J. Timothy Wootton have provided new introductions to each chapter, placing Elton’s ideas in historical and scientific context. They trace modern developments in each of the key themes Elton introduced, and provide references to the most current literature. The result will be an important work for ecologists interested in the roots of their discipline, for educated readers looking for a good overview of the field, and for historians of science.","event-place":"Chicago, IL","ISBN":"978-0-226-20639-4","language":"en","number-of-pages":"296","publisher":"University of Chicago Press","publisher-place":"Chicago, IL","source":"University of Chicago Press","title":"Animal Ecology","URL":"https://press.uchicago.edu/ucp/books/book/chicago/A/bo25281897.html","author":[{"family":"Elton","given":"Charles S."}],"editor":[{"family":"Leibold","given":"Matthew A."},{"family":"Wootton","given":"Timothy J."}],"accessed":{"date-parts":[["2023",2,20]]},"issued":{"date-parts":[["2001",6]]}}},{"id":6251,"uris":["http://zotero.org/users/10895328/items/LP4QJZTU"],"itemData":{"id":6251,"type":"chapter","container-title":"Ecological Niches","ISBN":"0-226-10181-9","publisher":"University of Chicago Press","title":"Ecological niches","author":[{"family":"Chase","given":"Jonathan M."},{"family":"Leibold","given":"Mathew A."}],"issued":{"date-parts":[["2009"]]}}}],"schema":"https://github.com/citation-style-language/schema/raw/master/csl-citation.json"} </w:instrText>
      </w:r>
      <w:r>
        <w:fldChar w:fldCharType="separate"/>
      </w:r>
      <w:r w:rsidR="004B0E5C" w:rsidRPr="004B0E5C">
        <w:t>(Elton 2001, Chase and Leibold 2009)</w:t>
      </w:r>
      <w:r>
        <w:fldChar w:fldCharType="end"/>
      </w:r>
      <w:r>
        <w:t xml:space="preserve">. Furthermore, </w:t>
      </w:r>
      <w:r w:rsidR="0070054B">
        <w:t xml:space="preserve">quantifying </w:t>
      </w:r>
      <w:r w:rsidR="00592249">
        <w:t>spatio</w:t>
      </w:r>
      <w:r w:rsidR="00267644">
        <w:t>temporal</w:t>
      </w:r>
      <w:r w:rsidR="00C27D94">
        <w:t xml:space="preserve"> </w:t>
      </w:r>
      <w:r w:rsidR="00BB7C94">
        <w:t xml:space="preserve">patterns </w:t>
      </w:r>
      <w:r w:rsidR="004B0E5C">
        <w:t xml:space="preserve">of </w:t>
      </w:r>
      <w:r>
        <w:t xml:space="preserve">resource </w:t>
      </w:r>
      <w:r w:rsidR="00C27D94">
        <w:t>use</w:t>
      </w:r>
      <w:r w:rsidR="00BB7C94">
        <w:t xml:space="preserve"> </w:t>
      </w:r>
      <w:r>
        <w:t>can reveal</w:t>
      </w:r>
      <w:r w:rsidR="00624E40">
        <w:t xml:space="preserve"> </w:t>
      </w:r>
      <w:r w:rsidR="009723A0">
        <w:t>shifts</w:t>
      </w:r>
      <w:r w:rsidR="0070054B">
        <w:t xml:space="preserve"> in</w:t>
      </w:r>
      <w:r w:rsidR="001F7680">
        <w:t xml:space="preserve"> </w:t>
      </w:r>
      <w:r w:rsidR="0070054B">
        <w:t>the</w:t>
      </w:r>
      <w:r w:rsidR="00624E40">
        <w:t xml:space="preserve"> dietary habits</w:t>
      </w:r>
      <w:r w:rsidR="009723A0">
        <w:t xml:space="preserve"> of consumers</w:t>
      </w:r>
      <w:r>
        <w:t xml:space="preserve"> toward preferred food items that are limited in time</w:t>
      </w:r>
      <w:r w:rsidR="00B21223">
        <w:t xml:space="preserve"> and/or space</w:t>
      </w:r>
      <w:r>
        <w:t xml:space="preserve"> </w:t>
      </w:r>
      <w:r>
        <w:fldChar w:fldCharType="begin"/>
      </w:r>
      <w:r w:rsidR="00CF04BB">
        <w:instrText xml:space="preserve"> ADDIN ZOTERO_ITEM CSL_CITATION {"citationID":"qNZLZVu0","properties":{"formattedCitation":"(Abrahms et al. 2021)","plainCitation":"(Abrahms et al. 2021)","noteIndex":0},"citationItems":[{"id":5678,"uris":["http://zotero.org/users/10895328/items/JHN2D3YQ"],"itemData":{"id":5678,"type":"article-journal","abstract":"Resource tracking, where animals increase energy gain by moving to track phenological variation in resources across space, is emerging as a fundamental attribute of animal movement ecology. However, a theoretical framework to understand when and where resource tracking should occur, and how resource tracking should lead to emergent ecological patterns, is lacking. We present a framework that unites concepts from optimal foraging theory and landscape ecology, which can be used to generate and test predictions on how resource dynamics shape animal movement across taxa, systems, and scales. Consideration of the interplay between animal movement and resource dynamics not only advances ecological understanding but can also guide biodiversity conservation in an era of global change.","container-title":"Trends in Ecology &amp; Evolution","DOI":"https://doi.org/10.1016/j.tree.2020.10.018","ISSN":"0169-5347","issue":"4","journalAbbreviation":"Trends Ecol Evol","page":"308-320","title":"Emerging Perspectives on Resource Tracking and Animal Movement Ecology","volume":"36","author":[{"family":"Abrahms","given":"Briana"},{"family":"Aikens","given":"Ellen O."},{"family":"Armstrong","given":"Jonathan B."},{"family":"Deacy","given":"William W."},{"family":"Kauffman","given":"Matthew J."},{"family":"Merkle","given":"Jerod A."}],"issued":{"date-parts":[["2021",4,1]]}}}],"schema":"https://github.com/citation-style-language/schema/raw/master/csl-citation.json"} </w:instrText>
      </w:r>
      <w:r>
        <w:fldChar w:fldCharType="separate"/>
      </w:r>
      <w:r w:rsidR="00CF04BB" w:rsidRPr="00CF04BB">
        <w:t>(Abrahms et al. 2021)</w:t>
      </w:r>
      <w:r>
        <w:fldChar w:fldCharType="end"/>
      </w:r>
      <w:r>
        <w:t>.</w:t>
      </w:r>
      <w:r w:rsidR="00C27D94">
        <w:t xml:space="preserve"> </w:t>
      </w:r>
      <w:r w:rsidR="00817331">
        <w:t xml:space="preserve">One </w:t>
      </w:r>
      <w:r w:rsidR="00592249">
        <w:t>spatio</w:t>
      </w:r>
      <w:r w:rsidR="00267644">
        <w:t>temporally</w:t>
      </w:r>
      <w:r w:rsidR="00817331">
        <w:t xml:space="preserve"> limited resource that is closely tracked by animals are fleshy fruits </w:t>
      </w:r>
      <w:r w:rsidR="00817331">
        <w:fldChar w:fldCharType="begin"/>
      </w:r>
      <w:r w:rsidR="002B3DFD">
        <w:instrText xml:space="preserve"> ADDIN ZOTERO_ITEM CSL_CITATION {"citationID":"DcMTVY8n","properties":{"formattedCitation":"(Koike et al. 2008, Takahashi et al. 2008)","plainCitation":"(Koike et al. 2008, Takahashi et al. 2008)","noteIndex":0},"citationItems":[{"id":13448,"uris":["http://zotero.org/users/10895328/items/6FG97H7P"],"itemData":{"id":13448,"type":"article-journal","abstract":"We investigated the relationship between the fruit phenology of Prunus jamasakura and the fruitfeeding period of the Asiatic black bear (Ursus thibetanus). The purposes of this study were to determine (1) when bears feed on the fruit of P. jamasakura in relation to phenology; (2) whether ingestion damages seeds; and (3) how ingestion inﬂuences seed germination. We assessed the relationship between the phenology of fruit maturation (size, sugar concentration, color, persistence, and germination percentage) and the feeding period of bears in the ﬁeld, as judged from bear shelves and claw marks. We also compared the germination percentage of seeds ingested by captive bears with that of uningested. Bears fed on the fruit from days 50 to 66 after ﬂowering, when most of the fruits were on the tree and became large, the germination percentage of seeds increased, and the sugar concentration became high. Bears fed only on mature fruits and so obtained high-quality nutrients. Germination tests showed that ingestion of fruits by the bears caused no physical damage to the seeds. Ingested seeds did not show a signiﬁcant diﬀerence in germination percentage from seeds, whose pulp was artiﬁcially removed. These results indicate that bears are potentially eﬀective dispersers from a qualitative perspective and, to some extent, from a quantitative perspective.","container-title":"Ecological Research","DOI":"10.1007/s11284-007-0399-3","ISSN":"0912-3814, 1440-1703","issue":"2","journalAbbreviation":"Ecol Res","language":"en","page":"385-392","source":"DOI.org (Crossref)","title":"Fruit phenology of Prunus jamasakura and the feeding habit of the Asiatic black bear as a seed disperser","volume":"23","author":[{"family":"Koike","given":"Shinsuke"},{"family":"Kasai","given":"Shinsuke"},{"family":"Yamazaki","given":"Koji"},{"family":"Furubayashi","given":"Kengo"}],"issued":{"date-parts":[["2008",3]]}}},{"id":15696,"uris":["http://zotero.org/users/10895328/items/ZYHDNGUW"],"itemData":{"id":15696,"type":"article-journal","abstract":"Fruit use by the Japanese black bear (Ursus thibetanus japonicus) and seed clumping in bear scat were studied in central Japan using fecal analyses. Between May and November 2003 and 2004, the life form and fruit size of plants consumed by bears and the species composition and intactness of seeds contained in scat were examined in ﬁve transects (approximately 10 km · 10 m) in broad-leaved deciduous forests. In 2003, scats with seeds were found only in the autumn, when fruiting trees and shrubs were abundant. In 2004, scats with seeds occurred intermittently from the summer, when fruiting plants were rare, up to the autumn. Yearly and seasonal variation in fruit use reﬂects the opportunistic foraging behavior of Japanese black bears. Seven of the nine plant species detected in scats had medium-sized fruits (6–15 mm width), whereas the other two species had relatively large fruits (20–100 mm width). In total, 14,492 seeds were detected, of which 97.6% were intact; the remainder were damaged. Intact seeds of one or two species were found in each scat. The number of intact seeds per scat ranged from 1 to 5476. Japanese black bears seldom digest ingested seeds, thereby contributing to the seed dispersal of their food plants, including species with fruits that are too large to be swallowed by frugivorous birds.","container-title":"Ecological Research","DOI":"10.1007/s11284-007-0382-z","ISSN":"0912-3814, 1440-1703","issue":"2","journalAbbreviation":"Ecol Res","language":"en","page":"471-478","source":"DOI.org (Crossref)","title":"Seasonal variation in fleshy fruit use and seed dispersal by the Japanese black bear (Ursus thibetanus japonicus)","volume":"23","author":[{"family":"Takahashi","given":"Kazuaki"},{"family":"Shiota","given":"Tadatoshi"},{"family":"Tamatani","given":"Hiroo"},{"family":"Koyama","given":"Masaru"},{"family":"Washitani","given":"Izumi"}],"issued":{"date-parts":[["2008",3]]}}}],"schema":"https://github.com/citation-style-language/schema/raw/master/csl-citation.json"} </w:instrText>
      </w:r>
      <w:r w:rsidR="00817331">
        <w:fldChar w:fldCharType="separate"/>
      </w:r>
      <w:r w:rsidR="002B3DFD" w:rsidRPr="002B3DFD">
        <w:t>(Koike et al. 2008, Takahashi et al. 2008)</w:t>
      </w:r>
      <w:r w:rsidR="00817331">
        <w:fldChar w:fldCharType="end"/>
      </w:r>
      <w:r w:rsidR="00817331">
        <w:t>.</w:t>
      </w:r>
      <w:r w:rsidR="00FA0EC8">
        <w:t xml:space="preserve"> </w:t>
      </w:r>
      <w:r w:rsidR="005D0D25" w:rsidRPr="005D0D25">
        <w:t>While botanically, the consumption of any fruit type is considered frugivory, we hereafter refer to frugivory in an ecological sense, specifically as the consumption and passage of seeds, pulp, and skin from fleshy fruits</w:t>
      </w:r>
      <w:r w:rsidR="004D06B0" w:rsidRPr="004D06B0">
        <w:t xml:space="preserve"> </w:t>
      </w:r>
      <w:r w:rsidR="004D06B0" w:rsidRPr="004D06B0">
        <w:fldChar w:fldCharType="begin"/>
      </w:r>
      <w:r w:rsidR="004D06B0" w:rsidRPr="004D06B0">
        <w:instrText xml:space="preserve"> ADDIN ZOTERO_ITEM CSL_CITATION {"citationID":"8eMz5oet","properties":{"formattedCitation":"(Howe and Smallwood 1982, Van der Pijl 1982, Howe 1986, Jordano 2000)","plainCitation":"(Howe and Smallwood 1982, Van der Pijl 1982, Howe 1986, Jordano 2000)","noteIndex":0},"citationItems":[{"id":7370,"uris":["http://zotero.org/users/10895328/items/Q79SV7VH"],"itemData":{"id":7370,"type":"article-journal","container-title":"Annual Review of Ecology and Systematics","DOI":"DOI 10.1146/annurev.es.13.110182.001221","ISSN":"0066-4162","language":"English","page":"201-228","title":"Ecology of Seed Dispersal","volume":"13","author":[{"family":"Howe","given":"H. F."},{"family":"Smallwood","given":"J."}],"issued":{"date-parts":[["1982"]]}}},{"id":9380,"uris":["http://zotero.org/users/10895328/items/VEI3KQNR"],"itemData":{"id":9380,"type":"book","publisher":"Springer","title":"Principles of dispersal in higher plants","volume":"214","author":[{"family":"Van der Pijl","given":"Leendert"}],"issued":{"date-parts":[["1982"]]}}},{"id":7350,"uris":["http://zotero.org/users/10895328/items/YD3CY5CZ"],"itemData":{"id":7350,"type":"chapter","container-title":"Seed Dispersal","event-place":"San Diego","ISBN":"978-0-12-511900-9","page":"123-189","publisher":"Academic Press","publisher-place":"San Diego","title":"CHAPTER 4 - Seed Dispersal by Fruit-Eating Birds and Mammals","author":[{"family":"Howe","given":"H. F."}],"editor":[{"family":"Murray","given":"David R."}],"issued":{"date-parts":[["1986",1,1]]}}},{"id":17110,"uris":["http://zotero.org/users/10895328/items/WEMTHH7J"],"itemData":{"id":17110,"type":"article-journal","container-title":"Seeds: the ecology of regeneration in plant communities","page":"125-166","title":"Fruits and frugivory","volume":"2","author":[{"family":"Jordano","given":"Pedro"}],"issued":{"date-parts":[["2000"]]}}}],"schema":"https://github.com/citation-style-language/schema/raw/master/csl-citation.json"} </w:instrText>
      </w:r>
      <w:r w:rsidR="004D06B0" w:rsidRPr="004D06B0">
        <w:fldChar w:fldCharType="separate"/>
      </w:r>
      <w:r w:rsidR="004D06B0" w:rsidRPr="004D06B0">
        <w:t>(Howe and Smallwood 1982, Van der Pijl 1982, Howe 1986, Jordano 2000)</w:t>
      </w:r>
      <w:r w:rsidR="004D06B0" w:rsidRPr="004D06B0">
        <w:fldChar w:fldCharType="end"/>
      </w:r>
      <w:r w:rsidR="004D06B0" w:rsidRPr="004D06B0">
        <w:t>.</w:t>
      </w:r>
      <w:r w:rsidR="004D06B0">
        <w:t xml:space="preserve"> </w:t>
      </w:r>
      <w:r w:rsidR="00FA0EC8">
        <w:t>In many ecosystems, as</w:t>
      </w:r>
      <w:r w:rsidR="003F453E">
        <w:t xml:space="preserve"> fleshy fruits</w:t>
      </w:r>
      <w:r w:rsidR="00FA0EC8">
        <w:t xml:space="preserve"> become more abundant through time,</w:t>
      </w:r>
      <w:r w:rsidR="007B6BDC">
        <w:t xml:space="preserve"> </w:t>
      </w:r>
      <w:r w:rsidR="000644E9">
        <w:t>animals</w:t>
      </w:r>
      <w:r w:rsidR="00FA0EC8">
        <w:t xml:space="preserve"> shift their diet to become</w:t>
      </w:r>
      <w:r w:rsidR="007B6BDC">
        <w:t xml:space="preserve"> more frugivorous</w:t>
      </w:r>
      <w:r w:rsidR="000644E9">
        <w:t xml:space="preserve"> </w:t>
      </w:r>
      <w:r w:rsidR="00217935">
        <w:fldChar w:fldCharType="begin"/>
      </w:r>
      <w:r w:rsidR="00605002">
        <w:instrText xml:space="preserve"> ADDIN ZOTERO_ITEM CSL_CITATION {"citationID":"C1P7GPdj","properties":{"formattedCitation":"(Remis 1997, Herrera et al. 2008, Robira et al. 2023)","plainCitation":"(Remis 1997, Herrera et al. 2008, Robira et al. 2023)","noteIndex":0},"citationItems":[{"id":15602,"uris":["http://zotero.org/users/10895328/items/NCUFV4HW"],"itemData":{"id":15602,"type":"article-journal","container-title":"American Journal of Primatology","DOI":"10.1002/(SICI)1098-2345(1997)43:2&lt;87::AID-AJP1&gt;3.0.CO;2-T","ISSN":"02752565, 10982345","issue":"2","journalAbbreviation":"Am. J. Primatol.","language":"en","page":"87-109","source":"DOI.org (Crossref)","title":"Western lowland gorillas (Gorilla gorilla gorilla) as seasonal frugivores: Use of variable resources","title-short":"Western lowland gorillas (Gorilla gorilla gorilla) as seasonal frugivores","volume":"43","author":[{"family":"Remis","given":"Melissa J."}],"issued":{"date-parts":[["1997"]]}}},{"id":15685,"uris":["http://zotero.org/users/10895328/items/69K3LV8S"],"itemData":{"id":15685,"type":"article-journal","abstract":"We used nitrogen isotope analysis from pectoral muscle of the Egyptian fruit bat Rousettus aegyptiacus (Chiroptera: Pteropodidae) to determine intrapopulation variation in sources of dietary protein throughout the year in northern Israel. In Mediterranean climates, winter and summer are stable seasons, whereas spring and fall are transitional seasons. Number of species of fruit-bearing plants is higher during the transitional periods, and we therefore predicted that intrapopulation variation would be higher during spring than in winter and summer; we made no prediction for fall because sample size was small. We also reconstructed sources of dietary protein for each individual using nitrogen isotope ratios (d15N) to determine whether individuals foraged on the same sources of food within each season. Intrapopulation variation in d15N was signiﬁcantly higher in spring (d15N range: 9.7–17.5&amp;) compared to winter (8.8–11.1&amp;) and summer (9.5–11.2&amp;), suggesting that individuals during this period varied more in their use of protein sources. Dietary reconstruction revealed intrapopulation partitioning among the bats in the use of plant food items, and interspeciﬁc partitioning among plants in their dependence on dispersal by bats.","container-title":"Journal of Mammalogy","DOI":"10.1644/07-MAMM-A-263.1","ISSN":"0022-2372, 1545-1542","issue":"5","journalAbbreviation":"Journal of Mammalogy","language":"en","page":"1184-1190","source":"DOI.org (Crossref)","title":"Dietary Implications of Intrapopulation Variation in Nitrogen Isotope Composition of an Old World Fruit Bat","volume":"89","author":[{"family":"Herrera","given":"M. L. Gerardo"},{"family":"Korine","given":"Carmi"},{"family":"Fleming","given":"Theodore H."},{"family":"Arad","given":"Zeev"}],"issued":{"date-parts":[["2008",10]]}}},{"id":15607,"uris":["http://zotero.org/users/10895328/items/RGAPEEIS"],"itemData":{"id":15607,"type":"chapter","abstract":"Tropical forests show high spatiotemporal seasonal variation in food availability, especially for fruits. To forage efficiently, frugivorous primates are expected to have higher spatiotemporal knowledge of food availability than folivorous primates. Here, we compiled published and new evidence to shed light on the foraging strategies and the underpinning cognition in the seasonally frugivorous western gorilla (G. gorilla) in response to seasonal changes in resources (high- and low-fruit seasons). Specifically, we assessed how western gorillas decide where to feed (movement heuristic and spatial knowledge), how to move (e.g., movement speed and straightness), and when to go (temporal knowledge) and come back to feeding sites (recursion pattern) when feeding mostly on fruits or leaves. Based on GPS tracks continuously recorded on three habituated groups in Central African Republic (May 2016 to November 2017), we found that western gorillas rely on spatiotemporal knowledge to decide where to go and when in both dietary seasons. Space-use patterns (daily path length and weekly range) were larger during the high-fruit season because of changes in food spatial distribution. However, the foraging strategies barely changed with seasons in terms of speed, straightness, and recursion patterns. Our results highlight how spatiotemporal cognition may buffer the effects of changes in food availability in seasonal frugivorous species. Given their role in seed dispersal, characterizing the cognition underlying tropical frugivore movements may provide insights into understanding large-scale ecological processes underpinning tropical forest regeneration and dynamics.","container-title":"Movement Ecology of Afrotropical Forest Mammals","event-place":"Cham","ISBN":"978-3-031-27030-7","note":"DOI: 10.1007/978-3-031-27030-7_9","page":"151-170","publisher":"Springer International Publishing","publisher-place":"Cham","title":"Do Seasonal Frugivory and Cognition Shape Foraging Movements in Wild Western Gorillas?","URL":"https://doi.org/10.1007/978-3-031-27030-7_9","author":[{"family":"Robira","given":"Benjamin"},{"family":"Benhamou","given":"Simon"},{"family":"Fuh","given":"Terence Neba"},{"family":"Masi","given":"Shelly"}],"editor":[{"family":"Reyna-Hurtado","given":"Rafael"},{"family":"Chapman","given":"Colin A."},{"family":"Melletti","given":"Mario"}],"issued":{"date-parts":[["2023"]]}}}],"schema":"https://github.com/citation-style-language/schema/raw/master/csl-citation.json"} </w:instrText>
      </w:r>
      <w:r w:rsidR="00217935">
        <w:fldChar w:fldCharType="separate"/>
      </w:r>
      <w:r w:rsidR="00605002" w:rsidRPr="00605002">
        <w:t>(Remis 1997, Herrera et al. 2008, Robira et al. 2023)</w:t>
      </w:r>
      <w:r w:rsidR="00217935">
        <w:fldChar w:fldCharType="end"/>
      </w:r>
      <w:r w:rsidR="003F453E">
        <w:t>.</w:t>
      </w:r>
      <w:r w:rsidR="00A73F15">
        <w:t xml:space="preserve"> </w:t>
      </w:r>
    </w:p>
    <w:p w14:paraId="4FAB34F6" w14:textId="2BACA753" w:rsidR="00EC1BB2" w:rsidRDefault="002811F1" w:rsidP="00B54E5A">
      <w:pPr>
        <w:spacing w:before="100" w:beforeAutospacing="1" w:after="100" w:afterAutospacing="1" w:line="480" w:lineRule="auto"/>
        <w:ind w:firstLine="720"/>
        <w:mirrorIndents/>
      </w:pPr>
      <w:r>
        <w:t>Consequently,</w:t>
      </w:r>
      <w:r w:rsidR="007951C7">
        <w:t xml:space="preserve"> as</w:t>
      </w:r>
      <w:r w:rsidR="00415A5B">
        <w:t xml:space="preserve"> consumers</w:t>
      </w:r>
      <w:r w:rsidR="00EB1A83">
        <w:t xml:space="preserve"> </w:t>
      </w:r>
      <w:r w:rsidR="007951C7">
        <w:t>become more frugivorous by increasingly ingesting fleshy fruits, they may also become more effective seed dispersers for these species by more frequently dispersing their seeds</w:t>
      </w:r>
      <w:r w:rsidR="001A043F">
        <w:t xml:space="preserve"> </w:t>
      </w:r>
      <w:r w:rsidR="001A043F">
        <w:fldChar w:fldCharType="begin"/>
      </w:r>
      <w:r w:rsidR="00B04D2B">
        <w:instrText xml:space="preserve"> ADDIN ZOTERO_ITEM CSL_CITATION {"citationID":"xG3cQWVb","properties":{"formattedCitation":"(Schupp 1993, Schupp et al. 2010, Marques Dracxler and Kissling 2022)","plainCitation":"(Schupp 1993, Schupp et al. 2010, Marques Dracxler and Kissling 2022)","noteIndex":0},"citationItems":[{"id":8963,"uris":["http://zotero.org/users/10895328/items/JSPZY9H7"],"itemData":{"id":8963,"type":"article-journal","abstract":"Disperser effectiveness is the contribution a disperser makes to the future reproduction of a plant. Although it is a key notion in studies of seed dispersal by animals, we know little about what determines the effectiveness of a disperser. The role of the present paper is to review the available information and construct a hierarchical framework for viewing the components of disperser effectiveness.\nEffectiveness has both quantitative and qualitative components. The quantity of seed dispersal depends on (A) the number of visits made to the plant by a disperser and (B) the number of seeds dispersed per visit. The quality of seed dispersal depends on (A) the quality of treatment given a seed in the mouth and in the gut and (B) the quality of seed deposition as determined by the probability that a deposited seed will survive and become an adult. In this paper I review the ways disperser behavior, morphology and physiology can influence these major components of disperser effectiveness, and when data permit present preliminary analyses of relationships among components.","container-title":"Vegetatio","ISSN":"0042-3106","journalAbbreviation":"Vegetatio","language":"English","page":"15-29","title":"Quantity, Quality and the Effectiveness of Seed Dispersal by Animals","volume":"108","author":[{"family":"Schupp","given":"E. W."}],"issued":{"date-parts":[["1993",6]]}}},{"id":8978,"uris":["http://zotero.org/users/10895328/items/RF5VKPND"],"itemData":{"id":8978,"type":"article-journal","abstract":"Growth in seed dispersal studies has been fast-paced since the seed disperser effectiveness (SDE) framework was developed 17 yr ago. Thus, the time is ripe to revisit the framework in light of accumulated new insight. Here, we first present an overview of the framework, how it has been applied, and what we know and do not know. We then introduce the SDE landscape as the two-dimensional representation of the possible combinations of the quantity and the quality of dispersal and with elevational contours representing isoclines of SDE. We discuss the structure of disperser assemblages on such landscapes. Following this we discuss recent advances and ideas in seed dispersal in the context of their impacts on SDE. Finally, we highlight a number of emerging issues that provide insight into SDE. Overall, the SDE framework successfully captures the complexities of seed dispersal. We advocate an expanded use of the term dispersal encompassing the multiple recruitment stages from fruit to adult. While this entails difficulties in estimating SDE, it is a necessary expansion if we are to understand the central relevance of seed dispersal in plant ecology and evolution.","container-title":"New Phytologist","DOI":"10.1111/j.1469-8137.2010.03402.x","ISSN":"0028-646x","issue":"2","journalAbbreviation":"New Phytol","language":"English","page":"333-353","title":"Seed dispersal effectiveness revisited: a conceptual review","volume":"188","author":[{"family":"Schupp","given":"E. W."},{"family":"Jordano","given":"P."},{"family":"Gómez","given":"J. M."}],"issued":{"date-parts":[["2010"]]}}},{"id":7976,"uris":["http://zotero.org/users/10895328/items/ZU85X8ZS"],"itemData":{"id":7976,"type":"article-journal","abstract":"ABSTRACT Frugivory, that is feeding on fruits, pulp or seeds by animals, is usually considered a mutualism when interactions involve seed dispersal, and an antagonism when it results in the predation and destruction of seeds. Nevertheless, most frugivory interactions involve both benefits and disadvantages for plants, and the net interaction outcomes thus tend to vary along a continuum from mutualism to antagonism. Quantifying outcome variation is challenging and the ecological contribution of frugivorous animals to plant demography thus remains little explored. This is particularly true for interactions in which animals do not ingest entire fruits, that is in seed-eating and pulp-eating. Here, we provide a comprehensive review of Neotropical palm?frugivore interactions, with a focus on how frugivore consumption behaviour (i.e. digestive processing, fruit-handling ability and caching behaviour) and feeding types (fruit-eating, pulp-eating and seed-eating) influence interaction outcomes at different demographic stages of palms. We compiled a total of 1043 species-level palm?frugivore interaction records that explicitly captured information on which parts of palm fruits are eaten by animals. These records showed consumption of fruits of 106 Neotropical palm species by 273 vertebrate species, especially birds (50%) and mammals (45%), but also fish (3%) and reptiles (2%). Fruit-eating involved all four taxonomic vertebrate classes whereas seed-eating and pulp-eating were only recorded among birds and mammals. Most fruit-eating interactions (77%) resulted in positive interaction outcomes for plants (e.g. gut-passed seeds are viable or seeds are successfully dispersed), regardless of the digestive processing type of vertebrate consumers (seed defecation versus regurgitation). The majority of pulp-eating interactions (91%) also resulted in positive interaction outcomes, for instance via pulp removal that promoted seed germination or via dispersal of intact palm seeds by external transport, especially if animals have a good fruit-handling ability (e.g. primates, and some parrots). By contrast, seed-eating interactions mostly resulted in dual outcomes (60%), where interactions had both negative effects on seed survival and positive outcomes through seed caching and external (non-digestive) seed dispersal. A detailed synthesis of available field studies with qualitative and quantitative information provided evidence that 12 families and 27 species of mammals and birds are predominantly on the mutualistic side of the continuum whereas five mammalian families, six mammal and one reptile species are on the antagonistic side. The synthesis also revealed that most species can act as partial mutualists, even if they are typically considered antagonists. Our review demonstrates how different consumption behaviours and feeding types of vertebrate fruit consumers can influence seed dispersal and regeneration of palms, and thus ultimately affect the structure and functioning of tropical ecosystems. Variation in feeding types of animal consumers will influence ecosystem dynamics via effects on plant population dynamics and differences in long-distance seed dispersal, and may subsequently affect ecosystem functions such as carbon storage. The quantification of intra- and inter-specific variation in outcomes of plant?frugivore interactions ? and their positive and negative effects on the seed-to-seedling transition of animal-dispersed plants ? should be a key research focus to understand better the mutualism?antagonism continuum and its importance for ecosystem dynamics.","container-title":"Biological Reviews","DOI":"https://doi.org/10.1111/brv.12809","ISSN":"1464-7931","issue":"2","journalAbbreviation":"Biol Rev","page":"527-553","title":"The mutualism–antagonism continuum in Neotropical palm–frugivore interactions: from interaction outcomes to ecosystem dynamics","volume":"97","author":[{"family":"Marques Dracxler","given":"Caroline"},{"family":"Kissling","given":"W. Daniel"}],"issued":{"date-parts":[["2022",4,1]]}}}],"schema":"https://github.com/citation-style-language/schema/raw/master/csl-citation.json"} </w:instrText>
      </w:r>
      <w:r w:rsidR="001A043F">
        <w:fldChar w:fldCharType="separate"/>
      </w:r>
      <w:r w:rsidR="00B04D2B" w:rsidRPr="00B04D2B">
        <w:t>(Schupp 1993, Schupp et al. 2010, Marques Dracxler and Kissling 2022)</w:t>
      </w:r>
      <w:r w:rsidR="001A043F">
        <w:fldChar w:fldCharType="end"/>
      </w:r>
      <w:r w:rsidR="007951C7">
        <w:t xml:space="preserve">, </w:t>
      </w:r>
      <w:r w:rsidR="00E27ACE">
        <w:t>so</w:t>
      </w:r>
      <w:r w:rsidR="007951C7">
        <w:t xml:space="preserve"> long as they do</w:t>
      </w:r>
      <w:r w:rsidR="00E27ACE">
        <w:t xml:space="preserve"> </w:t>
      </w:r>
      <w:r w:rsidR="007951C7">
        <w:t>n</w:t>
      </w:r>
      <w:r w:rsidR="00E27ACE">
        <w:t>o</w:t>
      </w:r>
      <w:r w:rsidR="007951C7">
        <w:t>t predate</w:t>
      </w:r>
      <w:r w:rsidR="00192352">
        <w:t xml:space="preserve"> on</w:t>
      </w:r>
      <w:r w:rsidR="007951C7">
        <w:t xml:space="preserve"> the seeds themselves. S</w:t>
      </w:r>
      <w:r w:rsidR="0025099A">
        <w:t>ince s</w:t>
      </w:r>
      <w:r w:rsidR="00415A5B">
        <w:t xml:space="preserve">eed dispersal is a fundamental </w:t>
      </w:r>
      <w:r w:rsidR="002D2EB3">
        <w:t>aspect</w:t>
      </w:r>
      <w:r w:rsidR="00415A5B">
        <w:t xml:space="preserve"> </w:t>
      </w:r>
      <w:r w:rsidR="00AC58D2">
        <w:t>in the life cycle of</w:t>
      </w:r>
      <w:r w:rsidR="00415A5B">
        <w:t xml:space="preserve"> plant</w:t>
      </w:r>
      <w:r w:rsidR="00AC58D2">
        <w:t>s</w:t>
      </w:r>
      <w:r w:rsidR="00415A5B">
        <w:t xml:space="preserve"> </w:t>
      </w:r>
      <w:r w:rsidR="00415A5B">
        <w:fldChar w:fldCharType="begin"/>
      </w:r>
      <w:r w:rsidR="00415A5B">
        <w:instrText xml:space="preserve"> ADDIN ZOTERO_ITEM CSL_CITATION {"citationID":"VJoPLur8","properties":{"formattedCitation":"(Traveset et al. 2014)","plainCitation":"(Traveset et al. 2014)","noteIndex":0},"citationItems":[{"id":9280,"uris":["http://zotero.org/users/10895328/items/NW3RLKGS"],"itemData":{"id":9280,"type":"article-journal","container-title":"Seeds: The Ecology of Regeneration in Plant Communities, 3rd Edition","language":"English","page":"62-93","title":"The Ecology of Seed Dispersal","author":[{"family":"Traveset","given":"A."},{"family":"Heleno","given":"R."},{"family":"Nogales","given":"M."}],"issued":{"date-parts":[["2014"]]}}}],"schema":"https://github.com/citation-style-language/schema/raw/master/csl-citation.json"} </w:instrText>
      </w:r>
      <w:r w:rsidR="00415A5B">
        <w:fldChar w:fldCharType="separate"/>
      </w:r>
      <w:r w:rsidR="00415A5B" w:rsidRPr="00CB3397">
        <w:t>(Traveset et al. 2014)</w:t>
      </w:r>
      <w:r w:rsidR="00415A5B">
        <w:fldChar w:fldCharType="end"/>
      </w:r>
      <w:r w:rsidR="0019718A">
        <w:t>, q</w:t>
      </w:r>
      <w:r w:rsidR="006E7706">
        <w:t xml:space="preserve">uantifying </w:t>
      </w:r>
      <w:r w:rsidR="00173430">
        <w:t xml:space="preserve">the </w:t>
      </w:r>
      <w:r w:rsidR="009C66BC">
        <w:t>prevalence of</w:t>
      </w:r>
      <w:r w:rsidR="001A1085">
        <w:t xml:space="preserve"> </w:t>
      </w:r>
      <w:r w:rsidR="005F33BD">
        <w:t xml:space="preserve">fleshy </w:t>
      </w:r>
      <w:r w:rsidR="00173430">
        <w:t>fruit</w:t>
      </w:r>
      <w:r w:rsidR="00BA7576">
        <w:t>s</w:t>
      </w:r>
      <w:r w:rsidR="00173430">
        <w:t xml:space="preserve"> in </w:t>
      </w:r>
      <w:r w:rsidR="0049539F">
        <w:t xml:space="preserve">the </w:t>
      </w:r>
      <w:r w:rsidR="00195CEA">
        <w:t>diet</w:t>
      </w:r>
      <w:r w:rsidR="00BA7576">
        <w:t>s</w:t>
      </w:r>
      <w:r w:rsidR="0049539F">
        <w:t xml:space="preserve"> of consumers</w:t>
      </w:r>
      <w:r w:rsidR="00173430">
        <w:t xml:space="preserve"> </w:t>
      </w:r>
      <w:r w:rsidR="00034F71">
        <w:t>is a first step to</w:t>
      </w:r>
      <w:r w:rsidR="007A78BD">
        <w:t>ward</w:t>
      </w:r>
      <w:r w:rsidR="00034F71">
        <w:t xml:space="preserve"> </w:t>
      </w:r>
      <w:r w:rsidR="00B05D2D">
        <w:t>understanding</w:t>
      </w:r>
      <w:r w:rsidR="00034F71">
        <w:t xml:space="preserve"> </w:t>
      </w:r>
      <w:r w:rsidR="00BA7576">
        <w:t xml:space="preserve">their </w:t>
      </w:r>
      <w:r w:rsidR="009C66BC">
        <w:t>functional role</w:t>
      </w:r>
      <w:r w:rsidR="0049539F">
        <w:t>s</w:t>
      </w:r>
      <w:r w:rsidR="009C66BC">
        <w:t xml:space="preserve"> as seed dispersers and whe</w:t>
      </w:r>
      <w:r w:rsidR="0049539F">
        <w:t>re</w:t>
      </w:r>
      <w:r w:rsidR="009C66BC">
        <w:t xml:space="preserve"> they fall along the mutualism-antagonism continuum </w:t>
      </w:r>
      <w:r w:rsidR="00683E88">
        <w:fldChar w:fldCharType="begin"/>
      </w:r>
      <w:r w:rsidR="00AD1D94">
        <w:instrText xml:space="preserve"> ADDIN ZOTERO_ITEM CSL_CITATION {"citationID":"qN8Vu1yZ","properties":{"formattedCitation":"(van Leeuwen et al. 2022)","plainCitation":"(van Leeuwen et al. 2022)","dontUpdate":true,"noteIndex":0},"citationItems":[{"id":9765,"uris":["http://zotero.org/users/10895328/items/4MBGR6TU"],"itemData":{"id":9765,"type":"article-journal","abstract":"Many angiosperms rely on vertebrates for seed dispersal via gut passage, an interaction that has been traditionally classified as a mutualism. The seed dispersal effectiveness (SDE) framework provides a mechanistic approach to evaluate evolutionary and ecological characteristics of animal-mediated seed dispersal, by synthesising the quantity and the quality of the dispersal that a plant species receives from each of its animal dispersers. However, the application of the SDE framework has been largely restricted to plant-frugivore interactions, whereas animal-mediated seed dispersal results from plant-disperser interactions that cover a continuum from pure mutualisms to antagonisms. This biases ecological and evolutionary knowledge on plant-disperser interactions. Here, we propose an extended SDE framework ('eSDE') that allows comparing plant-disperser interactions in the full mutualism-antagonism continuum ranging from pure mutualisms (frugivores) to conditional mutualisms (scatter-hoarding granivores and folivores) and antagonisms (pure granivores). We present the eSDE framework, and use examples to illustrate how it can be applied to compare effectiveness among plant-disperser interaction types. Our initial comparison based on available data suggests that vertebrate species differ more in the number of seeds they deposit away from the mother plant (quantity), than in the effects such dispersal processes have on seed fate (quality). Scatter-hoarding granivores provide the most effective dispersal due to high removal rates, closely followed by frugivores due to high deposition rates. Folivores and pure granivores provide low quantity dispersal, but of high and moderate quality, respectively. These early comparative insights illustrate the necessity and usefulness of more standardized data collection protocols, for which we provide recommendations. Applying the eSDE framework can reveal broad-scale patterns across and within plant-disperser interaction types, which will advance our evolutionary understanding of plant-animal interactions. This will provide new insights into the consequence of anthropogenic impacts on vertebrate-mediated seed dispersal in a world in which plant-animal interactions are increasingly threatened.","container-title":"Oikos","DOI":"https://doi.org/10.1111/oik.09254","ISSN":"0030-1299","journalAbbreviation":"Oikos","page":"e09254","title":"A seed dispersal effectiveness framework across the mutualism–antagonism continuum","author":[{"family":"Leeuwen","given":"Casper H. A.","non-dropping-particle":"van"},{"family":"Villar","given":"Nacho"},{"family":"Mendoza Sagrera","given":"Irene"},{"family":"Green","given":"Andy J."},{"family":"Bakker","given":"Elisabeth S."},{"family":"Soons","given":"Merel B."},{"family":"Galetti","given":"Mauro"},{"family":"Jansen","given":"Patrick A."},{"family":"Nolet","given":"Bart A."},{"family":"Santamaría","given":"Luis"}],"issued":{"date-parts":[["2022",6,28]]}}}],"schema":"https://github.com/citation-style-language/schema/raw/master/csl-citation.json"} </w:instrText>
      </w:r>
      <w:r w:rsidR="00683E88">
        <w:fldChar w:fldCharType="separate"/>
      </w:r>
      <w:r w:rsidR="00B04D2B" w:rsidRPr="00B04D2B">
        <w:t>(</w:t>
      </w:r>
      <w:r w:rsidR="00B04D2B">
        <w:t xml:space="preserve">see </w:t>
      </w:r>
      <w:r w:rsidR="00B04D2B" w:rsidRPr="00B04D2B">
        <w:t>van Leeuwen et al. 2022)</w:t>
      </w:r>
      <w:r w:rsidR="00683E88">
        <w:fldChar w:fldCharType="end"/>
      </w:r>
      <w:r w:rsidR="007E7765">
        <w:t>.</w:t>
      </w:r>
      <w:r w:rsidR="00472970">
        <w:t xml:space="preserve"> </w:t>
      </w:r>
    </w:p>
    <w:p w14:paraId="71927E56" w14:textId="3E8603AA" w:rsidR="00E5383F" w:rsidRDefault="00FB00F6" w:rsidP="00C60C25">
      <w:pPr>
        <w:spacing w:before="100" w:beforeAutospacing="1" w:after="100" w:afterAutospacing="1" w:line="480" w:lineRule="auto"/>
        <w:ind w:firstLine="720"/>
        <w:mirrorIndents/>
      </w:pPr>
      <w:r>
        <w:lastRenderedPageBreak/>
        <w:t>Although</w:t>
      </w:r>
      <w:r w:rsidR="0000173C">
        <w:t xml:space="preserve"> p</w:t>
      </w:r>
      <w:r w:rsidR="009E77A4" w:rsidRPr="009E77A4">
        <w:t xml:space="preserve">lant dispersal syndromes alone have shown to be unreliable in predicting the ingestion and dispersal (i.e., endozoochorous dispersal) of seeds </w:t>
      </w:r>
      <w:r w:rsidR="00B324EB" w:rsidRPr="00860550">
        <w:fldChar w:fldCharType="begin"/>
      </w:r>
      <w:r w:rsidR="001F7B45">
        <w:instrText xml:space="preserve"> ADDIN ZOTERO_ITEM CSL_CITATION {"citationID":"zchJ1UOc","properties":{"formattedCitation":"(Green et al. 2021)","plainCitation":"(Green et al. 2021)","noteIndex":0},"citationItems":[{"id":7044,"uris":["http://zotero.org/users/10895328/items/UGGCXV7M"],"itemData":{"id":7044,"type":"article-journal","container-title":"Oikos","ISSN":"0030-1299","journalAbbreviation":"Oikos","title":"Plant dispersal syndromes are unreliable, especially for predicting zoochory and long‐distance dispersal","author":[{"family":"Green","given":"Andy J."},{"family":"Baltzinger","given":"Christophe"},{"family":"Lovas‐Kiss","given":"Ádám"}],"issued":{"date-parts":[["2021"]]}}}],"schema":"https://github.com/citation-style-language/schema/raw/master/csl-citation.json"} </w:instrText>
      </w:r>
      <w:r w:rsidR="00B324EB" w:rsidRPr="00860550">
        <w:fldChar w:fldCharType="separate"/>
      </w:r>
      <w:r w:rsidR="001F7B45" w:rsidRPr="001F7B45">
        <w:t>(Green et al. 2021)</w:t>
      </w:r>
      <w:r w:rsidR="00B324EB" w:rsidRPr="00860550">
        <w:fldChar w:fldCharType="end"/>
      </w:r>
      <w:r w:rsidR="00D82762">
        <w:t>,</w:t>
      </w:r>
      <w:r w:rsidR="00900508">
        <w:t xml:space="preserve"> </w:t>
      </w:r>
      <w:r w:rsidR="00B05921">
        <w:t>studies that</w:t>
      </w:r>
      <w:r w:rsidR="004024A0">
        <w:t xml:space="preserve"> </w:t>
      </w:r>
      <w:r w:rsidR="00F35DC3">
        <w:t>determine</w:t>
      </w:r>
      <w:r w:rsidR="004024A0" w:rsidRPr="009E77A4">
        <w:t xml:space="preserve"> how the functional role of seed dispersers </w:t>
      </w:r>
      <w:r w:rsidR="002545EE">
        <w:t>may change</w:t>
      </w:r>
      <w:r w:rsidR="004024A0" w:rsidRPr="009E77A4">
        <w:t xml:space="preserve"> with temporal dietary shifts</w:t>
      </w:r>
      <w:r w:rsidR="00700005">
        <w:t xml:space="preserve"> could</w:t>
      </w:r>
      <w:r w:rsidR="00821614">
        <w:t xml:space="preserve"> reveal </w:t>
      </w:r>
      <w:r w:rsidR="00C60C25">
        <w:t xml:space="preserve">the interplay between </w:t>
      </w:r>
      <w:r w:rsidR="004345FF">
        <w:t>foraging strategies</w:t>
      </w:r>
      <w:r w:rsidR="00C60C25">
        <w:t xml:space="preserve"> and the ecological role of consumers as seed dispersers</w:t>
      </w:r>
      <w:r w:rsidR="004024A0" w:rsidRPr="009E77A4">
        <w:t>.</w:t>
      </w:r>
      <w:r w:rsidR="00C60C25">
        <w:t xml:space="preserve"> </w:t>
      </w:r>
      <w:r w:rsidR="00F952C7">
        <w:t>In systems where the phenology of fleshy fruit-bearing plants is linked to</w:t>
      </w:r>
      <w:r w:rsidR="00794706">
        <w:t xml:space="preserve"> </w:t>
      </w:r>
      <w:r w:rsidR="00E5383F">
        <w:t>seasonal phenomena like</w:t>
      </w:r>
      <w:r w:rsidR="00F952C7">
        <w:t xml:space="preserve"> precipitation </w:t>
      </w:r>
      <w:r w:rsidR="00F952C7">
        <w:fldChar w:fldCharType="begin"/>
      </w:r>
      <w:r w:rsidR="00F952C7">
        <w:instrText xml:space="preserve"> ADDIN ZOTERO_ITEM CSL_CITATION {"citationID":"6zO4YBe8","properties":{"formattedCitation":"(Bancroft et al. 2000, Redwine et al. 2007)","plainCitation":"(Bancroft et al. 2000, Redwine et al. 2007)","noteIndex":0},"citationItems":[{"id":19241,"uris":["http://zotero.org/users/10895328/items/7BV86A4Q"],"itemData":{"id":19241,"type":"article-journal","abstract":"White-crowned Pigeons (Columba leucocephala) varied their timing of breeding and nesting intensity in response to variation in production of the four most important fruit species in their breeding-season diet in the upper Florida Keys. From 1988 through 1990, we monitored fruit production year-round in five habitats in which pigeons foraged and monitored all pigeon nests along two transects on Middle Butternut Key. Annually, pigeon breeding was positively correlated with summer rains and with the peak in overall fruit production. However, within the breeding season, only the availability of Metopium toxiferum was positively correlated with rainfall and the number of new clutches initiated. Both the timing and magnitude of breeding varied annually. In 1988, when Metopium was more available, more pigeons nested, the nesting season started earlier and lasted longer, and a large peak in nesting occurred when Metopium fruit ripened. During 1989 and 1990, when the relative availability of Metopium was lower, fewer pigeons nested, the nesting season was shorter, and the seasonal peak in nesting associated with Metopium fruit was reduced or absent. Nesting patterns did not appear to vary with changes in the relative availability of other fruits. White-crowned Pigeons appear to prefer Metopium fruits to other species. Because pigeons do not supplement nestling diets with arthropods, but augment their diets with protein-rich crop milk, they may depend on lipid-rich fruits such as Metopium to provide the energy for breeding and crop-milk production. Metopium fruit production may be influenced by rainfall and climatic conditions, both of which may vary spatially within the range of White-crowned Pigeons in Florida. Evidence that pigeons shift foraging sites when Metopium availability varies emphasizes the need to preserve large tracts of seasonal deciduous forest in the Keys and to protect Metopium trees in suburban areas where they are removed because they cause contact dermatitis in humans.","container-title":"The Auk","DOI":"10.1093/auk/117.2.416","ISSN":"1938-4254","issue":"2","journalAbbreviation":"The Auk","page":"416-426","title":"Rainfall, Fruiting Phenology, and the Nesting Season of White-Crowned Pigeons in the Upper Florida Keys","volume":"117","author":[{"family":"Bancroft","given":"G. Thomas"},{"family":"Bowman","given":"Reed"},{"family":"Sawicki","given":"Richard J."}],"issued":{"date-parts":[["2000",4,1]]}}},{"id":19243,"uris":["http://zotero.org/users/10895328/items/D9E2H4TQ"],"itemData":{"id":19243,"type":"article-journal","abstract":"We censused plants bearing ripe fruit along eight permanently marked transects to describe patterns of ripe fruit availability in a spatially interspersed patchwork of seasonally dry forests in the northern Florida Keys. Plants were sampled every four to six weeks between May 1998 and April 1999. We noted every tree, shrub, or vine with ripe ﬂeshy fruits present and rated each stem for the proportion of fruit produced. This sampling scheme allowed us to describe periods of ripe fruit availability in the forest community, as well as for the fourteen most frequently encountered species. Ripe fruit availability peaked during the wet season (July-September), deciduous trees and evergreen shrubs produced most of the fruit in most months, and most of the species producing fruit were evergreen trees in all months.","container-title":"Natural Areas Journal","DOI":"10.3375/0885-8608(2007)27[8:RFAITF]2.0.CO;2","ISSN":"0885-8608","issue":"1","journalAbbreviation":"Natural Areas Journal","language":"en","page":"8-15","source":"DOI.org (Crossref)","title":"Ripe Fruit Availability in the Fragmented Hardwood Forests of the Northern Florida Keys","volume":"27","author":[{"family":"Redwine","given":"Jed R."},{"family":"Sawicki","given":"Richard"},{"family":"Lorenz","given":"Jerome J."},{"family":"Hoffman","given":"Wayne"}],"issued":{"date-parts":[["2007",1]]}}}],"schema":"https://github.com/citation-style-language/schema/raw/master/csl-citation.json"} </w:instrText>
      </w:r>
      <w:r w:rsidR="00F952C7">
        <w:fldChar w:fldCharType="separate"/>
      </w:r>
      <w:r w:rsidR="00F952C7" w:rsidRPr="00F952C7">
        <w:t>(Bancroft et al. 2000, Redwine et al. 2007)</w:t>
      </w:r>
      <w:r w:rsidR="00F952C7">
        <w:fldChar w:fldCharType="end"/>
      </w:r>
      <w:r w:rsidR="00AD1D94">
        <w:t xml:space="preserve">, </w:t>
      </w:r>
      <w:r w:rsidR="00F952C7">
        <w:t>one</w:t>
      </w:r>
      <w:r w:rsidR="00C60C25">
        <w:t xml:space="preserve"> approach </w:t>
      </w:r>
      <w:r w:rsidR="0018207E" w:rsidRPr="0018207E">
        <w:t>could be to quantify</w:t>
      </w:r>
      <w:r w:rsidR="00322018">
        <w:t xml:space="preserve"> temporal </w:t>
      </w:r>
      <w:r w:rsidR="00E5383F">
        <w:t>changes in these</w:t>
      </w:r>
      <w:r w:rsidR="00A46D03">
        <w:t xml:space="preserve"> factors along with</w:t>
      </w:r>
      <w:r w:rsidR="0045313F">
        <w:t xml:space="preserve"> </w:t>
      </w:r>
      <w:r w:rsidR="008A3DAB" w:rsidRPr="008A3DAB">
        <w:t>fleshy fruit consumption</w:t>
      </w:r>
      <w:r w:rsidR="00F952C7">
        <w:t xml:space="preserve"> </w:t>
      </w:r>
      <w:r w:rsidR="00E5383F">
        <w:t>by</w:t>
      </w:r>
      <w:r w:rsidR="00F952C7">
        <w:t xml:space="preserve"> the seed disperser of interest</w:t>
      </w:r>
      <w:r w:rsidR="00D80C53">
        <w:t>.</w:t>
      </w:r>
      <w:r w:rsidR="008A3DAB" w:rsidRPr="008A3DAB">
        <w:t xml:space="preserve"> </w:t>
      </w:r>
    </w:p>
    <w:p w14:paraId="0E6CE58E" w14:textId="29BA77CB" w:rsidR="00140839" w:rsidRDefault="00D80C53" w:rsidP="00C60C25">
      <w:pPr>
        <w:spacing w:before="100" w:beforeAutospacing="1" w:after="100" w:afterAutospacing="1" w:line="480" w:lineRule="auto"/>
        <w:ind w:firstLine="720"/>
        <w:mirrorIndents/>
      </w:pPr>
      <w:r>
        <w:t>S</w:t>
      </w:r>
      <w:r w:rsidR="00F952C7">
        <w:t>ubsequently</w:t>
      </w:r>
      <w:r>
        <w:t>, one could</w:t>
      </w:r>
      <w:r w:rsidR="009E77A4" w:rsidRPr="009E77A4">
        <w:t xml:space="preserve"> test if </w:t>
      </w:r>
      <w:r w:rsidR="008A3DAB">
        <w:t>frugivory</w:t>
      </w:r>
      <w:r w:rsidR="003A176F">
        <w:t xml:space="preserve"> in the seed disperser</w:t>
      </w:r>
      <w:r w:rsidR="008A3DAB">
        <w:t xml:space="preserve"> </w:t>
      </w:r>
      <w:r w:rsidR="009E77A4" w:rsidRPr="009E77A4">
        <w:t>correspond</w:t>
      </w:r>
      <w:r w:rsidR="003A176F">
        <w:t xml:space="preserve">s with seasonal </w:t>
      </w:r>
      <w:r w:rsidR="00A46D03">
        <w:t>phenomena</w:t>
      </w:r>
      <w:r w:rsidR="003A176F">
        <w:t xml:space="preserve"> and </w:t>
      </w:r>
      <w:r w:rsidR="00F619FA">
        <w:t>consequently</w:t>
      </w:r>
      <w:r w:rsidR="003A176F">
        <w:t xml:space="preserve"> if the degree of frugivory influences</w:t>
      </w:r>
      <w:r w:rsidR="008A3DAB">
        <w:t xml:space="preserve"> the number of</w:t>
      </w:r>
      <w:r w:rsidR="009E77A4" w:rsidRPr="009E77A4">
        <w:t xml:space="preserve"> </w:t>
      </w:r>
      <w:r w:rsidR="00D36BF1" w:rsidRPr="00D36BF1">
        <w:t>seeds dispersed from plants of different syndromes</w:t>
      </w:r>
      <w:r w:rsidR="008A3DAB">
        <w:t xml:space="preserve"> </w:t>
      </w:r>
      <w:r w:rsidR="008A3DAB">
        <w:fldChar w:fldCharType="begin"/>
      </w:r>
      <w:r w:rsidR="008A3DAB">
        <w:instrText xml:space="preserve"> ADDIN ZOTERO_ITEM CSL_CITATION {"citationID":"1rVqUIex","properties":{"formattedCitation":"(Howe and Smallwood 1982, Van der Pijl 1982)","plainCitation":"(Howe and Smallwood 1982, Van der Pijl 1982)","noteIndex":0},"citationItems":[{"id":7370,"uris":["http://zotero.org/users/10895328/items/Q79SV7VH"],"itemData":{"id":7370,"type":"article-journal","container-title":"Annual Review of Ecology and Systematics","DOI":"DOI 10.1146/annurev.es.13.110182.001221","ISSN":"0066-4162","language":"English","page":"201-228","title":"Ecology of Seed Dispersal","volume":"13","author":[{"family":"Howe","given":"H. F."},{"family":"Smallwood","given":"J."}],"issued":{"date-parts":[["1982"]]}}},{"id":9380,"uris":["http://zotero.org/users/10895328/items/VEI3KQNR"],"itemData":{"id":9380,"type":"book","publisher":"Springer","title":"Principles of dispersal in higher plants","volume":"214","author":[{"family":"Van der Pijl","given":"Leendert"}],"issued":{"date-parts":[["1982"]]}}}],"schema":"https://github.com/citation-style-language/schema/raw/master/csl-citation.json"} </w:instrText>
      </w:r>
      <w:r w:rsidR="008A3DAB">
        <w:fldChar w:fldCharType="separate"/>
      </w:r>
      <w:r w:rsidR="008A3DAB" w:rsidRPr="008A3DAB">
        <w:t>(Howe and Smallwood 1982, Van der Pijl 1982)</w:t>
      </w:r>
      <w:r w:rsidR="008A3DAB">
        <w:fldChar w:fldCharType="end"/>
      </w:r>
      <w:r w:rsidR="009E77A4" w:rsidRPr="009E77A4">
        <w:t>.</w:t>
      </w:r>
      <w:r w:rsidR="00AD3E48">
        <w:t xml:space="preserve"> Although consumers may </w:t>
      </w:r>
      <w:r w:rsidR="00F619FA">
        <w:t>become more frugivorous seasonally</w:t>
      </w:r>
      <w:r w:rsidR="00AD3E48">
        <w:t>, it does not necess</w:t>
      </w:r>
      <w:r w:rsidR="00A46D03">
        <w:t>arily mean</w:t>
      </w:r>
      <w:r w:rsidR="00AD3E48">
        <w:t xml:space="preserve"> that the number of seeds</w:t>
      </w:r>
      <w:r w:rsidR="00F619FA">
        <w:t xml:space="preserve"> </w:t>
      </w:r>
      <w:r w:rsidR="00AD3E48">
        <w:t>of other syndromes</w:t>
      </w:r>
      <w:r w:rsidR="00F619FA">
        <w:t xml:space="preserve"> dispersed</w:t>
      </w:r>
      <w:r w:rsidR="00AD3E48">
        <w:t xml:space="preserve"> should </w:t>
      </w:r>
      <w:r w:rsidR="00F619FA">
        <w:t xml:space="preserve">change. That is, unless there is </w:t>
      </w:r>
      <w:r w:rsidR="008C4D2E">
        <w:t xml:space="preserve">indeed </w:t>
      </w:r>
      <w:r w:rsidR="00F619FA">
        <w:t>a competitive advantage to plants exhibiting the endozoochory (i.e., fleshy fruit) syndrome.</w:t>
      </w:r>
    </w:p>
    <w:p w14:paraId="27E25B7A" w14:textId="331423D1" w:rsidR="00F73240" w:rsidRDefault="007371C0" w:rsidP="008611A2">
      <w:pPr>
        <w:spacing w:before="100" w:beforeAutospacing="1" w:after="100" w:afterAutospacing="1" w:line="480" w:lineRule="auto"/>
        <w:ind w:firstLine="720"/>
        <w:mirrorIndents/>
      </w:pPr>
      <w:r>
        <w:t>In this study, we investigate patterns of frugivory in a population of</w:t>
      </w:r>
      <w:r w:rsidR="00A413C1">
        <w:t xml:space="preserve"> herbivorous</w:t>
      </w:r>
      <w:r>
        <w:t xml:space="preserve"> </w:t>
      </w:r>
      <w:r w:rsidR="00191FE4">
        <w:t xml:space="preserve">hindgut fermenters, the </w:t>
      </w:r>
      <w:r>
        <w:t>gopher tortoise (</w:t>
      </w:r>
      <w:r w:rsidRPr="007371C0">
        <w:rPr>
          <w:i/>
          <w:iCs/>
        </w:rPr>
        <w:t>Gopherus pol</w:t>
      </w:r>
      <w:r w:rsidR="000D0AFB">
        <w:rPr>
          <w:i/>
          <w:iCs/>
        </w:rPr>
        <w:t>y</w:t>
      </w:r>
      <w:r w:rsidRPr="007371C0">
        <w:rPr>
          <w:i/>
          <w:iCs/>
        </w:rPr>
        <w:t>phemus</w:t>
      </w:r>
      <w:r>
        <w:t>)</w:t>
      </w:r>
      <w:r w:rsidR="00191FE4">
        <w:t>,</w:t>
      </w:r>
      <w:r>
        <w:t xml:space="preserve"> </w:t>
      </w:r>
      <w:r w:rsidR="003C6387">
        <w:t>and aim to address</w:t>
      </w:r>
      <w:r w:rsidR="00F73FD0">
        <w:t xml:space="preserve"> whether its degree of frugivory is linked to seasonal patterns of precipitation</w:t>
      </w:r>
      <w:r w:rsidR="00BC4E9A">
        <w:t xml:space="preserve">, and </w:t>
      </w:r>
      <w:r w:rsidR="003C6387">
        <w:t xml:space="preserve">whether </w:t>
      </w:r>
      <w:r w:rsidR="00321539">
        <w:t>its</w:t>
      </w:r>
      <w:r w:rsidR="003C6387">
        <w:t xml:space="preserve"> functional role as a seed disperser changes as it becomes more frugivorous. Specifically, we </w:t>
      </w:r>
      <w:r w:rsidR="00D70F5F">
        <w:t>aim</w:t>
      </w:r>
      <w:r w:rsidR="006B455B">
        <w:t xml:space="preserve"> to </w:t>
      </w:r>
      <w:r w:rsidR="00BC4E9A">
        <w:t>address</w:t>
      </w:r>
      <w:r w:rsidR="003C6387">
        <w:t xml:space="preserve"> the following questions:</w:t>
      </w:r>
      <w:r w:rsidR="00321539">
        <w:t xml:space="preserve"> </w:t>
      </w:r>
    </w:p>
    <w:p w14:paraId="0C74359B" w14:textId="4441B017" w:rsidR="00F73240" w:rsidRDefault="00F73FD0" w:rsidP="00F73240">
      <w:pPr>
        <w:pStyle w:val="ListParagraph"/>
        <w:numPr>
          <w:ilvl w:val="0"/>
          <w:numId w:val="18"/>
        </w:numPr>
        <w:spacing w:before="100" w:beforeAutospacing="1" w:after="100" w:afterAutospacing="1" w:line="480" w:lineRule="auto"/>
        <w:mirrorIndents/>
      </w:pPr>
      <w:r>
        <w:t>Is</w:t>
      </w:r>
      <w:r w:rsidR="00321539">
        <w:t xml:space="preserve"> the</w:t>
      </w:r>
      <w:r w:rsidR="0091363D">
        <w:t>re</w:t>
      </w:r>
      <w:r>
        <w:t xml:space="preserve"> a</w:t>
      </w:r>
      <w:r w:rsidR="00321539">
        <w:t xml:space="preserve"> temporal pattern </w:t>
      </w:r>
      <w:r w:rsidR="00191FE4">
        <w:t>of</w:t>
      </w:r>
      <w:r w:rsidR="00321539">
        <w:t xml:space="preserve"> frugivory</w:t>
      </w:r>
      <w:r w:rsidR="006B455B">
        <w:t xml:space="preserve"> in this species</w:t>
      </w:r>
      <w:r>
        <w:t>, and if so, is it related to seasonal precipitation</w:t>
      </w:r>
      <w:r w:rsidR="00321539">
        <w:t>?</w:t>
      </w:r>
    </w:p>
    <w:p w14:paraId="6EC12CDC" w14:textId="6A0EA702" w:rsidR="00F73240" w:rsidRDefault="00F73FD0" w:rsidP="00F73240">
      <w:pPr>
        <w:pStyle w:val="ListParagraph"/>
        <w:numPr>
          <w:ilvl w:val="0"/>
          <w:numId w:val="18"/>
        </w:numPr>
        <w:spacing w:before="100" w:beforeAutospacing="1" w:after="100" w:afterAutospacing="1" w:line="480" w:lineRule="auto"/>
        <w:mirrorIndents/>
      </w:pPr>
      <w:r>
        <w:t xml:space="preserve">If shifts toward frugivory are associated with </w:t>
      </w:r>
      <w:r w:rsidR="00E5383F">
        <w:t>precipitation</w:t>
      </w:r>
      <w:r>
        <w:t xml:space="preserve">, what is the time lag between </w:t>
      </w:r>
      <w:r w:rsidR="0026548D">
        <w:t xml:space="preserve">precipitation </w:t>
      </w:r>
      <w:r>
        <w:t>and frugivory</w:t>
      </w:r>
      <w:r w:rsidR="00ED05F5">
        <w:t>?</w:t>
      </w:r>
    </w:p>
    <w:p w14:paraId="6620E87E" w14:textId="0F8E0DA3" w:rsidR="0026548D" w:rsidRDefault="00113EB1" w:rsidP="00F73240">
      <w:pPr>
        <w:pStyle w:val="ListParagraph"/>
        <w:numPr>
          <w:ilvl w:val="0"/>
          <w:numId w:val="18"/>
        </w:numPr>
        <w:spacing w:before="100" w:beforeAutospacing="1" w:after="100" w:afterAutospacing="1" w:line="480" w:lineRule="auto"/>
        <w:mirrorIndents/>
      </w:pPr>
      <w:r>
        <w:lastRenderedPageBreak/>
        <w:t>As frugivory increases, d</w:t>
      </w:r>
      <w:r w:rsidR="00F73FD0">
        <w:t>o</w:t>
      </w:r>
      <w:r w:rsidR="00943E96">
        <w:t>es</w:t>
      </w:r>
      <w:r w:rsidR="00F73FD0">
        <w:t xml:space="preserve"> the</w:t>
      </w:r>
      <w:r w:rsidR="0026548D">
        <w:t xml:space="preserve"> suite of plant syndromes dispersed change</w:t>
      </w:r>
      <w:r w:rsidR="00624E33">
        <w:t>?</w:t>
      </w:r>
      <w:r w:rsidR="00482CA6">
        <w:t xml:space="preserve"> </w:t>
      </w:r>
    </w:p>
    <w:p w14:paraId="43DAC372" w14:textId="4B325CDA" w:rsidR="00E43F2D" w:rsidRDefault="0026548D" w:rsidP="00F73240">
      <w:pPr>
        <w:pStyle w:val="ListParagraph"/>
        <w:numPr>
          <w:ilvl w:val="0"/>
          <w:numId w:val="18"/>
        </w:numPr>
        <w:spacing w:before="100" w:beforeAutospacing="1" w:after="100" w:afterAutospacing="1" w:line="480" w:lineRule="auto"/>
        <w:mirrorIndents/>
      </w:pPr>
      <w:r>
        <w:t>What dispersal syndromes are most affected by functional shifts in seed dispersal with increasing frugivory?</w:t>
      </w:r>
    </w:p>
    <w:p w14:paraId="47067460" w14:textId="5FB59F6E" w:rsidR="006E7F1B" w:rsidRDefault="004E608C" w:rsidP="00571B21">
      <w:pPr>
        <w:spacing w:before="100" w:beforeAutospacing="1" w:after="100" w:afterAutospacing="1" w:line="480" w:lineRule="auto"/>
        <w:ind w:firstLine="720"/>
        <w:mirrorIndents/>
      </w:pPr>
      <w:r>
        <w:t>Considering the phenology of many fleshy fruit</w:t>
      </w:r>
      <w:r w:rsidR="0026548D">
        <w:t>-producing plants</w:t>
      </w:r>
      <w:r>
        <w:t xml:space="preserve"> in </w:t>
      </w:r>
      <w:r w:rsidR="00C40E88">
        <w:t>s</w:t>
      </w:r>
      <w:r>
        <w:t>outh Florida</w:t>
      </w:r>
      <w:r w:rsidR="00317AD3">
        <w:t xml:space="preserve"> coinciding with seasonal rains</w:t>
      </w:r>
      <w:r w:rsidR="00E43F2D">
        <w:t xml:space="preserve"> </w:t>
      </w:r>
      <w:r w:rsidR="00E43F2D">
        <w:fldChar w:fldCharType="begin"/>
      </w:r>
      <w:r w:rsidR="005F5C3F">
        <w:instrText xml:space="preserve"> ADDIN ZOTERO_ITEM CSL_CITATION {"citationID":"2Cha43ef","properties":{"formattedCitation":"(Redwine et al. 2007, Lodge 2017)","plainCitation":"(Redwine et al. 2007, Lodge 2017)","noteIndex":0},"citationItems":[{"id":19243,"uris":["http://zotero.org/users/10895328/items/D9E2H4TQ"],"itemData":{"id":19243,"type":"article-journal","abstract":"We censused plants bearing ripe fruit along eight permanently marked transects to describe patterns of ripe fruit availability in a spatially interspersed patchwork of seasonally dry forests in the northern Florida Keys. Plants were sampled every four to six weeks between May 1998 and April 1999. We noted every tree, shrub, or vine with ripe ﬂeshy fruits present and rated each stem for the proportion of fruit produced. This sampling scheme allowed us to describe periods of ripe fruit availability in the forest community, as well as for the fourteen most frequently encountered species. Ripe fruit availability peaked during the wet season (July-September), deciduous trees and evergreen shrubs produced most of the fruit in most months, and most of the species producing fruit were evergreen trees in all months.","container-title":"Natural Areas Journal","DOI":"10.3375/0885-8608(2007)27[8:RFAITF]2.0.CO;2","ISSN":"0885-8608","issue":"1","journalAbbreviation":"Natural Areas Journal","language":"en","page":"8-15","source":"DOI.org (Crossref)","title":"Ripe Fruit Availability in the Fragmented Hardwood Forests of the Northern Florida Keys","volume":"27","author":[{"family":"Redwine","given":"Jed R."},{"family":"Sawicki","given":"Richard"},{"family":"Lorenz","given":"Jerome J."},{"family":"Hoffman","given":"Wayne"}],"issued":{"date-parts":[["2007",1]]}}},{"id":7889,"uris":["http://zotero.org/users/10895328/items/HFFU8GX5"],"itemData":{"id":7889,"type":"article-journal","container-title":"Everglades Handbook: Understanding the Ecosystem, 4th Edition","language":"English","title":"The Everglades Handbook: Understanding the Ecosystem (Fourth Edition)","author":[{"family":"Lodge","given":"T. E."}],"issued":{"date-parts":[["2017"]]}}}],"schema":"https://github.com/citation-style-language/schema/raw/master/csl-citation.json"} </w:instrText>
      </w:r>
      <w:r w:rsidR="00E43F2D">
        <w:fldChar w:fldCharType="separate"/>
      </w:r>
      <w:r w:rsidR="005F5C3F" w:rsidRPr="005F5C3F">
        <w:t>(Redwine et al. 2007, Lodge 2017)</w:t>
      </w:r>
      <w:r w:rsidR="00E43F2D">
        <w:fldChar w:fldCharType="end"/>
      </w:r>
      <w:r w:rsidR="00D92EF8">
        <w:t>,</w:t>
      </w:r>
      <w:r>
        <w:t xml:space="preserve"> a</w:t>
      </w:r>
      <w:r w:rsidR="00D92EF8">
        <w:t xml:space="preserve">s well as </w:t>
      </w:r>
      <w:r>
        <w:t>the</w:t>
      </w:r>
      <w:r w:rsidR="00317AD3">
        <w:t xml:space="preserve"> two</w:t>
      </w:r>
      <w:r w:rsidR="008A1A9A">
        <w:t>-</w:t>
      </w:r>
      <w:r w:rsidR="00317AD3">
        <w:t>to</w:t>
      </w:r>
      <w:r w:rsidR="008A1A9A">
        <w:t>-</w:t>
      </w:r>
      <w:r w:rsidR="00317AD3">
        <w:t>three week</w:t>
      </w:r>
      <w:r>
        <w:t xml:space="preserve"> gut retention time of the gopher tortoise</w:t>
      </w:r>
      <w:r w:rsidR="00317AD3">
        <w:t xml:space="preserve"> </w:t>
      </w:r>
      <w:r w:rsidR="00317AD3">
        <w:fldChar w:fldCharType="begin"/>
      </w:r>
      <w:r w:rsidR="00317AD3">
        <w:instrText xml:space="preserve"> ADDIN ZOTERO_ITEM CSL_CITATION {"citationID":"O3CCyNOp","properties":{"formattedCitation":"(Bjorndal 1987)","plainCitation":"(Bjorndal 1987)","noteIndex":0},"citationItems":[{"id":6001,"uris":["http://zotero.org/users/10895328/items/K6R32VRV"],"itemData":{"id":6001,"type":"article-journal","container-title":"Copeia","ISSN":"0045-8511","issue":"3","page":"714-720","title":"Digestive Efficiency in a Temperate Herbivorous Reptile, Gopherus polyphemus","volume":"1987","author":[{"family":"Bjorndal","given":"K. A."}],"issued":{"date-parts":[["1987"]]}}}],"schema":"https://github.com/citation-style-language/schema/raw/master/csl-citation.json"} </w:instrText>
      </w:r>
      <w:r w:rsidR="00317AD3">
        <w:fldChar w:fldCharType="separate"/>
      </w:r>
      <w:r w:rsidR="00317AD3" w:rsidRPr="00317AD3">
        <w:t>(Bjorndal 1987)</w:t>
      </w:r>
      <w:r w:rsidR="00317AD3">
        <w:fldChar w:fldCharType="end"/>
      </w:r>
      <w:r>
        <w:t xml:space="preserve">, we </w:t>
      </w:r>
      <w:r w:rsidR="00B24AB7" w:rsidRPr="00B24AB7">
        <w:t xml:space="preserve">hypothesize </w:t>
      </w:r>
      <w:r w:rsidR="00B24AB7">
        <w:t>that</w:t>
      </w:r>
      <w:r w:rsidR="00B24AB7" w:rsidRPr="00B24AB7">
        <w:t xml:space="preserve"> there </w:t>
      </w:r>
      <w:r w:rsidR="00B24AB7">
        <w:t>will be</w:t>
      </w:r>
      <w:r w:rsidR="00B24AB7" w:rsidRPr="00B24AB7">
        <w:t xml:space="preserve"> a time lag between </w:t>
      </w:r>
      <w:r w:rsidR="00B24AB7">
        <w:t>seasonal</w:t>
      </w:r>
      <w:r w:rsidR="00B24AB7" w:rsidRPr="00B24AB7">
        <w:t xml:space="preserve"> precipitation in south Florida and frugivory in the gopher tortoise</w:t>
      </w:r>
      <w:r w:rsidR="0026548D">
        <w:t xml:space="preserve"> on the order of months. This time lag would allow for the plant community to produce fleshy fruits and for the gopher tortoises to find, ingest, and egest them</w:t>
      </w:r>
      <w:r>
        <w:t>.</w:t>
      </w:r>
      <w:r w:rsidR="00B24AB7">
        <w:t xml:space="preserve"> We expect </w:t>
      </w:r>
      <w:r w:rsidR="00571B21">
        <w:t xml:space="preserve">that </w:t>
      </w:r>
      <w:r w:rsidR="00506D4B">
        <w:t xml:space="preserve">as </w:t>
      </w:r>
      <w:r w:rsidR="00571B21">
        <w:t>the gopher</w:t>
      </w:r>
      <w:r w:rsidR="009D2E15">
        <w:t xml:space="preserve"> tortoise</w:t>
      </w:r>
      <w:r w:rsidR="00506D4B">
        <w:t xml:space="preserve"> becomes more frugivorous, it</w:t>
      </w:r>
      <w:r w:rsidR="00571B21">
        <w:t xml:space="preserve"> </w:t>
      </w:r>
      <w:r w:rsidR="009D2E15">
        <w:t xml:space="preserve">will </w:t>
      </w:r>
      <w:r w:rsidR="009D1F03">
        <w:t>increasingly</w:t>
      </w:r>
      <w:r w:rsidR="00E6525A">
        <w:t xml:space="preserve"> </w:t>
      </w:r>
      <w:r w:rsidR="009D2E15">
        <w:t xml:space="preserve">disperse more </w:t>
      </w:r>
      <w:r w:rsidR="00E6525A">
        <w:t>seeds of plants with the endozoochory</w:t>
      </w:r>
      <w:r w:rsidR="009D1F03">
        <w:t xml:space="preserve"> dispersal</w:t>
      </w:r>
      <w:r w:rsidR="00E6525A">
        <w:t xml:space="preserve"> syndrome</w:t>
      </w:r>
      <w:r w:rsidR="009D1F03">
        <w:t xml:space="preserve"> but will continue to disperse similar numbers of seeds of other plant syndromes</w:t>
      </w:r>
      <w:r w:rsidR="009D2E15">
        <w:t xml:space="preserve"> </w:t>
      </w:r>
      <w:r w:rsidR="008A1A9A">
        <w:t>given</w:t>
      </w:r>
      <w:r w:rsidR="00506D4B">
        <w:t xml:space="preserve"> its </w:t>
      </w:r>
      <w:r w:rsidR="008A1A9A">
        <w:t xml:space="preserve">extremely broad </w:t>
      </w:r>
      <w:r w:rsidR="00506D4B">
        <w:t>diet</w:t>
      </w:r>
      <w:r w:rsidR="008A1A9A">
        <w:t xml:space="preserve"> </w:t>
      </w:r>
      <w:r w:rsidR="008A1A9A">
        <w:fldChar w:fldCharType="begin"/>
      </w:r>
      <w:r w:rsidR="00A15670">
        <w:instrText xml:space="preserve"> ADDIN ZOTERO_ITEM CSL_CITATION {"citationID":"rpVru7Pi","properties":{"formattedCitation":"(Birkhead et al. 2005, Ashton and Ashton 2008, Moore and Dornburg 2014)","plainCitation":"(Birkhead et al. 2005, Ashton and Ashton 2008, Moore and Dornburg 2014)","noteIndex":0},"citationItems":[{"id":5996,"uris":["http://zotero.org/users/10895328/items/L92EB6L7"],"itemData":{"id":5996,"type":"article-journal","abstract":"This study documents the ingestion of leaves and seeds by gopher tortoises (Gopherus polyphemus) in a relatively intact pine savanna habitat. Fifty-three species of seeds were identified. Species richness of seeds ingested was highest during spring and fall and was lowest during summer. Grass seed and foliage were consumed consistently by tortoises throughout the year. Despite being found in only 12% of all scats, Rubus seed comprised half of all seeds recovered. Based on seeds in scats, tortoises ingested the fruits of plants in the same proportions in which the plants occurred immediately around active burrows. Although some kinds of leaves were less prevalent in scats than predicted by their availability near active tortoise burrows, this may have occurred because these leaves were digested and, therefore unrecognizable in scats. The role of the gopher tortoise as a generalist herbivore and an opportunistic frugivore was confirmed.","container-title":"American Midland Naturalist","DOI":"Doi 10.1674/0003-0031(2005)154[0143:Pofasi]2.0.Co;2","ISSN":"0003-0031","issue":"1","journalAbbreviation":"Am Midl Nat","language":"English","page":"143-151","title":"Patterns of folivory and seed ingestion by gopher tortoises (Gopherus polyphemus) in a southeastern pine savanna","volume":"154","author":[{"family":"Birkhead","given":"R. D."},{"family":"Guyer","given":"C."},{"family":"Hermann","given":"S. M."},{"family":"Michener","given":"W. K."}],"issued":{"date-parts":[["2005",7]]}}},{"id":5804,"uris":["http://zotero.org/users/10895328/items/SICXYKIJ"],"itemData":{"id":5804,"type":"article-journal","container-title":"Gopherus polyphemus","page":"65-93","title":"The Natural History and Management of the Gopher Tortoise","author":[{"family":"Ashton","given":"Ray E."},{"family":"Ashton","given":"Patricia S."}],"issued":{"date-parts":[["2008"]]}}},{"id":8166,"uris":["http://zotero.org/users/10895328/items/ISY4HLPI"],"itemData":{"id":8166,"type":"article-journal","abstract":"Instances of vertebrates supplementing their diets through the ingestion of gastroliths have been observed or documented in numerous organisms, including birds, crocodiles and dinosaurs. Although not uncommon, this behavior can be motivated by a wide range of factors that include endoparasite removal, stomach cleaning, or calcium supplementation during eggshell formation. As plant-based diets are often mineral deficient, the use of gastroliths as calcium supplements may play an important role in the reproductive biology of egg-laying herbivorous reptiles. Whereas gravid females of some species of herbivorous reptiles have been shown to seek out calcareous gastroliths, the occurrence or prevalence of gastroliths in gravid females remains unknown for many species. Using field observations and radiographs, we studied patterns of gastrolith ingestion by adult female gopher tortoises (Gopherus polyphemus), a herbivorous species of testudinoid turtles. Gastroliths documented included fossil seashells, calcareous stones and carnivore feces containing vertebrate bones. The prevalence of gastroliths was significantly different between gravid and non-gravid tortoises. We suggest this behavior is a means of supplementing calcium intake during eggshell formation and may play a part in the female reproductive biology of this species.","container-title":"Bulletin of the Peabody Museum of Natural History","issue":"1","page":"55-63, 9","title":"Ingestion of Fossil Seashells, Stones and Small Mammal Bones by Gravid Gopher Tortoises (Gopherus polyphemus) in South Florida","volume":"55","author":[{"family":"Moore","given":"Jon A."},{"family":"Dornburg","given":"Alex"}],"issued":{"date-parts":[["2014"]]}}}],"schema":"https://github.com/citation-style-language/schema/raw/master/csl-citation.json"} </w:instrText>
      </w:r>
      <w:r w:rsidR="008A1A9A">
        <w:fldChar w:fldCharType="separate"/>
      </w:r>
      <w:r w:rsidR="00A15670" w:rsidRPr="00A15670">
        <w:t>(Birkhead et al. 2005, Ashton and Ashton 2008, Moore and Dornburg 2014)</w:t>
      </w:r>
      <w:r w:rsidR="008A1A9A">
        <w:fldChar w:fldCharType="end"/>
      </w:r>
      <w:r w:rsidR="00AD35CB">
        <w:t>.</w:t>
      </w:r>
    </w:p>
    <w:p w14:paraId="5A9026D5" w14:textId="77777777" w:rsidR="002950FE" w:rsidRPr="00026DBB" w:rsidRDefault="002950FE" w:rsidP="00D06E69">
      <w:pPr>
        <w:spacing w:before="100" w:beforeAutospacing="1" w:after="100" w:afterAutospacing="1" w:line="480" w:lineRule="auto"/>
        <w:ind w:firstLine="720"/>
        <w:mirrorIndents/>
      </w:pPr>
    </w:p>
    <w:p w14:paraId="672E8F8B" w14:textId="528762FF" w:rsidR="002950FE" w:rsidRPr="001E6575" w:rsidRDefault="00702F13" w:rsidP="00D06E69">
      <w:pPr>
        <w:spacing w:before="100" w:beforeAutospacing="1" w:after="100" w:afterAutospacing="1" w:line="480" w:lineRule="auto"/>
        <w:mirrorIndents/>
        <w:rPr>
          <w:rFonts w:eastAsia="Calibri"/>
          <w:b/>
          <w:bCs/>
          <w:u w:val="single"/>
        </w:rPr>
      </w:pPr>
      <w:bookmarkStart w:id="2" w:name="_Toc113555149"/>
      <w:r>
        <w:rPr>
          <w:b/>
          <w:bCs/>
          <w:u w:val="single"/>
        </w:rPr>
        <w:t xml:space="preserve">MATERIAL AND </w:t>
      </w:r>
      <w:r w:rsidR="002950FE" w:rsidRPr="001E6575">
        <w:rPr>
          <w:b/>
          <w:bCs/>
          <w:u w:val="single"/>
        </w:rPr>
        <w:t>METHODS</w:t>
      </w:r>
      <w:bookmarkEnd w:id="2"/>
      <w:r w:rsidR="002950FE" w:rsidRPr="001E6575">
        <w:rPr>
          <w:rFonts w:eastAsia="Calibri"/>
          <w:b/>
          <w:bCs/>
          <w:u w:val="single"/>
        </w:rPr>
        <w:t xml:space="preserve"> </w:t>
      </w:r>
    </w:p>
    <w:p w14:paraId="0045C35B" w14:textId="77777777" w:rsidR="002950FE" w:rsidRPr="001E6575" w:rsidRDefault="002950FE" w:rsidP="00D06E69">
      <w:pPr>
        <w:spacing w:before="100" w:beforeAutospacing="1" w:after="100" w:afterAutospacing="1" w:line="480" w:lineRule="auto"/>
        <w:mirrorIndents/>
        <w:rPr>
          <w:i/>
          <w:iCs/>
        </w:rPr>
      </w:pPr>
      <w:bookmarkStart w:id="3" w:name="_Toc113555150"/>
      <w:r w:rsidRPr="001E6575">
        <w:rPr>
          <w:i/>
          <w:iCs/>
        </w:rPr>
        <w:t>Site Description</w:t>
      </w:r>
      <w:bookmarkEnd w:id="3"/>
    </w:p>
    <w:p w14:paraId="441A6D54" w14:textId="4CCA47C2" w:rsidR="006374CA" w:rsidRDefault="00A710D2" w:rsidP="004C025D">
      <w:pPr>
        <w:spacing w:before="100" w:beforeAutospacing="1" w:after="100" w:afterAutospacing="1" w:line="480" w:lineRule="auto"/>
        <w:ind w:firstLine="720"/>
        <w:mirrorIndents/>
      </w:pPr>
      <w:r>
        <w:t>Our study was conducted in</w:t>
      </w:r>
      <w:r w:rsidR="008963CA">
        <w:t xml:space="preserve"> Miami, Florida, USA, in</w:t>
      </w:r>
      <w:r>
        <w:t xml:space="preserve"> the globally imperiled </w:t>
      </w:r>
      <w:r w:rsidRPr="00F1378A">
        <w:t>pine rockland</w:t>
      </w:r>
      <w:r>
        <w:t xml:space="preserve"> ecosystem </w:t>
      </w:r>
      <w:r w:rsidR="00BE50D0">
        <w:t xml:space="preserve">which surrounds Zoo Miami </w:t>
      </w:r>
      <w:r w:rsidR="00061CB4">
        <w:t>at</w:t>
      </w:r>
      <w:r>
        <w:t xml:space="preserve"> The Richmond Tract </w:t>
      </w:r>
      <w:r>
        <w:fldChar w:fldCharType="begin"/>
      </w:r>
      <w:r w:rsidR="00C0185A">
        <w:instrText xml:space="preserve"> ADDIN ZOTERO_ITEM CSL_CITATION {"citationID":"PpMkZ0Jq","properties":{"formattedCitation":"(USFWS 1999, Possley et al. 2018, 2020)","plainCitation":"(USFWS 1999, Possley et al. 2018, 2020)","noteIndex":0},"citationItems":[{"id":9324,"uris":["http://zotero.org/users/10895328/items/V8R82NTU"],"itemData":{"id":9324,"type":"article-journal","title":"Pine Rocklands Management Plan","author":[{"family":"USFWS","given":""}],"issued":{"date-parts":[["1999"]]}}},{"id":8627,"uris":["http://zotero.org/users/10895328/items/5766CFSX"],"itemData":{"id":8627,"type":"article-journal","container-title":"Prepared by Fairchild Tropical Botanic Garden for Miami-Dade County, Department of Parks, Recreation and Open Spaces and Zoo Miami","page":"136","title":"Miami-Dade County’s Management Plan for the Richmond Pine Rocklands, 2nd ed.","volume":"2","author":[{"family":"Possley","given":"J."},{"family":"Duncan","given":"J."},{"family":"Klein","given":"J."},{"family":"Maguire","given":"J."}],"issued":{"date-parts":[["2018"]]}}},{"id":15146,"uris":["http://zotero.org/users/10895328/items/R4UG57J5"],"itemData":{"id":15146,"type":"article-journal","container-title":"Cities and the Environment","DOI":"10.15365/cate.2020.130104","ISSN":"1932-7048","issue":"1","journalAbbreviation":"CATE","language":"en","source":"DOI.org (Crossref)","title":"Too Precious To Lose: Managing and Protecting the Richmond Pine Rockland Tract (Richmond) in Miami Dade County, South Florida","title-short":"Too Precious To Lose","URL":"https://digitalcommons.lmu.edu/cate/vol13/iss1/4","volume":"13","author":[{"family":"Possley","given":"Jennifer"},{"family":"Duncan","given":"James"},{"family":"Gil","given":"Janet"},{"family":"Grossenbacher","given":"Craig"}],"accessed":{"date-parts":[["2023",4,21]]},"issued":{"date-parts":[["2020",3,9]]}}}],"schema":"https://github.com/citation-style-language/schema/raw/master/csl-citation.json"} </w:instrText>
      </w:r>
      <w:r>
        <w:fldChar w:fldCharType="separate"/>
      </w:r>
      <w:r w:rsidR="00C0185A" w:rsidRPr="00C0185A">
        <w:t>(USFWS 1999, Possley et al. 2018, 2020)</w:t>
      </w:r>
      <w:r>
        <w:fldChar w:fldCharType="end"/>
      </w:r>
      <w:r>
        <w:t xml:space="preserve">. </w:t>
      </w:r>
      <w:r w:rsidR="000A3DE1">
        <w:t xml:space="preserve">The Richmond Tract </w:t>
      </w:r>
      <w:r w:rsidR="00061CB4">
        <w:t xml:space="preserve">is a complex of properties that </w:t>
      </w:r>
      <w:r w:rsidR="001623EB">
        <w:t>spans</w:t>
      </w:r>
      <w:r w:rsidR="000A3DE1">
        <w:t xml:space="preserve"> 830-ha </w:t>
      </w:r>
      <w:r w:rsidR="001623EB">
        <w:t>and</w:t>
      </w:r>
      <w:r w:rsidR="000A3DE1">
        <w:t xml:space="preserve"> contains the largest </w:t>
      </w:r>
      <w:r w:rsidR="001623EB">
        <w:t>extent</w:t>
      </w:r>
      <w:r w:rsidR="000A3DE1">
        <w:t xml:space="preserve"> of pine rockland</w:t>
      </w:r>
      <w:r w:rsidR="00C40E88">
        <w:t xml:space="preserve"> habitat</w:t>
      </w:r>
      <w:r w:rsidR="000A3DE1">
        <w:t xml:space="preserve"> outside </w:t>
      </w:r>
      <w:r w:rsidR="001623EB">
        <w:t xml:space="preserve">of </w:t>
      </w:r>
      <w:r w:rsidR="000A3DE1">
        <w:t>E</w:t>
      </w:r>
      <w:r w:rsidR="001623EB">
        <w:t xml:space="preserve">verglades </w:t>
      </w:r>
      <w:r w:rsidR="000A3DE1">
        <w:t>N</w:t>
      </w:r>
      <w:r w:rsidR="001623EB">
        <w:t xml:space="preserve">ational </w:t>
      </w:r>
      <w:r w:rsidR="000A3DE1">
        <w:t>P</w:t>
      </w:r>
      <w:r w:rsidR="001623EB">
        <w:t>ark</w:t>
      </w:r>
      <w:r w:rsidR="000A3DE1">
        <w:t xml:space="preserve"> </w:t>
      </w:r>
      <w:r w:rsidR="000A3DE1">
        <w:fldChar w:fldCharType="begin"/>
      </w:r>
      <w:r w:rsidR="00B0730B">
        <w:instrText xml:space="preserve"> ADDIN ZOTERO_ITEM CSL_CITATION {"citationID":"2ewZ6FE4","properties":{"formattedCitation":"(Bradley and Gann 2005)","plainCitation":"(Bradley and Gann 2005)","noteIndex":0},"citationItems":[{"id":6094,"uris":["http://zotero.org/users/10895328/items/FXPN9Z8K"],"itemData":{"id":6094,"type":"article-journal","container-title":"The Institute for Regional Conservation","title":"Natural Forest Community Delineation Methods","author":[{"family":"Bradley","given":"K. A."},{"family":"Gann","given":"G. D."}],"issued":{"date-parts":[["2005"]]}}}],"schema":"https://github.com/citation-style-language/schema/raw/master/csl-citation.json"} </w:instrText>
      </w:r>
      <w:r w:rsidR="000A3DE1">
        <w:fldChar w:fldCharType="separate"/>
      </w:r>
      <w:r w:rsidR="00B0730B" w:rsidRPr="00B0730B">
        <w:t>(Bradley and Gann 2005)</w:t>
      </w:r>
      <w:r w:rsidR="000A3DE1">
        <w:fldChar w:fldCharType="end"/>
      </w:r>
      <w:r w:rsidR="000A3DE1">
        <w:t xml:space="preserve">. </w:t>
      </w:r>
      <w:r w:rsidR="008852DF">
        <w:t>The p</w:t>
      </w:r>
      <w:r w:rsidR="00C40E88">
        <w:t xml:space="preserve">ine rockland </w:t>
      </w:r>
      <w:r w:rsidR="008852DF">
        <w:t>is</w:t>
      </w:r>
      <w:r w:rsidR="003446F7">
        <w:t xml:space="preserve"> the most biodiverse</w:t>
      </w:r>
      <w:r w:rsidR="00C40E88">
        <w:t xml:space="preserve"> ecosystem</w:t>
      </w:r>
      <w:r w:rsidR="003446F7">
        <w:t xml:space="preserve"> in south Florida with over</w:t>
      </w:r>
      <w:r w:rsidR="001F066F" w:rsidRPr="00F1378A">
        <w:t xml:space="preserve"> 430 </w:t>
      </w:r>
      <w:r w:rsidR="00C87081">
        <w:t xml:space="preserve">native </w:t>
      </w:r>
      <w:r w:rsidR="001F066F">
        <w:t xml:space="preserve">plant </w:t>
      </w:r>
      <w:r w:rsidR="001F066F" w:rsidRPr="00F1378A">
        <w:t>species</w:t>
      </w:r>
      <w:r w:rsidR="001F066F">
        <w:t xml:space="preserve"> and </w:t>
      </w:r>
      <w:r w:rsidR="00C87081">
        <w:t>a multitude of</w:t>
      </w:r>
      <w:r w:rsidR="001F066F">
        <w:t xml:space="preserve"> large </w:t>
      </w:r>
      <w:r w:rsidR="001F066F">
        <w:lastRenderedPageBreak/>
        <w:t xml:space="preserve">vertebrates that </w:t>
      </w:r>
      <w:r w:rsidR="00540C2E">
        <w:t xml:space="preserve">have </w:t>
      </w:r>
      <w:r w:rsidR="00EB21FB">
        <w:t xml:space="preserve">largely </w:t>
      </w:r>
      <w:r w:rsidR="00C0185A">
        <w:t xml:space="preserve">been </w:t>
      </w:r>
      <w:r w:rsidR="001F066F">
        <w:t xml:space="preserve">extirpated as a result of </w:t>
      </w:r>
      <w:r w:rsidR="00A65BE1">
        <w:t>defaunation</w:t>
      </w:r>
      <w:r w:rsidR="001F066F">
        <w:t xml:space="preserve"> and </w:t>
      </w:r>
      <w:r w:rsidR="00A65BE1">
        <w:t xml:space="preserve">urban </w:t>
      </w:r>
      <w:r w:rsidR="001F066F">
        <w:t xml:space="preserve">development </w:t>
      </w:r>
      <w:r w:rsidR="001F066F">
        <w:fldChar w:fldCharType="begin"/>
      </w:r>
      <w:r w:rsidR="00B0730B">
        <w:instrText xml:space="preserve"> ADDIN ZOTERO_ITEM CSL_CITATION {"citationID":"4cC6yNTx","properties":{"formattedCitation":"(Dirzo et al. 2014, Lodge 2017, Trotta et al. 2018, Figueroa et al. 2023)","plainCitation":"(Dirzo et al. 2014, Lodge 2017, Trotta et al. 2018, Figueroa et al. 2023)","noteIndex":0},"citationItems":[{"id":6574,"uris":["http://zotero.org/users/10895328/items/Q682NMGW"],"itemData":{"id":6574,"type":"article-journal","abstract":"We live amid a global wave of anthropogenically driven biodiversity loss: species and population extirpations and, critically, declines in local species abundance. Particularly, human impacts on animal biodiversity are an under-recognized form of global environmental change. Among terrestrial vertebrates, 322 species have become extinct since 1500, and populations of the remaining species show 25% average decline in abundance. Invertebrate patterns are equally dire: 67% of monitored populations show 45% mean abundance decline. Such animal declines will cascade onto ecosystem functioning and human well-being. Much remains unknown about this \"Anthropocene defaunation\"; these knowledge gaps hinder our capacity to predict and limit defaunation impacts. Clearly, however, defaunation is both a pervasive component of the planet's sixth mass extinction and also a major driver of global ecological change.","container-title":"Science","DOI":"10.1126/science.1251817","ISSN":"0036-8075","issue":"6195","journalAbbreviation":"Science","language":"English","page":"401-406","title":"Defaunation in the Anthropocene","volume":"345","author":[{"family":"Dirzo","given":"R."},{"family":"Young","given":"H. S."},{"family":"Galetti","given":"M."},{"family":"Ceballos","given":"G."},{"family":"Isaac","given":"N. J. B."},{"family":"Collen","given":"B."}],"issued":{"date-parts":[["2014",7,25]]}}},{"id":7889,"uris":["http://zotero.org/users/10895328/items/HFFU8GX5"],"itemData":{"id":7889,"type":"article-journal","container-title":"Everglades Handbook: Understanding the Ecosystem, 4th Edition","language":"English","title":"The Everglades Handbook: Understanding the Ecosystem (Fourth Edition)","author":[{"family":"Lodge","given":"T. E."}],"issued":{"date-parts":[["2017"]]}}},{"id":9292,"uris":["http://zotero.org/users/10895328/items/R7PLS5AZ"],"itemData":{"id":9292,"type":"article-journal","abstract":"Premise of the Study Methods Community phylogenetic methods incorporate information on evolutionary relationships into studies of organismal assemblages. We used a community phylogenetic framework to investigate relationships and biogeographic affinities and to calculate phylogenetic signal of endemism and invasiveness for the flora of the pine rocklands-a globally critically imperiled ecosystem with a significant portion of its distribution in South Florida, United States. We reconstructed phylogenetic relationships of 538 vascular plant taxa, which represent 92.28% of the vascular flora of the pine rocklands. We estimated phylogenetic signal for endemism and invasiveness using phylogenetic generalized linear mixed models. We determined the native range for each species in the data set and calculated the total number of species sourced from each region and all possible combinations of these regions. Key Results Conclusions The pine rockland flora includes representatives of all major vascular plant lineages, and most species have native ranges in the New World. There was strong phylogenetic signal for endemism, but not for invasiveness. Community phylogenetics has high potential value for conservation planning, particularly for fragmented and endangered ecosystems like the pine rockland. Strong phylogenetic signal for endemic species in our data set, which also tend to be threatened or endangered, can help to identify species at risk, as well as fragments where those species occur, highlighting conservation priorities. Our results indicate, at least in the pine rockland ecosystem, no phylogenetic signal for invasive species, and thus other information must be used to predict the potential for invasiveness.","container-title":"American Journal of Botany","DOI":"10.1002/ajb2.1168","ISSN":"0002-9122","issue":"10","language":"English","page":"1735-1747","title":"Community phylogeny of the globally critically imperiled pine rockland ecosystem","volume":"105","author":[{"family":"Trotta","given":"L. B."},{"family":"Baiser","given":"B."},{"family":"Possley","given":"J."},{"family":"Li","given":"D. J."},{"family":"Lange","given":"J."},{"family":"Martin","given":"S."},{"family":"Sessa","given":"E. B."}],"issued":{"date-parts":[["2018",10]]}}},{"id":13456,"uris":["http://zotero.org/users/10895328/items/3ZTU649T"],"itemData":{"id":13456,"type":"article-journal","abstract":"Pine rockland habitat of South Florida is among the most highly threatened terrestrial ecosystems in the neo-subtropics and is among the rarest worldwide. With only 1.2% of its original extent remaining outside Everglades National Park, fewer than 780 hectares of this ecosystem remains across all of South Florida. This ﬁre-dependent ecosystem—habitat for many rare, endemic species—has experienced substantial deforestation and defaunation due to urbanization, land use change, habitat fragmentation, ﬁre suppression, and exotic plant invasions. Owing to the small size of remaining fragments, and the fact that most are surrounded by urbanization, adequate burning regimes are suppressed. The Richmond Tract, a complex of twelve separate parcels under multiple private and public ownership partially surrounding Zoo Miami, is the largest tract of pine rockland outside the federal protection of Everglades National Park. In this article, we take inventory of the threatened biodiversity at the Richmond Tract and focus on the policy and management landscape. We take a close look at threats to the pine rockland’s persistence here and review approaches that either help maintain the health of this ecosystem or those that may need to be reconsidered. We end by discussing coordination among multiple stakeholder groups, the potential use for incentivebased conservation practices, and suggesting ways to improve management in highly urbanized South Florida.","container-title":"Diversity","DOI":"10.3390/d15030426","ISSN":"1424-2818","issue":"3","language":"en","license":"Creative Commons Attribution 4.0 International License (CC-BY)","page":"426","source":"DOI.org (Crossref)","title":"Management of a Globally Imperiled and Fire-Dependent Ecosystem in the Urban Matrix of Miami–Dade County, Florida: A Case Study of the Richmond Tract Pine Rocklands","title-short":"Management of a Globally Imperiled and Fire-Dependent Ecosystem in the Urban Matrix of Miami–Dade County, Florida","volume":"15","author":[{"family":"Figueroa","given":"Adrian"},{"family":"Heinen","given":"Joel T."},{"family":"Ridgley","given":"Frank N."},{"family":"Whitfield","given":"Steven M."},{"family":"Liu","given":"Hong"}],"issued":{"date-parts":[["2023",3,14]]}}}],"schema":"https://github.com/citation-style-language/schema/raw/master/csl-citation.json"} </w:instrText>
      </w:r>
      <w:r w:rsidR="001F066F">
        <w:fldChar w:fldCharType="separate"/>
      </w:r>
      <w:r w:rsidR="00B0730B" w:rsidRPr="00B0730B">
        <w:t>(Dirzo et al. 2014, Lodge 2017, Trotta et al. 2018, Figueroa et al. 2023)</w:t>
      </w:r>
      <w:r w:rsidR="001F066F">
        <w:fldChar w:fldCharType="end"/>
      </w:r>
      <w:r w:rsidR="00A65BE1">
        <w:t>.</w:t>
      </w:r>
      <w:r w:rsidR="006374CA">
        <w:t xml:space="preserve"> </w:t>
      </w:r>
      <w:r w:rsidR="008963CA" w:rsidRPr="008963CA">
        <w:t xml:space="preserve">This ecosystem is fire-maintained and characterized by a sparse, savanna-like canopy of endemic </w:t>
      </w:r>
      <w:r w:rsidR="00C40E88">
        <w:t>s</w:t>
      </w:r>
      <w:r w:rsidR="008963CA" w:rsidRPr="008963CA">
        <w:t>outh Florida slash pine (</w:t>
      </w:r>
      <w:r w:rsidR="008963CA" w:rsidRPr="008963CA">
        <w:rPr>
          <w:i/>
          <w:iCs/>
        </w:rPr>
        <w:t xml:space="preserve">Pinus </w:t>
      </w:r>
      <w:proofErr w:type="spellStart"/>
      <w:r w:rsidR="008963CA" w:rsidRPr="008963CA">
        <w:rPr>
          <w:i/>
          <w:iCs/>
        </w:rPr>
        <w:t>elliottii</w:t>
      </w:r>
      <w:proofErr w:type="spellEnd"/>
      <w:r w:rsidR="008963CA" w:rsidRPr="008963CA">
        <w:rPr>
          <w:i/>
          <w:iCs/>
        </w:rPr>
        <w:t xml:space="preserve"> </w:t>
      </w:r>
      <w:r w:rsidR="008963CA" w:rsidRPr="008963CA">
        <w:t>var.</w:t>
      </w:r>
      <w:r w:rsidR="008963CA" w:rsidRPr="008963CA">
        <w:rPr>
          <w:i/>
          <w:iCs/>
        </w:rPr>
        <w:t xml:space="preserve"> </w:t>
      </w:r>
      <w:proofErr w:type="spellStart"/>
      <w:r w:rsidR="008963CA" w:rsidRPr="008963CA">
        <w:rPr>
          <w:i/>
          <w:iCs/>
        </w:rPr>
        <w:t>densa</w:t>
      </w:r>
      <w:proofErr w:type="spellEnd"/>
      <w:r w:rsidR="008963CA" w:rsidRPr="008963CA">
        <w:t xml:space="preserve">) with </w:t>
      </w:r>
      <w:r w:rsidR="006276B8" w:rsidRPr="008963CA">
        <w:t>rare and endemic herbs</w:t>
      </w:r>
      <w:r w:rsidR="006276B8">
        <w:t>,</w:t>
      </w:r>
      <w:r w:rsidR="008963CA" w:rsidRPr="008963CA">
        <w:t xml:space="preserve"> </w:t>
      </w:r>
      <w:r w:rsidR="006276B8">
        <w:t xml:space="preserve">as well as </w:t>
      </w:r>
      <w:r w:rsidR="008963CA" w:rsidRPr="008963CA">
        <w:t xml:space="preserve">grasses, </w:t>
      </w:r>
      <w:proofErr w:type="spellStart"/>
      <w:r w:rsidR="008963CA" w:rsidRPr="008963CA">
        <w:t>euphorbs</w:t>
      </w:r>
      <w:proofErr w:type="spellEnd"/>
      <w:r w:rsidR="006276B8">
        <w:t xml:space="preserve"> and</w:t>
      </w:r>
      <w:r w:rsidR="008963CA" w:rsidRPr="008963CA">
        <w:t xml:space="preserve"> succulents interspersed </w:t>
      </w:r>
      <w:r w:rsidR="008963CA">
        <w:t>between</w:t>
      </w:r>
      <w:r w:rsidR="008963CA" w:rsidRPr="008963CA">
        <w:t xml:space="preserve"> an understory of shrubs</w:t>
      </w:r>
      <w:r w:rsidR="006276B8">
        <w:t xml:space="preserve"> and palms</w:t>
      </w:r>
      <w:r w:rsidR="008963CA" w:rsidRPr="008963CA">
        <w:t xml:space="preserve"> </w:t>
      </w:r>
      <w:r w:rsidR="001F066F">
        <w:fldChar w:fldCharType="begin"/>
      </w:r>
      <w:r w:rsidR="001F066F">
        <w:instrText xml:space="preserve"> ADDIN ZOTERO_ITEM CSL_CITATION {"citationID":"Gpu3fDHn","properties":{"formattedCitation":"(Possley et al. 2008, Diamond and Heinen 2016)","plainCitation":"(Possley et al. 2008, Diamond and Heinen 2016)","noteIndex":0},"citationItems":[{"id":6557,"uris":["http://zotero.org/users/10895328/items/AUKAKHP3"],"itemData":{"id":6557,"type":"article-journal","abstract":"We consider Miami-Dade County's Environmentally Endangered Lands (EEL) network of preserves as a means to conserve rare plant species in urban and suburban forest fragments. In this rapidly urbanizing landscape, upland forests are at particularly high risk of development. We examined the number of rare plant species present in preserves based on the site area, ecosystem type and management practices using the EEL database maintained by the county and a database of plant species inventories collected by the Institute for Regional Conservation. About 99% of the area of the EEL system is located in southern Miami-Dade. Pine rockland forests are primarily in the outer suburbs of the county where fire can be used most effectively for management. Hardwood hammock forests are distributed throughout the county including within the urban core. All 56 EEL forested sites under study contained at least one rare plant species. Small sites often contained high numbers of rare species per unit area, but presumably at lower population sizes. The type of upland forest was not related to the mean richness of rare or state-listed plant species. Public access was not related to the mean richness of rare plants, but was negatively associated with the richness of state-listed plant species. (C) 2016 Elsevier GmbH. All rights reserved.","container-title":"Urban Forestry &amp; Urban Greening","DOI":"10.1016/j.ufug.2016.07.008","ISSN":"1618-8667","journalAbbreviation":"Urban for Urban Gree","language":"English","page":"1-11","title":"Conserving rare plants in locally-protected urban forest fragments: A case study from Miami-Dade County, Florida","volume":"20","author":[{"family":"Diamond","given":"J. M."},{"family":"Heinen","given":"J. T."}],"issued":{"date-parts":[["2016",12,1]]}}},{"id":8634,"uris":["http://zotero.org/users/10895328/items/ZKQK6WLE"],"itemData":{"id":8634,"type":"article-journal","abstract":"Maintaining native plant diversity through fire management is challenging in the wildland-urban interface. In subtropical South Florida, fragments of fire-dependent. globally imperiled pine rockland forest are scattered throughout Urban areas. To determine the effects of recent fire frequency, major soil type, and fragment size on species composition. we measured understory vascular plant presence and cover in 162 plots distributed among 16 publicly-owned pine rockland preserves in 1995 and 2003. Fragments received either 0, 1, or &gt; 1 burn(s) between sampling periods. Native plant richness was very high overall. Major soil type, which varies regionally and is associated with latitude and elevation, strongly influenced the assemblage of species present at given site. Native species, cover was significantly different across different burn categories. Fragment size was positively associated with p it species richness, but small fragments had high variance in the total number of native plant species they supported. with some having nearly as many plant species Lis the largest fragment. Examining trends over time for rare native and invasive non-native plant species revealed the spread of the invasive grass Rhynchelytrum repens (Willd.) C.E. Hubb.. and showed no major decreases in rare plant species. In general, this study provided encouraging results for managers' of small urban forest fragments, showing that they can maintain high levels of native plant diversity, even when fire occurs infrequently.","container-title":"Natural Areas Journal","DOI":"Doi 10.3375/0885-8608(2008)28[379:Popcif]2.0.Co;2","ISSN":"0885-8608","issue":"4","journalAbbreviation":"Nat Area J","language":"English","page":"379-394","title":"Patterns of Plant Composition in Fragments of Globally Imperiled Pine Rockland Forest: Effects of Soil Type, Recent Fire Frequency, and Fragment Size","volume":"28","author":[{"family":"Possley","given":"J."},{"family":"Woodmansee","given":"S. W."},{"family":"Maschinski","given":"J."}],"issued":{"date-parts":[["2008",10]]}}}],"schema":"https://github.com/citation-style-language/schema/raw/master/csl-citation.json"} </w:instrText>
      </w:r>
      <w:r w:rsidR="001F066F">
        <w:fldChar w:fldCharType="separate"/>
      </w:r>
      <w:r w:rsidR="001F066F" w:rsidRPr="00400A4C">
        <w:t>(Possley et al. 2008, Diamond and Heinen 2016)</w:t>
      </w:r>
      <w:r w:rsidR="001F066F">
        <w:fldChar w:fldCharType="end"/>
      </w:r>
      <w:r w:rsidR="001F066F" w:rsidRPr="00F1378A">
        <w:t>.</w:t>
      </w:r>
      <w:r w:rsidR="006276B8">
        <w:t xml:space="preserve"> </w:t>
      </w:r>
    </w:p>
    <w:p w14:paraId="36F85FA0" w14:textId="2F830CA4" w:rsidR="004C025D" w:rsidRDefault="006276B8" w:rsidP="004C025D">
      <w:pPr>
        <w:spacing w:before="100" w:beforeAutospacing="1" w:after="100" w:afterAutospacing="1" w:line="480" w:lineRule="auto"/>
        <w:ind w:firstLine="720"/>
        <w:mirrorIndents/>
      </w:pPr>
      <w:r>
        <w:t xml:space="preserve">South Florida is the ideal setting for this study due to its oscillation between wet and dry seasons, which triggers seasonal fires in the dry-to-wet season transition </w:t>
      </w:r>
      <w:r>
        <w:fldChar w:fldCharType="begin"/>
      </w:r>
      <w:r>
        <w:instrText xml:space="preserve"> ADDIN ZOTERO_ITEM CSL_CITATION {"citationID":"lJH6hwtl","properties":{"formattedCitation":"(Slocum et al. 2010, Platt et al. 2015)","plainCitation":"(Slocum et al. 2010, Platt et al. 2015)","noteIndex":0},"citationItems":[{"id":19236,"uris":["http://zotero.org/users/10895328/items/6CXAHUQ8"],"itemData":{"id":19236,"type":"article-journal","abstract":"Wildﬁres are often governed by rapid changes in seasonal rainfall. Therefore, measuring seasonal rainfall on a temporally ﬁnescale should facilitate the prediction of wildﬁre regimes. To explore this hypothesis, daily rainfall data over a 58-yr period (1950–2007) in south-central Florida were transformed into cumulative rainfall anomalies (CRAs). This transformation allowed precise estimation of onset dates and durations of the dry and wet seasons, as well as a number of other variables characterizing seasonal rainfall. These variables were compared with parameters that describe ENSO and a wildﬁre regime in the region (at the Avon Park Air Force Range). Onset dates and durations were found to be highly variable among years, with standard deviations ranging from 27 to 41 days. Rainfall during the two seasons was distinctive, with the dry season having half as much as the wet season despite being nearly 2 times as long. The precise quantiﬁcation of seasonal rainfall led to strong statistical models describing linkages between climate and wildﬁres: a multiple-regression technique relating the area burned with the seasonal rainfall characteristics had an R2adj of 0.61, and a similar analysis examining the number of wildﬁres had an R2adj of 0.56. Moreover, the CRA approach was effective in outlining how seasonal rainfall was associated with ENSO, particularly during the strongest and most unusual events (e.g., El Nin˜ o of 1997/98). Overall, the results presented here show that using CRAs helped to deﬁne the linkages among seasonality, ENSO, and wildﬁres in south-central Florida, and they suggest that this approach can be used in other ﬁre-prone ecosystems.","container-title":"Journal of Applied Meteorology and Climatology","DOI":"10.1175/2010JAMC2532.1","ISSN":"1558-8432, 1558-8424","issue":"12","language":"en","page":"2559-2573","source":"DOI.org (Crossref)","title":"Accurate Quantification of Seasonal Rainfall and Associated Climate–Wildfire Relationships","volume":"49","author":[{"family":"Slocum","given":"Matthew G."},{"family":"Platt","given":"William J."},{"family":"Beckage","given":"Brian"},{"family":"Orzell","given":"Steve L."},{"family":"Taylor","given":"Wayne"}],"issued":{"date-parts":[["2010",12,1]]}}},{"id":19238,"uris":["http://zotero.org/users/10895328/items/PFFRGPVK"],"itemData":{"id":19238,"type":"article-journal","container-title":"PLOS ONE","DOI":"10.1371/journal.pone.0116952","ISSN":"1932-6203","issue":"1","journalAbbreviation":"PLoS ONE","language":"en","page":"e0116952","source":"DOI.org (Crossref)","title":"Seasonality of Fire Weather Strongly Influences Fire Regimes in South Florida Savanna-Grassland Landscapes","volume":"10","author":[{"family":"Platt","given":"William J."},{"family":"Orzell","given":"Steve L."},{"family":"Slocum","given":"Matthew G."}],"editor":[{"family":"Bond-Lamberty","given":"Ben"}],"issued":{"date-parts":[["2015",1,9]]}}}],"schema":"https://github.com/citation-style-language/schema/raw/master/csl-citation.json"} </w:instrText>
      </w:r>
      <w:r>
        <w:fldChar w:fldCharType="separate"/>
      </w:r>
      <w:r w:rsidRPr="00C40E88">
        <w:t>(Slocum et al. 2010, Platt et al. 2015)</w:t>
      </w:r>
      <w:r>
        <w:fldChar w:fldCharType="end"/>
      </w:r>
      <w:r>
        <w:t>. During this transitory period and well into the wet season, many plants across south Florida flower and set fruit, particularly in species that produce fleshy fruits</w:t>
      </w:r>
      <w:r w:rsidR="00C57326">
        <w:t xml:space="preserve"> (i.e., exhibiting the endozoochory dispersal syndrome)</w:t>
      </w:r>
      <w:r>
        <w:t xml:space="preserve"> </w:t>
      </w:r>
      <w:r>
        <w:fldChar w:fldCharType="begin"/>
      </w:r>
      <w:r w:rsidR="003412DE">
        <w:instrText xml:space="preserve"> ADDIN ZOTERO_ITEM CSL_CITATION {"citationID":"VoBfiDEq","properties":{"formattedCitation":"(Bancroft et al. 2000, Redwine et al. 2007)","plainCitation":"(Bancroft et al. 2000, Redwine et al. 2007)","noteIndex":0},"citationItems":[{"id":19241,"uris":["http://zotero.org/users/10895328/items/7BV86A4Q"],"itemData":{"id":19241,"type":"article-journal","abstract":"White-crowned Pigeons (Columba leucocephala) varied their timing of breeding and nesting intensity in response to variation in production of the four most important fruit species in their breeding-season diet in the upper Florida Keys. From 1988 through 1990, we monitored fruit production year-round in five habitats in which pigeons foraged and monitored all pigeon nests along two transects on Middle Butternut Key. Annually, pigeon breeding was positively correlated with summer rains and with the peak in overall fruit production. However, within the breeding season, only the availability of Metopium toxiferum was positively correlated with rainfall and the number of new clutches initiated. Both the timing and magnitude of breeding varied annually. In 1988, when Metopium was more available, more pigeons nested, the nesting season started earlier and lasted longer, and a large peak in nesting occurred when Metopium fruit ripened. During 1989 and 1990, when the relative availability of Metopium was lower, fewer pigeons nested, the nesting season was shorter, and the seasonal peak in nesting associated with Metopium fruit was reduced or absent. Nesting patterns did not appear to vary with changes in the relative availability of other fruits. White-crowned Pigeons appear to prefer Metopium fruits to other species. Because pigeons do not supplement nestling diets with arthropods, but augment their diets with protein-rich crop milk, they may depend on lipid-rich fruits such as Metopium to provide the energy for breeding and crop-milk production. Metopium fruit production may be influenced by rainfall and climatic conditions, both of which may vary spatially within the range of White-crowned Pigeons in Florida. Evidence that pigeons shift foraging sites when Metopium availability varies emphasizes the need to preserve large tracts of seasonal deciduous forest in the Keys and to protect Metopium trees in suburban areas where they are removed because they cause contact dermatitis in humans.","container-title":"The Auk","DOI":"10.1093/auk/117.2.416","ISSN":"1938-4254","issue":"2","journalAbbreviation":"The Auk","page":"416-426","title":"Rainfall, Fruiting Phenology, and the Nesting Season of White-Crowned Pigeons in the Upper Florida Keys","volume":"117","author":[{"family":"Bancroft","given":"G. Thomas"},{"family":"Bowman","given":"Reed"},{"family":"Sawicki","given":"Richard J."}],"issued":{"date-parts":[["2000",4,1]]}}},{"id":19243,"uris":["http://zotero.org/users/10895328/items/D9E2H4TQ"],"itemData":{"id":19243,"type":"article-journal","abstract":"We censused plants bearing ripe fruit along eight permanently marked transects to describe patterns of ripe fruit availability in a spatially interspersed patchwork of seasonally dry forests in the northern Florida Keys. Plants were sampled every four to six weeks between May 1998 and April 1999. We noted every tree, shrub, or vine with ripe ﬂeshy fruits present and rated each stem for the proportion of fruit produced. This sampling scheme allowed us to describe periods of ripe fruit availability in the forest community, as well as for the fourteen most frequently encountered species. Ripe fruit availability peaked during the wet season (July-September), deciduous trees and evergreen shrubs produced most of the fruit in most months, and most of the species producing fruit were evergreen trees in all months.","container-title":"Natural Areas Journal","DOI":"10.3375/0885-8608(2007)27[8:RFAITF]2.0.CO;2","ISSN":"0885-8608","issue":"1","journalAbbreviation":"Natural Areas Journal","language":"en","page":"8-15","source":"DOI.org (Crossref)","title":"Ripe Fruit Availability in the Fragmented Hardwood Forests of the Northern Florida Keys","volume":"27","author":[{"family":"Redwine","given":"Jed R."},{"family":"Sawicki","given":"Richard"},{"family":"Lorenz","given":"Jerome J."},{"family":"Hoffman","given":"Wayne"}],"issued":{"date-parts":[["2007",1]]}}}],"schema":"https://github.com/citation-style-language/schema/raw/master/csl-citation.json"} </w:instrText>
      </w:r>
      <w:r>
        <w:fldChar w:fldCharType="separate"/>
      </w:r>
      <w:r w:rsidR="003412DE" w:rsidRPr="003412DE">
        <w:t>(Bancroft et al. 2000, Redwine et al. 2007)</w:t>
      </w:r>
      <w:r>
        <w:fldChar w:fldCharType="end"/>
      </w:r>
      <w:r>
        <w:t>.</w:t>
      </w:r>
      <w:r w:rsidR="006374CA">
        <w:t xml:space="preserve"> </w:t>
      </w:r>
      <w:r w:rsidR="004C025D" w:rsidRPr="00F1378A">
        <w:t>In addition to the diversity of plants they contain, pine rocklands provide habitat for several state and federally listed fauna</w:t>
      </w:r>
      <w:r w:rsidR="004C025D">
        <w:t xml:space="preserve"> </w:t>
      </w:r>
      <w:r w:rsidR="004C025D">
        <w:fldChar w:fldCharType="begin"/>
      </w:r>
      <w:r w:rsidR="004C025D">
        <w:instrText xml:space="preserve"> ADDIN ZOTERO_ITEM CSL_CITATION {"citationID":"GROxiqgg","properties":{"formattedCitation":"(USFWS 1999)","plainCitation":"(USFWS 1999)","noteIndex":0},"citationItems":[{"id":9324,"uris":["http://zotero.org/users/10895328/items/V8R82NTU"],"itemData":{"id":9324,"type":"article-journal","title":"Pine Rocklands Management Plan","author":[{"family":"USFWS","given":""}],"issued":{"date-parts":[["1999"]]}}}],"schema":"https://github.com/citation-style-language/schema/raw/master/csl-citation.json"} </w:instrText>
      </w:r>
      <w:r w:rsidR="004C025D">
        <w:fldChar w:fldCharType="separate"/>
      </w:r>
      <w:r w:rsidR="004C025D" w:rsidRPr="00400A4C">
        <w:t>(USFWS 1999)</w:t>
      </w:r>
      <w:r w:rsidR="004C025D">
        <w:fldChar w:fldCharType="end"/>
      </w:r>
      <w:r w:rsidR="004C025D" w:rsidRPr="00F1378A">
        <w:t xml:space="preserve">. </w:t>
      </w:r>
      <w:r w:rsidR="004C025D">
        <w:t>One of these animals is the gopher tortoise –</w:t>
      </w:r>
      <w:r w:rsidR="004C025D" w:rsidRPr="00F1378A">
        <w:t xml:space="preserve"> </w:t>
      </w:r>
      <w:r w:rsidR="004C025D">
        <w:t xml:space="preserve">a </w:t>
      </w:r>
      <w:r w:rsidR="004C025D" w:rsidRPr="00F1378A">
        <w:t>long</w:t>
      </w:r>
      <w:r w:rsidR="004C025D">
        <w:t>time</w:t>
      </w:r>
      <w:r w:rsidR="004C025D" w:rsidRPr="00F1378A">
        <w:t xml:space="preserve"> inhabitant of </w:t>
      </w:r>
      <w:r w:rsidR="00435D1F">
        <w:t xml:space="preserve">the </w:t>
      </w:r>
      <w:r w:rsidR="004C025D" w:rsidRPr="00F1378A">
        <w:t>pine rockland</w:t>
      </w:r>
      <w:r w:rsidR="00435D1F">
        <w:t xml:space="preserve"> ecosystem</w:t>
      </w:r>
      <w:r w:rsidR="004C025D">
        <w:t xml:space="preserve"> that persists in remnant preserves to this day</w:t>
      </w:r>
      <w:r w:rsidR="004C025D" w:rsidRPr="00F1378A">
        <w:t xml:space="preserve"> </w:t>
      </w:r>
      <w:r w:rsidR="004C025D">
        <w:fldChar w:fldCharType="begin"/>
      </w:r>
      <w:r w:rsidR="004C025D">
        <w:instrText xml:space="preserve"> ADDIN ZOTERO_ITEM CSL_CITATION {"citationID":"8UhtZYyd","properties":{"formattedCitation":"(Simpson 1920, Carr 1940, Monroe 1943, Enge et al. 2004, Whitfield et al. 2018, 2022, Figueroa et al. 2021)","plainCitation":"(Simpson 1920, Carr 1940, Monroe 1943, Enge et al. 2004, Whitfield et al. 2018, 2022, Figueroa et al. 2021)","noteIndex":0},"citationItems":[{"id":9055,"uris":["http://zotero.org/users/10895328/items/A8SFXIJ7"],"itemData":{"id":9055,"type":"article-journal","page":"174-184","title":"In lower Florida wilds","author":[{"family":"Simpson","given":"Charles Torrey"}],"issued":{"date-parts":[["1920"]]}}},{"id":6207,"uris":["http://zotero.org/users/10895328/items/88B2YTAH"],"itemData":{"id":6207,"type":"article-journal","title":"Contribution to the herpetology of Florida","author":[{"family":"Carr","given":"Archie Fairly"}],"issued":{"date-parts":[["1940"]]}}},{"id":8151,"uris":["http://zotero.org/users/10895328/items/3GG2QB9K"],"itemData":{"id":8151,"type":"article-journal","container-title":"Tequesta","page":"54-55","title":"Pioneer Women of Dade County","volume":"1","author":[{"family":"Monroe","given":"Mary Barr"}],"issued":{"date-parts":[["1943"]]}}},{"id":6692,"uris":["http://zotero.org/users/10895328/items/TGPJIBGQ"],"itemData":{"id":6692,"type":"article-journal","container-title":"Florida Scientist","ISSN":"0098-4590","issue":"3","page":"194-204","title":"Reptile surveys of pine rockland habitat in six Miami-Dade County parks","volume":"67","author":[{"family":"Enge","given":"K. M."},{"family":"Robson","given":"M. S."},{"family":"Krysko","given":"K. L."}],"issued":{"date-parts":[["2004"]]}}},{"id":9600,"uris":["http://zotero.org/users/10895328/items/8LTKGACV"],"itemData":{"id":9600,"type":"article-journal","container-title":"Herpetological Review","issue":"1","page":"47-49","title":"Seroprevalence of Mycoplasma agassizii and Mycoplasma testudineum in Wild and Waif Gopher Tortoises (Gopherus polyphemus) in Miami-Dade County, Florida, USA","volume":"49","author":[{"family":"Whitfield","given":"S. M."},{"family":"Ridgley","given":"F. N."},{"family":"Valle","given":"D."},{"family":"Atteberry","given":"N."}],"issued":{"date-parts":[["2018"]]}}},{"id":9602,"uris":["http://zotero.org/users/10895328/items/B86WWK9U"],"itemData":{"id":9602,"type":"article-journal","abstract":"The Gopher Tortoise is a keystone species and a species of conservation concern in the southeastern United States, but the biology of tortoises at the extreme southeastern limit of the range is poorly understood. We examined physical characteristics and habitat associations of Gopher Tortoise burrows in pine rockland natural preserves in the highly urbanized Miami-Dade County (Florida, USA). We measured width, depth, and orientation of burrows at two sites. We compared a suite of 11 habitat features (e.g., canopy cover, understory density, ground cover, soil depth, and soil compaction) at random points and at Gopher Tortoise burrows in each of the two sites. Burrow widths were similar between sites and included burrows of both adults and juveniles—evidence that both populations are reproducing. Burrows were very short (most &amp;lt;2 m) compared to burrow lengths reported from other sites (&amp;gt;4 m), likely because soil depth is very shallow in extreme south Florida. We used multidimensional scaling and analysis of similarity to detect differences in habitat variables among sites, among point types (random points and burrows), and between active and inactive burrows. Low leaf litter cover, high grass cover, low canopy cover, and deep soil were among the major variables associated with all burrows and active burrows. The habitat associations of the burrows were similar to studies from other areas, yet the short burrows and association with the deepest available soils appear to be a strong response to the unique geology of pine rockland habitats. We discuss vegetative associations of Gopher Tortoises in the context of management in urban natural areas and implications for protection of Gopher Tortoises at the southern limit of their geographic range.","container-title":"Ichthyology &amp; Herpetology","DOI":"10.1643/h2020168 %J Ichthyology &amp; Herpetology","ISSN":"2766-1512","issue":"1","page":"22-32","title":"Burrow Characteristics and Habitat Associations of Gopher Tortoises in Urban Pine Rockland Reserves (Miami, Florida, USA)","volume":"110","author":[{"family":"Whitfield","given":"Steven M."},{"family":"Valle","given":"Daniel"},{"family":"Figueroa","given":"Adrian"},{"family":"Chin","given":"Brianna"},{"family":"Bravo-Gallegos","given":"Hugo"},{"family":"Leone","given":"Frank"}],"issued":{"date-parts":[["2022"]]}}},{"id":6757,"uris":["http://zotero.org/users/10895328/items/5KWT8IAL"],"itemData":{"id":6757,"type":"article-journal","container-title":"Chelonian Conservation and Biology","issue":"1","license":"Creative Commons Attribution 4.0 International License (CC-BY)","page":"27-34, 8","title":"Seed Consumption by Gopher Tortoises (Gopherus polyphemus) in the Globally Imperiled Pine Rockland Ecosystem of Southern Florida, USA","volume":"20","author":[{"family":"Figueroa","given":"Adrian"},{"family":"Lange","given":"James"},{"family":"Whitfield","given":"Steven M."}],"issued":{"date-parts":[["2021"]]}}}],"schema":"https://github.com/citation-style-language/schema/raw/master/csl-citation.json"} </w:instrText>
      </w:r>
      <w:r w:rsidR="004C025D">
        <w:fldChar w:fldCharType="separate"/>
      </w:r>
      <w:r w:rsidR="004C025D" w:rsidRPr="00856416">
        <w:t>(Simpson 1920, Carr 1940, Monroe 1943, Enge et al. 2004, Whitfield et al. 2018, 2022, Figueroa et al. 2021)</w:t>
      </w:r>
      <w:r w:rsidR="004C025D">
        <w:fldChar w:fldCharType="end"/>
      </w:r>
      <w:r w:rsidR="004C025D" w:rsidRPr="00F1378A">
        <w:t>.</w:t>
      </w:r>
    </w:p>
    <w:p w14:paraId="53CC6EA8" w14:textId="77777777" w:rsidR="00EB6D48" w:rsidRPr="008963CA" w:rsidRDefault="00EB6D48" w:rsidP="00EB6D48">
      <w:pPr>
        <w:spacing w:before="100" w:beforeAutospacing="1" w:after="100" w:afterAutospacing="1" w:line="480" w:lineRule="auto"/>
        <w:mirrorIndents/>
        <w:rPr>
          <w:rFonts w:eastAsia="Calibri"/>
        </w:rPr>
      </w:pPr>
    </w:p>
    <w:p w14:paraId="2A04B5F1" w14:textId="3E04A15F" w:rsidR="008D16FC" w:rsidRPr="00EB6D48" w:rsidRDefault="00EB6D48" w:rsidP="00EB6D48">
      <w:pPr>
        <w:spacing w:before="100" w:beforeAutospacing="1" w:after="100" w:afterAutospacing="1" w:line="480" w:lineRule="auto"/>
        <w:mirrorIndents/>
        <w:rPr>
          <w:rFonts w:eastAsia="Calibri"/>
          <w:i/>
          <w:iCs/>
        </w:rPr>
      </w:pPr>
      <w:r w:rsidRPr="001E6575">
        <w:rPr>
          <w:rFonts w:eastAsia="Calibri"/>
          <w:i/>
          <w:iCs/>
        </w:rPr>
        <w:t>Study Species</w:t>
      </w:r>
    </w:p>
    <w:p w14:paraId="5E16B3DB" w14:textId="0BE9B7BF" w:rsidR="00F364C9" w:rsidRDefault="00DB28E8" w:rsidP="00D06E69">
      <w:pPr>
        <w:spacing w:before="100" w:beforeAutospacing="1" w:after="100" w:afterAutospacing="1" w:line="480" w:lineRule="auto"/>
        <w:ind w:firstLine="720"/>
        <w:mirrorIndents/>
        <w:rPr>
          <w:rFonts w:eastAsia="Calibri"/>
          <w:iCs/>
          <w:kern w:val="0"/>
          <w:szCs w:val="24"/>
        </w:rPr>
      </w:pPr>
      <w:r>
        <w:rPr>
          <w:rFonts w:eastAsia="Calibri"/>
          <w:iCs/>
          <w:kern w:val="0"/>
          <w:szCs w:val="24"/>
        </w:rPr>
        <w:t>The g</w:t>
      </w:r>
      <w:r w:rsidR="002950FE">
        <w:rPr>
          <w:rFonts w:eastAsia="Calibri"/>
          <w:iCs/>
          <w:kern w:val="0"/>
          <w:szCs w:val="24"/>
        </w:rPr>
        <w:t>opher torto</w:t>
      </w:r>
      <w:r>
        <w:rPr>
          <w:rFonts w:eastAsia="Calibri"/>
          <w:iCs/>
          <w:kern w:val="0"/>
          <w:szCs w:val="24"/>
        </w:rPr>
        <w:t>ise is the only native tortoise found east of the Mississippi River</w:t>
      </w:r>
      <w:r w:rsidR="002950FE">
        <w:rPr>
          <w:rFonts w:eastAsia="Calibri"/>
          <w:iCs/>
          <w:kern w:val="0"/>
          <w:szCs w:val="24"/>
        </w:rPr>
        <w:t xml:space="preserve"> </w:t>
      </w:r>
      <w:r w:rsidR="002950FE">
        <w:rPr>
          <w:rFonts w:eastAsia="Calibri"/>
          <w:iCs/>
          <w:kern w:val="0"/>
          <w:szCs w:val="24"/>
        </w:rPr>
        <w:fldChar w:fldCharType="begin"/>
      </w:r>
      <w:r w:rsidR="0018004F">
        <w:rPr>
          <w:rFonts w:eastAsia="Calibri"/>
          <w:iCs/>
          <w:kern w:val="0"/>
          <w:szCs w:val="24"/>
        </w:rPr>
        <w:instrText xml:space="preserve"> ADDIN ZOTERO_ITEM CSL_CITATION {"citationID":"YQxP8dF8","properties":{"formattedCitation":"(Auffenberg and Franz 1982, Bury and Germano 1994, Edwards et al. 2016)","plainCitation":"(Auffenberg and Franz 1982, Bury and Germano 1994, Edwards et al. 2016)","noteIndex":0},"citationItems":[{"id":5815,"uris":["http://zotero.org/users/10895328/items/PC8AIVD8"],"itemData":{"id":5815,"type":"article-journal","container-title":"North American Tortoises: Conservation Ecology","page":"95-126","title":"The status and distribution of the gopher tortoise (Gopherus polyphemus)","author":[{"family":"Auffenberg","given":"W."},{"family":"Franz","given":"R."}],"issued":{"date-parts":[["1982"]]}}},{"id":6161,"uris":["http://zotero.org/users/10895328/items/UUIA5PP4"],"itemData":{"id":6161,"type":"report","collection-title":"Fish and Wildlife Research","event-place":"Washington, D.C.","genre":"Report","language":"English","number":"13","publisher-place":"Washington, D.C.","source":"USGS Publications Warehouse","title":"Biology of North American tortoises","author":[{"family":"Bury","given":"R. Bruce"},{"family":"Germano","given":"David J."}],"issued":{"date-parts":[["1994"]]}}},{"id":15718,"uris":["http://zotero.org/users/10895328/items/9D9MG4UP"],"itemData":{"id":15718,"type":"article-journal","abstract":"Desert tortoises (Testudines; Testudinidae; Gopherus agassizii group) have an extensive distribution throughout the Mojave, Colorado, and Sonoran desert regions. Not surprisingly, they exhibit a tremendous amount of ecological, behavioral, morphological and genetic variation. Gopherus agassizii was considered a single species for almost 150 years but recently the species was split into the nominate form and Morafka’s desert tortoise, G. morafkai, the latter occurring south and east of the Colorado River. Whereas a large body of literature focuses on tortoises in the United States, a dearth of investigations exists for Mexican animals. Notwithstanding, Mexican populations of desert tortoises in the southern part of the range of G. morafkai are distinct, particularly where the tortoises occur in tropical thornscrub and tropical deciduous forest. Recent studies have shed light on the ecology, morphology and genetics of these southern ‘desert’ tortoises. All evidence warrants recognition of this clade as a distinctive taxon and herein we describe it as Gopherus evgoodei sp. n. The description of the new species significantly reduces and limits the distribution of G. morafkai to desertscrub habitat only. By contrast, G. evgoodei sp. n. occurs in thornscrub and tropical deciduous forests only and this leaves it with the smallest range of the three sister species. We present conservation implications for the newly described Gopherus evgoodei, which already faces impending threats.","container-title":"ZooKeys","DOI":"10.3897/zookeys.562.6124","ISSN":"1313-2970, 1313-2989","journalAbbreviation":"ZK","language":"en","page":"131-158","source":"DOI.org (Crossref)","title":"The desert tortoise trichotomy: Mexico hosts a third, new sister-species of tortoise in the Gopherus morafkai–G. agassizii group","title-short":"The desert tortoise trichotomy","volume":"562","author":[{"family":"Edwards","given":"Taylor"},{"family":"Karl","given":"Alice"},{"family":"Vaughn","given":"Mercy"},{"family":"Rosen","given":"Philip"},{"family":"Meléndez Torres","given":"Christina"},{"family":"Murphy","given":"Robert"}],"issued":{"date-parts":[["2016",2,10]]}}}],"schema":"https://github.com/citation-style-language/schema/raw/master/csl-citation.json"} </w:instrText>
      </w:r>
      <w:r w:rsidR="002950FE">
        <w:rPr>
          <w:rFonts w:eastAsia="Calibri"/>
          <w:iCs/>
          <w:kern w:val="0"/>
          <w:szCs w:val="24"/>
        </w:rPr>
        <w:fldChar w:fldCharType="separate"/>
      </w:r>
      <w:r w:rsidR="0018004F" w:rsidRPr="0018004F">
        <w:rPr>
          <w:rFonts w:eastAsia="Calibri"/>
        </w:rPr>
        <w:t>(Auffenberg and Franz 1982, Bury and Germano 1994, Edwards et al. 2016)</w:t>
      </w:r>
      <w:r w:rsidR="002950FE">
        <w:rPr>
          <w:rFonts w:eastAsia="Calibri"/>
          <w:iCs/>
          <w:kern w:val="0"/>
          <w:szCs w:val="24"/>
        </w:rPr>
        <w:fldChar w:fldCharType="end"/>
      </w:r>
      <w:r>
        <w:rPr>
          <w:rFonts w:eastAsia="Calibri"/>
          <w:iCs/>
          <w:kern w:val="0"/>
          <w:szCs w:val="24"/>
        </w:rPr>
        <w:t>. Its range spans</w:t>
      </w:r>
      <w:r w:rsidR="002950FE">
        <w:rPr>
          <w:rFonts w:eastAsia="Calibri"/>
          <w:iCs/>
          <w:kern w:val="0"/>
          <w:szCs w:val="24"/>
        </w:rPr>
        <w:t xml:space="preserve"> the southeastern United States, from Louisiana </w:t>
      </w:r>
      <w:r w:rsidR="00C7473B">
        <w:rPr>
          <w:rFonts w:eastAsia="Calibri"/>
          <w:iCs/>
          <w:kern w:val="0"/>
          <w:szCs w:val="24"/>
        </w:rPr>
        <w:t>to</w:t>
      </w:r>
      <w:r w:rsidR="002950FE">
        <w:rPr>
          <w:rFonts w:eastAsia="Calibri"/>
          <w:iCs/>
          <w:kern w:val="0"/>
          <w:szCs w:val="24"/>
        </w:rPr>
        <w:t xml:space="preserve"> South Carolina and south </w:t>
      </w:r>
      <w:r>
        <w:rPr>
          <w:rFonts w:eastAsia="Calibri"/>
          <w:iCs/>
          <w:kern w:val="0"/>
          <w:szCs w:val="24"/>
        </w:rPr>
        <w:t xml:space="preserve">into Miami-Dade County and </w:t>
      </w:r>
      <w:r w:rsidR="002950FE">
        <w:rPr>
          <w:rFonts w:eastAsia="Calibri"/>
          <w:iCs/>
          <w:kern w:val="0"/>
          <w:szCs w:val="24"/>
        </w:rPr>
        <w:t>Cape Sable</w:t>
      </w:r>
      <w:r>
        <w:rPr>
          <w:rFonts w:eastAsia="Calibri"/>
          <w:iCs/>
          <w:kern w:val="0"/>
          <w:szCs w:val="24"/>
        </w:rPr>
        <w:t xml:space="preserve"> in Florida</w:t>
      </w:r>
      <w:r w:rsidR="002950FE">
        <w:rPr>
          <w:rFonts w:eastAsia="Calibri"/>
          <w:iCs/>
          <w:kern w:val="0"/>
          <w:szCs w:val="24"/>
        </w:rPr>
        <w:t xml:space="preserve"> </w:t>
      </w:r>
      <w:r w:rsidR="002950FE">
        <w:rPr>
          <w:rFonts w:eastAsia="Calibri"/>
          <w:iCs/>
          <w:kern w:val="0"/>
          <w:szCs w:val="24"/>
        </w:rPr>
        <w:fldChar w:fldCharType="begin"/>
      </w:r>
      <w:r w:rsidR="00CE14F1">
        <w:rPr>
          <w:rFonts w:eastAsia="Calibri"/>
          <w:iCs/>
          <w:kern w:val="0"/>
          <w:szCs w:val="24"/>
        </w:rPr>
        <w:instrText xml:space="preserve"> ADDIN ZOTERO_ITEM CSL_CITATION {"citationID":"jC28fwCs","properties":{"formattedCitation":"(Kushlan and Mazzotti 1984, Enge et al. 2004, Waddle et al. 2006, Whitfield et al. 2024)","plainCitation":"(Kushlan and Mazzotti 1984, Enge et al. 2004, Waddle et al. 2006, Whitfield et al. 2024)","noteIndex":0},"citationItems":[{"id":7721,"uris":["http://zotero.org/users/10895328/items/M39RAFG2"],"itemData":{"id":7721,"type":"article-journal","abstract":"[Gopher tortoises (Gopherus polyphemus) typically occur in upland xeric habitats, where long-term stability is thought to be required for population persistance. The southernmost population on Cape Sable, Florida, occupies 113 ha of unstable coastal dunes. This isolated population is relatively dense, estimated at 11.3 tortoises/ha, and consists of over 1200 tortoises. Burrows are randomly distributed over the coastal grassland habitat. The size distribution of burrows suggests the occurrence of larger animals than in other populations studied, probably owing to the long-term absence of human predation. Population density seems to have increased substantially in the 16 years since the last hurricane passed over the area. Environmental conditions, particularly storms and drought, may explain the recent population trend, size structure, and distribution of this coastal population.]","container-title":"Journal of Herpetology","DOI":"10.2307/1564076","ISSN":"00221511, 19372418","issue":"3","journalAbbreviation":"J Herpetol","page":"231-239","source":"JSTOR","title":"Environmental Effects on a Coastal Population of Gopher Tortoises","volume":"18","author":[{"family":"Kushlan","given":"James A."},{"family":"Mazzotti","given":"Frank J."}],"issued":{"date-parts":[["1984"]]}}},{"id":6692,"uris":["http://zotero.org/users/10895328/items/TGPJIBGQ"],"itemData":{"id":6692,"type":"article-journal","container-title":"Florida Scientist","ISSN":"0098-4590","issue":"3","page":"194-204","title":"Reptile surveys of pine rockland habitat in six Miami-Dade County parks","volume":"67","author":[{"family":"Enge","given":"K. M."},{"family":"Robson","given":"M. S."},{"family":"Krysko","given":"K. L."}],"issued":{"date-parts":[["2004"]]}}},{"id":9480,"uris":["http://zotero.org/users/10895328/items/DK83442I"],"itemData":{"id":9480,"type":"article-journal","container-title":"Southeastern Naturalist","issue":"2","journalAbbreviation":"Southeast Nat","page":"277-284, 8","title":"Changes in Abundance of Gopher Tortoise Burrows at Cape Sable, Florida","volume":"5","author":[{"family":"Waddle","given":"J. Hardin"},{"family":"Mazzotti","given":"Frank J."},{"family":"Rice","given":"Kenneth G."}],"issued":{"date-parts":[["2006"]]}}},{"id":19447,"uris":["http://zotero.org/users/10895328/items/6UHJVMME"],"itemData":{"id":19447,"type":"article-journal","abstract":"Gopherus polyphemus (Gopher Tortoise) populations are declining throughout their range. Western Gopher Tortoise populations have received strict legal protections and substantial research, yet similarly declining populations in southeastern Florida have received far less conservation and research attention. Herein we conduct the first review of Gopher Tortoise populations in extreme southeastern Florida (Palm Beach, Broward, and Miami-Dade counties), an area heavily impacted by anthropogenic stressors such as urbanization, habitat fragmentation, and climate change. Our objectives were to document the existing distribution of Gopher Tortoises in southeastern Florida, to assess age structure, to evaluate habitat associations, and to review habitat-management activities at focal sites in this region. Among the authors, we knew of 8 focal Gopher Tortoise sites in South Florida. We supplemented this site knowledge with occurrence records from community-science databases, and we found 30 additional ground-verified, tortoise localities across the study area. We surveyed burrows at the 8 focal sites and measured burrow width at 1283 burrows across 6 of these focal sites to estimate age structure. Tortoise populations were generally in small, protected areas (average of 43 ha, median of 18 ha). Of our 6 sites with burrow-size data, all showed presence of adult and juvenile burrows consistent with reproduction, but 4 showed bimodal size structures suggesting low or intermittent survival of subadult tortoises. This data synthesis should be foundational for the development of evidence-based conservation planning for populations of the species confronted by impacts from urbanization and climate change. We highlight conservation and research needs for tortoise populations in extreme southeastern Florida.","container-title":"Southeastern Naturalist","issue":"3","language":"en","source":"Zotero","title":"Status, Distribution, and Management of Gopher Tortoises in Highly Urbanized Southeastern Florida","volume":"23","author":[{"family":"Whitfield","given":"Steven M"},{"family":"Scholl","given":"Joshua P"},{"family":"Frazier","given":"Evelyn M"},{"family":"Hendrickson","given":"Katherine"},{"family":"Figueroa","given":"Adrian"},{"family":"Melanson","given":"Lauren"},{"family":"Schneider","given":"Renata"},{"family":"Rothberg","given":"Olivia"},{"family":"Ghenassia","given":"Julie"},{"family":"Moore","given":"Jon A"}],"issued":{"date-parts":[["2024"]]}}}],"schema":"https://github.com/citation-style-language/schema/raw/master/csl-citation.json"} </w:instrText>
      </w:r>
      <w:r w:rsidR="002950FE">
        <w:rPr>
          <w:rFonts w:eastAsia="Calibri"/>
          <w:iCs/>
          <w:kern w:val="0"/>
          <w:szCs w:val="24"/>
        </w:rPr>
        <w:fldChar w:fldCharType="separate"/>
      </w:r>
      <w:r w:rsidR="00CE14F1" w:rsidRPr="00CE14F1">
        <w:rPr>
          <w:rFonts w:eastAsia="Calibri"/>
        </w:rPr>
        <w:t>(Kushlan and Mazzotti 1984, Enge et al. 2004, Waddle et al. 2006, Whitfield et al. 2024)</w:t>
      </w:r>
      <w:r w:rsidR="002950FE">
        <w:rPr>
          <w:rFonts w:eastAsia="Calibri"/>
          <w:iCs/>
          <w:kern w:val="0"/>
          <w:szCs w:val="24"/>
        </w:rPr>
        <w:fldChar w:fldCharType="end"/>
      </w:r>
      <w:r w:rsidR="002950FE">
        <w:rPr>
          <w:rFonts w:eastAsia="Calibri"/>
          <w:iCs/>
          <w:kern w:val="0"/>
          <w:szCs w:val="24"/>
        </w:rPr>
        <w:t>. Gopher tortoises support over 350 commensal</w:t>
      </w:r>
      <w:r w:rsidR="004A541F">
        <w:rPr>
          <w:rFonts w:eastAsia="Calibri"/>
          <w:iCs/>
          <w:kern w:val="0"/>
          <w:szCs w:val="24"/>
        </w:rPr>
        <w:t xml:space="preserve"> animal species</w:t>
      </w:r>
      <w:r w:rsidR="002950FE">
        <w:rPr>
          <w:rFonts w:eastAsia="Calibri"/>
          <w:iCs/>
          <w:kern w:val="0"/>
          <w:szCs w:val="24"/>
        </w:rPr>
        <w:t xml:space="preserve"> that </w:t>
      </w:r>
      <w:r w:rsidR="002950FE">
        <w:rPr>
          <w:rFonts w:eastAsia="Calibri"/>
          <w:iCs/>
          <w:kern w:val="0"/>
          <w:szCs w:val="24"/>
        </w:rPr>
        <w:lastRenderedPageBreak/>
        <w:t xml:space="preserve">use their burrows </w:t>
      </w:r>
      <w:r w:rsidR="002950FE">
        <w:rPr>
          <w:rFonts w:eastAsia="Calibri"/>
          <w:iCs/>
          <w:kern w:val="0"/>
          <w:szCs w:val="24"/>
        </w:rPr>
        <w:fldChar w:fldCharType="begin"/>
      </w:r>
      <w:r w:rsidR="00400A4C">
        <w:rPr>
          <w:rFonts w:eastAsia="Calibri"/>
          <w:iCs/>
          <w:kern w:val="0"/>
          <w:szCs w:val="24"/>
        </w:rPr>
        <w:instrText xml:space="preserve"> ADDIN ZOTERO_ITEM CSL_CITATION {"citationID":"fV2TSi58","properties":{"formattedCitation":"(Diemer 1986, Lips 1991)","plainCitation":"(Diemer 1986, Lips 1991)","noteIndex":0},"citationItems":[{"id":6570,"uris":["http://zotero.org/users/10895328/items/YLLYDKN8"],"itemData":{"id":6570,"type":"article-journal","abstract":"[Recent research on the gopher tortoise (Gopherus polyphemus) has indicated its ecological importance, revealed reasons for its decline, and suggested management strategies. It is generally associated with the sandhill community but occurs in a variety of other natural and ruderal habitats. Limiting factors include well-drained sandy soil, adequate herbaceous food, and sunlit nesting sites. Tortoise densities and movements are related to herbaceous biomass. As the principal sandhill grazer, the gopher tortoise serves as a seed dispersal agent for native groundstory plants. The burrowing habits of the gopher tortoise return leached nutrients to the surface and the burrows provide refuges for many other species. Female gopher tortoises reach sexual maturity at 10-20 yr of age and produce a single annual clutch of about six eggs. Recruitment is reduced by heavy egg and hatchling predation. The major reasons for the decline of the gopher tortoise are habitat destruction, habitat degradation, and human predation. Recommended conservation measures include prescribed burning of sandhill habitat, establishment of preserves, protection from over-harvest, restocking, and public education.]","container-title":"Herpetologica","ISSN":"00180831, 19385099","issue":"1","journalAbbreviation":"Herpetologica","page":"125-133","source":"JSTOR","title":"The Ecology and Management of the Gopher Tortoise in the Southeastern United States","volume":"42","author":[{"family":"Diemer","given":"Joan E."}],"issued":{"date-parts":[["1986"]]}}},{"id":7843,"uris":["http://zotero.org/users/10895328/items/XYIB4BD3"],"itemData":{"id":7843,"type":"article-journal","container-title":"Journal of Herpetology","DOI":"Doi 10.2307/1564772","ISSN":"0022-1511","issue":"4","journalAbbreviation":"J Herpetol","language":"English","page":"477-481","title":"Vertebrates Associated with Tortoise (Gopherus polyphemus) Burrows in 4 Habitats in South-Central Florida","volume":"25","author":[{"family":"Lips","given":"K. R."}],"issued":{"date-parts":[["1991",12]]}}}],"schema":"https://github.com/citation-style-language/schema/raw/master/csl-citation.json"} </w:instrText>
      </w:r>
      <w:r w:rsidR="002950FE">
        <w:rPr>
          <w:rFonts w:eastAsia="Calibri"/>
          <w:iCs/>
          <w:kern w:val="0"/>
          <w:szCs w:val="24"/>
        </w:rPr>
        <w:fldChar w:fldCharType="separate"/>
      </w:r>
      <w:r w:rsidR="00400A4C" w:rsidRPr="00400A4C">
        <w:rPr>
          <w:rFonts w:eastAsia="Calibri"/>
        </w:rPr>
        <w:t>(Diemer 1986, Lips 1991)</w:t>
      </w:r>
      <w:r w:rsidR="002950FE">
        <w:rPr>
          <w:rFonts w:eastAsia="Calibri"/>
          <w:iCs/>
          <w:kern w:val="0"/>
          <w:szCs w:val="24"/>
        </w:rPr>
        <w:fldChar w:fldCharType="end"/>
      </w:r>
      <w:r w:rsidR="002950FE">
        <w:rPr>
          <w:rFonts w:eastAsia="Calibri"/>
          <w:iCs/>
          <w:kern w:val="0"/>
          <w:szCs w:val="24"/>
        </w:rPr>
        <w:t xml:space="preserve"> and are known to forage on over 1000 plant species across their range </w:t>
      </w:r>
      <w:r w:rsidR="002950FE">
        <w:rPr>
          <w:rFonts w:eastAsia="Calibri"/>
          <w:iCs/>
          <w:kern w:val="0"/>
          <w:szCs w:val="24"/>
        </w:rPr>
        <w:fldChar w:fldCharType="begin"/>
      </w:r>
      <w:r w:rsidR="00400A4C">
        <w:rPr>
          <w:rFonts w:eastAsia="Calibri"/>
          <w:iCs/>
          <w:kern w:val="0"/>
          <w:szCs w:val="24"/>
        </w:rPr>
        <w:instrText xml:space="preserve"> ADDIN ZOTERO_ITEM CSL_CITATION {"citationID":"blhnVhQe","properties":{"formattedCitation":"(Ashton and Ashton 2008)","plainCitation":"(Ashton and Ashton 2008)","noteIndex":0},"citationItems":[{"id":5804,"uris":["http://zotero.org/users/10895328/items/SICXYKIJ"],"itemData":{"id":5804,"type":"article-journal","container-title":"Gopherus polyphemus","page":"65-93","title":"The Natural History and Management of the Gopher Tortoise","author":[{"family":"Ashton","given":"Ray E."},{"family":"Ashton","given":"Patricia S."}],"issued":{"date-parts":[["2008"]]}}}],"schema":"https://github.com/citation-style-language/schema/raw/master/csl-citation.json"} </w:instrText>
      </w:r>
      <w:r w:rsidR="002950FE">
        <w:rPr>
          <w:rFonts w:eastAsia="Calibri"/>
          <w:iCs/>
          <w:kern w:val="0"/>
          <w:szCs w:val="24"/>
        </w:rPr>
        <w:fldChar w:fldCharType="separate"/>
      </w:r>
      <w:r w:rsidR="00400A4C" w:rsidRPr="00400A4C">
        <w:rPr>
          <w:rFonts w:eastAsia="Calibri"/>
        </w:rPr>
        <w:t>(Ashton and Ashton 2008)</w:t>
      </w:r>
      <w:r w:rsidR="002950FE">
        <w:rPr>
          <w:rFonts w:eastAsia="Calibri"/>
          <w:iCs/>
          <w:kern w:val="0"/>
          <w:szCs w:val="24"/>
        </w:rPr>
        <w:fldChar w:fldCharType="end"/>
      </w:r>
      <w:r w:rsidR="002950FE">
        <w:rPr>
          <w:rFonts w:eastAsia="Calibri"/>
          <w:iCs/>
          <w:kern w:val="0"/>
          <w:szCs w:val="24"/>
        </w:rPr>
        <w:t>.</w:t>
      </w:r>
      <w:r w:rsidR="002950FE" w:rsidRPr="0066345A">
        <w:rPr>
          <w:rFonts w:eastAsia="Calibri"/>
          <w:iCs/>
          <w:kern w:val="0"/>
          <w:szCs w:val="24"/>
        </w:rPr>
        <w:t xml:space="preserve"> </w:t>
      </w:r>
    </w:p>
    <w:p w14:paraId="60B5B2B0" w14:textId="55A022F4" w:rsidR="00317065" w:rsidRDefault="003B2F4F" w:rsidP="00D06E69">
      <w:pPr>
        <w:spacing w:before="100" w:beforeAutospacing="1" w:after="100" w:afterAutospacing="1" w:line="480" w:lineRule="auto"/>
        <w:ind w:firstLine="720"/>
        <w:mirrorIndents/>
        <w:rPr>
          <w:rFonts w:eastAsia="Calibri"/>
          <w:iCs/>
          <w:kern w:val="0"/>
          <w:szCs w:val="24"/>
        </w:rPr>
      </w:pPr>
      <w:r>
        <w:rPr>
          <w:rFonts w:eastAsia="Calibri"/>
          <w:iCs/>
          <w:kern w:val="0"/>
          <w:szCs w:val="24"/>
        </w:rPr>
        <w:t>M</w:t>
      </w:r>
      <w:r w:rsidR="002950FE">
        <w:rPr>
          <w:rFonts w:eastAsia="Calibri"/>
          <w:iCs/>
          <w:kern w:val="0"/>
          <w:szCs w:val="24"/>
        </w:rPr>
        <w:t xml:space="preserve">any studies have </w:t>
      </w:r>
      <w:r w:rsidR="00153F0C">
        <w:rPr>
          <w:rFonts w:eastAsia="Calibri"/>
          <w:iCs/>
          <w:kern w:val="0"/>
          <w:szCs w:val="24"/>
        </w:rPr>
        <w:t>investigated</w:t>
      </w:r>
      <w:r w:rsidR="002950FE">
        <w:rPr>
          <w:rFonts w:eastAsia="Calibri"/>
          <w:iCs/>
          <w:kern w:val="0"/>
          <w:szCs w:val="24"/>
        </w:rPr>
        <w:t xml:space="preserve"> the </w:t>
      </w:r>
      <w:r>
        <w:rPr>
          <w:rFonts w:eastAsia="Calibri"/>
          <w:iCs/>
          <w:kern w:val="0"/>
          <w:szCs w:val="24"/>
        </w:rPr>
        <w:t xml:space="preserve">diet and </w:t>
      </w:r>
      <w:r w:rsidR="002950FE">
        <w:rPr>
          <w:rFonts w:eastAsia="Calibri"/>
          <w:iCs/>
          <w:kern w:val="0"/>
          <w:szCs w:val="24"/>
        </w:rPr>
        <w:t xml:space="preserve">foraging ecology </w:t>
      </w:r>
      <w:r w:rsidR="009D020E">
        <w:rPr>
          <w:rFonts w:eastAsia="Calibri"/>
          <w:iCs/>
          <w:kern w:val="0"/>
          <w:szCs w:val="24"/>
        </w:rPr>
        <w:t>of this species</w:t>
      </w:r>
      <w:r w:rsidR="002950FE">
        <w:rPr>
          <w:rFonts w:eastAsia="Calibri"/>
          <w:iCs/>
          <w:kern w:val="0"/>
          <w:szCs w:val="24"/>
        </w:rPr>
        <w:t xml:space="preserve"> </w:t>
      </w:r>
      <w:r w:rsidR="002950FE">
        <w:rPr>
          <w:rFonts w:eastAsia="Calibri"/>
          <w:iCs/>
          <w:kern w:val="0"/>
          <w:szCs w:val="24"/>
        </w:rPr>
        <w:fldChar w:fldCharType="begin"/>
      </w:r>
      <w:r w:rsidR="00400A4C">
        <w:rPr>
          <w:rFonts w:eastAsia="Calibri"/>
          <w:iCs/>
          <w:kern w:val="0"/>
          <w:szCs w:val="24"/>
        </w:rPr>
        <w:instrText xml:space="preserve"> ADDIN ZOTERO_ITEM CSL_CITATION {"citationID":"O4apdcc8","properties":{"formattedCitation":"(McRae et al. 1981, MacDonald and Mushinsky 1988, Mushinsky et al. 2003, Ashton and Ashton 2008)","plainCitation":"(McRae et al. 1981, MacDonald and Mushinsky 1988, Mushinsky et al. 2003, Ashton and Ashton 2008)","noteIndex":0},"citationItems":[{"id":5804,"uris":["http://zotero.org/users/10895328/items/SICXYKIJ"],"itemData":{"id":5804,"type":"article-journal","container-title":"Gopherus polyphemus","page":"65-93","title":"The Natural History and Management of the Gopher Tortoise","author":[{"family":"Ashton","given":"Ray E."},{"family":"Ashton","given":"Patricia S."}],"issued":{"date-parts":[["2008"]]}}},{"id":7934,"uris":["http://zotero.org/users/10895328/items/SZ8SSDJ6"],"itemData":{"id":7934,"type":"article-journal","abstract":"[Scat analysis and foraging observations were used to determine the diet of a gopher tortoise, Gopherus polyphemus, population in a sandhill community in west-central Florida. Vegetation was assessed to determine plant availability. The bulk of the gopher tortoise diet was composed of dominant plants in the habitat, although the tortoises were selective with respect to most plant genera. Tortoises ingested many plant taxa, with Poaceae, Asteraceae, Fabaceae, Pinaceae, and Fagaceae being the most frequent components of the diet. Sixty-eight genera from 26 families were identified in the diet. In the scat, the most common genus identified was Aristida and the most common family was Poaceae. Other common genera were Pinus, Quercus, Galactia, Cnidoscolus, Tillandsia, Pityopsis, and Richardia. Insects and charcoal were often present in scats. Comparing the overall diet indicated no difference between sexes or age groups. Comparing diet with respect to individual plant taxa indicated that young tortoises ingested significantly less Poaceae and fewer plants with external defense mechanisms (Rubus, Cnidoscolus) than did adults. Non-plant items may be a significant source of nutrients. Jacobs' Electivity Index indicated that the tortoises preferred Galactia and Tephrosia, Cnidoscolus, Pinus, Quercus, Vaccinium, Richardia, and Rubiaceae. Some of the most common plants in the habitat (Poaceae, Aristida, Asteraceae), were selected at or below the proportions at which they were available. Feinsinger's Proportional Similarity Index indicated the foraging habits of the gopher tortoise lie midway between a specialist and generalist.]","container-title":"Herpetologica","ISSN":"00180831, 19385099","issue":"3","journalAbbreviation":"Herpetologica","page":"345-353","source":"JSTOR","title":"Foraging Ecology of the Gopher Tortoise, Gopherus polyphemus, in a Sandhill Habitat","volume":"44","author":[{"family":"MacDonald","given":"L. A."},{"family":"Mushinsky","given":"H. R."}],"issued":{"date-parts":[["1988"]]}}},{"id":8075,"uris":["http://zotero.org/users/10895328/items/IE58MGTL"],"itemData":{"id":8075,"type":"article-journal","abstract":"Movement patterns and home ranges of gopher tortoises (Gopherus polyphemus) in southwestern Georgia varied seasonally and were determined largely by social interaction. Adults congregated in breeding colonies on droughty sites in early spring. During spring and summer, females were more sedentary than males; burrow preferences and movements of males were largely determined by mate-seeking and hierarchial behaviors. Individuals began to disperse from breeding colonies by late summer and about half moved to adjacent autumn-winter range on more mesic soils, likely due to the better food supply Adults used a minimum of three burrows during an activity season (x&amp;#x304; = four for females, seven for males) and did not co-occupy burrows overnight. Juveniles typically moved short distances and used only 1 or 2 burrows, but usually left the vicinity of breeding colonies before or during the years as subadults. This dispersal is apparently an important mechanism for adding young adults to sparsely populated colonies and for forming new colonies.","container-title":"The American Midland Naturalist","DOI":"10.2307/2425146","ISSN":"00030031, 19384238","issue":"1","page":"165-179","source":"JSTOR","title":"Movement Patterns and Home Range of the Gopher Tortoise","volume":"106","author":[{"family":"McRae","given":"W. Alan"},{"family":"Landers","given":"J. Larry"},{"family":"Garner","given":"James A."}],"issued":{"date-parts":[["1981"]]}}},{"id":8244,"uris":["http://zotero.org/users/10895328/items/3QJQPUMG"],"itemData":{"id":8244,"type":"article-journal","abstract":"We documented both the diet and dietary preference of free-ranging juvenile gopher tortoises (Gopherus polyphemus) by direct observation. All observations were conducted on a 1-ha plot of sandhill habitat that has been maintained on a 1-yr fire periodicity by controlled burning for more than 25 yr. Seventeen foraging observations of juvenile gopher tortoises were included in our analyses. juvenile gopher tortoises ate 26 plant genera. To determine of juvenile gopher tortoises were selecting particular genera, either positively or negatively, we used Resampling Stats. Plants of 16 genera were selected positively by at least one juvenile gopher tortoise. The most abundant plant genus along the foraging paths, Aristida, was selected negatively. Other grasses (Poaceae) were consumed mostly during the cool months when forbs, several of which were selected positively, were in decline. Grasses mostly were eaten in proportion to their availability. juvenile gopher tortoises foraged only for brief time periods and traveled short distances during a foraging bout. Individuals may satiate quickly and/or may be predisposed to remain near their borrow because they are vulnerable to thermal stress and/or predation. Turtles residing in habitats with high quality and abundant forage grow rapidly to sexual maturity, which, in turn, can increase population growth rate. Understanding the biology of the juvenile gopher tortoise can help shape management practices that prevent declines of gopher tortoise populations.","container-title":"Herpetologica","DOI":"Doi 10.1655/02-50","ISSN":"0018-0831","issue":"4","journalAbbreviation":"Herpetologica","language":"English","page":"475-483","title":"Diet and dietary preference of the juvenile gopher tortoise (Gopherus polyphemus)","volume":"59","author":[{"family":"Mushinsky","given":"H. R."},{"family":"Stilson","given":"T. A."},{"family":"McCoy","given":"E. D."}],"issued":{"date-parts":[["2003",12]]}}}],"schema":"https://github.com/citation-style-language/schema/raw/master/csl-citation.json"} </w:instrText>
      </w:r>
      <w:r w:rsidR="002950FE">
        <w:rPr>
          <w:rFonts w:eastAsia="Calibri"/>
          <w:iCs/>
          <w:kern w:val="0"/>
          <w:szCs w:val="24"/>
        </w:rPr>
        <w:fldChar w:fldCharType="separate"/>
      </w:r>
      <w:r w:rsidR="00400A4C" w:rsidRPr="00400A4C">
        <w:rPr>
          <w:rFonts w:eastAsia="Calibri"/>
        </w:rPr>
        <w:t>(McRae et al. 1981, MacDonald and Mushinsky 1988, Mushinsky et al. 2003, Ashton and Ashton 2008)</w:t>
      </w:r>
      <w:r w:rsidR="002950FE">
        <w:rPr>
          <w:rFonts w:eastAsia="Calibri"/>
          <w:iCs/>
          <w:kern w:val="0"/>
          <w:szCs w:val="24"/>
        </w:rPr>
        <w:fldChar w:fldCharType="end"/>
      </w:r>
      <w:r w:rsidR="002950FE">
        <w:rPr>
          <w:rFonts w:eastAsia="Calibri"/>
          <w:iCs/>
          <w:kern w:val="0"/>
          <w:szCs w:val="24"/>
        </w:rPr>
        <w:t>,</w:t>
      </w:r>
      <w:r>
        <w:rPr>
          <w:rFonts w:eastAsia="Calibri"/>
          <w:iCs/>
          <w:kern w:val="0"/>
          <w:szCs w:val="24"/>
        </w:rPr>
        <w:t xml:space="preserve"> </w:t>
      </w:r>
      <w:r w:rsidR="001E41E2">
        <w:rPr>
          <w:rFonts w:eastAsia="Calibri"/>
          <w:iCs/>
          <w:kern w:val="0"/>
          <w:szCs w:val="24"/>
        </w:rPr>
        <w:t>classifying it as an</w:t>
      </w:r>
      <w:r w:rsidR="00341313">
        <w:rPr>
          <w:rFonts w:eastAsia="Calibri"/>
          <w:iCs/>
          <w:kern w:val="0"/>
          <w:szCs w:val="24"/>
        </w:rPr>
        <w:t xml:space="preserve"> herbivore that </w:t>
      </w:r>
      <w:r w:rsidR="002A0ED5">
        <w:rPr>
          <w:rFonts w:eastAsia="Calibri"/>
          <w:iCs/>
          <w:kern w:val="0"/>
          <w:szCs w:val="24"/>
        </w:rPr>
        <w:t xml:space="preserve">opportunistically </w:t>
      </w:r>
      <w:r w:rsidR="00341313">
        <w:rPr>
          <w:rFonts w:eastAsia="Calibri"/>
          <w:iCs/>
          <w:kern w:val="0"/>
          <w:szCs w:val="24"/>
        </w:rPr>
        <w:t xml:space="preserve">engages in frugivory </w:t>
      </w:r>
      <w:r w:rsidR="00341313">
        <w:rPr>
          <w:rFonts w:eastAsia="Calibri"/>
          <w:iCs/>
          <w:kern w:val="0"/>
          <w:szCs w:val="24"/>
        </w:rPr>
        <w:fldChar w:fldCharType="begin"/>
      </w:r>
      <w:r w:rsidR="00341313">
        <w:rPr>
          <w:rFonts w:eastAsia="Calibri"/>
          <w:iCs/>
          <w:kern w:val="0"/>
          <w:szCs w:val="24"/>
        </w:rPr>
        <w:instrText xml:space="preserve"> ADDIN ZOTERO_ITEM CSL_CITATION {"citationID":"NoyVBxgw","properties":{"formattedCitation":"(Birkhead et al. 2005, Hanish 2018, Richardson and Stiling 2019a, 2019b)","plainCitation":"(Birkhead et al. 2005, Hanish 2018, Richardson and Stiling 2019a, 2019b)","noteIndex":0},"citationItems":[{"id":5996,"uris":["http://zotero.org/users/10895328/items/L92EB6L7"],"itemData":{"id":5996,"type":"article-journal","abstract":"This study documents the ingestion of leaves and seeds by gopher tortoises (Gopherus polyphemus) in a relatively intact pine savanna habitat. Fifty-three species of seeds were identified. Species richness of seeds ingested was highest during spring and fall and was lowest during summer. Grass seed and foliage were consumed consistently by tortoises throughout the year. Despite being found in only 12% of all scats, Rubus seed comprised half of all seeds recovered. Based on seeds in scats, tortoises ingested the fruits of plants in the same proportions in which the plants occurred immediately around active burrows. Although some kinds of leaves were less prevalent in scats than predicted by their availability near active tortoise burrows, this may have occurred because these leaves were digested and, therefore unrecognizable in scats. The role of the gopher tortoise as a generalist herbivore and an opportunistic frugivore was confirmed.","container-title":"American Midland Naturalist","DOI":"Doi 10.1674/0003-0031(2005)154[0143:Pofasi]2.0.Co;2","ISSN":"0003-0031","issue":"1","journalAbbreviation":"Am Midl Nat","language":"English","page":"143-151","title":"Patterns of folivory and seed ingestion by gopher tortoises (Gopherus polyphemus) in a southeastern pine savanna","volume":"154","author":[{"family":"Birkhead","given":"R. D."},{"family":"Guyer","given":"C."},{"family":"Hermann","given":"S. M."},{"family":"Michener","given":"W. K."}],"issued":{"date-parts":[["2005",7]]}}},{"id":7160,"uris":["http://zotero.org/users/10895328/items/NSSVF84B"],"itemData":{"id":7160,"type":"thesis","publisher":"Florida Atlantic University","title":"Seed Dispersal of the Cocoplum (Chrysobalanus icaco) by Gopher Tortoises (Gopherus polyphemus) in Southeastern Florida","author":[{"family":"Hanish","given":"Carolyn J."}],"issued":{"date-parts":[["2018"]]}}},{"id":8749,"uris":["http://zotero.org/users/10895328/items/HZWFI5C6"],"itemData":{"id":8749,"type":"article-journal","container-title":"The American Midland Naturalist","ISSN":"0003-0031","issue":"2","page":"181-190","title":"Gopher Tortoise (Gopherus polyphemus) Gut Passage Can Alter Seed Germinability","volume":"182","author":[{"family":"Richardson","given":"J. C."},{"family":"Stiling","given":"P."}],"issued":{"date-parts":[["2019"]]}}},{"id":8744,"uris":["http://zotero.org/users/10895328/items/GR9TNIXH"],"itemData":{"id":8744,"type":"article-journal","abstract":"Mammalian herbivores often alter plant species richness and diversity, but such impacts have not been much investigated in reptiles. This study examined the effects of gopher tortoise (Gopherus polyphemus) herbivory on species richness, Gini-Simpson diversity, and dominance, plant abundance, and biomass. Tortoise herbivory was eliminated in five areas through the use of exclosure plots for a period of two years and was compared to five similar areas where tortoises were allowed to feed. Cafeteria feeding trials were also used to quantify dietary preference. Tortoise exclosure plots had lowered species richness, and significantly lowered diversity, but significantly higher dominance than in controls. Heliotropium polyphyllum, the most highly preferred local species by tortoises, was the most dominant plant in exclosure and control plots and became even more dominant in exclosure plots. The abundance and biomass of the next two most common plant species, Fimbristylis cymosa and Polypremum procumbens, which are not preferred by tortoises, were reduced in the exclosures, probably due to increased competition with Heliotropium. Several rare plant species were eliminated in the exclosure plots. We conclude that tortoise herbivory may directly influence plant community assembly by reducing preferred plant species and promoting the growth of non-preferred species.","container-title":"Plant Ecology","DOI":"10.1007/s11258-019-00921-4","ISSN":"1385-0237","issue":"3","journalAbbreviation":"Plant Ecol","language":"English","page":"383-391","title":"Gopher tortoise herbivory increases plant species richness and diversity","volume":"220","author":[{"family":"Richardson","given":"J. C."},{"family":"Stiling","given":"P."}],"issued":{"date-parts":[["2019",3]]}}}],"schema":"https://github.com/citation-style-language/schema/raw/master/csl-citation.json"} </w:instrText>
      </w:r>
      <w:r w:rsidR="00341313">
        <w:rPr>
          <w:rFonts w:eastAsia="Calibri"/>
          <w:iCs/>
          <w:kern w:val="0"/>
          <w:szCs w:val="24"/>
        </w:rPr>
        <w:fldChar w:fldCharType="separate"/>
      </w:r>
      <w:r w:rsidR="00341313" w:rsidRPr="00341313">
        <w:rPr>
          <w:rFonts w:eastAsia="Calibri"/>
        </w:rPr>
        <w:t>(Birkhead et al. 2005, Hanish 2018, Richardson and Stiling 2019a, 2019b)</w:t>
      </w:r>
      <w:r w:rsidR="00341313">
        <w:rPr>
          <w:rFonts w:eastAsia="Calibri"/>
          <w:iCs/>
          <w:kern w:val="0"/>
          <w:szCs w:val="24"/>
        </w:rPr>
        <w:fldChar w:fldCharType="end"/>
      </w:r>
      <w:r w:rsidR="009B5DFD">
        <w:rPr>
          <w:rFonts w:eastAsia="Calibri"/>
          <w:iCs/>
          <w:kern w:val="0"/>
          <w:szCs w:val="24"/>
        </w:rPr>
        <w:t>.</w:t>
      </w:r>
      <w:r w:rsidR="00211D44">
        <w:rPr>
          <w:rFonts w:eastAsia="Calibri"/>
          <w:iCs/>
          <w:kern w:val="0"/>
          <w:szCs w:val="24"/>
        </w:rPr>
        <w:t xml:space="preserve"> As such, it is</w:t>
      </w:r>
      <w:r w:rsidR="002950FE" w:rsidRPr="000E4CE7">
        <w:rPr>
          <w:rFonts w:eastAsia="Calibri"/>
          <w:iCs/>
          <w:kern w:val="0"/>
          <w:szCs w:val="24"/>
        </w:rPr>
        <w:t xml:space="preserve"> a widely</w:t>
      </w:r>
      <w:r w:rsidR="00CC5533">
        <w:rPr>
          <w:rFonts w:eastAsia="Calibri"/>
          <w:iCs/>
          <w:kern w:val="0"/>
          <w:szCs w:val="24"/>
        </w:rPr>
        <w:t>-</w:t>
      </w:r>
      <w:r w:rsidR="002950FE" w:rsidRPr="000E4CE7">
        <w:rPr>
          <w:rFonts w:eastAsia="Calibri"/>
          <w:iCs/>
          <w:kern w:val="0"/>
          <w:szCs w:val="24"/>
        </w:rPr>
        <w:t>recognized seed disperser</w:t>
      </w:r>
      <w:r w:rsidR="00840180">
        <w:rPr>
          <w:rFonts w:eastAsia="Calibri"/>
          <w:iCs/>
          <w:kern w:val="0"/>
          <w:szCs w:val="24"/>
        </w:rPr>
        <w:t xml:space="preserve"> by</w:t>
      </w:r>
      <w:r w:rsidR="002950FE" w:rsidRPr="000E4CE7">
        <w:rPr>
          <w:rFonts w:eastAsia="Calibri"/>
          <w:iCs/>
          <w:kern w:val="0"/>
          <w:szCs w:val="24"/>
        </w:rPr>
        <w:t xml:space="preserve"> </w:t>
      </w:r>
      <w:r w:rsidR="001B32B6">
        <w:rPr>
          <w:rFonts w:eastAsia="Calibri"/>
          <w:iCs/>
          <w:kern w:val="0"/>
          <w:szCs w:val="24"/>
        </w:rPr>
        <w:t>dispersing</w:t>
      </w:r>
      <w:r w:rsidR="00CC5533">
        <w:rPr>
          <w:rFonts w:eastAsia="Calibri"/>
          <w:iCs/>
          <w:kern w:val="0"/>
          <w:szCs w:val="24"/>
        </w:rPr>
        <w:t xml:space="preserve"> </w:t>
      </w:r>
      <w:r w:rsidR="000855D0">
        <w:rPr>
          <w:rFonts w:eastAsia="Calibri"/>
          <w:iCs/>
          <w:kern w:val="0"/>
          <w:szCs w:val="24"/>
        </w:rPr>
        <w:t>the</w:t>
      </w:r>
      <w:r w:rsidR="00211D44">
        <w:rPr>
          <w:rFonts w:eastAsia="Calibri"/>
          <w:iCs/>
          <w:kern w:val="0"/>
          <w:szCs w:val="24"/>
        </w:rPr>
        <w:t xml:space="preserve"> seeds of fleshy-fruit</w:t>
      </w:r>
      <w:r w:rsidR="00CC5533">
        <w:rPr>
          <w:rFonts w:eastAsia="Calibri"/>
          <w:iCs/>
          <w:kern w:val="0"/>
          <w:szCs w:val="24"/>
        </w:rPr>
        <w:t>ed</w:t>
      </w:r>
      <w:r w:rsidR="000855D0">
        <w:rPr>
          <w:rFonts w:eastAsia="Calibri"/>
          <w:iCs/>
          <w:kern w:val="0"/>
          <w:szCs w:val="24"/>
        </w:rPr>
        <w:t xml:space="preserve"> </w:t>
      </w:r>
      <w:r w:rsidR="000855D0">
        <w:rPr>
          <w:rFonts w:eastAsia="Calibri"/>
          <w:iCs/>
          <w:kern w:val="0"/>
          <w:szCs w:val="24"/>
        </w:rPr>
        <w:fldChar w:fldCharType="begin"/>
      </w:r>
      <w:r w:rsidR="000855D0">
        <w:rPr>
          <w:rFonts w:eastAsia="Calibri"/>
          <w:iCs/>
          <w:kern w:val="0"/>
          <w:szCs w:val="24"/>
        </w:rPr>
        <w:instrText xml:space="preserve"> ADDIN ZOTERO_ITEM CSL_CITATION {"citationID":"U6rKiQ2s","properties":{"formattedCitation":"(Hanish 2018, Richardson and Stiling 2019a)","plainCitation":"(Hanish 2018, Richardson and Stiling 2019a)","noteIndex":0},"citationItems":[{"id":7160,"uris":["http://zotero.org/users/10895328/items/NSSVF84B"],"itemData":{"id":7160,"type":"thesis","publisher":"Florida Atlantic University","title":"Seed Dispersal of the Cocoplum (Chrysobalanus icaco) by Gopher Tortoises (Gopherus polyphemus) in Southeastern Florida","author":[{"family":"Hanish","given":"Carolyn J."}],"issued":{"date-parts":[["2018"]]}}},{"id":8749,"uris":["http://zotero.org/users/10895328/items/HZWFI5C6"],"itemData":{"id":8749,"type":"article-journal","container-title":"The American Midland Naturalist","ISSN":"0003-0031","issue":"2","page":"181-190","title":"Gopher Tortoise (Gopherus polyphemus) Gut Passage Can Alter Seed Germinability","volume":"182","author":[{"family":"Richardson","given":"J. C."},{"family":"Stiling","given":"P."}],"issued":{"date-parts":[["2019"]]}}}],"schema":"https://github.com/citation-style-language/schema/raw/master/csl-citation.json"} </w:instrText>
      </w:r>
      <w:r w:rsidR="000855D0">
        <w:rPr>
          <w:rFonts w:eastAsia="Calibri"/>
          <w:iCs/>
          <w:kern w:val="0"/>
          <w:szCs w:val="24"/>
        </w:rPr>
        <w:fldChar w:fldCharType="separate"/>
      </w:r>
      <w:r w:rsidR="000855D0" w:rsidRPr="000855D0">
        <w:rPr>
          <w:rFonts w:eastAsia="Calibri"/>
        </w:rPr>
        <w:t>(Hanish 2018, Richardson and Stiling 2019a)</w:t>
      </w:r>
      <w:r w:rsidR="000855D0">
        <w:rPr>
          <w:rFonts w:eastAsia="Calibri"/>
          <w:iCs/>
          <w:kern w:val="0"/>
          <w:szCs w:val="24"/>
        </w:rPr>
        <w:fldChar w:fldCharType="end"/>
      </w:r>
      <w:r w:rsidR="000855D0">
        <w:rPr>
          <w:rFonts w:eastAsia="Calibri"/>
          <w:iCs/>
          <w:kern w:val="0"/>
          <w:szCs w:val="24"/>
        </w:rPr>
        <w:t>,</w:t>
      </w:r>
      <w:r w:rsidR="00CC5533">
        <w:rPr>
          <w:rFonts w:eastAsia="Calibri"/>
          <w:iCs/>
          <w:kern w:val="0"/>
          <w:szCs w:val="24"/>
        </w:rPr>
        <w:t xml:space="preserve"> </w:t>
      </w:r>
      <w:r w:rsidR="00B803FF">
        <w:rPr>
          <w:rFonts w:eastAsia="Calibri"/>
          <w:iCs/>
          <w:kern w:val="0"/>
          <w:szCs w:val="24"/>
        </w:rPr>
        <w:t>a</w:t>
      </w:r>
      <w:r w:rsidR="001B32B6">
        <w:rPr>
          <w:rFonts w:eastAsia="Calibri"/>
          <w:iCs/>
          <w:kern w:val="0"/>
          <w:szCs w:val="24"/>
        </w:rPr>
        <w:t>s well as</w:t>
      </w:r>
      <w:r w:rsidR="003F7460">
        <w:rPr>
          <w:rFonts w:eastAsia="Calibri"/>
          <w:iCs/>
          <w:kern w:val="0"/>
          <w:szCs w:val="24"/>
        </w:rPr>
        <w:t xml:space="preserve"> species that exhibit the</w:t>
      </w:r>
      <w:r w:rsidR="00CC5533">
        <w:rPr>
          <w:rFonts w:eastAsia="Calibri"/>
          <w:iCs/>
          <w:kern w:val="0"/>
          <w:szCs w:val="24"/>
        </w:rPr>
        <w:t xml:space="preserve"> “</w:t>
      </w:r>
      <w:r w:rsidR="003F7460">
        <w:rPr>
          <w:rFonts w:eastAsia="Calibri"/>
          <w:iCs/>
          <w:kern w:val="0"/>
          <w:szCs w:val="24"/>
        </w:rPr>
        <w:t>F</w:t>
      </w:r>
      <w:r w:rsidR="00CC5533">
        <w:rPr>
          <w:rFonts w:eastAsia="Calibri"/>
          <w:iCs/>
          <w:kern w:val="0"/>
          <w:szCs w:val="24"/>
        </w:rPr>
        <w:t xml:space="preserve">oliage is the </w:t>
      </w:r>
      <w:r w:rsidR="003F7460">
        <w:rPr>
          <w:rFonts w:eastAsia="Calibri"/>
          <w:iCs/>
          <w:kern w:val="0"/>
          <w:szCs w:val="24"/>
        </w:rPr>
        <w:t>F</w:t>
      </w:r>
      <w:r w:rsidR="00CC5533">
        <w:rPr>
          <w:rFonts w:eastAsia="Calibri"/>
          <w:iCs/>
          <w:kern w:val="0"/>
          <w:szCs w:val="24"/>
        </w:rPr>
        <w:t xml:space="preserve">ruit” </w:t>
      </w:r>
      <w:r w:rsidR="003F7460">
        <w:rPr>
          <w:rFonts w:eastAsia="Calibri"/>
          <w:iCs/>
          <w:kern w:val="0"/>
          <w:szCs w:val="24"/>
        </w:rPr>
        <w:t>dispersal syndrome</w:t>
      </w:r>
      <w:r w:rsidR="00CC5533">
        <w:rPr>
          <w:rFonts w:eastAsia="Calibri"/>
          <w:iCs/>
          <w:kern w:val="0"/>
          <w:szCs w:val="24"/>
        </w:rPr>
        <w:t xml:space="preserve"> </w:t>
      </w:r>
      <w:r w:rsidR="00CC5533">
        <w:rPr>
          <w:rFonts w:eastAsia="Calibri"/>
          <w:iCs/>
          <w:kern w:val="0"/>
          <w:szCs w:val="24"/>
        </w:rPr>
        <w:fldChar w:fldCharType="begin"/>
      </w:r>
      <w:r w:rsidR="00AD1D94">
        <w:rPr>
          <w:rFonts w:eastAsia="Calibri"/>
          <w:iCs/>
          <w:kern w:val="0"/>
          <w:szCs w:val="24"/>
        </w:rPr>
        <w:instrText xml:space="preserve"> ADDIN ZOTERO_ITEM CSL_CITATION {"citationID":"joaRR55g","properties":{"formattedCitation":"(Janzen 1984, Carlson et al. 2003, Birkhead et al. 2005, Figueroa et al. 2021)","plainCitation":"(Janzen 1984, Carlson et al. 2003, Birkhead et al. 2005, Figueroa et al. 2021)","dontUpdate":true,"noteIndex":0},"citationItems":[{"id":7443,"uris":["http://zotero.org/users/10895328/items/9A5PS2X2"],"itemData":{"id":7443,"type":"article-journal","container-title":"The American Naturalist","DOI":"10.1086/284208","ISSN":"0003-0147","issue":"3","page":"338-353","title":"Dispersal of Small Seeds by Big Herbivores: Foliage is the Fruit","volume":"123","author":[{"family":"Janzen","given":"D. H."}],"issued":{"date-parts":[["1984"]]}}},{"id":6201,"uris":["http://zotero.org/users/10895328/items/ZQJSSIHR"],"itemData":{"id":6201,"type":"article-journal","container-title":"Florida Scientist","ISSN":"0098-4590","issue":"2","page":"147-154","title":"Seed dispersal by Gopherus polyphemus at Archbold Biological Station, Florida","volume":"66","author":[{"family":"Carlson","given":"J. E."},{"family":"Menges","given":"E. S."},{"family":"Marks","given":"P. L."}],"issued":{"date-parts":[["2003"]]}}},{"id":5996,"uris":["http://zotero.org/users/10895328/items/L92EB6L7"],"itemData":{"id":5996,"type":"article-journal","abstract":"This study documents the ingestion of leaves and seeds by gopher tortoises (Gopherus polyphemus) in a relatively intact pine savanna habitat. Fifty-three species of seeds were identified. Species richness of seeds ingested was highest during spring and fall and was lowest during summer. Grass seed and foliage were consumed consistently by tortoises throughout the year. Despite being found in only 12% of all scats, Rubus seed comprised half of all seeds recovered. Based on seeds in scats, tortoises ingested the fruits of plants in the same proportions in which the plants occurred immediately around active burrows. Although some kinds of leaves were less prevalent in scats than predicted by their availability near active tortoise burrows, this may have occurred because these leaves were digested and, therefore unrecognizable in scats. The role of the gopher tortoise as a generalist herbivore and an opportunistic frugivore was confirmed.","container-title":"American Midland Naturalist","DOI":"Doi 10.1674/0003-0031(2005)154[0143:Pofasi]2.0.Co;2","ISSN":"0003-0031","issue":"1","journalAbbreviation":"Am Midl Nat","language":"English","page":"143-151","title":"Patterns of folivory and seed ingestion by gopher tortoises (Gopherus polyphemus) in a southeastern pine savanna","volume":"154","author":[{"family":"Birkhead","given":"R. D."},{"family":"Guyer","given":"C."},{"family":"Hermann","given":"S. M."},{"family":"Michener","given":"W. K."}],"issued":{"date-parts":[["2005",7]]}}},{"id":6757,"uris":["http://zotero.org/users/10895328/items/5KWT8IAL"],"itemData":{"id":6757,"type":"article-journal","container-title":"Chelonian Conservation and Biology","issue":"1","license":"Creative Commons Attribution 4.0 International License (CC-BY)","page":"27-34, 8","title":"Seed Consumption by Gopher Tortoises (Gopherus polyphemus) in the Globally Imperiled Pine Rockland Ecosystem of Southern Florida, USA","volume":"20","author":[{"family":"Figueroa","given":"Adrian"},{"family":"Lange","given":"James"},{"family":"Whitfield","given":"Steven M."}],"issued":{"date-parts":[["2021"]]}}}],"schema":"https://github.com/citation-style-language/schema/raw/master/csl-citation.json"} </w:instrText>
      </w:r>
      <w:r w:rsidR="00CC5533">
        <w:rPr>
          <w:rFonts w:eastAsia="Calibri"/>
          <w:iCs/>
          <w:kern w:val="0"/>
          <w:szCs w:val="24"/>
        </w:rPr>
        <w:fldChar w:fldCharType="separate"/>
      </w:r>
      <w:r w:rsidR="001B32B6" w:rsidRPr="001B32B6">
        <w:rPr>
          <w:rFonts w:eastAsia="Calibri"/>
        </w:rPr>
        <w:t>(</w:t>
      </w:r>
      <w:r w:rsidR="001B32B6" w:rsidRPr="004842B5">
        <w:rPr>
          <w:rFonts w:eastAsia="Calibri"/>
          <w:i/>
          <w:iCs/>
        </w:rPr>
        <w:t xml:space="preserve">sensu </w:t>
      </w:r>
      <w:r w:rsidR="001B32B6" w:rsidRPr="001B32B6">
        <w:rPr>
          <w:rFonts w:eastAsia="Calibri"/>
        </w:rPr>
        <w:t>Janzen 1984, Carlson et al. 2003, Birkhead et al. 2005, Figueroa et al. 2021)</w:t>
      </w:r>
      <w:r w:rsidR="00CC5533">
        <w:rPr>
          <w:rFonts w:eastAsia="Calibri"/>
          <w:iCs/>
          <w:kern w:val="0"/>
          <w:szCs w:val="24"/>
        </w:rPr>
        <w:fldChar w:fldCharType="end"/>
      </w:r>
      <w:r w:rsidR="000855D0">
        <w:rPr>
          <w:rFonts w:eastAsia="Calibri"/>
          <w:iCs/>
          <w:kern w:val="0"/>
          <w:szCs w:val="24"/>
        </w:rPr>
        <w:t>, oftentimes enhancing seed germination</w:t>
      </w:r>
      <w:r w:rsidR="00B803FF">
        <w:rPr>
          <w:rFonts w:eastAsia="Calibri"/>
          <w:iCs/>
          <w:kern w:val="0"/>
          <w:szCs w:val="24"/>
        </w:rPr>
        <w:t xml:space="preserve"> </w:t>
      </w:r>
      <w:r w:rsidR="00B803FF">
        <w:rPr>
          <w:rFonts w:eastAsia="Calibri"/>
          <w:iCs/>
          <w:kern w:val="0"/>
          <w:szCs w:val="24"/>
        </w:rPr>
        <w:fldChar w:fldCharType="begin"/>
      </w:r>
      <w:r w:rsidR="00B803FF">
        <w:rPr>
          <w:rFonts w:eastAsia="Calibri"/>
          <w:iCs/>
          <w:kern w:val="0"/>
          <w:szCs w:val="24"/>
        </w:rPr>
        <w:instrText xml:space="preserve"> ADDIN ZOTERO_ITEM CSL_CITATION {"citationID":"r2SQUHak","properties":{"formattedCitation":"(Falc\\uc0\\u243{}n et al. 2020)","plainCitation":"(Falcón et al. 2020)","noteIndex":0},"citationItems":[{"id":6741,"uris":["http://zotero.org/users/10895328/items/RTN98UXZ"],"itemData":{"id":6741,"type":"article-journal","abstract":"In recent years, it has become clear that frugivory and seed dispersal (FSD) by turtles and tortoises is much more common than previously thought. We here review published and unpublished records of chelonian FSD, and assess the role of chelonians as seed dispersers, from individual species to the community level. We first discuss the distribution of chelonian FSD and the characteristics of the fruit and/or seed species eaten and dispersed by chelonians. We then use the seed dispersal efficiency framework to explore the quantitative and qualitative components of seed dispersal by tortoises and turtles, embarking on a journey from when the fruits and/or seeds are consumed, to when and where they are deposited, and assess how efficient chelonians are as seed dispersers. We finally discuss chelonian FSD in the context of communities and of chelonians as megafauna. A substantial proportion of the world's aquatic and terrestrial turtles and a major part of testudinid tortoises (71 species in 12 families) include fruits and/or seeds in their diet; fruits of at least 588 plant species in 121 families are ingested and/or dispersed by chelonians. For some chelonians, overall or in certain seasons, fruit may even form the largest part of their diet. Contrary to seed dispersal by lizards, the other major reptilian frugivores, chelonian FSD is not an island phenomenon in terms of geographic distribution. Nevertheless, on islands tortoises are often among the largest native terrestrial vertebrates - or were until humans arrived. We synthesise our knowledge of chelonian FSD, and discuss the relevance of our findings for conservation and restoration, especially in relation to rewilding with large and giant tortoises.","container-title":"Biol Rev Camb Philos Soc","DOI":"10.1111/brv.12558","ISSN":"1469-185X (Electronic) 0006-3231 (Linking)","title":"Frugivory and seed dispersal by chelonians: a review and synthesis","author":[{"family":"Falcón","given":"W."},{"family":"Moll","given":"D."},{"family":"Hansen","given":"D. M."}],"issued":{"date-parts":[["2020",10,13]]}}}],"schema":"https://github.com/citation-style-language/schema/raw/master/csl-citation.json"} </w:instrText>
      </w:r>
      <w:r w:rsidR="00B803FF">
        <w:rPr>
          <w:rFonts w:eastAsia="Calibri"/>
          <w:iCs/>
          <w:kern w:val="0"/>
          <w:szCs w:val="24"/>
        </w:rPr>
        <w:fldChar w:fldCharType="separate"/>
      </w:r>
      <w:r w:rsidR="00B803FF" w:rsidRPr="00B803FF">
        <w:rPr>
          <w:kern w:val="0"/>
          <w:szCs w:val="24"/>
        </w:rPr>
        <w:t>(Falcón et al. 2020)</w:t>
      </w:r>
      <w:r w:rsidR="00B803FF">
        <w:rPr>
          <w:rFonts w:eastAsia="Calibri"/>
          <w:iCs/>
          <w:kern w:val="0"/>
          <w:szCs w:val="24"/>
        </w:rPr>
        <w:fldChar w:fldCharType="end"/>
      </w:r>
      <w:r w:rsidR="000855D0">
        <w:rPr>
          <w:rFonts w:eastAsia="Calibri"/>
          <w:iCs/>
          <w:kern w:val="0"/>
          <w:szCs w:val="24"/>
        </w:rPr>
        <w:t>.</w:t>
      </w:r>
      <w:r w:rsidR="00AA098C">
        <w:rPr>
          <w:rFonts w:eastAsia="Calibri"/>
          <w:iCs/>
          <w:kern w:val="0"/>
          <w:szCs w:val="24"/>
        </w:rPr>
        <w:t xml:space="preserve"> Furthermore, gopher tortoises</w:t>
      </w:r>
      <w:r w:rsidR="00D77921">
        <w:rPr>
          <w:rFonts w:eastAsia="Calibri"/>
          <w:iCs/>
          <w:kern w:val="0"/>
          <w:szCs w:val="24"/>
        </w:rPr>
        <w:t xml:space="preserve"> can</w:t>
      </w:r>
      <w:r w:rsidR="003F324E">
        <w:rPr>
          <w:rFonts w:eastAsia="Calibri"/>
          <w:iCs/>
          <w:kern w:val="0"/>
          <w:szCs w:val="24"/>
        </w:rPr>
        <w:t xml:space="preserve"> have home ranges</w:t>
      </w:r>
      <w:r w:rsidR="00D77921">
        <w:rPr>
          <w:rFonts w:eastAsia="Calibri"/>
          <w:iCs/>
          <w:kern w:val="0"/>
          <w:szCs w:val="24"/>
        </w:rPr>
        <w:t xml:space="preserve"> spanning</w:t>
      </w:r>
      <w:r w:rsidR="003F324E">
        <w:rPr>
          <w:rFonts w:eastAsia="Calibri"/>
          <w:iCs/>
          <w:kern w:val="0"/>
          <w:szCs w:val="24"/>
        </w:rPr>
        <w:t xml:space="preserve"> over 1 hectare and</w:t>
      </w:r>
      <w:r w:rsidR="00D77921">
        <w:rPr>
          <w:rFonts w:eastAsia="Calibri"/>
          <w:iCs/>
          <w:kern w:val="0"/>
          <w:szCs w:val="24"/>
        </w:rPr>
        <w:t xml:space="preserve"> are known to</w:t>
      </w:r>
      <w:r w:rsidR="00AA098C">
        <w:rPr>
          <w:rFonts w:eastAsia="Calibri"/>
          <w:iCs/>
          <w:kern w:val="0"/>
          <w:szCs w:val="24"/>
        </w:rPr>
        <w:t xml:space="preserve"> </w:t>
      </w:r>
      <w:r w:rsidR="004F4CB4">
        <w:rPr>
          <w:rFonts w:eastAsia="Calibri"/>
          <w:iCs/>
          <w:kern w:val="0"/>
          <w:szCs w:val="24"/>
        </w:rPr>
        <w:t>forag</w:t>
      </w:r>
      <w:r w:rsidR="00B5417A">
        <w:rPr>
          <w:rFonts w:eastAsia="Calibri"/>
          <w:iCs/>
          <w:kern w:val="0"/>
          <w:szCs w:val="24"/>
        </w:rPr>
        <w:t>e</w:t>
      </w:r>
      <w:r w:rsidR="00AA098C">
        <w:rPr>
          <w:rFonts w:eastAsia="Calibri"/>
          <w:iCs/>
          <w:kern w:val="0"/>
          <w:szCs w:val="24"/>
        </w:rPr>
        <w:t xml:space="preserve"> </w:t>
      </w:r>
      <w:r w:rsidR="003C07D8">
        <w:rPr>
          <w:rFonts w:eastAsia="Calibri"/>
          <w:iCs/>
          <w:kern w:val="0"/>
          <w:szCs w:val="24"/>
        </w:rPr>
        <w:t>up to 40 meters way from their burrows</w:t>
      </w:r>
      <w:r w:rsidR="00B5417A">
        <w:rPr>
          <w:rFonts w:eastAsia="Calibri"/>
          <w:iCs/>
          <w:kern w:val="0"/>
          <w:szCs w:val="24"/>
        </w:rPr>
        <w:t xml:space="preserve"> </w:t>
      </w:r>
      <w:r w:rsidR="00B5417A">
        <w:rPr>
          <w:rFonts w:eastAsia="Calibri"/>
          <w:iCs/>
          <w:kern w:val="0"/>
          <w:szCs w:val="24"/>
        </w:rPr>
        <w:fldChar w:fldCharType="begin"/>
      </w:r>
      <w:r w:rsidR="008135FF">
        <w:rPr>
          <w:rFonts w:eastAsia="Calibri"/>
          <w:iCs/>
          <w:kern w:val="0"/>
          <w:szCs w:val="24"/>
        </w:rPr>
        <w:instrText xml:space="preserve"> ADDIN ZOTERO_ITEM CSL_CITATION {"citationID":"dCN6eoBn","properties":{"formattedCitation":"(McRae et al. 1981, Eubanks et al. 2003)","plainCitation":"(McRae et al. 1981, Eubanks et al. 2003)","noteIndex":0},"citationItems":[{"id":8075,"uris":["http://zotero.org/users/10895328/items/IE58MGTL"],"itemData":{"id":8075,"type":"article-journal","abstract":"Movement patterns and home ranges of gopher tortoises (Gopherus polyphemus) in southwestern Georgia varied seasonally and were determined largely by social interaction. Adults congregated in breeding colonies on droughty sites in early spring. During spring and summer, females were more sedentary than males; burrow preferences and movements of males were largely determined by mate-seeking and hierarchial behaviors. Individuals began to disperse from breeding colonies by late summer and about half moved to adjacent autumn-winter range on more mesic soils, likely due to the better food supply Adults used a minimum of three burrows during an activity season (x&amp;#x304; = four for females, seven for males) and did not co-occupy burrows overnight. Juveniles typically moved short distances and used only 1 or 2 burrows, but usually left the vicinity of breeding colonies before or during the years as subadults. This dispersal is apparently an important mechanism for adding young adults to sparsely populated colonies and for forming new colonies.","container-title":"The American Midland Naturalist","DOI":"10.2307/2425146","ISSN":"00030031, 19384238","issue":"1","page":"165-179","source":"JSTOR","title":"Movement Patterns and Home Range of the Gopher Tortoise","volume":"106","author":[{"family":"McRae","given":"W. Alan"},{"family":"Landers","given":"J. Larry"},{"family":"Garner","given":"James A."}],"issued":{"date-parts":[["1981"]]}}},{"id":6716,"uris":["http://zotero.org/users/10895328/items/PJ6SUEDN"],"itemData":{"id":6716,"type":"article-journal","abstract":"We investigated movement and bin-row use patterns from May 1997 through May 1998 in a gopher tortoise population (n = 123) within a 100-ha study site of high quality (old trees, ground cover intact, growing-season fire regime) longleaf pine-wiregrass habitat located in Baker Country, Georgia, USA. Telemetered females moved more frequently in summer months (June-October) but traveled longer distances in September than during other months of the 1997 active season. Males exhibited a peak in movement during August and September 1997 that corresponded with mating activity. The longest distance moved between tracking locations did not differ between males and females, but mean distance per move, number of burrows used, and annual home range size were greater in males than in females. The maximum distance moved by an individual during an active season was negatively correlated with female body size but not male body size. No such relationship was found between body size and number of burrows used by either females or males. Similarly, no relationship was found between body size and annual home range area of adult females and males. Our study provides the most complete estimate of annual home range size of gopher tortoises. Because these data describe movements ill an area that retains features of the ancestral habitat, these estimates are the best available for designing reserve areas for this threatened species.","container-title":"Herpetologica","DOI":"Doi 10.1655/01-105.1","ISSN":"0018-0831","issue":"3","journalAbbreviation":"Herpetologica","language":"English","page":"311-321","title":"Patterns of movement and burrow use in a population of gopher tortoises (Gopherus polyphemus)","volume":"59","author":[{"family":"Eubanks","given":"J. O."},{"family":"Michener","given":"W. K."},{"family":"Guyer","given":"C."}],"issued":{"date-parts":[["2003",9]]}}}],"schema":"https://github.com/citation-style-language/schema/raw/master/csl-citation.json"} </w:instrText>
      </w:r>
      <w:r w:rsidR="00B5417A">
        <w:rPr>
          <w:rFonts w:eastAsia="Calibri"/>
          <w:iCs/>
          <w:kern w:val="0"/>
          <w:szCs w:val="24"/>
        </w:rPr>
        <w:fldChar w:fldCharType="separate"/>
      </w:r>
      <w:r w:rsidR="008135FF" w:rsidRPr="008135FF">
        <w:rPr>
          <w:rFonts w:eastAsia="Calibri"/>
        </w:rPr>
        <w:t>(McRae et al. 1981, Eubanks et al. 2003)</w:t>
      </w:r>
      <w:r w:rsidR="00B5417A">
        <w:rPr>
          <w:rFonts w:eastAsia="Calibri"/>
          <w:iCs/>
          <w:kern w:val="0"/>
          <w:szCs w:val="24"/>
        </w:rPr>
        <w:fldChar w:fldCharType="end"/>
      </w:r>
      <w:r w:rsidR="00AA098C">
        <w:rPr>
          <w:rFonts w:eastAsia="Calibri"/>
          <w:iCs/>
          <w:kern w:val="0"/>
          <w:szCs w:val="24"/>
        </w:rPr>
        <w:t xml:space="preserve">, potentially dispersing seeds </w:t>
      </w:r>
      <w:r w:rsidR="004F4CB4">
        <w:rPr>
          <w:rFonts w:eastAsia="Calibri"/>
          <w:iCs/>
          <w:kern w:val="0"/>
          <w:szCs w:val="24"/>
        </w:rPr>
        <w:t>far</w:t>
      </w:r>
      <w:r w:rsidR="00AA098C">
        <w:rPr>
          <w:rFonts w:eastAsia="Calibri"/>
          <w:iCs/>
          <w:kern w:val="0"/>
          <w:szCs w:val="24"/>
        </w:rPr>
        <w:t xml:space="preserve"> from </w:t>
      </w:r>
      <w:r w:rsidR="003C07D8">
        <w:rPr>
          <w:rFonts w:eastAsia="Calibri"/>
          <w:iCs/>
          <w:kern w:val="0"/>
          <w:szCs w:val="24"/>
        </w:rPr>
        <w:t>the</w:t>
      </w:r>
      <w:r w:rsidR="004F4CB4">
        <w:rPr>
          <w:rFonts w:eastAsia="Calibri"/>
          <w:iCs/>
          <w:kern w:val="0"/>
          <w:szCs w:val="24"/>
        </w:rPr>
        <w:t>ir parent</w:t>
      </w:r>
      <w:r w:rsidR="003C07D8">
        <w:rPr>
          <w:rFonts w:eastAsia="Calibri"/>
          <w:iCs/>
          <w:kern w:val="0"/>
          <w:szCs w:val="24"/>
        </w:rPr>
        <w:t xml:space="preserve"> </w:t>
      </w:r>
      <w:r w:rsidR="00AA098C">
        <w:rPr>
          <w:rFonts w:eastAsia="Calibri"/>
          <w:iCs/>
          <w:kern w:val="0"/>
          <w:szCs w:val="24"/>
        </w:rPr>
        <w:t>plants and allowing them to escape density dependent.</w:t>
      </w:r>
      <w:r w:rsidR="00913EA4">
        <w:rPr>
          <w:rFonts w:eastAsia="Calibri"/>
          <w:iCs/>
          <w:kern w:val="0"/>
          <w:szCs w:val="24"/>
        </w:rPr>
        <w:t xml:space="preserve"> </w:t>
      </w:r>
      <w:r w:rsidR="008135FF">
        <w:rPr>
          <w:rFonts w:eastAsia="Calibri"/>
          <w:iCs/>
          <w:kern w:val="0"/>
          <w:szCs w:val="24"/>
        </w:rPr>
        <w:t>Additionally, male gopher tortoises can travel distances upwards of 500 meters in search for females</w:t>
      </w:r>
      <w:r w:rsidR="00317065">
        <w:rPr>
          <w:rFonts w:eastAsia="Calibri"/>
          <w:iCs/>
          <w:kern w:val="0"/>
          <w:szCs w:val="24"/>
        </w:rPr>
        <w:t xml:space="preserve"> </w:t>
      </w:r>
      <w:r w:rsidR="00317065">
        <w:rPr>
          <w:rFonts w:eastAsia="Calibri"/>
          <w:iCs/>
          <w:kern w:val="0"/>
          <w:szCs w:val="24"/>
        </w:rPr>
        <w:fldChar w:fldCharType="begin"/>
      </w:r>
      <w:r w:rsidR="00317065">
        <w:rPr>
          <w:rFonts w:eastAsia="Calibri"/>
          <w:iCs/>
          <w:kern w:val="0"/>
          <w:szCs w:val="24"/>
        </w:rPr>
        <w:instrText xml:space="preserve"> ADDIN ZOTERO_ITEM CSL_CITATION {"citationID":"sIipDcWg","properties":{"formattedCitation":"(Guyer et al. 2012)","plainCitation":"(Guyer et al. 2012)","noteIndex":0},"citationItems":[{"id":16569,"uris":["http://zotero.org/users/10895328/items/VSWMZE23"],"itemData":{"id":16569,"type":"article-journal","abstract":"Patterns of burrow size, tortoise size, home range size and overlap, movement distances, and mating rates were compared among six sites that differed in density of Gopher Tortoises. Burrow sizes differed among sites because tortoise size distributions differed among sites, but this was due principally to the unusually small size of animals on the Conecuh National Forest. A linear relationship between tortoise density and burrow density was documented from the six sites, suggesting that tortoises, on average, created 2.5 burrows per site or that the burrow-to-tortoise conversion factor for our sites was 0.40. The average distance from a burrow to its nearest three neighbors was greater for low-density sites than for high-density sites, indicating that animals probably were more isolated from each other on sites with low tortoise densities. Tortoise home ranges were larger in males than females, a feature documented in other studies of tortoise movements. Home range sizes were greatest for densities of approximately 0.4 tortoises/ha and decreased in size above and below this density. This suggests that animals moved to visit close neighbors in areas of high density, expanded movements to maintain contact with neighbors that became more widely dispersed as density decreased, and then restricted movements to a few close neighbors as density reached extremely low levels. Home range overlap increased linearly with increasing density, suggesting that opportunities for social interactions decreased with decreasing density. When tortoises moved between burrows, males moved longer distances than females and tortoises of both sexes moved shorter distances on high-density sites than did tortoises on low-density sites, suggesting greater movement costs for males than females and for tortoises on low-density sites. Males traveled up to 500 m to visit female burrows, but most movements were , 80 m. Median movement distances of males to visit females were negatively correlated with burrow density, suggesting that cost of male movements to find mates increased as population density decreased. Based upon patterns of 95% confidence limits, rates of mountings of female tortoises approached zero when females occupied burrows approximately 200 m from neighboring burrows. If burrows were uniformly distributed 200 m apart, then reproductive failure would be a statistically supportable outcome at a density of 0.3 burrows/ha (0.12 tortoises/ha). These values are similar to the values of 0.4 tortoises/ha (1.0 burrows/ha) that our data suggest is the density at which social structure associated with movements within home ranges are altered.","container-title":"Herpetological Monographs","DOI":"10.1655/HERPMONOGRAPHS-D-10-00004.1","ISSN":"0733-1347, 1938-5137","issue":"1","journalAbbreviation":"Herpetological Monographs","language":"en","page":"122-134","source":"DOI.org (Crossref)","title":"Effects of Population Density On Patterns of Movement and Behavior of Gopher Tortoises (Gopherus polyphemus)","volume":"26","author":[{"family":"Guyer","given":"Craig"},{"family":"Johnson","given":"Valerie M."},{"family":"Hermann","given":"Sharon M."}],"issued":{"date-parts":[["2012",12]]}}}],"schema":"https://github.com/citation-style-language/schema/raw/master/csl-citation.json"} </w:instrText>
      </w:r>
      <w:r w:rsidR="00317065">
        <w:rPr>
          <w:rFonts w:eastAsia="Calibri"/>
          <w:iCs/>
          <w:kern w:val="0"/>
          <w:szCs w:val="24"/>
        </w:rPr>
        <w:fldChar w:fldCharType="separate"/>
      </w:r>
      <w:r w:rsidR="00317065" w:rsidRPr="004C76B9">
        <w:rPr>
          <w:rFonts w:eastAsia="Calibri"/>
        </w:rPr>
        <w:t>(Guyer et al. 2012)</w:t>
      </w:r>
      <w:r w:rsidR="00317065">
        <w:rPr>
          <w:rFonts w:eastAsia="Calibri"/>
          <w:iCs/>
          <w:kern w:val="0"/>
          <w:szCs w:val="24"/>
        </w:rPr>
        <w:fldChar w:fldCharType="end"/>
      </w:r>
      <w:r w:rsidR="008135FF">
        <w:rPr>
          <w:rFonts w:eastAsia="Calibri"/>
          <w:iCs/>
          <w:kern w:val="0"/>
          <w:szCs w:val="24"/>
        </w:rPr>
        <w:t xml:space="preserve">, potentially providing long distance dispersal </w:t>
      </w:r>
      <w:r w:rsidR="004C76B9">
        <w:rPr>
          <w:rFonts w:eastAsia="Calibri"/>
          <w:iCs/>
          <w:kern w:val="0"/>
          <w:szCs w:val="24"/>
        </w:rPr>
        <w:t xml:space="preserve">services for the plants </w:t>
      </w:r>
      <w:r w:rsidR="0036250E">
        <w:rPr>
          <w:rFonts w:eastAsia="Calibri"/>
          <w:iCs/>
          <w:kern w:val="0"/>
          <w:szCs w:val="24"/>
        </w:rPr>
        <w:t xml:space="preserve">whose seeds </w:t>
      </w:r>
      <w:r w:rsidR="004C76B9">
        <w:rPr>
          <w:rFonts w:eastAsia="Calibri"/>
          <w:iCs/>
          <w:kern w:val="0"/>
          <w:szCs w:val="24"/>
        </w:rPr>
        <w:t>they consume</w:t>
      </w:r>
      <w:r w:rsidR="0036250E">
        <w:rPr>
          <w:rFonts w:eastAsia="Calibri"/>
          <w:iCs/>
          <w:kern w:val="0"/>
          <w:szCs w:val="24"/>
        </w:rPr>
        <w:t xml:space="preserve"> </w:t>
      </w:r>
      <w:r w:rsidR="0036250E">
        <w:rPr>
          <w:rFonts w:eastAsia="Calibri"/>
          <w:iCs/>
          <w:kern w:val="0"/>
          <w:szCs w:val="24"/>
        </w:rPr>
        <w:fldChar w:fldCharType="begin"/>
      </w:r>
      <w:r w:rsidR="0036250E">
        <w:rPr>
          <w:rFonts w:eastAsia="Calibri"/>
          <w:iCs/>
          <w:kern w:val="0"/>
          <w:szCs w:val="24"/>
        </w:rPr>
        <w:instrText xml:space="preserve"> ADDIN ZOTERO_ITEM CSL_CITATION {"citationID":"XgZwu3Dt","properties":{"formattedCitation":"(Nathan and Muller-Landau 2000)","plainCitation":"(Nathan and Muller-Landau 2000)","noteIndex":0},"citationItems":[{"id":8278,"uris":["http://zotero.org/users/10895328/items/2HUYQDQW"],"itemData":{"id":8278,"type":"article-journal","abstract":"Growing interest in spatial ecology is promoting new approaches to the study of seed dispersal, one of the key processes determining the spatial structure of plant populations. Seed-dispersion patterns vary among plant species, populations and individuals, at different distances from parents, different microsites and different times. Recent field studies have made progress in elucidating the mechanisms behind these patterns and the implications of these patterns for recruitment success. Together with the development and refinement of mathematical models, this promises a deeper, more mechanistic understanding of dispersal processes and their consequences.","container-title":"Trends in Ecology &amp; Evolution","DOI":"Doi 10.1016/S0169-5347(00)01874-7","ISSN":"0169-5347","issue":"7","journalAbbreviation":"Trends Ecol Evol","language":"English","page":"278-285","title":"Spatial patterns of seed dispersal, their determinants and consequences for recruitment","volume":"15","author":[{"family":"Nathan","given":"R."},{"family":"Muller-Landau","given":"H. C."}],"issued":{"date-parts":[["2000",7]]}}}],"schema":"https://github.com/citation-style-language/schema/raw/master/csl-citation.json"} </w:instrText>
      </w:r>
      <w:r w:rsidR="0036250E">
        <w:rPr>
          <w:rFonts w:eastAsia="Calibri"/>
          <w:iCs/>
          <w:kern w:val="0"/>
          <w:szCs w:val="24"/>
        </w:rPr>
        <w:fldChar w:fldCharType="separate"/>
      </w:r>
      <w:r w:rsidR="0036250E" w:rsidRPr="0036250E">
        <w:rPr>
          <w:rFonts w:eastAsia="Calibri"/>
        </w:rPr>
        <w:t>(Nathan and Muller-Landau 2000)</w:t>
      </w:r>
      <w:r w:rsidR="0036250E">
        <w:rPr>
          <w:rFonts w:eastAsia="Calibri"/>
          <w:iCs/>
          <w:kern w:val="0"/>
          <w:szCs w:val="24"/>
        </w:rPr>
        <w:fldChar w:fldCharType="end"/>
      </w:r>
      <w:r w:rsidR="004C76B9">
        <w:rPr>
          <w:rFonts w:eastAsia="Calibri"/>
          <w:iCs/>
          <w:kern w:val="0"/>
          <w:szCs w:val="24"/>
        </w:rPr>
        <w:t xml:space="preserve">. </w:t>
      </w:r>
    </w:p>
    <w:p w14:paraId="323F0D25" w14:textId="721EDED6" w:rsidR="00EB6D48" w:rsidRDefault="00EB25A6" w:rsidP="00536DCD">
      <w:pPr>
        <w:spacing w:before="100" w:beforeAutospacing="1" w:after="100" w:afterAutospacing="1" w:line="480" w:lineRule="auto"/>
        <w:ind w:firstLine="720"/>
        <w:mirrorIndents/>
      </w:pPr>
      <w:r>
        <w:rPr>
          <w:rFonts w:eastAsia="Calibri"/>
          <w:iCs/>
          <w:kern w:val="0"/>
          <w:szCs w:val="24"/>
        </w:rPr>
        <w:t>T</w:t>
      </w:r>
      <w:r w:rsidR="00B94152">
        <w:rPr>
          <w:rFonts w:eastAsia="Calibri"/>
          <w:iCs/>
          <w:kern w:val="0"/>
          <w:szCs w:val="24"/>
        </w:rPr>
        <w:t>he</w:t>
      </w:r>
      <w:r w:rsidR="003F324E">
        <w:rPr>
          <w:rFonts w:eastAsia="Calibri"/>
          <w:iCs/>
          <w:kern w:val="0"/>
          <w:szCs w:val="24"/>
        </w:rPr>
        <w:t xml:space="preserve"> gopher</w:t>
      </w:r>
      <w:r w:rsidR="009361FF">
        <w:rPr>
          <w:rFonts w:eastAsia="Calibri"/>
          <w:iCs/>
          <w:kern w:val="0"/>
          <w:szCs w:val="24"/>
        </w:rPr>
        <w:t xml:space="preserve"> </w:t>
      </w:r>
      <w:r w:rsidR="00840180">
        <w:rPr>
          <w:rFonts w:eastAsia="Calibri"/>
          <w:iCs/>
          <w:kern w:val="0"/>
          <w:szCs w:val="24"/>
        </w:rPr>
        <w:t>tortoise</w:t>
      </w:r>
      <w:r w:rsidR="003F324E">
        <w:rPr>
          <w:rFonts w:eastAsia="Calibri"/>
          <w:iCs/>
          <w:kern w:val="0"/>
          <w:szCs w:val="24"/>
        </w:rPr>
        <w:t xml:space="preserve"> thus</w:t>
      </w:r>
      <w:r w:rsidR="00635261">
        <w:rPr>
          <w:rFonts w:eastAsia="Calibri"/>
          <w:iCs/>
          <w:kern w:val="0"/>
          <w:szCs w:val="24"/>
        </w:rPr>
        <w:t xml:space="preserve"> </w:t>
      </w:r>
      <w:r w:rsidR="002950FE">
        <w:rPr>
          <w:rFonts w:eastAsia="Calibri"/>
          <w:iCs/>
          <w:kern w:val="0"/>
          <w:szCs w:val="24"/>
        </w:rPr>
        <w:t>serve</w:t>
      </w:r>
      <w:r w:rsidR="003F324E">
        <w:rPr>
          <w:rFonts w:eastAsia="Calibri"/>
          <w:iCs/>
          <w:kern w:val="0"/>
          <w:szCs w:val="24"/>
        </w:rPr>
        <w:t>s</w:t>
      </w:r>
      <w:r w:rsidR="002950FE">
        <w:rPr>
          <w:rFonts w:eastAsia="Calibri"/>
          <w:iCs/>
          <w:kern w:val="0"/>
          <w:szCs w:val="24"/>
        </w:rPr>
        <w:t xml:space="preserve"> as a model </w:t>
      </w:r>
      <w:r w:rsidR="003F324E">
        <w:rPr>
          <w:rFonts w:eastAsia="Calibri"/>
          <w:iCs/>
          <w:kern w:val="0"/>
          <w:szCs w:val="24"/>
        </w:rPr>
        <w:t xml:space="preserve">species </w:t>
      </w:r>
      <w:r w:rsidR="002950FE">
        <w:rPr>
          <w:rFonts w:eastAsia="Calibri"/>
          <w:iCs/>
          <w:kern w:val="0"/>
          <w:szCs w:val="24"/>
        </w:rPr>
        <w:t>for investigating how frugivory might fluctuate</w:t>
      </w:r>
      <w:r w:rsidR="002A0ED5">
        <w:rPr>
          <w:rFonts w:eastAsia="Calibri"/>
          <w:iCs/>
          <w:kern w:val="0"/>
          <w:szCs w:val="24"/>
        </w:rPr>
        <w:t xml:space="preserve"> temporally</w:t>
      </w:r>
      <w:r w:rsidR="002950FE">
        <w:rPr>
          <w:rFonts w:eastAsia="Calibri"/>
          <w:iCs/>
          <w:kern w:val="0"/>
          <w:szCs w:val="24"/>
        </w:rPr>
        <w:t xml:space="preserve"> </w:t>
      </w:r>
      <w:r w:rsidR="00EF139A">
        <w:rPr>
          <w:rFonts w:eastAsia="Calibri"/>
          <w:iCs/>
          <w:kern w:val="0"/>
          <w:szCs w:val="24"/>
        </w:rPr>
        <w:t>in</w:t>
      </w:r>
      <w:r w:rsidR="00074EC1">
        <w:rPr>
          <w:rFonts w:eastAsia="Calibri"/>
          <w:iCs/>
          <w:kern w:val="0"/>
          <w:szCs w:val="24"/>
        </w:rPr>
        <w:t xml:space="preserve"> </w:t>
      </w:r>
      <w:r w:rsidR="00840180">
        <w:rPr>
          <w:rFonts w:eastAsia="Calibri"/>
          <w:iCs/>
          <w:kern w:val="0"/>
          <w:szCs w:val="24"/>
        </w:rPr>
        <w:t>a</w:t>
      </w:r>
      <w:r w:rsidR="001B32B6">
        <w:rPr>
          <w:rFonts w:eastAsia="Calibri"/>
          <w:iCs/>
          <w:kern w:val="0"/>
          <w:szCs w:val="24"/>
        </w:rPr>
        <w:t xml:space="preserve"> generalist</w:t>
      </w:r>
      <w:r w:rsidR="00840180">
        <w:rPr>
          <w:rFonts w:eastAsia="Calibri"/>
          <w:iCs/>
          <w:kern w:val="0"/>
          <w:szCs w:val="24"/>
        </w:rPr>
        <w:t xml:space="preserve"> seed-dispersing</w:t>
      </w:r>
      <w:r w:rsidR="00074EC1">
        <w:rPr>
          <w:rFonts w:eastAsia="Calibri"/>
          <w:iCs/>
          <w:kern w:val="0"/>
          <w:szCs w:val="24"/>
        </w:rPr>
        <w:t xml:space="preserve"> </w:t>
      </w:r>
      <w:r w:rsidR="00840180">
        <w:rPr>
          <w:rFonts w:eastAsia="Calibri"/>
          <w:iCs/>
          <w:kern w:val="0"/>
          <w:szCs w:val="24"/>
        </w:rPr>
        <w:t>herbivore</w:t>
      </w:r>
      <w:r w:rsidR="00913EA4">
        <w:rPr>
          <w:rFonts w:eastAsia="Calibri"/>
          <w:iCs/>
          <w:kern w:val="0"/>
          <w:szCs w:val="24"/>
        </w:rPr>
        <w:t>, providing an opportunity to quantify</w:t>
      </w:r>
      <w:r w:rsidR="001B32B6">
        <w:rPr>
          <w:rFonts w:eastAsia="Calibri"/>
          <w:iCs/>
          <w:kern w:val="0"/>
          <w:szCs w:val="24"/>
        </w:rPr>
        <w:t xml:space="preserve"> how</w:t>
      </w:r>
      <w:r w:rsidR="002A0ED5">
        <w:rPr>
          <w:rFonts w:eastAsia="Calibri"/>
          <w:iCs/>
          <w:kern w:val="0"/>
          <w:szCs w:val="24"/>
        </w:rPr>
        <w:t xml:space="preserve"> its</w:t>
      </w:r>
      <w:r w:rsidR="001B32B6">
        <w:rPr>
          <w:rFonts w:eastAsia="Calibri"/>
          <w:iCs/>
          <w:kern w:val="0"/>
          <w:szCs w:val="24"/>
        </w:rPr>
        <w:t xml:space="preserve"> frugivory varies temporally</w:t>
      </w:r>
      <w:r w:rsidR="00913EA4">
        <w:rPr>
          <w:rFonts w:eastAsia="Calibri"/>
          <w:iCs/>
          <w:kern w:val="0"/>
          <w:szCs w:val="24"/>
        </w:rPr>
        <w:t xml:space="preserve"> and whether its functional role as a seed disperser changes.</w:t>
      </w:r>
      <w:bookmarkStart w:id="4" w:name="_Toc113555152"/>
      <w:r w:rsidR="00536DCD">
        <w:rPr>
          <w:rFonts w:eastAsia="Calibri"/>
          <w:iCs/>
          <w:kern w:val="0"/>
          <w:szCs w:val="24"/>
        </w:rPr>
        <w:t xml:space="preserve"> </w:t>
      </w:r>
      <w:r w:rsidR="00913EA4">
        <w:rPr>
          <w:rFonts w:eastAsia="Calibri"/>
          <w:iCs/>
          <w:kern w:val="0"/>
          <w:szCs w:val="24"/>
        </w:rPr>
        <w:t>The tortoises in th</w:t>
      </w:r>
      <w:r w:rsidR="003F7DFB">
        <w:rPr>
          <w:rFonts w:eastAsia="Calibri"/>
          <w:iCs/>
          <w:kern w:val="0"/>
          <w:szCs w:val="24"/>
        </w:rPr>
        <w:t>is</w:t>
      </w:r>
      <w:r w:rsidR="00913EA4">
        <w:rPr>
          <w:rFonts w:eastAsia="Calibri"/>
          <w:iCs/>
          <w:kern w:val="0"/>
          <w:szCs w:val="24"/>
        </w:rPr>
        <w:t xml:space="preserve"> study</w:t>
      </w:r>
      <w:r w:rsidR="00B45C90">
        <w:rPr>
          <w:rFonts w:eastAsia="Calibri"/>
          <w:iCs/>
          <w:kern w:val="0"/>
          <w:szCs w:val="24"/>
        </w:rPr>
        <w:t xml:space="preserve"> (</w:t>
      </w:r>
      <w:r w:rsidR="003F7DFB">
        <w:rPr>
          <w:rFonts w:eastAsia="Calibri"/>
          <w:iCs/>
          <w:kern w:val="0"/>
          <w:szCs w:val="24"/>
        </w:rPr>
        <w:t xml:space="preserve">n = </w:t>
      </w:r>
      <w:r w:rsidR="0005085E">
        <w:rPr>
          <w:rFonts w:eastAsia="Calibri"/>
          <w:iCs/>
          <w:kern w:val="0"/>
          <w:szCs w:val="24"/>
        </w:rPr>
        <w:t>21</w:t>
      </w:r>
      <w:r w:rsidR="00B45C90">
        <w:rPr>
          <w:rFonts w:eastAsia="Calibri"/>
          <w:iCs/>
          <w:kern w:val="0"/>
          <w:szCs w:val="24"/>
        </w:rPr>
        <w:t>)</w:t>
      </w:r>
      <w:r w:rsidR="00913EA4">
        <w:rPr>
          <w:rFonts w:eastAsia="Calibri"/>
          <w:iCs/>
          <w:kern w:val="0"/>
          <w:szCs w:val="24"/>
        </w:rPr>
        <w:t xml:space="preserve"> are</w:t>
      </w:r>
      <w:r w:rsidR="0005085E">
        <w:rPr>
          <w:rFonts w:eastAsia="Calibri"/>
          <w:iCs/>
          <w:kern w:val="0"/>
          <w:szCs w:val="24"/>
        </w:rPr>
        <w:t xml:space="preserve"> individually-marked</w:t>
      </w:r>
      <w:r w:rsidR="00913EA4">
        <w:rPr>
          <w:rFonts w:eastAsia="Calibri"/>
          <w:iCs/>
          <w:kern w:val="0"/>
          <w:szCs w:val="24"/>
        </w:rPr>
        <w:t xml:space="preserve"> </w:t>
      </w:r>
      <w:r w:rsidR="00BE50D0">
        <w:rPr>
          <w:rFonts w:eastAsia="Calibri"/>
          <w:iCs/>
          <w:kern w:val="0"/>
          <w:szCs w:val="24"/>
        </w:rPr>
        <w:t xml:space="preserve">wild </w:t>
      </w:r>
      <w:r w:rsidR="001E782D">
        <w:rPr>
          <w:rFonts w:eastAsia="Calibri"/>
          <w:iCs/>
          <w:kern w:val="0"/>
          <w:szCs w:val="24"/>
        </w:rPr>
        <w:t>individuals</w:t>
      </w:r>
      <w:r w:rsidR="00BE50D0">
        <w:rPr>
          <w:rFonts w:eastAsia="Calibri"/>
          <w:iCs/>
          <w:kern w:val="0"/>
          <w:szCs w:val="24"/>
        </w:rPr>
        <w:t xml:space="preserve"> </w:t>
      </w:r>
      <w:r w:rsidR="00913EA4">
        <w:rPr>
          <w:rFonts w:eastAsia="Calibri"/>
          <w:iCs/>
          <w:kern w:val="0"/>
          <w:szCs w:val="24"/>
        </w:rPr>
        <w:t xml:space="preserve">found in three aggregations which we refer to as the East, South, and West sites – named after the cardinal directions in which they are located </w:t>
      </w:r>
      <w:r w:rsidR="00913EA4" w:rsidRPr="006E4EB5">
        <w:rPr>
          <w:rFonts w:eastAsia="Calibri"/>
          <w:iCs/>
          <w:kern w:val="0"/>
          <w:szCs w:val="24"/>
        </w:rPr>
        <w:t xml:space="preserve">across </w:t>
      </w:r>
      <w:r w:rsidR="00696BF1">
        <w:rPr>
          <w:rFonts w:eastAsia="Calibri"/>
          <w:iCs/>
          <w:kern w:val="0"/>
          <w:szCs w:val="24"/>
        </w:rPr>
        <w:t>the</w:t>
      </w:r>
      <w:r w:rsidR="00913EA4" w:rsidRPr="006E4EB5">
        <w:rPr>
          <w:rFonts w:eastAsia="Calibri"/>
          <w:iCs/>
          <w:kern w:val="0"/>
          <w:szCs w:val="24"/>
        </w:rPr>
        <w:t xml:space="preserve"> </w:t>
      </w:r>
      <w:r w:rsidR="00913EA4" w:rsidRPr="006E4EB5">
        <w:rPr>
          <w:rFonts w:eastAsia="Calibri"/>
          <w:iCs/>
          <w:kern w:val="0"/>
          <w:szCs w:val="24"/>
        </w:rPr>
        <w:lastRenderedPageBreak/>
        <w:t>pine rockland</w:t>
      </w:r>
      <w:r w:rsidR="00696BF1">
        <w:rPr>
          <w:rFonts w:eastAsia="Calibri"/>
          <w:iCs/>
          <w:kern w:val="0"/>
          <w:szCs w:val="24"/>
        </w:rPr>
        <w:t xml:space="preserve"> habitat surrounding Zoo Miami</w:t>
      </w:r>
      <w:r w:rsidR="00913EA4" w:rsidRPr="006E4EB5">
        <w:rPr>
          <w:rFonts w:eastAsia="Calibri"/>
          <w:iCs/>
          <w:kern w:val="0"/>
          <w:szCs w:val="24"/>
        </w:rPr>
        <w:t xml:space="preserve"> (see Fig. 1).</w:t>
      </w:r>
      <w:r w:rsidR="00913EA4">
        <w:rPr>
          <w:rFonts w:eastAsia="Calibri"/>
          <w:iCs/>
          <w:kern w:val="0"/>
          <w:szCs w:val="24"/>
        </w:rPr>
        <w:t xml:space="preserve"> </w:t>
      </w:r>
      <w:r w:rsidR="00636AE3">
        <w:rPr>
          <w:rFonts w:eastAsia="Calibri"/>
          <w:iCs/>
          <w:kern w:val="0"/>
          <w:szCs w:val="24"/>
        </w:rPr>
        <w:t xml:space="preserve">These </w:t>
      </w:r>
      <w:r w:rsidR="00741DE5">
        <w:rPr>
          <w:rFonts w:eastAsia="Calibri"/>
          <w:iCs/>
          <w:kern w:val="0"/>
          <w:szCs w:val="24"/>
        </w:rPr>
        <w:t xml:space="preserve">tortoises </w:t>
      </w:r>
      <w:r w:rsidR="00636AE3">
        <w:rPr>
          <w:rFonts w:eastAsia="Calibri"/>
          <w:iCs/>
          <w:kern w:val="0"/>
          <w:szCs w:val="24"/>
        </w:rPr>
        <w:t xml:space="preserve">aggregations are due to a combination of the species’ social behavior </w:t>
      </w:r>
      <w:r w:rsidR="00636AE3">
        <w:rPr>
          <w:rFonts w:eastAsia="Calibri"/>
          <w:iCs/>
          <w:kern w:val="0"/>
          <w:szCs w:val="24"/>
        </w:rPr>
        <w:fldChar w:fldCharType="begin"/>
      </w:r>
      <w:r w:rsidR="00636AE3">
        <w:rPr>
          <w:rFonts w:eastAsia="Calibri"/>
          <w:iCs/>
          <w:kern w:val="0"/>
          <w:szCs w:val="24"/>
        </w:rPr>
        <w:instrText xml:space="preserve"> ADDIN ZOTERO_ITEM CSL_CITATION {"citationID":"K5mUXfMk","properties":{"formattedCitation":"(Guyer et al. 2012)","plainCitation":"(Guyer et al. 2012)","noteIndex":0},"citationItems":[{"id":16569,"uris":["http://zotero.org/users/10895328/items/VSWMZE23"],"itemData":{"id":16569,"type":"article-journal","abstract":"Patterns of burrow size, tortoise size, home range size and overlap, movement distances, and mating rates were compared among six sites that differed in density of Gopher Tortoises. Burrow sizes differed among sites because tortoise size distributions differed among sites, but this was due principally to the unusually small size of animals on the Conecuh National Forest. A linear relationship between tortoise density and burrow density was documented from the six sites, suggesting that tortoises, on average, created 2.5 burrows per site or that the burrow-to-tortoise conversion factor for our sites was 0.40. The average distance from a burrow to its nearest three neighbors was greater for low-density sites than for high-density sites, indicating that animals probably were more isolated from each other on sites with low tortoise densities. Tortoise home ranges were larger in males than females, a feature documented in other studies of tortoise movements. Home range sizes were greatest for densities of approximately 0.4 tortoises/ha and decreased in size above and below this density. This suggests that animals moved to visit close neighbors in areas of high density, expanded movements to maintain contact with neighbors that became more widely dispersed as density decreased, and then restricted movements to a few close neighbors as density reached extremely low levels. Home range overlap increased linearly with increasing density, suggesting that opportunities for social interactions decreased with decreasing density. When tortoises moved between burrows, males moved longer distances than females and tortoises of both sexes moved shorter distances on high-density sites than did tortoises on low-density sites, suggesting greater movement costs for males than females and for tortoises on low-density sites. Males traveled up to 500 m to visit female burrows, but most movements were , 80 m. Median movement distances of males to visit females were negatively correlated with burrow density, suggesting that cost of male movements to find mates increased as population density decreased. Based upon patterns of 95% confidence limits, rates of mountings of female tortoises approached zero when females occupied burrows approximately 200 m from neighboring burrows. If burrows were uniformly distributed 200 m apart, then reproductive failure would be a statistically supportable outcome at a density of 0.3 burrows/ha (0.12 tortoises/ha). These values are similar to the values of 0.4 tortoises/ha (1.0 burrows/ha) that our data suggest is the density at which social structure associated with movements within home ranges are altered.","container-title":"Herpetological Monographs","DOI":"10.1655/HERPMONOGRAPHS-D-10-00004.1","ISSN":"0733-1347, 1938-5137","issue":"1","journalAbbreviation":"Herpetological Monographs","language":"en","page":"122-134","source":"DOI.org (Crossref)","title":"Effects of Population Density On Patterns of Movement and Behavior of Gopher Tortoises (Gopherus polyphemus)","volume":"26","author":[{"family":"Guyer","given":"Craig"},{"family":"Johnson","given":"Valerie M."},{"family":"Hermann","given":"Sharon M."}],"issued":{"date-parts":[["2012",12]]}}}],"schema":"https://github.com/citation-style-language/schema/raw/master/csl-citation.json"} </w:instrText>
      </w:r>
      <w:r w:rsidR="00636AE3">
        <w:rPr>
          <w:rFonts w:eastAsia="Calibri"/>
          <w:iCs/>
          <w:kern w:val="0"/>
          <w:szCs w:val="24"/>
        </w:rPr>
        <w:fldChar w:fldCharType="separate"/>
      </w:r>
      <w:r w:rsidR="00636AE3" w:rsidRPr="00B81399">
        <w:rPr>
          <w:rFonts w:eastAsia="Calibri"/>
        </w:rPr>
        <w:t>(Guyer et al. 2012)</w:t>
      </w:r>
      <w:r w:rsidR="00636AE3">
        <w:rPr>
          <w:rFonts w:eastAsia="Calibri"/>
          <w:iCs/>
          <w:kern w:val="0"/>
          <w:szCs w:val="24"/>
        </w:rPr>
        <w:fldChar w:fldCharType="end"/>
      </w:r>
      <w:r w:rsidR="00636AE3">
        <w:rPr>
          <w:rFonts w:eastAsia="Calibri"/>
          <w:iCs/>
          <w:kern w:val="0"/>
          <w:szCs w:val="24"/>
        </w:rPr>
        <w:t xml:space="preserve">, as well as the geology of this ecosystem </w:t>
      </w:r>
      <w:r w:rsidR="00636AE3">
        <w:rPr>
          <w:rFonts w:eastAsia="Calibri"/>
          <w:iCs/>
          <w:kern w:val="0"/>
          <w:szCs w:val="24"/>
        </w:rPr>
        <w:fldChar w:fldCharType="begin"/>
      </w:r>
      <w:r w:rsidR="00636AE3">
        <w:rPr>
          <w:rFonts w:eastAsia="Calibri"/>
          <w:iCs/>
          <w:kern w:val="0"/>
          <w:szCs w:val="24"/>
        </w:rPr>
        <w:instrText xml:space="preserve"> ADDIN ZOTERO_ITEM CSL_CITATION {"citationID":"yDRjGUez","properties":{"formattedCitation":"(Hoffmeister et al. 1967)","plainCitation":"(Hoffmeister et al. 1967)","noteIndex":0},"citationItems":[{"id":7322,"uris":["http://zotero.org/users/10895328/items/SARLU4T2"],"itemData":{"id":7322,"type":"article-journal","container-title":"Geological Society of America Bulletin","ISSN":"1943-2674","issue":"2","page":"175-190","title":"Miami Limestone of Florida and its recent Bahamian counterpart","volume":"78","author":[{"family":"Hoffmeister","given":"J. E."},{"family":"Stockman","given":"K. W."},{"family":"Multer","given":"H. Gray"}],"issued":{"date-parts":[["1967"]]}}}],"schema":"https://github.com/citation-style-language/schema/raw/master/csl-citation.json"} </w:instrText>
      </w:r>
      <w:r w:rsidR="00636AE3">
        <w:rPr>
          <w:rFonts w:eastAsia="Calibri"/>
          <w:iCs/>
          <w:kern w:val="0"/>
          <w:szCs w:val="24"/>
        </w:rPr>
        <w:fldChar w:fldCharType="separate"/>
      </w:r>
      <w:r w:rsidR="00636AE3" w:rsidRPr="00BE67FF">
        <w:rPr>
          <w:rFonts w:eastAsia="Calibri"/>
        </w:rPr>
        <w:t>(Hoffmeister et al. 1967)</w:t>
      </w:r>
      <w:r w:rsidR="00636AE3">
        <w:rPr>
          <w:rFonts w:eastAsia="Calibri"/>
          <w:iCs/>
          <w:kern w:val="0"/>
          <w:szCs w:val="24"/>
        </w:rPr>
        <w:fldChar w:fldCharType="end"/>
      </w:r>
      <w:r w:rsidR="00636AE3">
        <w:rPr>
          <w:rFonts w:eastAsia="Calibri"/>
          <w:iCs/>
          <w:kern w:val="0"/>
          <w:szCs w:val="24"/>
        </w:rPr>
        <w:t xml:space="preserve">, which can limit the availability of deep sandy soils that facilitate burrowing </w:t>
      </w:r>
      <w:r w:rsidR="00636AE3">
        <w:rPr>
          <w:rFonts w:eastAsia="Calibri"/>
          <w:iCs/>
          <w:kern w:val="0"/>
          <w:szCs w:val="24"/>
        </w:rPr>
        <w:fldChar w:fldCharType="begin"/>
      </w:r>
      <w:r w:rsidR="00636AE3">
        <w:rPr>
          <w:rFonts w:eastAsia="Calibri"/>
          <w:iCs/>
          <w:kern w:val="0"/>
          <w:szCs w:val="24"/>
        </w:rPr>
        <w:instrText xml:space="preserve"> ADDIN ZOTERO_ITEM CSL_CITATION {"citationID":"pXFBTD09","properties":{"formattedCitation":"(Whitfield et al. 2022)","plainCitation":"(Whitfield et al. 2022)","noteIndex":0},"citationItems":[{"id":9602,"uris":["http://zotero.org/users/10895328/items/B86WWK9U"],"itemData":{"id":9602,"type":"article-journal","abstract":"The Gopher Tortoise is a keystone species and a species of conservation concern in the southeastern United States, but the biology of tortoises at the extreme southeastern limit of the range is poorly understood. We examined physical characteristics and habitat associations of Gopher Tortoise burrows in pine rockland natural preserves in the highly urbanized Miami-Dade County (Florida, USA). We measured width, depth, and orientation of burrows at two sites. We compared a suite of 11 habitat features (e.g., canopy cover, understory density, ground cover, soil depth, and soil compaction) at random points and at Gopher Tortoise burrows in each of the two sites. Burrow widths were similar between sites and included burrows of both adults and juveniles—evidence that both populations are reproducing. Burrows were very short (most &amp;lt;2 m) compared to burrow lengths reported from other sites (&amp;gt;4 m), likely because soil depth is very shallow in extreme south Florida. We used multidimensional scaling and analysis of similarity to detect differences in habitat variables among sites, among point types (random points and burrows), and between active and inactive burrows. Low leaf litter cover, high grass cover, low canopy cover, and deep soil were among the major variables associated with all burrows and active burrows. The habitat associations of the burrows were similar to studies from other areas, yet the short burrows and association with the deepest available soils appear to be a strong response to the unique geology of pine rockland habitats. We discuss vegetative associations of Gopher Tortoises in the context of management in urban natural areas and implications for protection of Gopher Tortoises at the southern limit of their geographic range.","container-title":"Ichthyology &amp; Herpetology","DOI":"10.1643/h2020168 %J Ichthyology &amp; Herpetology","ISSN":"2766-1512","issue":"1","page":"22-32","title":"Burrow Characteristics and Habitat Associations of Gopher Tortoises in Urban Pine Rockland Reserves (Miami, Florida, USA)","volume":"110","author":[{"family":"Whitfield","given":"Steven M."},{"family":"Valle","given":"Daniel"},{"family":"Figueroa","given":"Adrian"},{"family":"Chin","given":"Brianna"},{"family":"Bravo-Gallegos","given":"Hugo"},{"family":"Leone","given":"Frank"}],"issued":{"date-parts":[["2022"]]}}}],"schema":"https://github.com/citation-style-language/schema/raw/master/csl-citation.json"} </w:instrText>
      </w:r>
      <w:r w:rsidR="00636AE3">
        <w:rPr>
          <w:rFonts w:eastAsia="Calibri"/>
          <w:iCs/>
          <w:kern w:val="0"/>
          <w:szCs w:val="24"/>
        </w:rPr>
        <w:fldChar w:fldCharType="separate"/>
      </w:r>
      <w:r w:rsidR="00636AE3" w:rsidRPr="005D771E">
        <w:rPr>
          <w:rFonts w:eastAsia="Calibri"/>
        </w:rPr>
        <w:t>(Whitfield et al. 2022)</w:t>
      </w:r>
      <w:r w:rsidR="00636AE3">
        <w:rPr>
          <w:rFonts w:eastAsia="Calibri"/>
          <w:iCs/>
          <w:kern w:val="0"/>
          <w:szCs w:val="24"/>
        </w:rPr>
        <w:fldChar w:fldCharType="end"/>
      </w:r>
      <w:r w:rsidR="00636AE3" w:rsidRPr="00102FE9">
        <w:rPr>
          <w:rFonts w:eastAsia="Calibri"/>
          <w:iCs/>
          <w:kern w:val="0"/>
          <w:szCs w:val="24"/>
        </w:rPr>
        <w:t>.</w:t>
      </w:r>
      <w:r w:rsidR="00636AE3">
        <w:rPr>
          <w:rFonts w:eastAsia="Calibri"/>
          <w:iCs/>
          <w:kern w:val="0"/>
          <w:szCs w:val="24"/>
        </w:rPr>
        <w:t xml:space="preserve"> During the study, no tortoises migrated from one site to </w:t>
      </w:r>
      <w:r w:rsidR="00913EA4">
        <w:rPr>
          <w:rFonts w:eastAsia="Calibri"/>
          <w:iCs/>
          <w:kern w:val="0"/>
          <w:szCs w:val="24"/>
        </w:rPr>
        <w:t>another, as we regularly tracked individuals via radio telemetry,</w:t>
      </w:r>
      <w:r w:rsidR="00636AE3">
        <w:rPr>
          <w:rFonts w:eastAsia="Calibri"/>
          <w:iCs/>
          <w:kern w:val="0"/>
          <w:szCs w:val="24"/>
        </w:rPr>
        <w:t xml:space="preserve"> so each site has a perfectly nested subset of individuals that occupy it.</w:t>
      </w:r>
      <w:r w:rsidR="00913EA4">
        <w:rPr>
          <w:rFonts w:eastAsia="Calibri"/>
          <w:iCs/>
          <w:kern w:val="0"/>
          <w:szCs w:val="24"/>
        </w:rPr>
        <w:t xml:space="preserve"> </w:t>
      </w:r>
      <w:r w:rsidR="00E01871">
        <w:rPr>
          <w:rFonts w:eastAsia="Calibri"/>
          <w:iCs/>
          <w:kern w:val="0"/>
          <w:szCs w:val="24"/>
        </w:rPr>
        <w:t>W</w:t>
      </w:r>
      <w:r w:rsidR="00913EA4">
        <w:rPr>
          <w:rFonts w:eastAsia="Calibri"/>
          <w:iCs/>
          <w:kern w:val="0"/>
          <w:szCs w:val="24"/>
        </w:rPr>
        <w:t xml:space="preserve">hile formal surveys were not conducted, the </w:t>
      </w:r>
      <w:r w:rsidR="00EB6D48">
        <w:rPr>
          <w:rFonts w:eastAsia="Calibri"/>
          <w:iCs/>
          <w:kern w:val="0"/>
          <w:szCs w:val="24"/>
        </w:rPr>
        <w:t xml:space="preserve">plant communities in </w:t>
      </w:r>
      <w:r w:rsidR="00913EA4">
        <w:rPr>
          <w:rFonts w:eastAsia="Calibri"/>
          <w:iCs/>
          <w:kern w:val="0"/>
          <w:szCs w:val="24"/>
        </w:rPr>
        <w:t>both the</w:t>
      </w:r>
      <w:r w:rsidR="00EB6D48">
        <w:rPr>
          <w:rFonts w:eastAsia="Calibri"/>
          <w:iCs/>
          <w:kern w:val="0"/>
          <w:szCs w:val="24"/>
        </w:rPr>
        <w:t xml:space="preserve"> South and West </w:t>
      </w:r>
      <w:r w:rsidR="00913EA4">
        <w:rPr>
          <w:rFonts w:eastAsia="Calibri"/>
          <w:iCs/>
          <w:kern w:val="0"/>
          <w:szCs w:val="24"/>
        </w:rPr>
        <w:t>sites we</w:t>
      </w:r>
      <w:r w:rsidR="00EB6D48">
        <w:rPr>
          <w:rFonts w:eastAsia="Calibri"/>
          <w:iCs/>
          <w:kern w:val="0"/>
          <w:szCs w:val="24"/>
        </w:rPr>
        <w:t xml:space="preserve">re </w:t>
      </w:r>
      <w:r w:rsidR="00913EA4">
        <w:rPr>
          <w:rFonts w:eastAsia="Calibri"/>
          <w:iCs/>
          <w:kern w:val="0"/>
          <w:szCs w:val="24"/>
        </w:rPr>
        <w:t xml:space="preserve">representative of </w:t>
      </w:r>
      <w:r w:rsidR="009146F5">
        <w:rPr>
          <w:rFonts w:eastAsia="Calibri"/>
          <w:iCs/>
          <w:kern w:val="0"/>
          <w:szCs w:val="24"/>
        </w:rPr>
        <w:t>managed</w:t>
      </w:r>
      <w:r w:rsidR="00913EA4">
        <w:rPr>
          <w:rFonts w:eastAsia="Calibri"/>
          <w:iCs/>
          <w:kern w:val="0"/>
          <w:szCs w:val="24"/>
        </w:rPr>
        <w:t xml:space="preserve"> pine rockland</w:t>
      </w:r>
      <w:r w:rsidR="00696BF1">
        <w:rPr>
          <w:rFonts w:eastAsia="Calibri"/>
          <w:iCs/>
          <w:kern w:val="0"/>
          <w:szCs w:val="24"/>
        </w:rPr>
        <w:t xml:space="preserve"> habitat</w:t>
      </w:r>
      <w:r w:rsidR="00EB6D48">
        <w:rPr>
          <w:rFonts w:eastAsia="Calibri"/>
          <w:iCs/>
          <w:kern w:val="0"/>
          <w:szCs w:val="24"/>
        </w:rPr>
        <w:t xml:space="preserve"> while</w:t>
      </w:r>
      <w:r w:rsidR="00913EA4">
        <w:rPr>
          <w:rFonts w:eastAsia="Calibri"/>
          <w:iCs/>
          <w:kern w:val="0"/>
          <w:szCs w:val="24"/>
        </w:rPr>
        <w:t xml:space="preserve"> the</w:t>
      </w:r>
      <w:r w:rsidR="00EB6D48">
        <w:rPr>
          <w:rFonts w:eastAsia="Calibri"/>
          <w:iCs/>
          <w:kern w:val="0"/>
          <w:szCs w:val="24"/>
        </w:rPr>
        <w:t xml:space="preserve"> East</w:t>
      </w:r>
      <w:r w:rsidR="00F354C9">
        <w:rPr>
          <w:rFonts w:eastAsia="Calibri"/>
          <w:iCs/>
          <w:kern w:val="0"/>
          <w:szCs w:val="24"/>
        </w:rPr>
        <w:t xml:space="preserve"> site</w:t>
      </w:r>
      <w:r w:rsidR="00EB6D48">
        <w:rPr>
          <w:rFonts w:eastAsia="Calibri"/>
          <w:iCs/>
          <w:kern w:val="0"/>
          <w:szCs w:val="24"/>
        </w:rPr>
        <w:t xml:space="preserve"> </w:t>
      </w:r>
      <w:r w:rsidR="00E01871">
        <w:rPr>
          <w:rFonts w:eastAsia="Calibri"/>
          <w:iCs/>
          <w:kern w:val="0"/>
          <w:szCs w:val="24"/>
        </w:rPr>
        <w:t>had a greater presence of</w:t>
      </w:r>
      <w:r w:rsidR="00EB6D48">
        <w:rPr>
          <w:rFonts w:eastAsia="Calibri"/>
          <w:iCs/>
          <w:kern w:val="0"/>
          <w:szCs w:val="24"/>
        </w:rPr>
        <w:t xml:space="preserve"> </w:t>
      </w:r>
      <w:r w:rsidR="00E01871">
        <w:rPr>
          <w:rFonts w:eastAsia="Calibri"/>
          <w:iCs/>
          <w:kern w:val="0"/>
          <w:szCs w:val="24"/>
        </w:rPr>
        <w:t>invasive</w:t>
      </w:r>
      <w:r w:rsidR="00EB6D48">
        <w:rPr>
          <w:rFonts w:eastAsia="Calibri"/>
          <w:iCs/>
          <w:kern w:val="0"/>
          <w:szCs w:val="24"/>
        </w:rPr>
        <w:t xml:space="preserve"> plant</w:t>
      </w:r>
      <w:r w:rsidR="00E01871">
        <w:rPr>
          <w:rFonts w:eastAsia="Calibri"/>
          <w:iCs/>
          <w:kern w:val="0"/>
          <w:szCs w:val="24"/>
        </w:rPr>
        <w:t xml:space="preserve"> </w:t>
      </w:r>
      <w:r w:rsidR="00EB6D48">
        <w:rPr>
          <w:rFonts w:eastAsia="Calibri"/>
          <w:iCs/>
          <w:kern w:val="0"/>
          <w:szCs w:val="24"/>
        </w:rPr>
        <w:t>s</w:t>
      </w:r>
      <w:r w:rsidR="00E01871">
        <w:rPr>
          <w:rFonts w:eastAsia="Calibri"/>
          <w:iCs/>
          <w:kern w:val="0"/>
          <w:szCs w:val="24"/>
        </w:rPr>
        <w:t>pecies</w:t>
      </w:r>
      <w:r w:rsidR="00EB6D48">
        <w:rPr>
          <w:rFonts w:eastAsia="Calibri"/>
          <w:iCs/>
          <w:kern w:val="0"/>
          <w:szCs w:val="24"/>
        </w:rPr>
        <w:t xml:space="preserve"> such as Burma reed (</w:t>
      </w:r>
      <w:proofErr w:type="spellStart"/>
      <w:r w:rsidR="00EB6D48" w:rsidRPr="00D86DD5">
        <w:rPr>
          <w:rFonts w:eastAsia="Calibri"/>
          <w:i/>
          <w:kern w:val="0"/>
          <w:szCs w:val="24"/>
        </w:rPr>
        <w:t>Neyraudia</w:t>
      </w:r>
      <w:proofErr w:type="spellEnd"/>
      <w:r w:rsidR="00EB6D48" w:rsidRPr="00D86DD5">
        <w:rPr>
          <w:rFonts w:eastAsia="Calibri"/>
          <w:i/>
          <w:kern w:val="0"/>
          <w:szCs w:val="24"/>
        </w:rPr>
        <w:t xml:space="preserve"> </w:t>
      </w:r>
      <w:proofErr w:type="spellStart"/>
      <w:r w:rsidR="00EB6D48" w:rsidRPr="00D86DD5">
        <w:rPr>
          <w:rFonts w:eastAsia="Calibri"/>
          <w:i/>
          <w:kern w:val="0"/>
          <w:szCs w:val="24"/>
        </w:rPr>
        <w:t>reynaudiana</w:t>
      </w:r>
      <w:proofErr w:type="spellEnd"/>
      <w:r w:rsidR="00EB6D48">
        <w:rPr>
          <w:rFonts w:eastAsia="Calibri"/>
          <w:iCs/>
          <w:kern w:val="0"/>
          <w:szCs w:val="24"/>
        </w:rPr>
        <w:t>), showy rattlebox (</w:t>
      </w:r>
      <w:r w:rsidR="00EB6D48" w:rsidRPr="00981F28">
        <w:rPr>
          <w:rFonts w:eastAsia="Calibri"/>
          <w:i/>
          <w:kern w:val="0"/>
          <w:szCs w:val="24"/>
        </w:rPr>
        <w:t xml:space="preserve">Crotalaria </w:t>
      </w:r>
      <w:r w:rsidR="00EB6D48">
        <w:rPr>
          <w:rFonts w:eastAsia="Calibri"/>
          <w:i/>
          <w:kern w:val="0"/>
          <w:szCs w:val="24"/>
        </w:rPr>
        <w:t>spectabilis</w:t>
      </w:r>
      <w:r w:rsidR="00EB6D48">
        <w:rPr>
          <w:rFonts w:eastAsia="Calibri"/>
          <w:iCs/>
          <w:kern w:val="0"/>
          <w:szCs w:val="24"/>
        </w:rPr>
        <w:t>), and shrub verbena (</w:t>
      </w:r>
      <w:r w:rsidR="00EB6D48">
        <w:rPr>
          <w:rFonts w:eastAsia="Calibri"/>
          <w:i/>
          <w:kern w:val="0"/>
          <w:szCs w:val="24"/>
        </w:rPr>
        <w:t>Lantana camara</w:t>
      </w:r>
      <w:r w:rsidR="00EB6D48">
        <w:rPr>
          <w:rFonts w:eastAsia="Calibri"/>
          <w:iCs/>
          <w:kern w:val="0"/>
          <w:szCs w:val="24"/>
        </w:rPr>
        <w:t>).</w:t>
      </w:r>
    </w:p>
    <w:p w14:paraId="2DBA3427" w14:textId="77777777" w:rsidR="002950FE" w:rsidRDefault="002950FE" w:rsidP="006E07F5">
      <w:pPr>
        <w:spacing w:before="100" w:beforeAutospacing="1" w:after="100" w:afterAutospacing="1" w:line="480" w:lineRule="auto"/>
        <w:mirrorIndents/>
        <w:rPr>
          <w:rStyle w:val="Heading3Char"/>
          <w:rFonts w:cs="Times New Roman"/>
          <w:b/>
          <w:bCs/>
        </w:rPr>
      </w:pPr>
    </w:p>
    <w:p w14:paraId="2294A633" w14:textId="77777777" w:rsidR="00FE3E76" w:rsidRPr="004C7E09" w:rsidRDefault="002950FE" w:rsidP="00D06E69">
      <w:pPr>
        <w:spacing w:before="100" w:beforeAutospacing="1" w:after="100" w:afterAutospacing="1" w:line="480" w:lineRule="auto"/>
        <w:mirrorIndents/>
        <w:rPr>
          <w:rStyle w:val="Heading3Char"/>
          <w:rFonts w:cs="Times New Roman"/>
          <w:b/>
          <w:bCs/>
        </w:rPr>
      </w:pPr>
      <w:r w:rsidRPr="004C7E09">
        <w:rPr>
          <w:rStyle w:val="Heading3Char"/>
          <w:rFonts w:cs="Times New Roman"/>
          <w:b/>
          <w:bCs/>
        </w:rPr>
        <w:t>Study Design</w:t>
      </w:r>
      <w:bookmarkEnd w:id="4"/>
      <w:r w:rsidRPr="004C7E09">
        <w:rPr>
          <w:rStyle w:val="Heading3Char"/>
          <w:rFonts w:cs="Times New Roman"/>
          <w:b/>
          <w:bCs/>
        </w:rPr>
        <w:t xml:space="preserve"> </w:t>
      </w:r>
    </w:p>
    <w:p w14:paraId="21445399" w14:textId="40134C34" w:rsidR="002950FE" w:rsidRPr="004C7E09" w:rsidRDefault="002950FE" w:rsidP="00D06E69">
      <w:pPr>
        <w:spacing w:before="100" w:beforeAutospacing="1" w:after="100" w:afterAutospacing="1" w:line="480" w:lineRule="auto"/>
        <w:mirrorIndents/>
        <w:rPr>
          <w:rStyle w:val="Heading3Char"/>
          <w:rFonts w:cs="Times New Roman"/>
          <w:i/>
          <w:iCs/>
        </w:rPr>
      </w:pPr>
      <w:r w:rsidRPr="004C7E09">
        <w:rPr>
          <w:rStyle w:val="Heading3Char"/>
          <w:rFonts w:cs="Times New Roman"/>
          <w:i/>
          <w:iCs/>
        </w:rPr>
        <w:t>Scat Collection</w:t>
      </w:r>
      <w:r w:rsidR="00CA4997">
        <w:rPr>
          <w:rStyle w:val="Heading3Char"/>
          <w:rFonts w:cs="Times New Roman"/>
          <w:i/>
          <w:iCs/>
        </w:rPr>
        <w:t xml:space="preserve"> and Dissection</w:t>
      </w:r>
    </w:p>
    <w:p w14:paraId="5547CBF4" w14:textId="6115F9A5" w:rsidR="002950FE" w:rsidRPr="00C34AA0" w:rsidRDefault="00986495" w:rsidP="00D06E69">
      <w:pPr>
        <w:spacing w:before="100" w:beforeAutospacing="1" w:after="100" w:afterAutospacing="1" w:line="480" w:lineRule="auto"/>
        <w:ind w:firstLine="720"/>
        <w:mirrorIndents/>
        <w:rPr>
          <w:rFonts w:eastAsia="Calibri"/>
          <w:shd w:val="clear" w:color="auto" w:fill="FFFFFF"/>
        </w:rPr>
      </w:pPr>
      <w:r>
        <w:rPr>
          <w:rFonts w:eastAsia="Calibri"/>
          <w:shd w:val="clear" w:color="auto" w:fill="FFFFFF"/>
        </w:rPr>
        <w:t>We conducted t</w:t>
      </w:r>
      <w:r w:rsidR="002950FE" w:rsidRPr="004C7E09">
        <w:rPr>
          <w:rFonts w:eastAsia="Calibri"/>
          <w:shd w:val="clear" w:color="auto" w:fill="FFFFFF"/>
        </w:rPr>
        <w:t>his study</w:t>
      </w:r>
      <w:r w:rsidR="002950FE">
        <w:rPr>
          <w:rFonts w:eastAsia="Calibri"/>
          <w:shd w:val="clear" w:color="auto" w:fill="FFFFFF"/>
        </w:rPr>
        <w:t xml:space="preserve"> over a 1.5-year period</w:t>
      </w:r>
      <w:r w:rsidR="000D1070">
        <w:rPr>
          <w:rFonts w:eastAsia="Calibri"/>
          <w:shd w:val="clear" w:color="auto" w:fill="FFFFFF"/>
        </w:rPr>
        <w:t xml:space="preserve"> with</w:t>
      </w:r>
      <w:r w:rsidR="002950FE">
        <w:rPr>
          <w:rFonts w:eastAsia="Calibri"/>
          <w:shd w:val="clear" w:color="auto" w:fill="FFFFFF"/>
        </w:rPr>
        <w:t xml:space="preserve"> </w:t>
      </w:r>
      <w:r w:rsidR="000D1070">
        <w:rPr>
          <w:rFonts w:eastAsia="Calibri"/>
          <w:shd w:val="clear" w:color="auto" w:fill="FFFFFF"/>
        </w:rPr>
        <w:t>s</w:t>
      </w:r>
      <w:r w:rsidR="002950FE">
        <w:rPr>
          <w:rFonts w:eastAsia="Calibri"/>
          <w:shd w:val="clear" w:color="auto" w:fill="FFFFFF"/>
        </w:rPr>
        <w:t>cat collection beg</w:t>
      </w:r>
      <w:r w:rsidR="000D1070">
        <w:rPr>
          <w:rFonts w:eastAsia="Calibri"/>
          <w:shd w:val="clear" w:color="auto" w:fill="FFFFFF"/>
        </w:rPr>
        <w:t>i</w:t>
      </w:r>
      <w:r w:rsidR="002950FE">
        <w:rPr>
          <w:rFonts w:eastAsia="Calibri"/>
          <w:shd w:val="clear" w:color="auto" w:fill="FFFFFF"/>
        </w:rPr>
        <w:t>n</w:t>
      </w:r>
      <w:r w:rsidR="000D1070">
        <w:rPr>
          <w:rFonts w:eastAsia="Calibri"/>
          <w:shd w:val="clear" w:color="auto" w:fill="FFFFFF"/>
        </w:rPr>
        <w:t>ning</w:t>
      </w:r>
      <w:r w:rsidR="002950FE">
        <w:rPr>
          <w:rFonts w:eastAsia="Calibri"/>
          <w:shd w:val="clear" w:color="auto" w:fill="FFFFFF"/>
        </w:rPr>
        <w:t xml:space="preserve"> </w:t>
      </w:r>
      <w:r w:rsidR="006B2832">
        <w:rPr>
          <w:rFonts w:eastAsia="Calibri"/>
          <w:shd w:val="clear" w:color="auto" w:fill="FFFFFF"/>
        </w:rPr>
        <w:t>o</w:t>
      </w:r>
      <w:r w:rsidR="002950FE">
        <w:rPr>
          <w:rFonts w:eastAsia="Calibri"/>
          <w:shd w:val="clear" w:color="auto" w:fill="FFFFFF"/>
        </w:rPr>
        <w:t>n May 11</w:t>
      </w:r>
      <w:r w:rsidR="002950FE" w:rsidRPr="00F82554">
        <w:rPr>
          <w:rFonts w:eastAsia="Calibri"/>
          <w:shd w:val="clear" w:color="auto" w:fill="FFFFFF"/>
          <w:vertAlign w:val="superscript"/>
        </w:rPr>
        <w:t>th</w:t>
      </w:r>
      <w:r w:rsidR="002950FE">
        <w:rPr>
          <w:rFonts w:eastAsia="Calibri"/>
          <w:shd w:val="clear" w:color="auto" w:fill="FFFFFF"/>
        </w:rPr>
        <w:t>, 2021, and end</w:t>
      </w:r>
      <w:r w:rsidR="000D1070">
        <w:rPr>
          <w:rFonts w:eastAsia="Calibri"/>
          <w:shd w:val="clear" w:color="auto" w:fill="FFFFFF"/>
        </w:rPr>
        <w:t>ing</w:t>
      </w:r>
      <w:r w:rsidR="002950FE">
        <w:rPr>
          <w:rFonts w:eastAsia="Calibri"/>
          <w:shd w:val="clear" w:color="auto" w:fill="FFFFFF"/>
        </w:rPr>
        <w:t xml:space="preserve"> </w:t>
      </w:r>
      <w:r w:rsidR="006B2832">
        <w:rPr>
          <w:rFonts w:eastAsia="Calibri"/>
          <w:shd w:val="clear" w:color="auto" w:fill="FFFFFF"/>
        </w:rPr>
        <w:t>o</w:t>
      </w:r>
      <w:r w:rsidR="002950FE">
        <w:rPr>
          <w:rFonts w:eastAsia="Calibri"/>
          <w:shd w:val="clear" w:color="auto" w:fill="FFFFFF"/>
        </w:rPr>
        <w:t>n November 9</w:t>
      </w:r>
      <w:r w:rsidR="002950FE" w:rsidRPr="003730C2">
        <w:rPr>
          <w:rFonts w:eastAsia="Calibri"/>
          <w:shd w:val="clear" w:color="auto" w:fill="FFFFFF"/>
          <w:vertAlign w:val="superscript"/>
        </w:rPr>
        <w:t>th</w:t>
      </w:r>
      <w:r w:rsidR="002950FE">
        <w:rPr>
          <w:rFonts w:eastAsia="Calibri"/>
          <w:shd w:val="clear" w:color="auto" w:fill="FFFFFF"/>
        </w:rPr>
        <w:t xml:space="preserve">, </w:t>
      </w:r>
      <w:r w:rsidR="00D16FBA">
        <w:rPr>
          <w:rFonts w:eastAsia="Calibri"/>
          <w:shd w:val="clear" w:color="auto" w:fill="FFFFFF"/>
        </w:rPr>
        <w:t>2022</w:t>
      </w:r>
      <w:r w:rsidR="00E776CA">
        <w:rPr>
          <w:rFonts w:eastAsia="Calibri"/>
          <w:shd w:val="clear" w:color="auto" w:fill="FFFFFF"/>
        </w:rPr>
        <w:t>.</w:t>
      </w:r>
      <w:r>
        <w:rPr>
          <w:rFonts w:eastAsia="Calibri"/>
          <w:shd w:val="clear" w:color="auto" w:fill="FFFFFF"/>
        </w:rPr>
        <w:t xml:space="preserve"> We tracked w</w:t>
      </w:r>
      <w:r w:rsidR="002950FE">
        <w:rPr>
          <w:rFonts w:eastAsia="Calibri"/>
          <w:shd w:val="clear" w:color="auto" w:fill="FFFFFF"/>
        </w:rPr>
        <w:t>ild g</w:t>
      </w:r>
      <w:r w:rsidR="002950FE" w:rsidRPr="005F2DB4">
        <w:rPr>
          <w:rFonts w:eastAsia="Calibri"/>
          <w:shd w:val="clear" w:color="auto" w:fill="FFFFFF"/>
        </w:rPr>
        <w:t>opher tortoises</w:t>
      </w:r>
      <w:r w:rsidR="002950FE">
        <w:rPr>
          <w:rFonts w:eastAsia="Calibri"/>
          <w:shd w:val="clear" w:color="auto" w:fill="FFFFFF"/>
        </w:rPr>
        <w:t xml:space="preserve"> at the Richmond</w:t>
      </w:r>
      <w:r w:rsidR="002950FE" w:rsidRPr="005F2DB4">
        <w:rPr>
          <w:rFonts w:eastAsia="Calibri"/>
          <w:shd w:val="clear" w:color="auto" w:fill="FFFFFF"/>
        </w:rPr>
        <w:t xml:space="preserve"> </w:t>
      </w:r>
      <w:r w:rsidR="00995C2B">
        <w:rPr>
          <w:rFonts w:eastAsia="Calibri"/>
          <w:shd w:val="clear" w:color="auto" w:fill="FFFFFF"/>
        </w:rPr>
        <w:t>Tract twice weekly</w:t>
      </w:r>
      <w:r w:rsidR="002950FE">
        <w:rPr>
          <w:rFonts w:eastAsia="Calibri"/>
          <w:shd w:val="clear" w:color="auto" w:fill="FFFFFF"/>
        </w:rPr>
        <w:t xml:space="preserve"> </w:t>
      </w:r>
      <w:r w:rsidR="002950FE" w:rsidRPr="005F2DB4">
        <w:rPr>
          <w:rFonts w:eastAsia="Calibri"/>
          <w:shd w:val="clear" w:color="auto" w:fill="FFFFFF"/>
        </w:rPr>
        <w:t xml:space="preserve">via radio telemetry. If an individual defecated during handling, </w:t>
      </w:r>
      <w:r w:rsidR="008D5E03">
        <w:rPr>
          <w:rFonts w:eastAsia="Calibri"/>
          <w:shd w:val="clear" w:color="auto" w:fill="FFFFFF"/>
        </w:rPr>
        <w:t xml:space="preserve">we collected </w:t>
      </w:r>
      <w:r w:rsidR="002950FE" w:rsidRPr="005F2DB4">
        <w:rPr>
          <w:rFonts w:eastAsia="Calibri"/>
          <w:shd w:val="clear" w:color="auto" w:fill="FFFFFF"/>
        </w:rPr>
        <w:t>the sample labeled</w:t>
      </w:r>
      <w:r w:rsidR="008D5E03">
        <w:rPr>
          <w:rFonts w:eastAsia="Calibri"/>
          <w:shd w:val="clear" w:color="auto" w:fill="FFFFFF"/>
        </w:rPr>
        <w:t xml:space="preserve"> it</w:t>
      </w:r>
      <w:r w:rsidR="002950FE" w:rsidRPr="005F2DB4">
        <w:rPr>
          <w:rFonts w:eastAsia="Calibri"/>
          <w:shd w:val="clear" w:color="auto" w:fill="FFFFFF"/>
        </w:rPr>
        <w:t xml:space="preserve"> with the tortoise’s ID number, location, and the date</w:t>
      </w:r>
      <w:r w:rsidR="00275DD0">
        <w:rPr>
          <w:rFonts w:eastAsia="Calibri"/>
          <w:shd w:val="clear" w:color="auto" w:fill="FFFFFF"/>
        </w:rPr>
        <w:t xml:space="preserve"> of collection</w:t>
      </w:r>
      <w:r w:rsidR="002950FE" w:rsidRPr="005F2DB4">
        <w:rPr>
          <w:rFonts w:eastAsia="Calibri"/>
          <w:shd w:val="clear" w:color="auto" w:fill="FFFFFF"/>
        </w:rPr>
        <w:t>. Sometimes,</w:t>
      </w:r>
      <w:r w:rsidR="00D620A6">
        <w:rPr>
          <w:rFonts w:eastAsia="Calibri"/>
          <w:shd w:val="clear" w:color="auto" w:fill="FFFFFF"/>
        </w:rPr>
        <w:t xml:space="preserve"> we encountered</w:t>
      </w:r>
      <w:r w:rsidR="002950FE" w:rsidRPr="005F2DB4">
        <w:rPr>
          <w:rFonts w:eastAsia="Calibri"/>
          <w:shd w:val="clear" w:color="auto" w:fill="FFFFFF"/>
        </w:rPr>
        <w:t xml:space="preserve"> f</w:t>
      </w:r>
      <w:r w:rsidR="00FF6EE8">
        <w:rPr>
          <w:rFonts w:eastAsia="Calibri"/>
          <w:shd w:val="clear" w:color="auto" w:fill="FFFFFF"/>
        </w:rPr>
        <w:t>resh f</w:t>
      </w:r>
      <w:r w:rsidR="002950FE" w:rsidRPr="005F2DB4">
        <w:rPr>
          <w:rFonts w:eastAsia="Calibri"/>
          <w:shd w:val="clear" w:color="auto" w:fill="FFFFFF"/>
        </w:rPr>
        <w:t>ecal samples belonging to unknown tortoise</w:t>
      </w:r>
      <w:r w:rsidR="002950FE">
        <w:rPr>
          <w:rFonts w:eastAsia="Calibri"/>
          <w:shd w:val="clear" w:color="auto" w:fill="FFFFFF"/>
        </w:rPr>
        <w:t>s</w:t>
      </w:r>
      <w:r w:rsidR="002950FE" w:rsidRPr="005F2DB4">
        <w:rPr>
          <w:rFonts w:eastAsia="Calibri"/>
          <w:shd w:val="clear" w:color="auto" w:fill="FFFFFF"/>
        </w:rPr>
        <w:t xml:space="preserve"> and </w:t>
      </w:r>
      <w:r w:rsidR="00D620A6">
        <w:rPr>
          <w:rFonts w:eastAsia="Calibri"/>
          <w:shd w:val="clear" w:color="auto" w:fill="FFFFFF"/>
        </w:rPr>
        <w:t xml:space="preserve">thus </w:t>
      </w:r>
      <w:r w:rsidR="002950FE" w:rsidRPr="005F2DB4">
        <w:rPr>
          <w:rFonts w:eastAsia="Calibri"/>
          <w:shd w:val="clear" w:color="auto" w:fill="FFFFFF"/>
        </w:rPr>
        <w:t xml:space="preserve">collected </w:t>
      </w:r>
      <w:r w:rsidR="00D620A6">
        <w:rPr>
          <w:rFonts w:eastAsia="Calibri"/>
          <w:shd w:val="clear" w:color="auto" w:fill="FFFFFF"/>
        </w:rPr>
        <w:t>them</w:t>
      </w:r>
      <w:r w:rsidR="002950FE" w:rsidRPr="005F2DB4">
        <w:rPr>
          <w:rFonts w:eastAsia="Calibri"/>
          <w:shd w:val="clear" w:color="auto" w:fill="FFFFFF"/>
        </w:rPr>
        <w:t xml:space="preserve">. </w:t>
      </w:r>
      <w:r w:rsidR="007C018C">
        <w:rPr>
          <w:rFonts w:eastAsia="Calibri"/>
          <w:shd w:val="clear" w:color="auto" w:fill="FFFFFF"/>
        </w:rPr>
        <w:t>For t</w:t>
      </w:r>
      <w:r w:rsidR="002950FE" w:rsidRPr="005F2DB4">
        <w:rPr>
          <w:rFonts w:eastAsia="Calibri"/>
          <w:shd w:val="clear" w:color="auto" w:fill="FFFFFF"/>
        </w:rPr>
        <w:t>hese samples</w:t>
      </w:r>
      <w:r w:rsidR="007C018C">
        <w:rPr>
          <w:rFonts w:eastAsia="Calibri"/>
          <w:shd w:val="clear" w:color="auto" w:fill="FFFFFF"/>
        </w:rPr>
        <w:t xml:space="preserve">, we </w:t>
      </w:r>
      <w:r w:rsidR="002950FE" w:rsidRPr="005F2DB4">
        <w:rPr>
          <w:rFonts w:eastAsia="Calibri"/>
          <w:shd w:val="clear" w:color="auto" w:fill="FFFFFF"/>
        </w:rPr>
        <w:t>GPS marked, dated, and labeled</w:t>
      </w:r>
      <w:r w:rsidR="007C018C">
        <w:rPr>
          <w:rFonts w:eastAsia="Calibri"/>
          <w:shd w:val="clear" w:color="auto" w:fill="FFFFFF"/>
        </w:rPr>
        <w:t xml:space="preserve"> them</w:t>
      </w:r>
      <w:r w:rsidR="002950FE" w:rsidRPr="005F2DB4">
        <w:rPr>
          <w:rFonts w:eastAsia="Calibri"/>
          <w:shd w:val="clear" w:color="auto" w:fill="FFFFFF"/>
        </w:rPr>
        <w:t xml:space="preserve"> with</w:t>
      </w:r>
      <w:r w:rsidR="002950FE">
        <w:rPr>
          <w:rFonts w:eastAsia="Calibri"/>
          <w:shd w:val="clear" w:color="auto" w:fill="FFFFFF"/>
        </w:rPr>
        <w:t xml:space="preserve"> a unique identifier</w:t>
      </w:r>
      <w:r w:rsidR="00FF6EE8">
        <w:rPr>
          <w:rFonts w:eastAsia="Calibri"/>
          <w:shd w:val="clear" w:color="auto" w:fill="FFFFFF"/>
        </w:rPr>
        <w:t xml:space="preserve"> that indicated it came from an unknown </w:t>
      </w:r>
      <w:r w:rsidR="00262C83">
        <w:rPr>
          <w:rFonts w:eastAsia="Calibri"/>
          <w:shd w:val="clear" w:color="auto" w:fill="FFFFFF"/>
        </w:rPr>
        <w:t>individual</w:t>
      </w:r>
      <w:r w:rsidR="002950FE">
        <w:rPr>
          <w:rFonts w:eastAsia="Calibri"/>
          <w:shd w:val="clear" w:color="auto" w:fill="FFFFFF"/>
        </w:rPr>
        <w:t>.</w:t>
      </w:r>
    </w:p>
    <w:p w14:paraId="11833BA6" w14:textId="77777777" w:rsidR="00C61399" w:rsidRDefault="00D43F22" w:rsidP="00DE3B57">
      <w:pPr>
        <w:spacing w:before="100" w:beforeAutospacing="1" w:after="100" w:afterAutospacing="1" w:line="480" w:lineRule="auto"/>
        <w:ind w:firstLine="720"/>
        <w:mirrorIndents/>
        <w:rPr>
          <w:rFonts w:eastAsia="Calibri"/>
          <w:shd w:val="clear" w:color="auto" w:fill="FFFFFF"/>
        </w:rPr>
      </w:pPr>
      <w:r>
        <w:rPr>
          <w:rFonts w:eastAsia="Calibri"/>
          <w:shd w:val="clear" w:color="auto" w:fill="FFFFFF"/>
        </w:rPr>
        <w:t>Fecal samples</w:t>
      </w:r>
      <w:r w:rsidRPr="005F2DB4">
        <w:rPr>
          <w:rFonts w:eastAsia="Calibri"/>
          <w:shd w:val="clear" w:color="auto" w:fill="FFFFFF"/>
        </w:rPr>
        <w:t xml:space="preserve"> were either </w:t>
      </w:r>
      <w:proofErr w:type="gramStart"/>
      <w:r w:rsidRPr="005F2DB4">
        <w:rPr>
          <w:rFonts w:eastAsia="Calibri"/>
          <w:shd w:val="clear" w:color="auto" w:fill="FFFFFF"/>
        </w:rPr>
        <w:t>dissected</w:t>
      </w:r>
      <w:proofErr w:type="gramEnd"/>
      <w:r w:rsidRPr="005F2DB4">
        <w:rPr>
          <w:rFonts w:eastAsia="Calibri"/>
          <w:shd w:val="clear" w:color="auto" w:fill="FFFFFF"/>
        </w:rPr>
        <w:t xml:space="preserve"> </w:t>
      </w:r>
      <w:r>
        <w:rPr>
          <w:rFonts w:eastAsia="Calibri"/>
          <w:shd w:val="clear" w:color="auto" w:fill="FFFFFF"/>
        </w:rPr>
        <w:t>the</w:t>
      </w:r>
      <w:r w:rsidRPr="005F2DB4">
        <w:rPr>
          <w:rFonts w:eastAsia="Calibri"/>
          <w:shd w:val="clear" w:color="auto" w:fill="FFFFFF"/>
        </w:rPr>
        <w:t xml:space="preserve"> same day</w:t>
      </w:r>
      <w:r>
        <w:rPr>
          <w:rFonts w:eastAsia="Calibri"/>
          <w:shd w:val="clear" w:color="auto" w:fill="FFFFFF"/>
        </w:rPr>
        <w:t xml:space="preserve"> of collection</w:t>
      </w:r>
      <w:r w:rsidRPr="005F2DB4">
        <w:rPr>
          <w:rFonts w:eastAsia="Calibri"/>
          <w:shd w:val="clear" w:color="auto" w:fill="FFFFFF"/>
        </w:rPr>
        <w:t xml:space="preserve"> or frozen for dissection at a future date.</w:t>
      </w:r>
      <w:r>
        <w:rPr>
          <w:rFonts w:eastAsia="Calibri"/>
          <w:shd w:val="clear" w:color="auto" w:fill="FFFFFF"/>
        </w:rPr>
        <w:t xml:space="preserve"> </w:t>
      </w:r>
      <w:r w:rsidR="007C018C">
        <w:rPr>
          <w:rFonts w:eastAsia="Calibri"/>
          <w:shd w:val="clear" w:color="auto" w:fill="FFFFFF"/>
        </w:rPr>
        <w:t>We performed sc</w:t>
      </w:r>
      <w:r w:rsidRPr="005F2DB4">
        <w:rPr>
          <w:rFonts w:eastAsia="Calibri"/>
          <w:shd w:val="clear" w:color="auto" w:fill="FFFFFF"/>
        </w:rPr>
        <w:t xml:space="preserve">at dissections </w:t>
      </w:r>
      <w:r>
        <w:rPr>
          <w:rFonts w:eastAsia="Calibri"/>
          <w:shd w:val="clear" w:color="auto" w:fill="FFFFFF"/>
        </w:rPr>
        <w:t xml:space="preserve">with forceps </w:t>
      </w:r>
      <w:r w:rsidRPr="005F2DB4">
        <w:rPr>
          <w:rFonts w:eastAsia="Calibri"/>
          <w:shd w:val="clear" w:color="auto" w:fill="FFFFFF"/>
        </w:rPr>
        <w:t xml:space="preserve">over laminated graph paper (29.59cm x 21.01cm) </w:t>
      </w:r>
      <w:r>
        <w:rPr>
          <w:rFonts w:eastAsia="Calibri"/>
          <w:shd w:val="clear" w:color="auto" w:fill="FFFFFF"/>
        </w:rPr>
        <w:t>containing</w:t>
      </w:r>
      <w:r w:rsidRPr="005F2DB4">
        <w:rPr>
          <w:rFonts w:eastAsia="Calibri"/>
          <w:shd w:val="clear" w:color="auto" w:fill="FFFFFF"/>
        </w:rPr>
        <w:t xml:space="preserve"> 5mm x 5mm grids</w:t>
      </w:r>
      <w:r>
        <w:rPr>
          <w:rFonts w:eastAsia="Calibri"/>
          <w:shd w:val="clear" w:color="auto" w:fill="FFFFFF"/>
        </w:rPr>
        <w:t xml:space="preserve"> as a static background reference to compare the relative </w:t>
      </w:r>
      <w:r>
        <w:rPr>
          <w:rFonts w:eastAsia="Calibri"/>
          <w:shd w:val="clear" w:color="auto" w:fill="FFFFFF"/>
        </w:rPr>
        <w:lastRenderedPageBreak/>
        <w:t>contributions of food items to the total fecal volume</w:t>
      </w:r>
      <w:r w:rsidRPr="005F2DB4">
        <w:rPr>
          <w:rFonts w:eastAsia="Calibri"/>
          <w:shd w:val="clear" w:color="auto" w:fill="FFFFFF"/>
        </w:rPr>
        <w:t xml:space="preserve">. </w:t>
      </w:r>
      <w:r w:rsidR="00DE3B57" w:rsidRPr="005F2DB4">
        <w:rPr>
          <w:rFonts w:eastAsia="Calibri"/>
          <w:shd w:val="clear" w:color="auto" w:fill="FFFFFF"/>
        </w:rPr>
        <w:t>All food items</w:t>
      </w:r>
      <w:r w:rsidR="00DE3B57">
        <w:rPr>
          <w:rFonts w:eastAsia="Calibri"/>
          <w:shd w:val="clear" w:color="auto" w:fill="FFFFFF"/>
        </w:rPr>
        <w:t xml:space="preserve"> recovered</w:t>
      </w:r>
      <w:r w:rsidR="00DE3B57" w:rsidRPr="005F2DB4">
        <w:rPr>
          <w:rFonts w:eastAsia="Calibri"/>
          <w:shd w:val="clear" w:color="auto" w:fill="FFFFFF"/>
        </w:rPr>
        <w:t xml:space="preserve"> from fecal sample</w:t>
      </w:r>
      <w:r w:rsidR="00DE3B57">
        <w:rPr>
          <w:rFonts w:eastAsia="Calibri"/>
          <w:shd w:val="clear" w:color="auto" w:fill="FFFFFF"/>
        </w:rPr>
        <w:t>s</w:t>
      </w:r>
      <w:r w:rsidR="00DE3B57" w:rsidRPr="005F2DB4">
        <w:rPr>
          <w:rFonts w:eastAsia="Calibri"/>
          <w:shd w:val="clear" w:color="auto" w:fill="FFFFFF"/>
        </w:rPr>
        <w:t xml:space="preserve"> were identified to the lowest taxonomic unit or qualified as </w:t>
      </w:r>
      <w:r w:rsidR="00DE3B57">
        <w:rPr>
          <w:rFonts w:eastAsia="Calibri"/>
          <w:shd w:val="clear" w:color="auto" w:fill="FFFFFF"/>
        </w:rPr>
        <w:t>their</w:t>
      </w:r>
      <w:r w:rsidR="00DE3B57" w:rsidRPr="005F2DB4">
        <w:rPr>
          <w:rFonts w:eastAsia="Calibri"/>
          <w:shd w:val="clear" w:color="auto" w:fill="FFFFFF"/>
        </w:rPr>
        <w:t xml:space="preserve"> own category (e.g., fur</w:t>
      </w:r>
      <w:r w:rsidR="00DE3B57">
        <w:rPr>
          <w:rFonts w:eastAsia="Calibri"/>
          <w:shd w:val="clear" w:color="auto" w:fill="FFFFFF"/>
        </w:rPr>
        <w:t>/hair</w:t>
      </w:r>
      <w:r w:rsidR="00DE3B57" w:rsidRPr="005F2DB4">
        <w:rPr>
          <w:rFonts w:eastAsia="Calibri"/>
          <w:shd w:val="clear" w:color="auto" w:fill="FFFFFF"/>
        </w:rPr>
        <w:t xml:space="preserve"> was </w:t>
      </w:r>
      <w:r w:rsidR="00DE3B57">
        <w:rPr>
          <w:rFonts w:eastAsia="Calibri"/>
          <w:shd w:val="clear" w:color="auto" w:fill="FFFFFF"/>
        </w:rPr>
        <w:t xml:space="preserve">recovered from multiple species and </w:t>
      </w:r>
      <w:r w:rsidR="00DE3B57" w:rsidRPr="005F2DB4">
        <w:rPr>
          <w:rFonts w:eastAsia="Calibri"/>
          <w:shd w:val="clear" w:color="auto" w:fill="FFFFFF"/>
        </w:rPr>
        <w:t xml:space="preserve">subsequently categorized as mammal fur). </w:t>
      </w:r>
      <w:r w:rsidR="00DE3B57">
        <w:rPr>
          <w:rFonts w:eastAsia="Calibri"/>
          <w:shd w:val="clear" w:color="auto" w:fill="FFFFFF"/>
        </w:rPr>
        <w:t xml:space="preserve">We then aggregated the food items </w:t>
      </w:r>
      <w:r w:rsidR="00C61399">
        <w:rPr>
          <w:rFonts w:eastAsia="Calibri"/>
          <w:shd w:val="clear" w:color="auto" w:fill="FFFFFF"/>
        </w:rPr>
        <w:t>in</w:t>
      </w:r>
      <w:r w:rsidR="00DE3B57">
        <w:rPr>
          <w:rFonts w:eastAsia="Calibri"/>
          <w:shd w:val="clear" w:color="auto" w:fill="FFFFFF"/>
        </w:rPr>
        <w:t>to five functional food categories – Grasses, Legumes, Other Plants, Fleshy Fruit, and Animal Remains</w:t>
      </w:r>
      <w:r w:rsidR="00643C23">
        <w:rPr>
          <w:rFonts w:eastAsia="Calibri"/>
          <w:shd w:val="clear" w:color="auto" w:fill="FFFFFF"/>
        </w:rPr>
        <w:t xml:space="preserve"> based on their taxonomic identi</w:t>
      </w:r>
      <w:r w:rsidR="00C61399">
        <w:rPr>
          <w:rFonts w:eastAsia="Calibri"/>
          <w:shd w:val="clear" w:color="auto" w:fill="FFFFFF"/>
        </w:rPr>
        <w:t>ty</w:t>
      </w:r>
      <w:r w:rsidR="00643C23">
        <w:rPr>
          <w:rFonts w:eastAsia="Calibri"/>
          <w:shd w:val="clear" w:color="auto" w:fill="FFFFFF"/>
        </w:rPr>
        <w:t xml:space="preserve"> and importance in the gopher tortoise diet </w:t>
      </w:r>
      <w:r w:rsidR="00643C23">
        <w:rPr>
          <w:rFonts w:eastAsia="Calibri"/>
          <w:shd w:val="clear" w:color="auto" w:fill="FFFFFF"/>
        </w:rPr>
        <w:fldChar w:fldCharType="begin"/>
      </w:r>
      <w:r w:rsidR="00643C23">
        <w:rPr>
          <w:rFonts w:eastAsia="Calibri"/>
          <w:shd w:val="clear" w:color="auto" w:fill="FFFFFF"/>
        </w:rPr>
        <w:instrText xml:space="preserve"> ADDIN ZOTERO_ITEM CSL_CITATION {"citationID":"Rt6Q9vAm","properties":{"formattedCitation":"(Birkhead et al. 2005, Ashton and Ashton 2008, Moore and Dornburg 2014, Hanish 2018)","plainCitation":"(Birkhead et al. 2005, Ashton and Ashton 2008, Moore and Dornburg 2014, Hanish 2018)","noteIndex":0},"citationItems":[{"id":5996,"uris":["http://zotero.org/users/10895328/items/L92EB6L7"],"itemData":{"id":5996,"type":"article-journal","abstract":"This study documents the ingestion of leaves and seeds by gopher tortoises (Gopherus polyphemus) in a relatively intact pine savanna habitat. Fifty-three species of seeds were identified. Species richness of seeds ingested was highest during spring and fall and was lowest during summer. Grass seed and foliage were consumed consistently by tortoises throughout the year. Despite being found in only 12% of all scats, Rubus seed comprised half of all seeds recovered. Based on seeds in scats, tortoises ingested the fruits of plants in the same proportions in which the plants occurred immediately around active burrows. Although some kinds of leaves were less prevalent in scats than predicted by their availability near active tortoise burrows, this may have occurred because these leaves were digested and, therefore unrecognizable in scats. The role of the gopher tortoise as a generalist herbivore and an opportunistic frugivore was confirmed.","container-title":"American Midland Naturalist","DOI":"Doi 10.1674/0003-0031(2005)154[0143:Pofasi]2.0.Co;2","ISSN":"0003-0031","issue":"1","journalAbbreviation":"Am Midl Nat","language":"English","page":"143-151","title":"Patterns of folivory and seed ingestion by gopher tortoises (Gopherus polyphemus) in a southeastern pine savanna","volume":"154","author":[{"family":"Birkhead","given":"R. D."},{"family":"Guyer","given":"C."},{"family":"Hermann","given":"S. M."},{"family":"Michener","given":"W. K."}],"issued":{"date-parts":[["2005",7]]}}},{"id":5804,"uris":["http://zotero.org/users/10895328/items/SICXYKIJ"],"itemData":{"id":5804,"type":"article-journal","container-title":"Gopherus polyphemus","page":"65-93","title":"The Natural History and Management of the Gopher Tortoise","author":[{"family":"Ashton","given":"Ray E."},{"family":"Ashton","given":"Patricia S."}],"issued":{"date-parts":[["2008"]]}}},{"id":8166,"uris":["http://zotero.org/users/10895328/items/ISY4HLPI"],"itemData":{"id":8166,"type":"article-journal","abstract":"Instances of vertebrates supplementing their diets through the ingestion of gastroliths have been observed or documented in numerous organisms, including birds, crocodiles and dinosaurs. Although not uncommon, this behavior can be motivated by a wide range of factors that include endoparasite removal, stomach cleaning, or calcium supplementation during eggshell formation. As plant-based diets are often mineral deficient, the use of gastroliths as calcium supplements may play an important role in the reproductive biology of egg-laying herbivorous reptiles. Whereas gravid females of some species of herbivorous reptiles have been shown to seek out calcareous gastroliths, the occurrence or prevalence of gastroliths in gravid females remains unknown for many species. Using field observations and radiographs, we studied patterns of gastrolith ingestion by adult female gopher tortoises (Gopherus polyphemus), a herbivorous species of testudinoid turtles. Gastroliths documented included fossil seashells, calcareous stones and carnivore feces containing vertebrate bones. The prevalence of gastroliths was significantly different between gravid and non-gravid tortoises. We suggest this behavior is a means of supplementing calcium intake during eggshell formation and may play a part in the female reproductive biology of this species.","container-title":"Bulletin of the Peabody Museum of Natural History","issue":"1","page":"55-63, 9","title":"Ingestion of Fossil Seashells, Stones and Small Mammal Bones by Gravid Gopher Tortoises (Gopherus polyphemus) in South Florida","volume":"55","author":[{"family":"Moore","given":"Jon A."},{"family":"Dornburg","given":"Alex"}],"issued":{"date-parts":[["2014"]]}}},{"id":7160,"uris":["http://zotero.org/users/10895328/items/NSSVF84B"],"itemData":{"id":7160,"type":"thesis","publisher":"Florida Atlantic University","title":"Seed Dispersal of the Cocoplum (Chrysobalanus icaco) by Gopher Tortoises (Gopherus polyphemus) in Southeastern Florida","author":[{"family":"Hanish","given":"Carolyn J."}],"issued":{"date-parts":[["2018"]]}}}],"schema":"https://github.com/citation-style-language/schema/raw/master/csl-citation.json"} </w:instrText>
      </w:r>
      <w:r w:rsidR="00643C23">
        <w:rPr>
          <w:rFonts w:eastAsia="Calibri"/>
          <w:shd w:val="clear" w:color="auto" w:fill="FFFFFF"/>
        </w:rPr>
        <w:fldChar w:fldCharType="separate"/>
      </w:r>
      <w:r w:rsidR="00643C23" w:rsidRPr="00643C23">
        <w:rPr>
          <w:rFonts w:eastAsia="Calibri"/>
        </w:rPr>
        <w:t>(Birkhead et al. 2005, Ashton and Ashton 2008, Moore and Dornburg 2014, Hanish 2018)</w:t>
      </w:r>
      <w:r w:rsidR="00643C23">
        <w:rPr>
          <w:rFonts w:eastAsia="Calibri"/>
          <w:shd w:val="clear" w:color="auto" w:fill="FFFFFF"/>
        </w:rPr>
        <w:fldChar w:fldCharType="end"/>
      </w:r>
      <w:r w:rsidR="00A139B1">
        <w:rPr>
          <w:rFonts w:eastAsia="Calibri"/>
          <w:shd w:val="clear" w:color="auto" w:fill="FFFFFF"/>
        </w:rPr>
        <w:t>.</w:t>
      </w:r>
    </w:p>
    <w:p w14:paraId="4DED6D1B" w14:textId="2598AFB5" w:rsidR="00DC6351" w:rsidRDefault="00A139B1" w:rsidP="00E00907">
      <w:pPr>
        <w:spacing w:before="100" w:beforeAutospacing="1" w:after="100" w:afterAutospacing="1" w:line="480" w:lineRule="auto"/>
        <w:ind w:firstLine="720"/>
        <w:mirrorIndents/>
        <w:rPr>
          <w:rFonts w:eastAsia="Calibri"/>
          <w:shd w:val="clear" w:color="auto" w:fill="FFFFFF"/>
        </w:rPr>
      </w:pPr>
      <w:r>
        <w:rPr>
          <w:rFonts w:eastAsia="Calibri"/>
          <w:shd w:val="clear" w:color="auto" w:fill="FFFFFF"/>
        </w:rPr>
        <w:t>We then</w:t>
      </w:r>
      <w:r w:rsidR="00DE3B57">
        <w:rPr>
          <w:rFonts w:eastAsia="Calibri"/>
          <w:shd w:val="clear" w:color="auto" w:fill="FFFFFF"/>
        </w:rPr>
        <w:t xml:space="preserve"> </w:t>
      </w:r>
      <w:r w:rsidR="00DE3B57" w:rsidRPr="005F2DB4">
        <w:rPr>
          <w:rFonts w:eastAsia="Calibri"/>
          <w:shd w:val="clear" w:color="auto" w:fill="FFFFFF"/>
        </w:rPr>
        <w:t xml:space="preserve">visually estimated the relative </w:t>
      </w:r>
      <w:r w:rsidR="00DE3B57">
        <w:rPr>
          <w:rFonts w:eastAsia="Calibri"/>
          <w:shd w:val="clear" w:color="auto" w:fill="FFFFFF"/>
        </w:rPr>
        <w:t xml:space="preserve">contribution </w:t>
      </w:r>
      <w:r w:rsidR="00DE3B57" w:rsidRPr="005F2DB4">
        <w:rPr>
          <w:rFonts w:eastAsia="Calibri"/>
          <w:shd w:val="clear" w:color="auto" w:fill="FFFFFF"/>
        </w:rPr>
        <w:t xml:space="preserve">of each food </w:t>
      </w:r>
      <w:r w:rsidR="00DE3B57">
        <w:rPr>
          <w:rFonts w:eastAsia="Calibri"/>
          <w:shd w:val="clear" w:color="auto" w:fill="FFFFFF"/>
        </w:rPr>
        <w:t>category</w:t>
      </w:r>
      <w:r w:rsidR="00DE3B57" w:rsidRPr="005F2DB4">
        <w:rPr>
          <w:rFonts w:eastAsia="Calibri"/>
          <w:shd w:val="clear" w:color="auto" w:fill="FFFFFF"/>
        </w:rPr>
        <w:t xml:space="preserve"> </w:t>
      </w:r>
      <w:r w:rsidR="00DE3B57">
        <w:rPr>
          <w:rFonts w:eastAsia="Calibri"/>
          <w:shd w:val="clear" w:color="auto" w:fill="FFFFFF"/>
        </w:rPr>
        <w:t>to</w:t>
      </w:r>
      <w:r w:rsidR="00DE3B57" w:rsidRPr="005F2DB4">
        <w:rPr>
          <w:rFonts w:eastAsia="Calibri"/>
          <w:shd w:val="clear" w:color="auto" w:fill="FFFFFF"/>
        </w:rPr>
        <w:t xml:space="preserve"> the</w:t>
      </w:r>
      <w:r w:rsidR="00DE3B57">
        <w:rPr>
          <w:rFonts w:eastAsia="Calibri"/>
          <w:shd w:val="clear" w:color="auto" w:fill="FFFFFF"/>
        </w:rPr>
        <w:t xml:space="preserve"> total</w:t>
      </w:r>
      <w:r w:rsidR="00DE3B57" w:rsidRPr="005F2DB4">
        <w:rPr>
          <w:rFonts w:eastAsia="Calibri"/>
          <w:shd w:val="clear" w:color="auto" w:fill="FFFFFF"/>
        </w:rPr>
        <w:t xml:space="preserve"> scat</w:t>
      </w:r>
      <w:r w:rsidR="00DE3B57">
        <w:rPr>
          <w:rFonts w:eastAsia="Calibri"/>
          <w:shd w:val="clear" w:color="auto" w:fill="FFFFFF"/>
        </w:rPr>
        <w:t xml:space="preserve"> volume; this approach has been compared with other methods resulting in its acceptance for dietary studies </w:t>
      </w:r>
      <w:r w:rsidR="00DE3B57">
        <w:rPr>
          <w:rFonts w:eastAsia="Calibri"/>
          <w:shd w:val="clear" w:color="auto" w:fill="FFFFFF"/>
        </w:rPr>
        <w:fldChar w:fldCharType="begin"/>
      </w:r>
      <w:r w:rsidR="00DE3B57">
        <w:rPr>
          <w:rFonts w:eastAsia="Calibri"/>
          <w:shd w:val="clear" w:color="auto" w:fill="FFFFFF"/>
        </w:rPr>
        <w:instrText xml:space="preserve"> ADDIN ZOTERO_ITEM CSL_CITATION {"citationID":"JLRmMPno","properties":{"formattedCitation":"(Klare et al. 2011)","plainCitation":"(Klare et al. 2011)","noteIndex":0},"citationItems":[{"id":7632,"uris":["http://zotero.org/users/10895328/items/PTRGTNY4"],"itemData":{"id":7632,"type":"article-journal","abstract":"ABSTRACT 1 For terrestrial carnivores, scat analysis is the technique most often used to determine diets. Various methods of interpreting scat-analysis data exist; however, little is known about how the choice of method affects the results. 2 We reviewed 50 scat-analysis papers to assess the range of methods currently used. Furthermore, we used a large data set from cape fox Vulpes chama and black-backed jackal Canis mesomelas scats to compare 11 scat-analysis methods. Techniques tested included five biomass calculation methods, four frequency of occurrence methods, one method that estimated volume in scats, and another that estimated mass of food items in scats. 3 Frequency of occurrence methods were used in 94% of reviewed papers, and in 50% of papers they were the sole methods used. However, we conclude that frequency of occurrence has the least ecological significance and results can be misleading. Although biomass calculations probably provide the best approximation to true diets, only 23% of reviewed papers used suitable biomass calculation methods when models were available for the study species. 4 Analysis of fox and jackal scats showed that there were significant differences among methods when calculating percent diet composition and niche breadth. Additionally, dietary overlap between species differed considerably among the methods (range of R0 = 0.29–0.79). We conclude that the choice of method can have a significant impact on the results of dietary analysis, and can lead to very different conclusions about a species' ecology. 5 The best approximation of the true diet can be obtained by using a biomass calculation model that was developed for the same species, or for a closely related species with a similar food spectrum. When no such model is available, either the volume or mass of diet components in the scats should be used. To document rare food items, frequency of occurrence data could also be given.","container-title":"Mammal Review","DOI":"https://doi.org/10.1111/j.1365-2907.2011.00183.x","ISSN":"0305-1838","issue":"4","page":"294-312","title":"A comparison and critique of different scat-analysis methods for determining carnivore diet","volume":"41","author":[{"family":"Klare","given":"Unn"},{"family":"Kamler","given":"Jan F."},{"family":"MacDonald","given":"David W."}],"issued":{"date-parts":[["2011"]]}}}],"schema":"https://github.com/citation-style-language/schema/raw/master/csl-citation.json"} </w:instrText>
      </w:r>
      <w:r w:rsidR="00DE3B57">
        <w:rPr>
          <w:rFonts w:eastAsia="Calibri"/>
          <w:shd w:val="clear" w:color="auto" w:fill="FFFFFF"/>
        </w:rPr>
        <w:fldChar w:fldCharType="separate"/>
      </w:r>
      <w:r w:rsidR="00DE3B57" w:rsidRPr="00400A4C">
        <w:rPr>
          <w:rFonts w:eastAsia="Calibri"/>
        </w:rPr>
        <w:t>(Klare et al. 2011)</w:t>
      </w:r>
      <w:r w:rsidR="00DE3B57">
        <w:rPr>
          <w:rFonts w:eastAsia="Calibri"/>
          <w:shd w:val="clear" w:color="auto" w:fill="FFFFFF"/>
        </w:rPr>
        <w:fldChar w:fldCharType="end"/>
      </w:r>
      <w:r w:rsidR="00DE3B57">
        <w:rPr>
          <w:rFonts w:eastAsia="Calibri"/>
          <w:shd w:val="clear" w:color="auto" w:fill="FFFFFF"/>
        </w:rPr>
        <w:t>.</w:t>
      </w:r>
      <w:r w:rsidR="00C61399">
        <w:rPr>
          <w:rFonts w:eastAsia="Calibri"/>
          <w:shd w:val="clear" w:color="auto" w:fill="FFFFFF"/>
        </w:rPr>
        <w:t xml:space="preserve"> </w:t>
      </w:r>
      <w:r w:rsidR="00DE3B57">
        <w:rPr>
          <w:rFonts w:eastAsia="Calibri"/>
          <w:shd w:val="clear" w:color="auto" w:fill="FFFFFF"/>
        </w:rPr>
        <w:t>We recorded the contribution of each food category to the total fecal volume as</w:t>
      </w:r>
      <w:r w:rsidR="00DE3B57" w:rsidRPr="005F2DB4">
        <w:rPr>
          <w:rFonts w:eastAsia="Calibri"/>
          <w:shd w:val="clear" w:color="auto" w:fill="FFFFFF"/>
        </w:rPr>
        <w:t xml:space="preserve"> </w:t>
      </w:r>
      <w:r w:rsidR="00DE3B57">
        <w:rPr>
          <w:rFonts w:eastAsia="Calibri"/>
          <w:shd w:val="clear" w:color="auto" w:fill="FFFFFF"/>
        </w:rPr>
        <w:t xml:space="preserve">proportions of </w:t>
      </w:r>
      <w:r w:rsidR="00DE3B57" w:rsidRPr="005F2DB4">
        <w:rPr>
          <w:rFonts w:eastAsia="Calibri"/>
          <w:shd w:val="clear" w:color="auto" w:fill="FFFFFF"/>
        </w:rPr>
        <w:t xml:space="preserve">either 0.01, 0.05, or in increments of 0.05 all the way to </w:t>
      </w:r>
      <w:r w:rsidR="00DE3B57">
        <w:rPr>
          <w:rFonts w:eastAsia="Calibri"/>
          <w:shd w:val="clear" w:color="auto" w:fill="FFFFFF"/>
        </w:rPr>
        <w:t xml:space="preserve">the total scat volume of </w:t>
      </w:r>
      <w:r w:rsidR="00DE3B57" w:rsidRPr="005F2DB4">
        <w:rPr>
          <w:rFonts w:eastAsia="Calibri"/>
          <w:shd w:val="clear" w:color="auto" w:fill="FFFFFF"/>
        </w:rPr>
        <w:t xml:space="preserve">1.00. If </w:t>
      </w:r>
      <w:r w:rsidR="00DE3B57">
        <w:rPr>
          <w:rFonts w:eastAsia="Calibri"/>
          <w:shd w:val="clear" w:color="auto" w:fill="FFFFFF"/>
        </w:rPr>
        <w:t xml:space="preserve">a </w:t>
      </w:r>
      <w:r w:rsidR="00DE3B57" w:rsidRPr="005F2DB4">
        <w:rPr>
          <w:rFonts w:eastAsia="Calibri"/>
          <w:shd w:val="clear" w:color="auto" w:fill="FFFFFF"/>
        </w:rPr>
        <w:t xml:space="preserve">value </w:t>
      </w:r>
      <w:r w:rsidR="00DE3B57">
        <w:rPr>
          <w:rFonts w:eastAsia="Calibri"/>
          <w:shd w:val="clear" w:color="auto" w:fill="FFFFFF"/>
        </w:rPr>
        <w:t>less than</w:t>
      </w:r>
      <w:r w:rsidR="00DE3B57" w:rsidRPr="005F2DB4">
        <w:rPr>
          <w:rFonts w:eastAsia="Calibri"/>
          <w:shd w:val="clear" w:color="auto" w:fill="FFFFFF"/>
        </w:rPr>
        <w:t xml:space="preserve"> 0.05</w:t>
      </w:r>
      <w:r w:rsidR="00DE3B57">
        <w:rPr>
          <w:rFonts w:eastAsia="Calibri"/>
          <w:shd w:val="clear" w:color="auto" w:fill="FFFFFF"/>
        </w:rPr>
        <w:t xml:space="preserve"> </w:t>
      </w:r>
      <w:r w:rsidR="00DE3B57" w:rsidRPr="005F2DB4">
        <w:rPr>
          <w:rFonts w:eastAsia="Calibri"/>
          <w:shd w:val="clear" w:color="auto" w:fill="FFFFFF"/>
        </w:rPr>
        <w:t xml:space="preserve">remained after quantifying the relative </w:t>
      </w:r>
      <w:r w:rsidR="00DE3B57">
        <w:rPr>
          <w:rFonts w:eastAsia="Calibri"/>
          <w:shd w:val="clear" w:color="auto" w:fill="FFFFFF"/>
        </w:rPr>
        <w:t>contribution</w:t>
      </w:r>
      <w:r w:rsidR="00DE3B57" w:rsidRPr="005F2DB4">
        <w:rPr>
          <w:rFonts w:eastAsia="Calibri"/>
          <w:shd w:val="clear" w:color="auto" w:fill="FFFFFF"/>
        </w:rPr>
        <w:t xml:space="preserve"> of all food items, </w:t>
      </w:r>
      <w:r w:rsidR="00DE3B57">
        <w:rPr>
          <w:rFonts w:eastAsia="Calibri"/>
          <w:shd w:val="clear" w:color="auto" w:fill="FFFFFF"/>
        </w:rPr>
        <w:t xml:space="preserve">we would </w:t>
      </w:r>
      <w:r w:rsidR="00DE3B57" w:rsidRPr="005F2DB4">
        <w:rPr>
          <w:rFonts w:eastAsia="Calibri"/>
          <w:shd w:val="clear" w:color="auto" w:fill="FFFFFF"/>
        </w:rPr>
        <w:t>a</w:t>
      </w:r>
      <w:r w:rsidR="00DE3B57">
        <w:rPr>
          <w:rFonts w:eastAsia="Calibri"/>
          <w:shd w:val="clear" w:color="auto" w:fill="FFFFFF"/>
        </w:rPr>
        <w:t>llocat</w:t>
      </w:r>
      <w:r w:rsidR="00DE3B57" w:rsidRPr="005F2DB4">
        <w:rPr>
          <w:rFonts w:eastAsia="Calibri"/>
          <w:shd w:val="clear" w:color="auto" w:fill="FFFFFF"/>
        </w:rPr>
        <w:t>e th</w:t>
      </w:r>
      <w:r w:rsidR="00DE3B57">
        <w:rPr>
          <w:rFonts w:eastAsia="Calibri"/>
          <w:shd w:val="clear" w:color="auto" w:fill="FFFFFF"/>
        </w:rPr>
        <w:t>e</w:t>
      </w:r>
      <w:r w:rsidR="00DE3B57" w:rsidRPr="005F2DB4">
        <w:rPr>
          <w:rFonts w:eastAsia="Calibri"/>
          <w:shd w:val="clear" w:color="auto" w:fill="FFFFFF"/>
        </w:rPr>
        <w:t xml:space="preserve"> amount to the most abundant food </w:t>
      </w:r>
      <w:r w:rsidR="00DE3B57">
        <w:rPr>
          <w:rFonts w:eastAsia="Calibri"/>
          <w:shd w:val="clear" w:color="auto" w:fill="FFFFFF"/>
        </w:rPr>
        <w:t>category</w:t>
      </w:r>
      <w:r w:rsidR="00DE3B57" w:rsidRPr="005F2DB4">
        <w:rPr>
          <w:rFonts w:eastAsia="Calibri"/>
          <w:shd w:val="clear" w:color="auto" w:fill="FFFFFF"/>
        </w:rPr>
        <w:t xml:space="preserve"> </w:t>
      </w:r>
      <w:r w:rsidR="00DE3B57">
        <w:rPr>
          <w:rFonts w:eastAsia="Calibri"/>
          <w:shd w:val="clear" w:color="auto" w:fill="FFFFFF"/>
        </w:rPr>
        <w:t>in</w:t>
      </w:r>
      <w:r w:rsidR="00DE3B57" w:rsidRPr="005F2DB4">
        <w:rPr>
          <w:rFonts w:eastAsia="Calibri"/>
          <w:shd w:val="clear" w:color="auto" w:fill="FFFFFF"/>
        </w:rPr>
        <w:t xml:space="preserve"> the sample.</w:t>
      </w:r>
      <w:r w:rsidR="00DE3B57">
        <w:rPr>
          <w:rFonts w:eastAsia="Calibri"/>
          <w:shd w:val="clear" w:color="auto" w:fill="FFFFFF"/>
        </w:rPr>
        <w:t xml:space="preserve"> </w:t>
      </w:r>
    </w:p>
    <w:p w14:paraId="6BA0ADB6" w14:textId="448C0F6E" w:rsidR="00456DF4" w:rsidRPr="001335BB" w:rsidRDefault="00456DF4" w:rsidP="00BF5B06">
      <w:pPr>
        <w:spacing w:before="100" w:beforeAutospacing="1" w:after="100" w:afterAutospacing="1" w:line="480" w:lineRule="auto"/>
        <w:ind w:firstLine="720"/>
        <w:mirrorIndents/>
        <w:rPr>
          <w:rFonts w:eastAsia="Calibri"/>
          <w:shd w:val="clear" w:color="auto" w:fill="FFFFFF"/>
        </w:rPr>
      </w:pPr>
      <w:bookmarkStart w:id="5" w:name="_Toc113555155"/>
      <w:r w:rsidRPr="00867E40">
        <w:rPr>
          <w:rFonts w:eastAsia="Calibri"/>
          <w:shd w:val="clear" w:color="auto" w:fill="FFFFFF"/>
        </w:rPr>
        <w:t xml:space="preserve">While other studies have used activity budgets to quantify the strength of frugivory </w:t>
      </w:r>
      <w:r w:rsidRPr="00867E40">
        <w:rPr>
          <w:rFonts w:eastAsia="Calibri"/>
          <w:shd w:val="clear" w:color="auto" w:fill="FFFFFF"/>
        </w:rPr>
        <w:fldChar w:fldCharType="begin"/>
      </w:r>
      <w:r w:rsidRPr="00867E40">
        <w:rPr>
          <w:rFonts w:eastAsia="Calibri"/>
          <w:shd w:val="clear" w:color="auto" w:fill="FFFFFF"/>
        </w:rPr>
        <w:instrText xml:space="preserve"> ADDIN ZOTERO_ITEM CSL_CITATION {"citationID":"zbVrFVu3","properties":{"formattedCitation":"(Pavelka and Knopff 2004)","plainCitation":"(Pavelka and Knopff 2004)","noteIndex":0},"citationItems":[{"id":13444,"uris":["http://zotero.org/users/10895328/items/5CSJDNES"],"itemData":{"id":13444,"type":"article-journal","abstract":"This study reports on the diet and activity budgets of Central American black howling monkeys (Alouatta pigra) at Monkey River, Belize. This is a previously unstudied population, close to the southern boundary of the species range, and it provides comparative data on A. pigra from a new study site. Both diet and activity are within the ranges reported for other A.pigra sites and for mantled howlers (A. palliata). No age-sex diﬀerences could be discerned in either diet or activity, though monthly variation was apparent. The monkeys switch from consuming leaves 86% of the time in January to March to consuming 67% fruit in April to July. This diﬀerence was statistically signiﬁcant, and provided the opportunity to compare activity levels of the monkeys over two dietary periods, one characterized primarily by folivory, the other by frugivory. Howlers are often seen as a relatively inactive species, something that is associated with a low quality, folivorous diet. However, A. pigra have been described as being as frugivorous as possible and as folivorous as necessary. Yet, despite the opportunistic consumption of large quantities of high-energy foods, A. pigra has been observed as conforming to the howler lifestyle, resting as much as 80% of the day. The data in this paper support both of these reports. Black howlers at Monkey River Belize are typically inactive, maintaining high levels of inactivity even during months characterized by frugivory, suggesting that diet is more ﬂexible and varied than is behavior and calling into question the assumption that howler inactivity is due to the digestion of large quantities of leaves.","container-title":"Primates","DOI":"10.1007/s10329-003-0072-6","ISSN":"0032-8332, 1016-7365","issue":"2","journalAbbreviation":"Primates","language":"en","page":"105-111","source":"DOI.org (Crossref)","title":"Diet and activity in black howler monkeys ( Alouatta pigra ) in southern Belize: does degree of frugivory influence activity level?","title-short":"Diet and activity in black howler monkeys ( Alouatta pigra ) in southern Belize","volume":"45","author":[{"family":"Pavelka","given":"Mary S. M."},{"family":"Knopff","given":"Kyle Houston"}],"issued":{"date-parts":[["2004",4,1]]}}}],"schema":"https://github.com/citation-style-language/schema/raw/master/csl-citation.json"} </w:instrText>
      </w:r>
      <w:r w:rsidRPr="00867E40">
        <w:rPr>
          <w:rFonts w:eastAsia="Calibri"/>
          <w:shd w:val="clear" w:color="auto" w:fill="FFFFFF"/>
        </w:rPr>
        <w:fldChar w:fldCharType="separate"/>
      </w:r>
      <w:r w:rsidRPr="00867E40">
        <w:rPr>
          <w:rFonts w:eastAsia="Calibri"/>
        </w:rPr>
        <w:t>(Pavelka and Knopff 2004)</w:t>
      </w:r>
      <w:r w:rsidRPr="00867E40">
        <w:rPr>
          <w:rFonts w:eastAsia="Calibri"/>
          <w:shd w:val="clear" w:color="auto" w:fill="FFFFFF"/>
        </w:rPr>
        <w:fldChar w:fldCharType="end"/>
      </w:r>
      <w:r w:rsidR="00EE303D">
        <w:t>,</w:t>
      </w:r>
      <w:r w:rsidR="00EE303D" w:rsidRPr="00EE303D">
        <w:rPr>
          <w:rFonts w:eastAsia="Calibri"/>
          <w:shd w:val="clear" w:color="auto" w:fill="FFFFFF"/>
        </w:rPr>
        <w:t xml:space="preserve"> we directly measured frugivory </w:t>
      </w:r>
      <w:r w:rsidR="002C079E">
        <w:rPr>
          <w:rFonts w:eastAsia="Calibri"/>
          <w:shd w:val="clear" w:color="auto" w:fill="FFFFFF"/>
        </w:rPr>
        <w:t>as</w:t>
      </w:r>
      <w:r w:rsidR="00EE303D" w:rsidRPr="00EE303D">
        <w:rPr>
          <w:rFonts w:eastAsia="Calibri"/>
          <w:shd w:val="clear" w:color="auto" w:fill="FFFFFF"/>
        </w:rPr>
        <w:t xml:space="preserve"> the proportion of total fecal volume comprised of fleshy fruit in the Fleshy Fruit</w:t>
      </w:r>
      <w:r w:rsidR="002C079E">
        <w:rPr>
          <w:rFonts w:eastAsia="Calibri"/>
          <w:shd w:val="clear" w:color="auto" w:fill="FFFFFF"/>
        </w:rPr>
        <w:t xml:space="preserve"> food</w:t>
      </w:r>
      <w:r w:rsidR="00EE303D" w:rsidRPr="00EE303D">
        <w:rPr>
          <w:rFonts w:eastAsia="Calibri"/>
          <w:shd w:val="clear" w:color="auto" w:fill="FFFFFF"/>
        </w:rPr>
        <w:t xml:space="preserve"> category. As a result, we focus our analyses on </w:t>
      </w:r>
      <w:r w:rsidR="002C079E">
        <w:rPr>
          <w:rFonts w:eastAsia="Calibri"/>
          <w:shd w:val="clear" w:color="auto" w:fill="FFFFFF"/>
        </w:rPr>
        <w:t xml:space="preserve">the </w:t>
      </w:r>
      <w:r w:rsidR="00EE303D" w:rsidRPr="00EE303D">
        <w:rPr>
          <w:rFonts w:eastAsia="Calibri"/>
          <w:shd w:val="clear" w:color="auto" w:fill="FFFFFF"/>
        </w:rPr>
        <w:t xml:space="preserve">Fleshy Fruit </w:t>
      </w:r>
      <w:r w:rsidR="002C079E">
        <w:rPr>
          <w:rFonts w:eastAsia="Calibri"/>
          <w:shd w:val="clear" w:color="auto" w:fill="FFFFFF"/>
        </w:rPr>
        <w:t xml:space="preserve">category </w:t>
      </w:r>
      <w:r w:rsidR="00EE303D" w:rsidRPr="00EE303D">
        <w:rPr>
          <w:rFonts w:eastAsia="Calibri"/>
          <w:shd w:val="clear" w:color="auto" w:fill="FFFFFF"/>
        </w:rPr>
        <w:t>exclusively, and hereafter refer to it as the “degree of frugivory,” as this quantifies fleshy fruit consumption.</w:t>
      </w:r>
    </w:p>
    <w:bookmarkEnd w:id="5"/>
    <w:p w14:paraId="038813FC" w14:textId="77777777" w:rsidR="00456DF4" w:rsidRPr="005F2DB4" w:rsidRDefault="00456DF4" w:rsidP="00456DF4">
      <w:pPr>
        <w:spacing w:before="100" w:beforeAutospacing="1" w:after="100" w:afterAutospacing="1" w:line="480" w:lineRule="auto"/>
        <w:mirrorIndents/>
        <w:rPr>
          <w:rFonts w:eastAsia="Calibri"/>
          <w:shd w:val="clear" w:color="auto" w:fill="FFFFFF"/>
        </w:rPr>
      </w:pPr>
    </w:p>
    <w:p w14:paraId="1CDF4E7A" w14:textId="79859394" w:rsidR="0081255B" w:rsidRPr="00C1099E" w:rsidRDefault="00791A74" w:rsidP="00E00907">
      <w:pPr>
        <w:spacing w:before="100" w:beforeAutospacing="1" w:after="100" w:afterAutospacing="1" w:line="480" w:lineRule="auto"/>
        <w:mirrorIndents/>
        <w:rPr>
          <w:rFonts w:eastAsia="Calibri"/>
          <w:i/>
          <w:iCs/>
          <w:shd w:val="clear" w:color="auto" w:fill="FFFFFF"/>
        </w:rPr>
      </w:pPr>
      <w:r w:rsidRPr="00C1099E">
        <w:rPr>
          <w:rFonts w:eastAsia="Calibri"/>
          <w:i/>
          <w:iCs/>
          <w:shd w:val="clear" w:color="auto" w:fill="FFFFFF"/>
        </w:rPr>
        <w:t xml:space="preserve">Classification </w:t>
      </w:r>
      <w:r>
        <w:rPr>
          <w:rFonts w:eastAsia="Calibri"/>
          <w:i/>
          <w:iCs/>
          <w:shd w:val="clear" w:color="auto" w:fill="FFFFFF"/>
        </w:rPr>
        <w:t>of</w:t>
      </w:r>
      <w:r w:rsidR="00C1099E" w:rsidRPr="00C1099E">
        <w:rPr>
          <w:rFonts w:eastAsia="Calibri"/>
          <w:i/>
          <w:iCs/>
          <w:shd w:val="clear" w:color="auto" w:fill="FFFFFF"/>
        </w:rPr>
        <w:t xml:space="preserve"> Dispersal Syndrome</w:t>
      </w:r>
    </w:p>
    <w:p w14:paraId="620C8E71" w14:textId="29659073" w:rsidR="00433014" w:rsidRDefault="00F02105" w:rsidP="00134BA0">
      <w:pPr>
        <w:spacing w:before="100" w:beforeAutospacing="1" w:after="100" w:afterAutospacing="1" w:line="480" w:lineRule="auto"/>
        <w:ind w:firstLine="720"/>
        <w:mirrorIndents/>
        <w:rPr>
          <w:rFonts w:eastAsia="Calibri"/>
          <w:shd w:val="clear" w:color="auto" w:fill="FFFFFF"/>
        </w:rPr>
      </w:pPr>
      <w:r w:rsidRPr="00F02105">
        <w:rPr>
          <w:rFonts w:eastAsia="Calibri"/>
          <w:shd w:val="clear" w:color="auto" w:fill="FFFFFF"/>
        </w:rPr>
        <w:t xml:space="preserve">To ensure thorough extraction of seeds, we carefully combed through fecal contents using forceps and an illuminated </w:t>
      </w:r>
      <w:proofErr w:type="spellStart"/>
      <w:r w:rsidRPr="00F02105">
        <w:rPr>
          <w:rFonts w:eastAsia="Calibri"/>
          <w:shd w:val="clear" w:color="auto" w:fill="FFFFFF"/>
        </w:rPr>
        <w:t>AmScope</w:t>
      </w:r>
      <w:proofErr w:type="spellEnd"/>
      <w:r w:rsidRPr="00F02105">
        <w:rPr>
          <w:rFonts w:eastAsia="Calibri"/>
          <w:shd w:val="clear" w:color="auto" w:fill="FFFFFF"/>
        </w:rPr>
        <w:t xml:space="preserve"> S</w:t>
      </w:r>
      <w:r w:rsidR="00A978A8">
        <w:rPr>
          <w:rFonts w:eastAsia="Calibri"/>
          <w:shd w:val="clear" w:color="auto" w:fill="FFFFFF"/>
        </w:rPr>
        <w:t>M</w:t>
      </w:r>
      <w:r w:rsidRPr="00F02105">
        <w:rPr>
          <w:rFonts w:eastAsia="Calibri"/>
          <w:shd w:val="clear" w:color="auto" w:fill="FFFFFF"/>
        </w:rPr>
        <w:t xml:space="preserve">-2 series trinocular stereo </w:t>
      </w:r>
      <w:r w:rsidRPr="00F02105">
        <w:rPr>
          <w:rFonts w:eastAsia="Calibri"/>
          <w:shd w:val="clear" w:color="auto" w:fill="FFFFFF"/>
        </w:rPr>
        <w:lastRenderedPageBreak/>
        <w:t>microscope (</w:t>
      </w:r>
      <w:r w:rsidR="00A978A8">
        <w:rPr>
          <w:rFonts w:eastAsia="Calibri"/>
          <w:shd w:val="clear" w:color="auto" w:fill="FFFFFF"/>
        </w:rPr>
        <w:t>7</w:t>
      </w:r>
      <w:r w:rsidRPr="00F02105">
        <w:rPr>
          <w:rFonts w:eastAsia="Calibri"/>
          <w:shd w:val="clear" w:color="auto" w:fill="FFFFFF"/>
        </w:rPr>
        <w:t>X-</w:t>
      </w:r>
      <w:r w:rsidR="00A978A8">
        <w:rPr>
          <w:rFonts w:eastAsia="Calibri"/>
          <w:shd w:val="clear" w:color="auto" w:fill="FFFFFF"/>
        </w:rPr>
        <w:t>45</w:t>
      </w:r>
      <w:r w:rsidRPr="00F02105">
        <w:rPr>
          <w:rFonts w:eastAsia="Calibri"/>
          <w:shd w:val="clear" w:color="auto" w:fill="FFFFFF"/>
        </w:rPr>
        <w:t xml:space="preserve">X magnification). </w:t>
      </w:r>
      <w:r w:rsidR="00B2642C">
        <w:rPr>
          <w:rFonts w:eastAsia="Calibri"/>
          <w:shd w:val="clear" w:color="auto" w:fill="FFFFFF"/>
        </w:rPr>
        <w:t>Mounted</w:t>
      </w:r>
      <w:r w:rsidRPr="00F02105">
        <w:rPr>
          <w:rFonts w:eastAsia="Calibri"/>
          <w:shd w:val="clear" w:color="auto" w:fill="FFFFFF"/>
        </w:rPr>
        <w:t xml:space="preserve"> to the microscope was a 14-megapixel </w:t>
      </w:r>
      <w:proofErr w:type="spellStart"/>
      <w:r w:rsidRPr="00F02105">
        <w:rPr>
          <w:rFonts w:eastAsia="Calibri"/>
          <w:shd w:val="clear" w:color="auto" w:fill="FFFFFF"/>
        </w:rPr>
        <w:t>AmScope</w:t>
      </w:r>
      <w:proofErr w:type="spellEnd"/>
      <w:r w:rsidRPr="00F02105">
        <w:rPr>
          <w:rFonts w:eastAsia="Calibri"/>
          <w:shd w:val="clear" w:color="auto" w:fill="FFFFFF"/>
        </w:rPr>
        <w:t xml:space="preserve"> MU1403 high-performance digital camera, which facilitated the viewing, counting, and photographing of seeds</w:t>
      </w:r>
      <w:r w:rsidR="006E7BBE">
        <w:rPr>
          <w:rFonts w:eastAsia="Calibri"/>
          <w:shd w:val="clear" w:color="auto" w:fill="FFFFFF"/>
        </w:rPr>
        <w:t xml:space="preserve"> needing</w:t>
      </w:r>
      <w:r w:rsidRPr="00F02105">
        <w:rPr>
          <w:rFonts w:eastAsia="Calibri"/>
          <w:shd w:val="clear" w:color="auto" w:fill="FFFFFF"/>
        </w:rPr>
        <w:t xml:space="preserve"> </w:t>
      </w:r>
      <w:r w:rsidR="006E7BBE">
        <w:rPr>
          <w:rFonts w:eastAsia="Calibri"/>
          <w:shd w:val="clear" w:color="auto" w:fill="FFFFFF"/>
        </w:rPr>
        <w:t>further</w:t>
      </w:r>
      <w:r w:rsidRPr="00F02105">
        <w:rPr>
          <w:rFonts w:eastAsia="Calibri"/>
          <w:shd w:val="clear" w:color="auto" w:fill="FFFFFF"/>
        </w:rPr>
        <w:t xml:space="preserve"> identification. Seeds were identified to the lowest taxonomic unit using dichotomous keys, online references, and consultations with local botanists</w:t>
      </w:r>
      <w:r>
        <w:rPr>
          <w:rFonts w:eastAsia="Calibri"/>
          <w:shd w:val="clear" w:color="auto" w:fill="FFFFFF"/>
        </w:rPr>
        <w:t xml:space="preserve"> </w:t>
      </w:r>
      <w:r w:rsidR="00412425">
        <w:rPr>
          <w:rFonts w:eastAsia="Calibri"/>
          <w:shd w:val="clear" w:color="auto" w:fill="FFFFFF"/>
        </w:rPr>
        <w:fldChar w:fldCharType="begin"/>
      </w:r>
      <w:r w:rsidR="00201730">
        <w:rPr>
          <w:rFonts w:eastAsia="Calibri"/>
          <w:shd w:val="clear" w:color="auto" w:fill="FFFFFF"/>
        </w:rPr>
        <w:instrText xml:space="preserve"> ADDIN ZOTERO_ITEM CSL_CITATION {"citationID":"ViVpOHwQ","properties":{"formattedCitation":"(Gann et al. 2001, 2002, Wunderlin et al. 2016, Flora of North America Editorial Committee, eds. 1993+ 2023)","plainCitation":"(Gann et al. 2001, 2002, Wunderlin et al. 2016, Flora of North America Editorial Committee, eds. 1993+ 2023)","noteIndex":0},"citationItems":[{"id":6885,"uris":["http://zotero.org/users/10895328/items/6QZIE888"],"itemData":{"id":6885,"type":"report","title":"Floristic Inventory of South Florida Database Online. The Institute for Regional Conservation. Delray Beach, Florida.","author":[{"family":"Gann","given":"G. D."},{"family":"Stocking","given":"C. G."},{"family":"Collaborators","given":""}],"issued":{"date-parts":[["2001"]],"season":"2021"}}},{"id":6887,"uris":["http://zotero.org/users/10895328/items/FB5SPK86"],"itemData":{"id":6887,"type":"book","ISBN":"0-9704987-0-5","publisher":"Institute for Regional Conservation","title":"Rare plants of south Florida: their history, conservation and restoration","author":[{"family":"Gann","given":"G. D."},{"family":"Woodmansee","given":"S. W."},{"family":"Bradley","given":"K. A."}],"issued":{"date-parts":[["2002"]]}}},{"id":16591,"uris":["http://zotero.org/users/10895328/items/LYWH8MYA"],"itemData":{"id":16591,"type":"article-journal","container-title":"Atlas of Florida vascular plants.","note":"publisher: University of South Florida","title":"Atlas of Florida vascular plants.","author":[{"family":"Wunderlin","given":"Richard P."},{"family":"Hansen","given":"Bruce F."},{"family":"Franck","given":"A. R."},{"family":"Essig","given":"F. B."}],"issued":{"date-parts":[["2016"]]}}},{"id":16590,"uris":["http://zotero.org/users/10895328/items/6P5P6DTJ"],"itemData":{"id":16590,"type":"dataset","event-place":"New York and Oxford","publisher-place":"New York and Oxford","title":"Flora of North America North of Mexico [Online].","URL":"http://beta.floranorthamerica.org","version":"22+ vols","author":[{"family":"Flora of North America Editorial Committee, eds. 1993+","given":""}],"accessed":{"date-parts":[["2023",8,24]]},"issued":{"date-parts":[["2023"]]}}}],"schema":"https://github.com/citation-style-language/schema/raw/master/csl-citation.json"} </w:instrText>
      </w:r>
      <w:r w:rsidR="00412425">
        <w:rPr>
          <w:rFonts w:eastAsia="Calibri"/>
          <w:shd w:val="clear" w:color="auto" w:fill="FFFFFF"/>
        </w:rPr>
        <w:fldChar w:fldCharType="separate"/>
      </w:r>
      <w:r w:rsidR="00201730" w:rsidRPr="00201730">
        <w:rPr>
          <w:rFonts w:eastAsia="Calibri"/>
        </w:rPr>
        <w:t>(Gann et al. 2001, 2002, Wunderlin et al. 2016, Flora of North America Editorial Committee, eds. 1993+ 2023)</w:t>
      </w:r>
      <w:r w:rsidR="00412425">
        <w:rPr>
          <w:rFonts w:eastAsia="Calibri"/>
          <w:shd w:val="clear" w:color="auto" w:fill="FFFFFF"/>
        </w:rPr>
        <w:fldChar w:fldCharType="end"/>
      </w:r>
      <w:r w:rsidR="009808D7">
        <w:rPr>
          <w:rFonts w:eastAsia="Calibri"/>
          <w:shd w:val="clear" w:color="auto" w:fill="FFFFFF"/>
        </w:rPr>
        <w:t>.</w:t>
      </w:r>
      <w:r w:rsidR="004C28E4" w:rsidRPr="004C28E4">
        <w:rPr>
          <w:rFonts w:eastAsia="Calibri"/>
          <w:shd w:val="clear" w:color="auto" w:fill="FFFFFF"/>
        </w:rPr>
        <w:t xml:space="preserve"> </w:t>
      </w:r>
      <w:r w:rsidR="002E7F40">
        <w:rPr>
          <w:rFonts w:eastAsia="Calibri"/>
          <w:shd w:val="clear" w:color="auto" w:fill="FFFFFF"/>
        </w:rPr>
        <w:t>All s</w:t>
      </w:r>
      <w:r w:rsidR="006E7BBE" w:rsidRPr="006E7BBE">
        <w:rPr>
          <w:rFonts w:eastAsia="Calibri"/>
          <w:shd w:val="clear" w:color="auto" w:fill="FFFFFF"/>
        </w:rPr>
        <w:t>eeds were counted and</w:t>
      </w:r>
      <w:r w:rsidR="002E7F40">
        <w:rPr>
          <w:rFonts w:eastAsia="Calibri"/>
          <w:shd w:val="clear" w:color="auto" w:fill="FFFFFF"/>
        </w:rPr>
        <w:t xml:space="preserve"> those identified to the species level had</w:t>
      </w:r>
      <w:r w:rsidR="006E7BBE" w:rsidRPr="006E7BBE">
        <w:rPr>
          <w:rFonts w:eastAsia="Calibri"/>
          <w:shd w:val="clear" w:color="auto" w:fill="FFFFFF"/>
        </w:rPr>
        <w:t xml:space="preserve"> their dispersal syndromes </w:t>
      </w:r>
      <w:r w:rsidR="002E7F40">
        <w:rPr>
          <w:rFonts w:eastAsia="Calibri"/>
          <w:shd w:val="clear" w:color="auto" w:fill="FFFFFF"/>
        </w:rPr>
        <w:t>record</w:t>
      </w:r>
      <w:r w:rsidR="006E7BBE" w:rsidRPr="006E7BBE">
        <w:rPr>
          <w:rFonts w:eastAsia="Calibri"/>
          <w:shd w:val="clear" w:color="auto" w:fill="FFFFFF"/>
        </w:rPr>
        <w:t xml:space="preserve">ed according to criteria from </w:t>
      </w:r>
      <w:r w:rsidR="00650ED5" w:rsidRPr="00934EC1">
        <w:rPr>
          <w:rFonts w:eastAsia="Calibri"/>
          <w:shd w:val="clear" w:color="auto" w:fill="FFFFFF"/>
        </w:rPr>
        <w:fldChar w:fldCharType="begin"/>
      </w:r>
      <w:r w:rsidR="00AD1D94">
        <w:rPr>
          <w:rFonts w:eastAsia="Calibri"/>
          <w:shd w:val="clear" w:color="auto" w:fill="FFFFFF"/>
        </w:rPr>
        <w:instrText xml:space="preserve"> ADDIN ZOTERO_ITEM CSL_CITATION {"citationID":"ZmjbHwdC","properties":{"formattedCitation":"(Howe and Smallwood 1982, Van der Pijl 1982, Janzen 1984)","plainCitation":"(Howe and Smallwood 1982, Van der Pijl 1982, Janzen 1984)","dontUpdate":true,"noteIndex":0},"citationItems":[{"id":7370,"uris":["http://zotero.org/users/10895328/items/Q79SV7VH"],"itemData":{"id":7370,"type":"article-journal","container-title":"Annual Review of Ecology and Systematics","DOI":"DOI 10.1146/annurev.es.13.110182.001221","ISSN":"0066-4162","language":"English","page":"201-228","title":"Ecology of Seed Dispersal","volume":"13","author":[{"family":"Howe","given":"H. F."},{"family":"Smallwood","given":"J."}],"issued":{"date-parts":[["1982"]]}}},{"id":9380,"uris":["http://zotero.org/users/10895328/items/VEI3KQNR"],"itemData":{"id":9380,"type":"book","publisher":"Springer","title":"Principles of dispersal in higher plants","volume":"214","author":[{"family":"Van der Pijl","given":"Leendert"}],"issued":{"date-parts":[["1982"]]}}},{"id":7443,"uris":["http://zotero.org/users/10895328/items/9A5PS2X2"],"itemData":{"id":7443,"type":"article-journal","container-title":"The American Naturalist","DOI":"10.1086/284208","ISSN":"0003-0147","issue":"3","page":"338-353","title":"Dispersal of Small Seeds by Big Herbivores: Foliage is the Fruit","volume":"123","author":[{"family":"Janzen","given":"D. H."}],"issued":{"date-parts":[["1984"]]}}}],"schema":"https://github.com/citation-style-language/schema/raw/master/csl-citation.json"} </w:instrText>
      </w:r>
      <w:r w:rsidR="00650ED5" w:rsidRPr="00934EC1">
        <w:rPr>
          <w:rFonts w:eastAsia="Calibri"/>
          <w:shd w:val="clear" w:color="auto" w:fill="FFFFFF"/>
        </w:rPr>
        <w:fldChar w:fldCharType="separate"/>
      </w:r>
      <w:r w:rsidR="000C5AEB" w:rsidRPr="000C5AEB">
        <w:rPr>
          <w:rFonts w:eastAsia="Calibri"/>
        </w:rPr>
        <w:t xml:space="preserve">Howe and Smallwood </w:t>
      </w:r>
      <w:r w:rsidR="000C5AEB">
        <w:rPr>
          <w:rFonts w:eastAsia="Calibri"/>
        </w:rPr>
        <w:t>(</w:t>
      </w:r>
      <w:r w:rsidR="000C5AEB" w:rsidRPr="000C5AEB">
        <w:rPr>
          <w:rFonts w:eastAsia="Calibri"/>
        </w:rPr>
        <w:t>1982</w:t>
      </w:r>
      <w:r w:rsidR="000C5AEB">
        <w:rPr>
          <w:rFonts w:eastAsia="Calibri"/>
        </w:rPr>
        <w:t>)</w:t>
      </w:r>
      <w:r w:rsidR="000C5AEB" w:rsidRPr="000C5AEB">
        <w:rPr>
          <w:rFonts w:eastAsia="Calibri"/>
        </w:rPr>
        <w:t xml:space="preserve">, Van der Pijl </w:t>
      </w:r>
      <w:r w:rsidR="000C5AEB">
        <w:rPr>
          <w:rFonts w:eastAsia="Calibri"/>
        </w:rPr>
        <w:t>(</w:t>
      </w:r>
      <w:r w:rsidR="000C5AEB" w:rsidRPr="000C5AEB">
        <w:rPr>
          <w:rFonts w:eastAsia="Calibri"/>
        </w:rPr>
        <w:t>1982</w:t>
      </w:r>
      <w:r w:rsidR="000C5AEB">
        <w:rPr>
          <w:rFonts w:eastAsia="Calibri"/>
        </w:rPr>
        <w:t>)</w:t>
      </w:r>
      <w:r w:rsidR="000C5AEB" w:rsidRPr="000C5AEB">
        <w:rPr>
          <w:rFonts w:eastAsia="Calibri"/>
        </w:rPr>
        <w:t>,</w:t>
      </w:r>
      <w:r w:rsidR="00010209">
        <w:rPr>
          <w:rFonts w:eastAsia="Calibri"/>
        </w:rPr>
        <w:t xml:space="preserve"> and</w:t>
      </w:r>
      <w:r w:rsidR="000C5AEB" w:rsidRPr="000C5AEB">
        <w:rPr>
          <w:rFonts w:eastAsia="Calibri"/>
        </w:rPr>
        <w:t xml:space="preserve"> Janzen </w:t>
      </w:r>
      <w:r w:rsidR="000C5AEB">
        <w:rPr>
          <w:rFonts w:eastAsia="Calibri"/>
        </w:rPr>
        <w:t>(</w:t>
      </w:r>
      <w:r w:rsidR="000C5AEB" w:rsidRPr="000C5AEB">
        <w:rPr>
          <w:rFonts w:eastAsia="Calibri"/>
        </w:rPr>
        <w:t>1984)</w:t>
      </w:r>
      <w:r w:rsidR="00650ED5" w:rsidRPr="00934EC1">
        <w:rPr>
          <w:rFonts w:eastAsia="Calibri"/>
          <w:shd w:val="clear" w:color="auto" w:fill="FFFFFF"/>
        </w:rPr>
        <w:fldChar w:fldCharType="end"/>
      </w:r>
      <w:r w:rsidR="00010209">
        <w:rPr>
          <w:rFonts w:eastAsia="Calibri"/>
          <w:shd w:val="clear" w:color="auto" w:fill="FFFFFF"/>
        </w:rPr>
        <w:t xml:space="preserve"> (see Table 1).</w:t>
      </w:r>
      <w:r w:rsidR="006064F5">
        <w:rPr>
          <w:rFonts w:eastAsia="Calibri"/>
          <w:shd w:val="clear" w:color="auto" w:fill="FFFFFF"/>
        </w:rPr>
        <w:t xml:space="preserve"> In samples containing exceptionally high numbers of small seeds</w:t>
      </w:r>
      <w:r w:rsidR="00DA593E">
        <w:rPr>
          <w:rFonts w:eastAsia="Calibri"/>
          <w:shd w:val="clear" w:color="auto" w:fill="FFFFFF"/>
        </w:rPr>
        <w:t xml:space="preserve"> (e.g., </w:t>
      </w:r>
      <w:proofErr w:type="spellStart"/>
      <w:r w:rsidR="00DA593E" w:rsidRPr="006064F5">
        <w:rPr>
          <w:rFonts w:eastAsia="Calibri"/>
          <w:i/>
          <w:iCs/>
          <w:shd w:val="clear" w:color="auto" w:fill="FFFFFF"/>
        </w:rPr>
        <w:t>Buchnera</w:t>
      </w:r>
      <w:proofErr w:type="spellEnd"/>
      <w:r w:rsidR="00DA593E" w:rsidRPr="006064F5">
        <w:rPr>
          <w:rFonts w:eastAsia="Calibri"/>
          <w:i/>
          <w:iCs/>
          <w:shd w:val="clear" w:color="auto" w:fill="FFFFFF"/>
        </w:rPr>
        <w:t xml:space="preserve"> americana</w:t>
      </w:r>
      <w:r w:rsidR="00DA593E" w:rsidRPr="006064F5">
        <w:rPr>
          <w:rFonts w:eastAsia="Calibri"/>
          <w:shd w:val="clear" w:color="auto" w:fill="FFFFFF"/>
        </w:rPr>
        <w:t xml:space="preserve">, </w:t>
      </w:r>
      <w:r w:rsidR="00DA593E" w:rsidRPr="006064F5">
        <w:rPr>
          <w:rFonts w:eastAsia="Calibri"/>
          <w:i/>
          <w:iCs/>
          <w:shd w:val="clear" w:color="auto" w:fill="FFFFFF"/>
        </w:rPr>
        <w:t xml:space="preserve">Euphorbia </w:t>
      </w:r>
      <w:proofErr w:type="spellStart"/>
      <w:r w:rsidR="00DA593E" w:rsidRPr="006064F5">
        <w:rPr>
          <w:rFonts w:eastAsia="Calibri"/>
          <w:i/>
          <w:iCs/>
          <w:shd w:val="clear" w:color="auto" w:fill="FFFFFF"/>
        </w:rPr>
        <w:t>hirta</w:t>
      </w:r>
      <w:proofErr w:type="spellEnd"/>
      <w:r w:rsidR="00DA593E">
        <w:rPr>
          <w:rFonts w:eastAsia="Calibri"/>
          <w:shd w:val="clear" w:color="auto" w:fill="FFFFFF"/>
        </w:rPr>
        <w:t xml:space="preserve">, </w:t>
      </w:r>
      <w:proofErr w:type="spellStart"/>
      <w:r w:rsidR="00DA593E" w:rsidRPr="006064F5">
        <w:rPr>
          <w:rFonts w:eastAsia="Calibri"/>
          <w:i/>
          <w:iCs/>
          <w:shd w:val="clear" w:color="auto" w:fill="FFFFFF"/>
        </w:rPr>
        <w:t>Mosiera</w:t>
      </w:r>
      <w:proofErr w:type="spellEnd"/>
      <w:r w:rsidR="00DA593E" w:rsidRPr="006064F5">
        <w:rPr>
          <w:rFonts w:eastAsia="Calibri"/>
          <w:i/>
          <w:iCs/>
          <w:shd w:val="clear" w:color="auto" w:fill="FFFFFF"/>
        </w:rPr>
        <w:t xml:space="preserve"> longipes</w:t>
      </w:r>
      <w:r w:rsidR="00DA593E">
        <w:rPr>
          <w:rFonts w:eastAsia="Calibri"/>
          <w:shd w:val="clear" w:color="auto" w:fill="FFFFFF"/>
        </w:rPr>
        <w:t>),</w:t>
      </w:r>
      <w:r w:rsidR="006064F5">
        <w:rPr>
          <w:rFonts w:eastAsia="Calibri"/>
          <w:shd w:val="clear" w:color="auto" w:fill="FFFFFF"/>
        </w:rPr>
        <w:t xml:space="preserve"> </w:t>
      </w:r>
      <w:r w:rsidR="001C7A20">
        <w:rPr>
          <w:rFonts w:eastAsia="Calibri"/>
          <w:shd w:val="clear" w:color="auto" w:fill="FFFFFF"/>
        </w:rPr>
        <w:t>where</w:t>
      </w:r>
      <w:r w:rsidR="006064F5">
        <w:rPr>
          <w:rFonts w:eastAsia="Calibri"/>
          <w:shd w:val="clear" w:color="auto" w:fill="FFFFFF"/>
        </w:rPr>
        <w:t xml:space="preserve"> it was impractical to manually count </w:t>
      </w:r>
      <w:r w:rsidR="00DA593E">
        <w:rPr>
          <w:rFonts w:eastAsia="Calibri"/>
          <w:shd w:val="clear" w:color="auto" w:fill="FFFFFF"/>
        </w:rPr>
        <w:t>every</w:t>
      </w:r>
      <w:r w:rsidR="006064F5">
        <w:rPr>
          <w:rFonts w:eastAsia="Calibri"/>
          <w:shd w:val="clear" w:color="auto" w:fill="FFFFFF"/>
        </w:rPr>
        <w:t xml:space="preserve"> seed, we aggregated </w:t>
      </w:r>
      <w:r w:rsidR="001C7A20">
        <w:rPr>
          <w:rFonts w:eastAsia="Calibri"/>
          <w:shd w:val="clear" w:color="auto" w:fill="FFFFFF"/>
        </w:rPr>
        <w:t xml:space="preserve">all </w:t>
      </w:r>
      <w:r w:rsidR="006064F5">
        <w:rPr>
          <w:rFonts w:eastAsia="Calibri"/>
          <w:shd w:val="clear" w:color="auto" w:fill="FFFFFF"/>
        </w:rPr>
        <w:t>seeds within the frame of view of the microscope and extrapolated to the rest of the sample</w:t>
      </w:r>
      <w:r w:rsidR="00DA593E">
        <w:rPr>
          <w:rFonts w:eastAsia="Calibri"/>
          <w:shd w:val="clear" w:color="auto" w:fill="FFFFFF"/>
        </w:rPr>
        <w:t xml:space="preserve"> (see Supplementary Material for further details)</w:t>
      </w:r>
      <w:r w:rsidR="006064F5">
        <w:rPr>
          <w:rFonts w:eastAsia="Calibri"/>
          <w:shd w:val="clear" w:color="auto" w:fill="FFFFFF"/>
        </w:rPr>
        <w:t>.</w:t>
      </w:r>
      <w:r w:rsidR="00A67ADA">
        <w:rPr>
          <w:rFonts w:eastAsia="Calibri"/>
          <w:shd w:val="clear" w:color="auto" w:fill="FFFFFF"/>
        </w:rPr>
        <w:t xml:space="preserve"> To ensure only</w:t>
      </w:r>
      <w:r w:rsidR="00E55B95">
        <w:rPr>
          <w:rFonts w:eastAsia="Calibri"/>
          <w:shd w:val="clear" w:color="auto" w:fill="FFFFFF"/>
        </w:rPr>
        <w:t xml:space="preserve"> potentially</w:t>
      </w:r>
      <w:r w:rsidR="00A67ADA">
        <w:rPr>
          <w:rFonts w:eastAsia="Calibri"/>
          <w:shd w:val="clear" w:color="auto" w:fill="FFFFFF"/>
        </w:rPr>
        <w:t xml:space="preserve"> viable seeds were </w:t>
      </w:r>
      <w:r w:rsidR="00155050">
        <w:rPr>
          <w:rFonts w:eastAsia="Calibri"/>
          <w:shd w:val="clear" w:color="auto" w:fill="FFFFFF"/>
        </w:rPr>
        <w:t>considered, we recorded whether seeds appeared to be intact or</w:t>
      </w:r>
      <w:r w:rsidR="00E55B95">
        <w:rPr>
          <w:rFonts w:eastAsia="Calibri"/>
          <w:shd w:val="clear" w:color="auto" w:fill="FFFFFF"/>
        </w:rPr>
        <w:t xml:space="preserve"> obviously</w:t>
      </w:r>
      <w:r w:rsidR="00155050">
        <w:rPr>
          <w:rFonts w:eastAsia="Calibri"/>
          <w:shd w:val="clear" w:color="auto" w:fill="FFFFFF"/>
        </w:rPr>
        <w:t xml:space="preserve"> scarified/damaged. Only seeds in the intact category were used in our </w:t>
      </w:r>
      <w:proofErr w:type="gramStart"/>
      <w:r w:rsidR="00155050">
        <w:rPr>
          <w:rFonts w:eastAsia="Calibri"/>
          <w:shd w:val="clear" w:color="auto" w:fill="FFFFFF"/>
        </w:rPr>
        <w:t>analyses</w:t>
      </w:r>
      <w:proofErr w:type="gramEnd"/>
      <w:r w:rsidR="00155050">
        <w:rPr>
          <w:rFonts w:eastAsia="Calibri"/>
          <w:shd w:val="clear" w:color="auto" w:fill="FFFFFF"/>
        </w:rPr>
        <w:t>.</w:t>
      </w:r>
    </w:p>
    <w:p w14:paraId="61876BA8" w14:textId="77777777" w:rsidR="002950FE" w:rsidRDefault="002950FE" w:rsidP="00D06E69">
      <w:pPr>
        <w:spacing w:before="100" w:beforeAutospacing="1" w:after="100" w:afterAutospacing="1" w:line="480" w:lineRule="auto"/>
        <w:mirrorIndents/>
        <w:rPr>
          <w:rFonts w:eastAsia="Calibri"/>
        </w:rPr>
      </w:pPr>
      <w:bookmarkStart w:id="6" w:name="_Toc113555156"/>
    </w:p>
    <w:p w14:paraId="09AAD8DE" w14:textId="77777777" w:rsidR="00EB2F72" w:rsidRDefault="00EB2F72" w:rsidP="00EB2F72">
      <w:pPr>
        <w:spacing w:before="100" w:beforeAutospacing="1" w:after="100" w:afterAutospacing="1" w:line="480" w:lineRule="auto"/>
        <w:mirrorIndents/>
        <w:rPr>
          <w:rStyle w:val="Heading3Char"/>
          <w:rFonts w:cs="Times New Roman"/>
        </w:rPr>
      </w:pPr>
      <w:r>
        <w:rPr>
          <w:rStyle w:val="Heading3Char"/>
          <w:rFonts w:cs="Times New Roman"/>
          <w:i/>
          <w:iCs/>
        </w:rPr>
        <w:t>Precipitation Data Collection</w:t>
      </w:r>
    </w:p>
    <w:p w14:paraId="6800BAF1" w14:textId="53A8DAC9" w:rsidR="00930DD1" w:rsidRDefault="00DF5703" w:rsidP="00930DD1">
      <w:pPr>
        <w:spacing w:before="100" w:beforeAutospacing="1" w:after="100" w:afterAutospacing="1" w:line="480" w:lineRule="auto"/>
        <w:ind w:firstLine="720"/>
        <w:mirrorIndents/>
        <w:rPr>
          <w:rStyle w:val="Heading3Char"/>
          <w:rFonts w:cs="Times New Roman"/>
        </w:rPr>
      </w:pPr>
      <w:r w:rsidRPr="00DF5703">
        <w:rPr>
          <w:rStyle w:val="Heading3Char"/>
          <w:rFonts w:cs="Times New Roman"/>
        </w:rPr>
        <w:t xml:space="preserve">To collect data on seasonal precipitation, we accessed the online Florida Climate Center database from Florida State University and downloaded daily precipitation data from a nearby National Oceanic and Atmospheric Administration cooperative meteorological station (25.5819, -80.4361), located less than 5 km from our study site. To ensure the data were relevant to our study, we selected data </w:t>
      </w:r>
      <w:r w:rsidR="00E667D1">
        <w:rPr>
          <w:rStyle w:val="Heading3Char"/>
          <w:rFonts w:cs="Times New Roman"/>
        </w:rPr>
        <w:t>in</w:t>
      </w:r>
      <w:r w:rsidRPr="00DF5703">
        <w:rPr>
          <w:rStyle w:val="Heading3Char"/>
          <w:rFonts w:cs="Times New Roman"/>
        </w:rPr>
        <w:t xml:space="preserve"> a </w:t>
      </w:r>
      <w:r w:rsidR="00E667D1">
        <w:rPr>
          <w:rStyle w:val="Heading3Char"/>
          <w:rFonts w:cs="Times New Roman"/>
        </w:rPr>
        <w:t>search</w:t>
      </w:r>
      <w:r w:rsidRPr="00DF5703">
        <w:rPr>
          <w:rStyle w:val="Heading3Char"/>
          <w:rFonts w:cs="Times New Roman"/>
        </w:rPr>
        <w:t xml:space="preserve"> window spanning from May 1, 2021, to November 30, 2022</w:t>
      </w:r>
      <w:r w:rsidR="00E667D1">
        <w:rPr>
          <w:rStyle w:val="Heading3Char"/>
          <w:rFonts w:cs="Times New Roman"/>
        </w:rPr>
        <w:t>,</w:t>
      </w:r>
      <w:r w:rsidRPr="00DF5703">
        <w:rPr>
          <w:rStyle w:val="Heading3Char"/>
          <w:rFonts w:cs="Times New Roman"/>
        </w:rPr>
        <w:t xml:space="preserve"> encompass</w:t>
      </w:r>
      <w:r w:rsidR="00E667D1">
        <w:rPr>
          <w:rStyle w:val="Heading3Char"/>
          <w:rFonts w:cs="Times New Roman"/>
        </w:rPr>
        <w:t>ing</w:t>
      </w:r>
      <w:r w:rsidRPr="00DF5703">
        <w:rPr>
          <w:rStyle w:val="Heading3Char"/>
          <w:rFonts w:cs="Times New Roman"/>
        </w:rPr>
        <w:t xml:space="preserve"> all precipitation during our study period. The daily precipitation for each month was summed to obtain total monthly precipitation values. For months with data collected in both </w:t>
      </w:r>
      <w:r w:rsidRPr="00DF5703">
        <w:rPr>
          <w:rStyle w:val="Heading3Char"/>
          <w:rFonts w:cs="Times New Roman"/>
        </w:rPr>
        <w:lastRenderedPageBreak/>
        <w:t xml:space="preserve">2021 and 2022, we calculated the </w:t>
      </w:r>
      <w:proofErr w:type="gramStart"/>
      <w:r w:rsidRPr="00DF5703">
        <w:rPr>
          <w:rStyle w:val="Heading3Char"/>
          <w:rFonts w:cs="Times New Roman"/>
        </w:rPr>
        <w:t>mean</w:t>
      </w:r>
      <w:proofErr w:type="gramEnd"/>
      <w:r w:rsidRPr="00DF5703">
        <w:rPr>
          <w:rStyle w:val="Heading3Char"/>
          <w:rFonts w:cs="Times New Roman"/>
        </w:rPr>
        <w:t xml:space="preserve"> of the total monthly precipitation.</w:t>
      </w:r>
    </w:p>
    <w:p w14:paraId="0F55EC34" w14:textId="77777777" w:rsidR="00DF5703" w:rsidRDefault="00DF5703" w:rsidP="00DF5703">
      <w:pPr>
        <w:spacing w:before="100" w:beforeAutospacing="1" w:after="100" w:afterAutospacing="1" w:line="480" w:lineRule="auto"/>
        <w:mirrorIndents/>
        <w:rPr>
          <w:rFonts w:eastAsia="Calibri"/>
        </w:rPr>
      </w:pPr>
    </w:p>
    <w:p w14:paraId="75FA5F30" w14:textId="77777777" w:rsidR="00C83478" w:rsidRPr="003D28B9" w:rsidRDefault="002950FE" w:rsidP="00D06E69">
      <w:pPr>
        <w:spacing w:before="100" w:beforeAutospacing="1" w:after="100" w:afterAutospacing="1" w:line="480" w:lineRule="auto"/>
        <w:mirrorIndents/>
        <w:rPr>
          <w:rFonts w:eastAsia="Calibri"/>
          <w:b/>
          <w:bCs/>
        </w:rPr>
      </w:pPr>
      <w:r w:rsidRPr="003D28B9">
        <w:rPr>
          <w:rFonts w:eastAsia="Calibri"/>
          <w:b/>
          <w:bCs/>
        </w:rPr>
        <w:t>Statistical Analysis</w:t>
      </w:r>
    </w:p>
    <w:p w14:paraId="5EA479A3" w14:textId="77F46E38" w:rsidR="00B36C0A" w:rsidRDefault="00B36C0A" w:rsidP="00D06E69">
      <w:pPr>
        <w:spacing w:before="100" w:beforeAutospacing="1" w:after="100" w:afterAutospacing="1" w:line="480" w:lineRule="auto"/>
        <w:mirrorIndents/>
        <w:rPr>
          <w:rFonts w:eastAsia="Calibri"/>
        </w:rPr>
      </w:pPr>
      <w:r w:rsidRPr="003D28B9">
        <w:rPr>
          <w:rFonts w:eastAsia="Calibri"/>
        </w:rPr>
        <w:t xml:space="preserve">All statistical analyses were carried out in R version </w:t>
      </w:r>
      <w:r w:rsidR="00D47551" w:rsidRPr="00D47551">
        <w:rPr>
          <w:rFonts w:eastAsia="Calibri"/>
        </w:rPr>
        <w:t>4.3.2</w:t>
      </w:r>
      <w:r w:rsidRPr="003D28B9">
        <w:rPr>
          <w:rFonts w:eastAsia="Calibri"/>
        </w:rPr>
        <w:t xml:space="preserve"> using various packages explicitly </w:t>
      </w:r>
      <w:r w:rsidR="00627A25" w:rsidRPr="003D28B9">
        <w:rPr>
          <w:rFonts w:eastAsia="Calibri"/>
        </w:rPr>
        <w:t xml:space="preserve">stated in the following </w:t>
      </w:r>
      <w:r w:rsidR="00D9138F" w:rsidRPr="003D28B9">
        <w:rPr>
          <w:rFonts w:eastAsia="Calibri"/>
        </w:rPr>
        <w:t>sub</w:t>
      </w:r>
      <w:r w:rsidR="00627A25" w:rsidRPr="003D28B9">
        <w:rPr>
          <w:rFonts w:eastAsia="Calibri"/>
        </w:rPr>
        <w:t xml:space="preserve">sections </w:t>
      </w:r>
      <w:r w:rsidR="00627A25" w:rsidRPr="003D28B9">
        <w:rPr>
          <w:rFonts w:eastAsia="Calibri"/>
        </w:rPr>
        <w:fldChar w:fldCharType="begin"/>
      </w:r>
      <w:r w:rsidR="00627A25" w:rsidRPr="003D28B9">
        <w:rPr>
          <w:rFonts w:eastAsia="Calibri"/>
        </w:rPr>
        <w:instrText xml:space="preserve"> ADDIN ZOTERO_ITEM CSL_CITATION {"citationID":"kZHTWuA7","properties":{"formattedCitation":"(R Core Team 2022)","plainCitation":"(R Core Team 2022)","noteIndex":0},"citationItems":[{"id":14000,"uris":["http://zotero.org/users/10895328/items/MW3RI368"],"itemData":{"id":14000,"type":"article-journal","container-title":"R Foundation for Statistical   Computing, Vienna, Austria","title":"R: A language and environment for statistical computing","URL":"https://www.R-project.org/.","author":[{"family":"R Core Team","given":""}],"issued":{"date-parts":[["2022"]]}}}],"schema":"https://github.com/citation-style-language/schema/raw/master/csl-citation.json"} </w:instrText>
      </w:r>
      <w:r w:rsidR="00627A25" w:rsidRPr="003D28B9">
        <w:rPr>
          <w:rFonts w:eastAsia="Calibri"/>
        </w:rPr>
        <w:fldChar w:fldCharType="separate"/>
      </w:r>
      <w:r w:rsidR="00627A25" w:rsidRPr="003D28B9">
        <w:rPr>
          <w:rFonts w:eastAsia="Calibri"/>
        </w:rPr>
        <w:t>(R Core Team 2022)</w:t>
      </w:r>
      <w:r w:rsidR="00627A25" w:rsidRPr="003D28B9">
        <w:rPr>
          <w:rFonts w:eastAsia="Calibri"/>
        </w:rPr>
        <w:fldChar w:fldCharType="end"/>
      </w:r>
      <w:r w:rsidR="00627A25" w:rsidRPr="003D28B9">
        <w:rPr>
          <w:rFonts w:eastAsia="Calibri"/>
        </w:rPr>
        <w:t>.</w:t>
      </w:r>
    </w:p>
    <w:p w14:paraId="737EA79E" w14:textId="77777777" w:rsidR="00CD54AD" w:rsidRPr="00430539" w:rsidRDefault="00CD54AD" w:rsidP="00D06E69">
      <w:pPr>
        <w:spacing w:before="100" w:beforeAutospacing="1" w:after="100" w:afterAutospacing="1" w:line="480" w:lineRule="auto"/>
        <w:mirrorIndents/>
        <w:rPr>
          <w:rFonts w:eastAsia="Calibri"/>
        </w:rPr>
      </w:pPr>
    </w:p>
    <w:p w14:paraId="338E4EC8" w14:textId="73671F74" w:rsidR="002950FE" w:rsidRPr="003D28B9" w:rsidRDefault="0010753D" w:rsidP="00D06E69">
      <w:pPr>
        <w:spacing w:before="100" w:beforeAutospacing="1" w:after="100" w:afterAutospacing="1" w:line="480" w:lineRule="auto"/>
        <w:mirrorIndents/>
        <w:rPr>
          <w:rFonts w:eastAsia="Calibri"/>
          <w:i/>
          <w:iCs/>
        </w:rPr>
      </w:pPr>
      <w:r>
        <w:rPr>
          <w:rFonts w:eastAsia="Calibri"/>
          <w:i/>
          <w:iCs/>
        </w:rPr>
        <w:t>Seasonal P</w:t>
      </w:r>
      <w:r w:rsidR="00D97234">
        <w:rPr>
          <w:rFonts w:eastAsia="Calibri"/>
          <w:i/>
          <w:iCs/>
        </w:rPr>
        <w:t>atterns of Precipitation and</w:t>
      </w:r>
      <w:r w:rsidR="002950FE" w:rsidRPr="003D28B9">
        <w:rPr>
          <w:rFonts w:eastAsia="Calibri"/>
          <w:i/>
          <w:iCs/>
        </w:rPr>
        <w:t xml:space="preserve"> Frugivory</w:t>
      </w:r>
    </w:p>
    <w:p w14:paraId="6CD4CECE" w14:textId="08460D48" w:rsidR="009873DA" w:rsidRDefault="00DE0DD3" w:rsidP="00A97A7B">
      <w:pPr>
        <w:spacing w:before="100" w:beforeAutospacing="1" w:after="100" w:afterAutospacing="1" w:line="480" w:lineRule="auto"/>
        <w:ind w:firstLine="720"/>
        <w:mirrorIndents/>
        <w:rPr>
          <w:rFonts w:eastAsia="Calibri"/>
        </w:rPr>
      </w:pPr>
      <w:r>
        <w:rPr>
          <w:rFonts w:eastAsia="Calibri"/>
        </w:rPr>
        <w:t>For the research question on</w:t>
      </w:r>
      <w:r w:rsidR="00007E14" w:rsidRPr="00007E14">
        <w:rPr>
          <w:rFonts w:eastAsia="Calibri"/>
        </w:rPr>
        <w:t xml:space="preserve"> the relationship between time and precipitation, we </w:t>
      </w:r>
      <w:r w:rsidR="00667B57">
        <w:rPr>
          <w:rFonts w:eastAsia="Calibri"/>
        </w:rPr>
        <w:t>constructed</w:t>
      </w:r>
      <w:r w:rsidR="00007E14" w:rsidRPr="00007E14">
        <w:rPr>
          <w:rFonts w:eastAsia="Calibri"/>
        </w:rPr>
        <w:t xml:space="preserve"> a Generalized Additive Model (GAM) to </w:t>
      </w:r>
      <w:r>
        <w:rPr>
          <w:rFonts w:eastAsia="Calibri"/>
        </w:rPr>
        <w:t>investigate</w:t>
      </w:r>
      <w:r w:rsidR="00007E14" w:rsidRPr="00007E14">
        <w:rPr>
          <w:rFonts w:eastAsia="Calibri"/>
        </w:rPr>
        <w:t xml:space="preserve"> total monthly precipitation as a non-linear function of the calendar month </w:t>
      </w:r>
      <w:r w:rsidR="00B81147">
        <w:rPr>
          <w:rFonts w:eastAsia="Calibri"/>
        </w:rPr>
        <w:fldChar w:fldCharType="begin"/>
      </w:r>
      <w:r w:rsidR="00B81147">
        <w:rPr>
          <w:rFonts w:eastAsia="Calibri"/>
        </w:rPr>
        <w:instrText xml:space="preserve"> ADDIN ZOTERO_ITEM CSL_CITATION {"citationID":"edXEot0A","properties":{"formattedCitation":"(Pedersen et al. 2019)","plainCitation":"(Pedersen et al. 2019)","noteIndex":0},"citationItems":[{"id":8491,"uris":["http://zotero.org/users/10895328/items/7SBDV24V"],"itemData":{"id":8491,"type":"article-journal","abstract":"In this paper, we discuss an extension to two popular approaches to modeling complex structures in ecological data: the generalized additive model (GAM) and the hierarchical model (HGLM). The hierarchical GAM (HGAM), allows modeling of nonlinear functional relationships between covariates and outcomes where the shape of the function itself varies between different grouping levels. We describe the theoretical connection between HGAMs, HGLMs, and GAMs, explain how to model different assumptions about the degree of intergroup variability in functional response, and show how HGAMs can be readily fitted using existing GAM software, the mgcv package in R. We also discuss computational and statistical issues with fitting these models, and demonstrate how to fit HGAMs on example data. All code and data used to generate this paper are available at: github.com/eric-pedersen/mixed-effect-gams.","container-title":"PeerJ","DOI":"10.7717/peerj.6876","ISSN":"2167-8359","page":"e6876","title":"Hierarchical generalized additive models in ecology: an introduction with mgcv","volume":"7","author":[{"family":"Pedersen","given":"Eric J."},{"family":"Miller","given":"David L."},{"family":"Simpson","given":"Gavin L."},{"family":"Ross","given":"Noam"}],"editor":[{"family":"Gray","given":"Andrew"}],"issued":{"date-parts":[["2019",5,27]]}}}],"schema":"https://github.com/citation-style-language/schema/raw/master/csl-citation.json"} </w:instrText>
      </w:r>
      <w:r w:rsidR="00B81147">
        <w:rPr>
          <w:rFonts w:eastAsia="Calibri"/>
        </w:rPr>
        <w:fldChar w:fldCharType="separate"/>
      </w:r>
      <w:r w:rsidR="00B81147" w:rsidRPr="00150F18">
        <w:rPr>
          <w:rFonts w:eastAsia="Calibri"/>
        </w:rPr>
        <w:t>(Pedersen et al. 2019)</w:t>
      </w:r>
      <w:r w:rsidR="00B81147">
        <w:rPr>
          <w:rFonts w:eastAsia="Calibri"/>
        </w:rPr>
        <w:fldChar w:fldCharType="end"/>
      </w:r>
      <w:r w:rsidR="009873DA">
        <w:rPr>
          <w:rFonts w:eastAsia="Calibri"/>
        </w:rPr>
        <w:t xml:space="preserve">. </w:t>
      </w:r>
      <w:r w:rsidR="00B409AD" w:rsidRPr="00B409AD">
        <w:rPr>
          <w:rFonts w:eastAsia="Calibri"/>
        </w:rPr>
        <w:t xml:space="preserve">The GAM was </w:t>
      </w:r>
      <w:r>
        <w:rPr>
          <w:rFonts w:eastAsia="Calibri"/>
        </w:rPr>
        <w:t>estimated</w:t>
      </w:r>
      <w:r w:rsidR="00B409AD" w:rsidRPr="00B409AD">
        <w:rPr>
          <w:rFonts w:eastAsia="Calibri"/>
        </w:rPr>
        <w:t xml:space="preserve"> using the Bayesian </w:t>
      </w:r>
      <w:r w:rsidR="00B409AD" w:rsidRPr="00B926FE">
        <w:rPr>
          <w:rFonts w:ascii="Courier New" w:eastAsia="Calibri" w:hAnsi="Courier New" w:cs="Courier New"/>
        </w:rPr>
        <w:t>brms</w:t>
      </w:r>
      <w:r w:rsidR="00B409AD" w:rsidRPr="00B409AD">
        <w:rPr>
          <w:rFonts w:eastAsia="Calibri"/>
        </w:rPr>
        <w:t xml:space="preserve"> package</w:t>
      </w:r>
      <w:r w:rsidR="00985A46">
        <w:rPr>
          <w:rFonts w:eastAsia="Calibri"/>
        </w:rPr>
        <w:t xml:space="preserve"> </w:t>
      </w:r>
      <w:r w:rsidR="00985A46">
        <w:rPr>
          <w:rFonts w:eastAsia="Calibri"/>
        </w:rPr>
        <w:fldChar w:fldCharType="begin"/>
      </w:r>
      <w:r w:rsidR="00985A46">
        <w:rPr>
          <w:rFonts w:eastAsia="Calibri"/>
        </w:rPr>
        <w:instrText xml:space="preserve"> ADDIN ZOTERO_ITEM CSL_CITATION {"citationID":"Bix2fK9D","properties":{"formattedCitation":"(B\\uc0\\u252{}rkner 2017, 2018)","plainCitation":"(Bürkner 2017, 2018)","noteIndex":0},"citationItems":[{"id":13992,"uris":["http://zotero.org/users/10895328/items/IEXZGJNG"],"itemData":{"id":13992,"type":"article-journal","abstract":"The brms package implements Bayesian multilevel models in R using the probabilistic programming language Stan. A wide range of distributions and link functions are supported, allowing users to fit  -  among others  -  linear, robust linear, binomial, Poisson, survival, ordinal, zero-inflated, hurdle, and even non-linear models all in a multilevel context. Further modeling options include autocorrelation of the response variable, user defined covariance structures, censored data, as well as meta-analytic standard errors. Prior specifications are flexible and explicitly encourage users to apply prior distributions that actually reflect their beliefs. In addition, model fit can easily be assessed and compared with the Watanabe-Akaike information criterion and leave-one-out cross-validation.","container-title":"Journal of Statistical Software","DOI":"10.18637/jss.v080.i01","issue":"1","journalAbbreviation":"J. Stat. Soft.","note":"section: Articles","page":"1 - 28","title":"brms: An R Package for Bayesian Multilevel Models Using Stan","volume":"80","author":[{"family":"Bürkner","given":"Paul-Christian"}],"issued":{"date-parts":[["2017",8,29]]}}},{"id":13995,"uris":["http://zotero.org/users/10895328/items/5MKNT8QE"],"itemData":{"id":13995,"type":"article-journal","abstract":"The brms package allows R users to easily specify a wide range of Bayesian single-level and multilevel models which are fit with the probabilistic programming language Stan behind the scenes. Several response distributions are supported, of which all parameters (e.g., location, scale, and shape) can be predicted. Non-linear relationships may be specified using non-linear predictor terms or semi-parametric approaches such as splines or Gaussian processes. Multivariate models can be fit as well. To make all of these modeling options possible in a multilevel framework, brms provides an intuitive and powerful formula syntax, which extends the well known formula syntax of lme4. The purpose of the present paper is to introduce this syntax in detail and to demonstrate its usefulness with four examples, each showing relevant aspects of the syntax.","container-title":"R Journal","DOI":"10.32614/RJ-2018-017","journalAbbreviation":"R Journal","page":"395-411","title":"Advanced Bayesian Multilevel Modeling with the R Package brms","volume":"10","author":[{"family":"Bürkner","given":"Paul-Christian"}],"issued":{"date-parts":[["2018",7,1]]}}}],"schema":"https://github.com/citation-style-language/schema/raw/master/csl-citation.json"} </w:instrText>
      </w:r>
      <w:r w:rsidR="00985A46">
        <w:rPr>
          <w:rFonts w:eastAsia="Calibri"/>
        </w:rPr>
        <w:fldChar w:fldCharType="separate"/>
      </w:r>
      <w:r w:rsidR="00985A46" w:rsidRPr="009B2ED0">
        <w:rPr>
          <w:kern w:val="0"/>
        </w:rPr>
        <w:t>(Bürkner 2017, 2018)</w:t>
      </w:r>
      <w:r w:rsidR="00985A46">
        <w:rPr>
          <w:rFonts w:eastAsia="Calibri"/>
        </w:rPr>
        <w:fldChar w:fldCharType="end"/>
      </w:r>
      <w:r w:rsidR="00B409AD" w:rsidRPr="00B409AD">
        <w:rPr>
          <w:rFonts w:eastAsia="Calibri"/>
        </w:rPr>
        <w:t>, specifying a normal distribution for the response variable</w:t>
      </w:r>
      <w:r>
        <w:rPr>
          <w:rFonts w:eastAsia="Calibri"/>
        </w:rPr>
        <w:t xml:space="preserve"> (precipitation in cm)</w:t>
      </w:r>
      <w:r w:rsidR="00B409AD" w:rsidRPr="00B409AD">
        <w:rPr>
          <w:rFonts w:eastAsia="Calibri"/>
        </w:rPr>
        <w:t xml:space="preserve"> with </w:t>
      </w:r>
      <w:r w:rsidR="00DD13B4">
        <w:rPr>
          <w:rFonts w:eastAsia="Calibri"/>
        </w:rPr>
        <w:t xml:space="preserve">the default </w:t>
      </w:r>
      <w:r w:rsidR="001E1613">
        <w:rPr>
          <w:rFonts w:eastAsia="Calibri"/>
        </w:rPr>
        <w:t>unin</w:t>
      </w:r>
      <w:r w:rsidR="00155B7E">
        <w:rPr>
          <w:rFonts w:eastAsia="Calibri"/>
        </w:rPr>
        <w:t>formative</w:t>
      </w:r>
      <w:r w:rsidR="00BE5D40">
        <w:rPr>
          <w:rFonts w:eastAsia="Calibri"/>
        </w:rPr>
        <w:t xml:space="preserve"> prior</w:t>
      </w:r>
      <w:r w:rsidR="00985A46">
        <w:rPr>
          <w:rFonts w:eastAsia="Calibri"/>
        </w:rPr>
        <w:t>s</w:t>
      </w:r>
      <w:r w:rsidR="00BE5D40">
        <w:rPr>
          <w:rFonts w:eastAsia="Calibri"/>
        </w:rPr>
        <w:t xml:space="preserve"> </w:t>
      </w:r>
      <w:r w:rsidR="00985A46">
        <w:rPr>
          <w:rFonts w:eastAsia="Calibri"/>
        </w:rPr>
        <w:t xml:space="preserve">from the </w:t>
      </w:r>
      <w:r w:rsidR="00985A46" w:rsidRPr="00985A46">
        <w:rPr>
          <w:rFonts w:ascii="Courier New" w:eastAsia="Calibri" w:hAnsi="Courier New" w:cs="Courier New"/>
        </w:rPr>
        <w:t>brms</w:t>
      </w:r>
      <w:r w:rsidR="00985A46">
        <w:rPr>
          <w:rFonts w:eastAsia="Calibri"/>
        </w:rPr>
        <w:t xml:space="preserve"> package</w:t>
      </w:r>
      <w:r w:rsidR="0010753D">
        <w:rPr>
          <w:rFonts w:eastAsia="Calibri"/>
        </w:rPr>
        <w:t xml:space="preserve">. </w:t>
      </w:r>
      <w:r w:rsidR="001752DB">
        <w:rPr>
          <w:rFonts w:eastAsia="Calibri"/>
        </w:rPr>
        <w:t>We included</w:t>
      </w:r>
      <w:r w:rsidR="001752DB" w:rsidRPr="001752DB">
        <w:rPr>
          <w:rFonts w:eastAsia="Calibri"/>
        </w:rPr>
        <w:t xml:space="preserve"> flat priors for regression coefficients (with vectorization for specific months), and Student t-distributions with 3 degrees of freedom for the intercept, standard deviations, and sigma, where the intercept has a mean of 13.3 and a scale of 11.4, and the standard deviations and sigma have a mean of 0 and a scale of 11.4</w:t>
      </w:r>
      <w:r w:rsidR="001752DB">
        <w:rPr>
          <w:rFonts w:eastAsia="Calibri"/>
        </w:rPr>
        <w:t>.</w:t>
      </w:r>
    </w:p>
    <w:p w14:paraId="23DB8452" w14:textId="15CA7837" w:rsidR="002950FE" w:rsidRDefault="00B409AD" w:rsidP="00A97A7B">
      <w:pPr>
        <w:spacing w:before="100" w:beforeAutospacing="1" w:after="100" w:afterAutospacing="1" w:line="480" w:lineRule="auto"/>
        <w:ind w:firstLine="720"/>
        <w:mirrorIndents/>
        <w:rPr>
          <w:rFonts w:eastAsia="Calibri"/>
        </w:rPr>
      </w:pPr>
      <w:r w:rsidRPr="00B409AD">
        <w:rPr>
          <w:rFonts w:eastAsia="Calibri"/>
        </w:rPr>
        <w:t>Similarly, we modeled the relationship between</w:t>
      </w:r>
      <w:r w:rsidR="00BC6379">
        <w:rPr>
          <w:rFonts w:eastAsia="Calibri"/>
        </w:rPr>
        <w:t xml:space="preserve"> time and</w:t>
      </w:r>
      <w:r w:rsidR="00B272AC">
        <w:rPr>
          <w:rFonts w:eastAsia="Calibri"/>
        </w:rPr>
        <w:t xml:space="preserve"> </w:t>
      </w:r>
      <w:r w:rsidR="00BC6379">
        <w:rPr>
          <w:rFonts w:eastAsia="Calibri"/>
        </w:rPr>
        <w:t xml:space="preserve">frugivory </w:t>
      </w:r>
      <w:r w:rsidR="005F7328">
        <w:rPr>
          <w:rFonts w:eastAsia="Calibri"/>
        </w:rPr>
        <w:t>through</w:t>
      </w:r>
      <w:r w:rsidR="00BC6379">
        <w:rPr>
          <w:rFonts w:eastAsia="Calibri"/>
        </w:rPr>
        <w:t xml:space="preserve"> a GAM</w:t>
      </w:r>
      <w:r w:rsidR="00B272AC">
        <w:rPr>
          <w:rFonts w:eastAsia="Calibri"/>
        </w:rPr>
        <w:t xml:space="preserve"> </w:t>
      </w:r>
      <w:r w:rsidR="00BC6379">
        <w:rPr>
          <w:rFonts w:eastAsia="Calibri"/>
        </w:rPr>
        <w:t>where</w:t>
      </w:r>
      <w:r w:rsidR="00327A6E">
        <w:rPr>
          <w:rFonts w:eastAsia="Calibri"/>
        </w:rPr>
        <w:t xml:space="preserve"> the</w:t>
      </w:r>
      <w:r w:rsidR="00BC6379">
        <w:rPr>
          <w:rFonts w:eastAsia="Calibri"/>
        </w:rPr>
        <w:t xml:space="preserve"> </w:t>
      </w:r>
      <w:r w:rsidRPr="00B409AD">
        <w:rPr>
          <w:rFonts w:eastAsia="Calibri"/>
        </w:rPr>
        <w:t>calendar month</w:t>
      </w:r>
      <w:r w:rsidR="00BC6379">
        <w:rPr>
          <w:rFonts w:eastAsia="Calibri"/>
        </w:rPr>
        <w:t xml:space="preserve"> was the predictor</w:t>
      </w:r>
      <w:r w:rsidRPr="00B409AD">
        <w:rPr>
          <w:rFonts w:eastAsia="Calibri"/>
        </w:rPr>
        <w:t xml:space="preserve"> and </w:t>
      </w:r>
      <w:r w:rsidR="00BC6379">
        <w:rPr>
          <w:rFonts w:eastAsia="Calibri"/>
        </w:rPr>
        <w:t xml:space="preserve">the </w:t>
      </w:r>
      <w:r w:rsidR="00282DEE">
        <w:rPr>
          <w:rFonts w:eastAsia="Calibri"/>
        </w:rPr>
        <w:t>degree of frugivory</w:t>
      </w:r>
      <w:r w:rsidR="007A75DF">
        <w:rPr>
          <w:rFonts w:eastAsia="Calibri"/>
        </w:rPr>
        <w:t xml:space="preserve"> (a continuous proportion)</w:t>
      </w:r>
      <w:r w:rsidR="00282DEE">
        <w:rPr>
          <w:rFonts w:eastAsia="Calibri"/>
        </w:rPr>
        <w:t xml:space="preserve"> was the response variable</w:t>
      </w:r>
      <w:r w:rsidRPr="00B409AD">
        <w:rPr>
          <w:rFonts w:eastAsia="Calibri"/>
        </w:rPr>
        <w:t>. For this</w:t>
      </w:r>
      <w:r w:rsidR="009E3675">
        <w:rPr>
          <w:rFonts w:eastAsia="Calibri"/>
        </w:rPr>
        <w:t xml:space="preserve"> analysis</w:t>
      </w:r>
      <w:r w:rsidRPr="00B409AD">
        <w:rPr>
          <w:rFonts w:eastAsia="Calibri"/>
        </w:rPr>
        <w:t>, we utilized the</w:t>
      </w:r>
      <w:r w:rsidR="00E0483B">
        <w:rPr>
          <w:rFonts w:eastAsia="Calibri"/>
        </w:rPr>
        <w:t xml:space="preserve"> Bayesian</w:t>
      </w:r>
      <w:r w:rsidRPr="00B409AD">
        <w:rPr>
          <w:rFonts w:eastAsia="Calibri"/>
        </w:rPr>
        <w:t xml:space="preserve"> </w:t>
      </w:r>
      <w:proofErr w:type="spellStart"/>
      <w:r w:rsidRPr="00B926FE">
        <w:rPr>
          <w:rFonts w:ascii="Courier New" w:eastAsia="Calibri" w:hAnsi="Courier New" w:cs="Courier New"/>
        </w:rPr>
        <w:t>ordbetareg</w:t>
      </w:r>
      <w:proofErr w:type="spellEnd"/>
      <w:r w:rsidRPr="00B409AD">
        <w:rPr>
          <w:rFonts w:eastAsia="Calibri"/>
        </w:rPr>
        <w:t xml:space="preserve"> package which models continuous proportion</w:t>
      </w:r>
      <w:r w:rsidR="009710A5">
        <w:rPr>
          <w:rFonts w:eastAsia="Calibri"/>
        </w:rPr>
        <w:t xml:space="preserve"> </w:t>
      </w:r>
      <w:r w:rsidR="009710A5" w:rsidRPr="009710A5">
        <w:rPr>
          <w:rFonts w:eastAsia="Calibri"/>
        </w:rPr>
        <w:t xml:space="preserve">variables, while allowing for possible values of exactly 0 and/or exactly </w:t>
      </w:r>
      <w:r w:rsidR="009710A5">
        <w:rPr>
          <w:rFonts w:eastAsia="Calibri"/>
        </w:rPr>
        <w:t>1</w:t>
      </w:r>
      <w:r w:rsidR="0086013B">
        <w:rPr>
          <w:rFonts w:eastAsia="Calibri"/>
        </w:rPr>
        <w:t xml:space="preserve"> </w:t>
      </w:r>
      <w:r w:rsidR="0086013B">
        <w:rPr>
          <w:rFonts w:eastAsia="Calibri"/>
        </w:rPr>
        <w:fldChar w:fldCharType="begin"/>
      </w:r>
      <w:r w:rsidR="0086013B">
        <w:rPr>
          <w:rFonts w:eastAsia="Calibri"/>
        </w:rPr>
        <w:instrText xml:space="preserve"> ADDIN ZOTERO_ITEM CSL_CITATION {"citationID":"6MME4Akd","properties":{"formattedCitation":"(Kubinec 2022)","plainCitation":"(Kubinec 2022)","noteIndex":0},"citationItems":[{"id":14461,"uris":["http://zotero.org/users/10895328/items/74JT8ZZ2"],"itemData":{"id":14461,"type":"article-journal","abstract":"I propose a new model, ordered Beta regression, for continuous distributions with both lower and upper bounds, such as data arising from survey slider scales, visual analog scales, and dose–response relationships. This model employs the cut point technique popularized by ordered logit to fit a single linear model to both continuous (0,1) and degenerate [0,1] responses. The model can be estimated with or without observations at the bounds, and as such is a general solution for these types of data. Employing a Monte Carlo simulation, I show that the model is noticeably more efficient than ordinary least squares regression, zero-and-oneinflated Beta regression, rescaled Beta regression, and fractional logit while fully capturing nuances in the outcome. I apply the model to a replication of the Aidt and Jensen (2014, European Economic Review 72, 52–75) study of suffrage extensions in Europe. The model can be fit with the R package ordbetareg to facilitate hierarchical, dynamic, and multivariate modeling.","container-title":"Political Analysis","DOI":"10.1017/pan.2022.20","ISSN":"1047-1987, 1476-4989","journalAbbreviation":"Polit. Anal.","language":"en","page":"1-18","source":"DOI.org (Crossref)","title":"Ordered Beta Regression: A Parsimonious, Well-Fitting Model for Continuous Data with Lower and Upper Bounds","title-short":"Ordered Beta Regression","author":[{"family":"Kubinec","given":"Robert"}],"issued":{"date-parts":[["2022",7,27]]}}}],"schema":"https://github.com/citation-style-language/schema/raw/master/csl-citation.json"} </w:instrText>
      </w:r>
      <w:r w:rsidR="0086013B">
        <w:rPr>
          <w:rFonts w:eastAsia="Calibri"/>
        </w:rPr>
        <w:fldChar w:fldCharType="separate"/>
      </w:r>
      <w:r w:rsidR="0086013B" w:rsidRPr="00B17CF3">
        <w:rPr>
          <w:rFonts w:eastAsia="Calibri"/>
        </w:rPr>
        <w:t>(Kubinec 2022)</w:t>
      </w:r>
      <w:r w:rsidR="0086013B">
        <w:rPr>
          <w:rFonts w:eastAsia="Calibri"/>
        </w:rPr>
        <w:fldChar w:fldCharType="end"/>
      </w:r>
      <w:r w:rsidR="0086013B">
        <w:rPr>
          <w:rFonts w:eastAsia="Calibri"/>
        </w:rPr>
        <w:t xml:space="preserve">. </w:t>
      </w:r>
      <w:r w:rsidR="00B15B6A">
        <w:rPr>
          <w:rFonts w:eastAsia="Calibri"/>
        </w:rPr>
        <w:t>In</w:t>
      </w:r>
      <w:r w:rsidR="0086013B">
        <w:rPr>
          <w:rFonts w:eastAsia="Calibri"/>
        </w:rPr>
        <w:t xml:space="preserve"> this model</w:t>
      </w:r>
      <w:r w:rsidR="00B15B6A">
        <w:rPr>
          <w:rFonts w:eastAsia="Calibri"/>
        </w:rPr>
        <w:t xml:space="preserve">, we also specified </w:t>
      </w:r>
      <w:r w:rsidR="005F45D0">
        <w:rPr>
          <w:rFonts w:eastAsia="Calibri"/>
        </w:rPr>
        <w:t>the default</w:t>
      </w:r>
      <w:r w:rsidR="00744B9E">
        <w:rPr>
          <w:rFonts w:eastAsia="Calibri"/>
        </w:rPr>
        <w:t xml:space="preserve"> uninformative</w:t>
      </w:r>
      <w:r w:rsidR="001E1613">
        <w:rPr>
          <w:rFonts w:eastAsia="Calibri"/>
        </w:rPr>
        <w:t xml:space="preserve"> </w:t>
      </w:r>
      <w:proofErr w:type="gramStart"/>
      <w:r w:rsidR="00744B9E">
        <w:rPr>
          <w:rFonts w:eastAsia="Calibri"/>
        </w:rPr>
        <w:t>prior</w:t>
      </w:r>
      <w:r w:rsidR="00985A46">
        <w:rPr>
          <w:rFonts w:eastAsia="Calibri"/>
        </w:rPr>
        <w:t>s</w:t>
      </w:r>
      <w:proofErr w:type="gramEnd"/>
      <w:r w:rsidR="00B60EDC" w:rsidRPr="00B60EDC">
        <w:rPr>
          <w:rFonts w:eastAsia="Calibri"/>
        </w:rPr>
        <w:t>.</w:t>
      </w:r>
      <w:r w:rsidR="008B74F6">
        <w:rPr>
          <w:rFonts w:eastAsia="Calibri"/>
        </w:rPr>
        <w:t xml:space="preserve"> These uninformative priors included </w:t>
      </w:r>
      <w:r w:rsidR="008B74F6" w:rsidRPr="008B74F6">
        <w:rPr>
          <w:rFonts w:eastAsia="Calibri"/>
        </w:rPr>
        <w:lastRenderedPageBreak/>
        <w:t xml:space="preserve">normal priors with a mean of 0 and standard deviation of 5 for the regression coefficients (vectorized for specific months), induced Dirichlet distributions for categorical cuts, a </w:t>
      </w:r>
      <w:proofErr w:type="gramStart"/>
      <w:r w:rsidR="008B74F6" w:rsidRPr="008B74F6">
        <w:rPr>
          <w:rFonts w:eastAsia="Calibri"/>
        </w:rPr>
        <w:t>Student</w:t>
      </w:r>
      <w:proofErr w:type="gramEnd"/>
      <w:r w:rsidR="008B74F6" w:rsidRPr="008B74F6">
        <w:rPr>
          <w:rFonts w:eastAsia="Calibri"/>
        </w:rPr>
        <w:t xml:space="preserve"> t-distribution with 3 degrees of freedom for the intercept and standard deviations (mean 0, scale 2.5), and an exponential distribution with a rate of 0.1 for the parameter phi.</w:t>
      </w:r>
    </w:p>
    <w:p w14:paraId="780D45C0" w14:textId="77777777" w:rsidR="00FD6A92" w:rsidRDefault="00FD6A92" w:rsidP="00FD6A92">
      <w:pPr>
        <w:spacing w:before="100" w:beforeAutospacing="1" w:after="100" w:afterAutospacing="1" w:line="480" w:lineRule="auto"/>
        <w:mirrorIndents/>
        <w:rPr>
          <w:rFonts w:eastAsia="Calibri"/>
        </w:rPr>
      </w:pPr>
    </w:p>
    <w:p w14:paraId="3092895C" w14:textId="20A1FEFA" w:rsidR="00FD6A92" w:rsidRPr="00FD6A92" w:rsidRDefault="00FD6A92" w:rsidP="00FD6A92">
      <w:pPr>
        <w:spacing w:before="100" w:beforeAutospacing="1" w:after="100" w:afterAutospacing="1" w:line="480" w:lineRule="auto"/>
        <w:mirrorIndents/>
        <w:rPr>
          <w:rFonts w:eastAsia="Calibri"/>
          <w:i/>
          <w:iCs/>
        </w:rPr>
      </w:pPr>
      <w:r w:rsidRPr="00FD6A92">
        <w:rPr>
          <w:rFonts w:eastAsia="Calibri"/>
          <w:i/>
          <w:iCs/>
        </w:rPr>
        <w:t>Time Lag Between Precipitation and Frugivory</w:t>
      </w:r>
    </w:p>
    <w:p w14:paraId="337BBE56" w14:textId="7DEFD260" w:rsidR="00ED0B81" w:rsidRDefault="006327BA" w:rsidP="00ED0B81">
      <w:pPr>
        <w:spacing w:before="100" w:beforeAutospacing="1" w:after="100" w:afterAutospacing="1" w:line="480" w:lineRule="auto"/>
        <w:ind w:firstLine="720"/>
        <w:mirrorIndents/>
        <w:rPr>
          <w:b/>
          <w:bCs/>
        </w:rPr>
      </w:pPr>
      <w:r w:rsidRPr="006327BA">
        <w:rPr>
          <w:rFonts w:eastAsia="Calibri"/>
        </w:rPr>
        <w:t xml:space="preserve">Since frugivory can only occur after fleshy fruits become available, there is a natural time lag between precipitation and fruit appearance in fecal samples. To explore this time lag, we performed a cross-correlation analysis using the </w:t>
      </w:r>
      <w:proofErr w:type="spellStart"/>
      <w:r w:rsidRPr="00B926FE">
        <w:rPr>
          <w:rFonts w:ascii="Courier New" w:eastAsia="Calibri" w:hAnsi="Courier New" w:cs="Courier New"/>
        </w:rPr>
        <w:t>astsa</w:t>
      </w:r>
      <w:proofErr w:type="spellEnd"/>
      <w:r w:rsidRPr="006327BA">
        <w:rPr>
          <w:rFonts w:eastAsia="Calibri"/>
        </w:rPr>
        <w:t xml:space="preserve"> package</w:t>
      </w:r>
      <w:r>
        <w:rPr>
          <w:rFonts w:eastAsia="Calibri"/>
        </w:rPr>
        <w:t xml:space="preserve"> </w:t>
      </w:r>
      <w:r w:rsidR="00F93488">
        <w:rPr>
          <w:rFonts w:eastAsia="Calibri"/>
        </w:rPr>
        <w:fldChar w:fldCharType="begin"/>
      </w:r>
      <w:r w:rsidR="00F93488">
        <w:rPr>
          <w:rFonts w:eastAsia="Calibri"/>
        </w:rPr>
        <w:instrText xml:space="preserve"> ADDIN ZOTERO_ITEM CSL_CITATION {"citationID":"oJDf7N0f","properties":{"formattedCitation":"(Shumway et al. 2000)","plainCitation":"(Shumway et al. 2000)","noteIndex":0},"citationItems":[{"id":19246,"uris":["http://zotero.org/users/10895328/items/E8QZT3RY"],"itemData":{"id":19246,"type":"book","publisher":"Springer","title":"Time series analysis and its applications","volume":"3","author":[{"family":"Shumway","given":"Robert H."},{"family":"Stoffer","given":"David S."},{"family":"Stoffer","given":"David S."}],"issued":{"date-parts":[["2000"]]}}}],"schema":"https://github.com/citation-style-language/schema/raw/master/csl-citation.json"} </w:instrText>
      </w:r>
      <w:r w:rsidR="00F93488">
        <w:rPr>
          <w:rFonts w:eastAsia="Calibri"/>
        </w:rPr>
        <w:fldChar w:fldCharType="separate"/>
      </w:r>
      <w:r w:rsidR="00F93488" w:rsidRPr="00F93488">
        <w:rPr>
          <w:rFonts w:eastAsia="Calibri"/>
        </w:rPr>
        <w:t>(Shumway et al. 2000)</w:t>
      </w:r>
      <w:r w:rsidR="00F93488">
        <w:rPr>
          <w:rFonts w:eastAsia="Calibri"/>
        </w:rPr>
        <w:fldChar w:fldCharType="end"/>
      </w:r>
      <w:r w:rsidR="00CF74FA">
        <w:rPr>
          <w:rFonts w:eastAsia="Calibri"/>
        </w:rPr>
        <w:t>.</w:t>
      </w:r>
      <w:r w:rsidR="00907BF5">
        <w:t xml:space="preserve"> </w:t>
      </w:r>
      <w:r w:rsidRPr="006327BA">
        <w:t xml:space="preserve">The cross-correlation function (CCF) was computed to examine the association between </w:t>
      </w:r>
      <w:r w:rsidR="00CD4521">
        <w:t>average</w:t>
      </w:r>
      <w:r w:rsidR="00561117">
        <w:t xml:space="preserve"> </w:t>
      </w:r>
      <w:r w:rsidRPr="006327BA">
        <w:t xml:space="preserve">monthly precipitation and the </w:t>
      </w:r>
      <w:r w:rsidR="00811950">
        <w:t>mean</w:t>
      </w:r>
      <w:r w:rsidR="00561117">
        <w:t xml:space="preserve"> </w:t>
      </w:r>
      <w:r w:rsidR="00F16342">
        <w:t>degree</w:t>
      </w:r>
      <w:r w:rsidRPr="006327BA">
        <w:t xml:space="preserve"> of frugivory</w:t>
      </w:r>
      <w:r w:rsidR="00F16342">
        <w:t xml:space="preserve"> in</w:t>
      </w:r>
      <w:r w:rsidRPr="006327BA">
        <w:t xml:space="preserve"> each month across lags from -12 to +12 months. This range accounts for the variable time it takes the plant community to flower and produce fruits</w:t>
      </w:r>
      <w:r>
        <w:t xml:space="preserve"> </w:t>
      </w:r>
      <w:r w:rsidR="004125F9">
        <w:fldChar w:fldCharType="begin"/>
      </w:r>
      <w:r w:rsidR="004125F9">
        <w:instrText xml:space="preserve"> ADDIN ZOTERO_ITEM CSL_CITATION {"citationID":"gCHcrDb5","properties":{"formattedCitation":"(van Schaik et al. 1993)","plainCitation":"(van Schaik et al. 1993)","noteIndex":0},"citationItems":[{"id":19266,"uris":["http://zotero.org/users/10895328/items/RBCYZYF7"],"itemData":{"id":19266,"type":"article-journal","container-title":"Annual Review of Ecology, Evolution, and Systematics","DOI":"https://doi.org/10.1146/annurev.es.24.110193.002033","ISSN":"1545-2069","issue":"Volume 24, 1993","note":"publisher: Annual Reviews\ntype: Journal Article","page":"353-377","title":"The Phenology of Tropical Forests: Adaptive Significance and Consequences for Primary Consumers*","volume":"24","author":[{"family":"Schaik","given":"Carel P.","non-dropping-particle":"van"},{"family":"Terborgh","given":"John W."},{"family":"Wright","given":"S. Joseph"}],"issued":{"date-parts":[["1993"]]}}}],"schema":"https://github.com/citation-style-language/schema/raw/master/csl-citation.json"} </w:instrText>
      </w:r>
      <w:r w:rsidR="004125F9">
        <w:fldChar w:fldCharType="separate"/>
      </w:r>
      <w:r w:rsidR="004125F9" w:rsidRPr="004125F9">
        <w:t>(van Schaik et al. 1993)</w:t>
      </w:r>
      <w:r w:rsidR="004125F9">
        <w:fldChar w:fldCharType="end"/>
      </w:r>
      <w:r w:rsidR="004125F9">
        <w:t xml:space="preserve">, </w:t>
      </w:r>
      <w:r w:rsidR="00274E5A" w:rsidRPr="00274E5A">
        <w:t>and the gopher tortoise's gut passage rate,</w:t>
      </w:r>
      <w:r w:rsidR="00AC7AB8">
        <w:t xml:space="preserve"> which</w:t>
      </w:r>
      <w:r w:rsidR="00274E5A" w:rsidRPr="00274E5A">
        <w:t xml:space="preserve"> </w:t>
      </w:r>
      <w:r w:rsidR="00C41BFA">
        <w:t xml:space="preserve">is </w:t>
      </w:r>
      <w:r w:rsidR="00274E5A" w:rsidRPr="00274E5A">
        <w:t>typically around two to three weeks</w:t>
      </w:r>
      <w:r w:rsidR="00274E5A">
        <w:t xml:space="preserve"> </w:t>
      </w:r>
      <w:r w:rsidR="00B862E8">
        <w:rPr>
          <w:rFonts w:eastAsia="Calibri"/>
        </w:rPr>
        <w:fldChar w:fldCharType="begin"/>
      </w:r>
      <w:r w:rsidR="00B862E8">
        <w:rPr>
          <w:rFonts w:eastAsia="Calibri"/>
        </w:rPr>
        <w:instrText xml:space="preserve"> ADDIN ZOTERO_ITEM CSL_CITATION {"citationID":"I1DhQWFz","properties":{"formattedCitation":"(Bjorndal 1987)","plainCitation":"(Bjorndal 1987)","noteIndex":0},"citationItems":[{"id":6001,"uris":["http://zotero.org/users/10895328/items/K6R32VRV"],"itemData":{"id":6001,"type":"article-journal","container-title":"Copeia","ISSN":"0045-8511","issue":"3","page":"714-720","title":"Digestive Efficiency in a Temperate Herbivorous Reptile, Gopherus polyphemus","volume":"1987","author":[{"family":"Bjorndal","given":"K. A."}],"issued":{"date-parts":[["1987"]]}}}],"schema":"https://github.com/citation-style-language/schema/raw/master/csl-citation.json"} </w:instrText>
      </w:r>
      <w:r w:rsidR="00B862E8">
        <w:rPr>
          <w:rFonts w:eastAsia="Calibri"/>
        </w:rPr>
        <w:fldChar w:fldCharType="separate"/>
      </w:r>
      <w:r w:rsidR="00B862E8" w:rsidRPr="003C3FED">
        <w:rPr>
          <w:rFonts w:eastAsia="Calibri"/>
        </w:rPr>
        <w:t>(Bjorndal 1987)</w:t>
      </w:r>
      <w:r w:rsidR="00B862E8">
        <w:rPr>
          <w:rFonts w:eastAsia="Calibri"/>
        </w:rPr>
        <w:fldChar w:fldCharType="end"/>
      </w:r>
      <w:r w:rsidR="00C06EC4">
        <w:t>.</w:t>
      </w:r>
      <w:r w:rsidR="00E2214F">
        <w:rPr>
          <w:b/>
          <w:bCs/>
        </w:rPr>
        <w:t xml:space="preserve"> </w:t>
      </w:r>
    </w:p>
    <w:p w14:paraId="3B811B31" w14:textId="45C6D61B" w:rsidR="0021128A" w:rsidRPr="003B5850" w:rsidRDefault="00274E5A" w:rsidP="006A3940">
      <w:pPr>
        <w:spacing w:before="100" w:beforeAutospacing="1" w:after="100" w:afterAutospacing="1" w:line="480" w:lineRule="auto"/>
        <w:ind w:firstLine="720"/>
        <w:mirrorIndents/>
        <w:rPr>
          <w:rFonts w:eastAsia="Calibri"/>
        </w:rPr>
      </w:pPr>
      <w:r w:rsidRPr="00274E5A">
        <w:rPr>
          <w:rFonts w:eastAsia="Calibri"/>
        </w:rPr>
        <w:t xml:space="preserve">To </w:t>
      </w:r>
      <w:r w:rsidR="00811950">
        <w:rPr>
          <w:rFonts w:eastAsia="Calibri"/>
        </w:rPr>
        <w:t xml:space="preserve">formally </w:t>
      </w:r>
      <w:r w:rsidRPr="00274E5A">
        <w:rPr>
          <w:rFonts w:eastAsia="Calibri"/>
        </w:rPr>
        <w:t xml:space="preserve">test the relationship between lagged precipitation and frugivory, we </w:t>
      </w:r>
      <w:r w:rsidR="00C36B2A">
        <w:rPr>
          <w:rFonts w:eastAsia="Calibri"/>
        </w:rPr>
        <w:t>estimated</w:t>
      </w:r>
      <w:r w:rsidRPr="00274E5A">
        <w:rPr>
          <w:rFonts w:eastAsia="Calibri"/>
        </w:rPr>
        <w:t xml:space="preserve"> a Generalized Linear Model (GLM) </w:t>
      </w:r>
      <w:r w:rsidR="00C41BFA">
        <w:rPr>
          <w:rFonts w:eastAsia="Calibri"/>
        </w:rPr>
        <w:t>through</w:t>
      </w:r>
      <w:r w:rsidRPr="00274E5A">
        <w:rPr>
          <w:rFonts w:eastAsia="Calibri"/>
        </w:rPr>
        <w:t xml:space="preserve"> the </w:t>
      </w:r>
      <w:proofErr w:type="spellStart"/>
      <w:r w:rsidRPr="00B926FE">
        <w:rPr>
          <w:rFonts w:ascii="Courier New" w:eastAsia="Calibri" w:hAnsi="Courier New" w:cs="Courier New"/>
        </w:rPr>
        <w:t>ordbetareg</w:t>
      </w:r>
      <w:proofErr w:type="spellEnd"/>
      <w:r w:rsidRPr="00274E5A">
        <w:rPr>
          <w:rFonts w:eastAsia="Calibri"/>
        </w:rPr>
        <w:t xml:space="preserve"> package with </w:t>
      </w:r>
      <w:r w:rsidR="0057689D">
        <w:rPr>
          <w:rFonts w:eastAsia="Calibri"/>
        </w:rPr>
        <w:t>the default</w:t>
      </w:r>
      <w:r w:rsidRPr="00274E5A">
        <w:rPr>
          <w:rFonts w:eastAsia="Calibri"/>
        </w:rPr>
        <w:t xml:space="preserve"> uninformative prior</w:t>
      </w:r>
      <w:r w:rsidR="0057689D">
        <w:rPr>
          <w:rFonts w:eastAsia="Calibri"/>
        </w:rPr>
        <w:t>s</w:t>
      </w:r>
      <w:r w:rsidR="00C41BFA">
        <w:rPr>
          <w:rFonts w:eastAsia="Calibri"/>
        </w:rPr>
        <w:t xml:space="preserve"> and</w:t>
      </w:r>
      <w:r w:rsidRPr="00274E5A">
        <w:rPr>
          <w:rFonts w:eastAsia="Calibri"/>
        </w:rPr>
        <w:t xml:space="preserve"> the ordered beta distribution family</w:t>
      </w:r>
      <w:r w:rsidR="00C92956">
        <w:rPr>
          <w:rFonts w:eastAsia="Calibri"/>
        </w:rPr>
        <w:t>.</w:t>
      </w:r>
      <w:r w:rsidR="00C36B2A">
        <w:rPr>
          <w:rFonts w:eastAsia="Calibri"/>
        </w:rPr>
        <w:t xml:space="preserve"> </w:t>
      </w:r>
      <w:r w:rsidR="00D946CF">
        <w:rPr>
          <w:rFonts w:eastAsia="Calibri"/>
        </w:rPr>
        <w:t xml:space="preserve">The priors included </w:t>
      </w:r>
      <w:r w:rsidR="00CD4521">
        <w:rPr>
          <w:rFonts w:eastAsia="Calibri"/>
        </w:rPr>
        <w:t xml:space="preserve">a </w:t>
      </w:r>
      <w:r w:rsidR="00D946CF" w:rsidRPr="00D946CF">
        <w:rPr>
          <w:rFonts w:eastAsia="Calibri"/>
        </w:rPr>
        <w:t xml:space="preserve">normal </w:t>
      </w:r>
      <w:r w:rsidR="00CD4521">
        <w:rPr>
          <w:rFonts w:eastAsia="Calibri"/>
        </w:rPr>
        <w:t>distribution</w:t>
      </w:r>
      <w:r w:rsidR="00D946CF" w:rsidRPr="00D946CF">
        <w:rPr>
          <w:rFonts w:eastAsia="Calibri"/>
        </w:rPr>
        <w:t xml:space="preserve"> with a mean of 0 and standard deviation of 5 for regression coefficients, vectorization for</w:t>
      </w:r>
      <w:r w:rsidR="00CD4521">
        <w:rPr>
          <w:rFonts w:eastAsia="Calibri"/>
        </w:rPr>
        <w:t xml:space="preserve"> lagged</w:t>
      </w:r>
      <w:r w:rsidR="00D946CF" w:rsidRPr="00D946CF">
        <w:rPr>
          <w:rFonts w:eastAsia="Calibri"/>
        </w:rPr>
        <w:t xml:space="preserve"> average monthly precipitation, Dirichlet distributions for categorical cuts, a </w:t>
      </w:r>
      <w:proofErr w:type="gramStart"/>
      <w:r w:rsidR="00D946CF" w:rsidRPr="00D946CF">
        <w:rPr>
          <w:rFonts w:eastAsia="Calibri"/>
        </w:rPr>
        <w:t>Student</w:t>
      </w:r>
      <w:proofErr w:type="gramEnd"/>
      <w:r w:rsidR="00D946CF" w:rsidRPr="00D946CF">
        <w:rPr>
          <w:rFonts w:eastAsia="Calibri"/>
        </w:rPr>
        <w:t xml:space="preserve"> t-distribution with 3 degrees of freedom for the </w:t>
      </w:r>
      <w:proofErr w:type="gramStart"/>
      <w:r w:rsidR="00D946CF" w:rsidRPr="00D946CF">
        <w:rPr>
          <w:rFonts w:eastAsia="Calibri"/>
        </w:rPr>
        <w:t>intercept</w:t>
      </w:r>
      <w:proofErr w:type="gramEnd"/>
      <w:r w:rsidR="00D946CF" w:rsidRPr="00D946CF">
        <w:rPr>
          <w:rFonts w:eastAsia="Calibri"/>
        </w:rPr>
        <w:t xml:space="preserve"> (mean 0, scale 2.5), and an exponential distribution with a rate of 0.1 for the parameter phi.</w:t>
      </w:r>
      <w:r w:rsidR="003117A9">
        <w:rPr>
          <w:rFonts w:eastAsia="Calibri"/>
        </w:rPr>
        <w:t xml:space="preserve"> </w:t>
      </w:r>
      <w:r w:rsidR="001B3F12">
        <w:rPr>
          <w:rFonts w:eastAsia="Calibri"/>
        </w:rPr>
        <w:t xml:space="preserve">We </w:t>
      </w:r>
      <w:r w:rsidR="00C41BFA">
        <w:rPr>
          <w:rFonts w:eastAsia="Calibri"/>
        </w:rPr>
        <w:t>specified</w:t>
      </w:r>
      <w:r w:rsidR="001B3F12">
        <w:rPr>
          <w:rFonts w:eastAsia="Calibri"/>
        </w:rPr>
        <w:t xml:space="preserve"> </w:t>
      </w:r>
      <w:r w:rsidR="0057689D">
        <w:rPr>
          <w:rFonts w:eastAsia="Calibri"/>
        </w:rPr>
        <w:t xml:space="preserve">monthly </w:t>
      </w:r>
      <w:r w:rsidR="001B3F12">
        <w:rPr>
          <w:rFonts w:eastAsia="Calibri"/>
        </w:rPr>
        <w:t>precipitation</w:t>
      </w:r>
      <w:r w:rsidR="0057689D">
        <w:rPr>
          <w:rFonts w:eastAsia="Calibri"/>
        </w:rPr>
        <w:t xml:space="preserve"> as the predictor variable</w:t>
      </w:r>
      <w:r w:rsidR="00C41BFA">
        <w:rPr>
          <w:rFonts w:eastAsia="Calibri"/>
        </w:rPr>
        <w:t xml:space="preserve"> with a time lag</w:t>
      </w:r>
      <w:r w:rsidR="001B3F12">
        <w:rPr>
          <w:rFonts w:eastAsia="Calibri"/>
        </w:rPr>
        <w:t xml:space="preserve"> based on the results of the CCF</w:t>
      </w:r>
      <w:r w:rsidR="0057689D">
        <w:rPr>
          <w:rFonts w:eastAsia="Calibri"/>
        </w:rPr>
        <w:t xml:space="preserve">, </w:t>
      </w:r>
      <w:r w:rsidR="00C41BFA">
        <w:rPr>
          <w:rFonts w:eastAsia="Calibri"/>
        </w:rPr>
        <w:t xml:space="preserve">and we specified </w:t>
      </w:r>
      <w:r w:rsidR="0057689D">
        <w:rPr>
          <w:rFonts w:eastAsia="Calibri"/>
        </w:rPr>
        <w:t>the degree of frugivory as the response variable</w:t>
      </w:r>
      <w:r w:rsidR="001B3F12">
        <w:rPr>
          <w:rFonts w:eastAsia="Calibri"/>
        </w:rPr>
        <w:t>.</w:t>
      </w:r>
      <w:r w:rsidR="003B5850">
        <w:rPr>
          <w:rFonts w:eastAsia="Calibri"/>
        </w:rPr>
        <w:t xml:space="preserve"> </w:t>
      </w:r>
      <w:r w:rsidR="00ED0B81" w:rsidRPr="00CD5A9A">
        <w:rPr>
          <w:rFonts w:eastAsia="Calibri"/>
        </w:rPr>
        <w:t xml:space="preserve">After </w:t>
      </w:r>
      <w:r w:rsidR="003B5850">
        <w:rPr>
          <w:rFonts w:eastAsia="Calibri"/>
        </w:rPr>
        <w:t>running</w:t>
      </w:r>
      <w:r w:rsidR="00ED0B81" w:rsidRPr="00CD5A9A">
        <w:rPr>
          <w:rFonts w:eastAsia="Calibri"/>
        </w:rPr>
        <w:t xml:space="preserve"> the model, we examined </w:t>
      </w:r>
      <w:r w:rsidR="00ED0B81" w:rsidRPr="00CD5A9A">
        <w:rPr>
          <w:rFonts w:eastAsia="Calibri"/>
        </w:rPr>
        <w:lastRenderedPageBreak/>
        <w:t xml:space="preserve">the model diagnostics and summary statistics using </w:t>
      </w:r>
      <w:r w:rsidR="00704A5A" w:rsidRPr="00704A5A">
        <w:rPr>
          <w:rFonts w:eastAsia="Calibri"/>
        </w:rPr>
        <w:t xml:space="preserve">Bayesian measures of effect size and existence implemented in </w:t>
      </w:r>
      <w:proofErr w:type="spellStart"/>
      <w:r w:rsidR="00ED0B81" w:rsidRPr="00CD5A9A">
        <w:rPr>
          <w:rFonts w:ascii="Courier New" w:eastAsia="Calibri" w:hAnsi="Courier New" w:cs="Courier New"/>
        </w:rPr>
        <w:t>bayestestR</w:t>
      </w:r>
      <w:proofErr w:type="spellEnd"/>
      <w:r w:rsidR="00ED0B81">
        <w:rPr>
          <w:rFonts w:eastAsia="Calibri"/>
        </w:rPr>
        <w:t xml:space="preserve"> </w:t>
      </w:r>
      <w:r w:rsidR="00ED0B81">
        <w:rPr>
          <w:rFonts w:eastAsia="Calibri"/>
        </w:rPr>
        <w:fldChar w:fldCharType="begin"/>
      </w:r>
      <w:r w:rsidR="00ED0B81">
        <w:rPr>
          <w:rFonts w:eastAsia="Calibri"/>
        </w:rPr>
        <w:instrText xml:space="preserve"> ADDIN ZOTERO_ITEM CSL_CITATION {"citationID":"TtgWLXQy","properties":{"formattedCitation":"(Makowski et al. 2019a, 2019b)","plainCitation":"(Makowski et al. 2019a, 2019b)","noteIndex":0},"citationItems":[{"id":15739,"uris":["http://zotero.org/users/10895328/items/AIT94NZR"],"itemData":{"id":15739,"type":"article-journal","container-title":"Journal of Open Source Software","DOI":"10.21105/joss.01541","ISSN":"2475-9066","issue":"40","journalAbbreviation":"JOSS","language":"en","page":"1541","source":"DOI.org (Crossref)","title":"bayestestR: Describing Effects and their Uncertainty, Existence and Significance within the Bayesian Framework","title-short":"bayestestR","volume":"4","author":[{"family":"Makowski","given":"Dominique"},{"family":"Ben-Shachar","given":"Mattan"},{"family":"Lüdecke","given":"Daniel"}],"issued":{"date-parts":[["2019",8,13]]}}},{"id":15736,"uris":["http://zotero.org/users/10895328/items/6T3WULAX"],"itemData":{"id":15736,"type":"article-journal","abstract":"Turmoil has engulfed psychological science. Causes and consequences of the reproducibility crisis are in dispute. With the hope of addressing some of its aspects, Bayesian methods are gaining increasing attention in psychological science. Some of their advantages, as opposed to the frequentist framework, are the ability to describe parameters in probabilistic terms and explicitly incorporate prior knowledge about them into the model. These issues are crucial in particular regarding the current debate about statistical signiﬁcance. Bayesian methods are not necessarily the only remedy against incorrect interpretations or wrong conclusions, but there is an increasing agreement that they are one of the keys to avoid such fallacies. Nevertheless, its ﬂexible nature is its power and weakness, for there is no agreement about what indices of “signiﬁcance” should be computed or reported. This lack of a consensual index or guidelines, such as the frequentist p-value, further contributes to the unnecessary opacity that many nonfamiliar readers perceive in Bayesian statistics. Thus, this study describes and compares several Bayesian indices, provide intuitive visual representation of their “behavior” in relationship with common sources of variance such as sample size, magnitude of effects and also frequentist signiﬁcance. The results contribute to the development of an intuitive understanding of the values that researchers report, allowing to draw sensible recommendations for Bayesian statistics description, critical for the standardization of scientiﬁc reporting.","container-title":"Frontiers in Psychology","DOI":"10.3389/fpsyg.2019.02767","ISSN":"1664-1078","journalAbbreviation":"Front. Psychol.","language":"en","page":"2767","source":"DOI.org (Crossref)","title":"Indices of Effect Existence and Significance in the Bayesian Framework","volume":"10","author":[{"family":"Makowski","given":"Dominique"},{"family":"Ben-Shachar","given":"Mattan S."},{"family":"Chen","given":"S. H. Annabel"},{"family":"Lüdecke","given":"Daniel"}],"issued":{"date-parts":[["2019",12,10]]}}}],"schema":"https://github.com/citation-style-language/schema/raw/master/csl-citation.json"} </w:instrText>
      </w:r>
      <w:r w:rsidR="00ED0B81">
        <w:rPr>
          <w:rFonts w:eastAsia="Calibri"/>
        </w:rPr>
        <w:fldChar w:fldCharType="separate"/>
      </w:r>
      <w:r w:rsidR="00ED0B81" w:rsidRPr="00B94EED">
        <w:rPr>
          <w:rFonts w:eastAsia="Calibri"/>
        </w:rPr>
        <w:t>(Makowski et al. 2019a, 2019b)</w:t>
      </w:r>
      <w:r w:rsidR="00ED0B81">
        <w:rPr>
          <w:rFonts w:eastAsia="Calibri"/>
        </w:rPr>
        <w:fldChar w:fldCharType="end"/>
      </w:r>
      <w:r w:rsidR="003B5850">
        <w:rPr>
          <w:rFonts w:eastAsia="Calibri"/>
        </w:rPr>
        <w:t>.</w:t>
      </w:r>
    </w:p>
    <w:p w14:paraId="185EC8A8" w14:textId="77777777" w:rsidR="00FD6A92" w:rsidRPr="003D28B9" w:rsidRDefault="00FD6A92" w:rsidP="001F1066">
      <w:pPr>
        <w:spacing w:before="100" w:beforeAutospacing="1" w:after="100" w:afterAutospacing="1" w:line="480" w:lineRule="auto"/>
        <w:mirrorIndents/>
        <w:rPr>
          <w:rFonts w:eastAsia="Calibri"/>
        </w:rPr>
      </w:pPr>
    </w:p>
    <w:p w14:paraId="78159C0E" w14:textId="5FF39442" w:rsidR="00E9176F" w:rsidRPr="00B126CF" w:rsidRDefault="005C22DC" w:rsidP="00B126CF">
      <w:pPr>
        <w:spacing w:before="100" w:beforeAutospacing="1" w:after="100" w:afterAutospacing="1" w:line="480" w:lineRule="auto"/>
        <w:mirrorIndents/>
        <w:rPr>
          <w:rFonts w:eastAsia="Calibri"/>
          <w:i/>
          <w:iCs/>
        </w:rPr>
      </w:pPr>
      <w:r>
        <w:rPr>
          <w:rFonts w:eastAsia="Calibri"/>
          <w:i/>
          <w:iCs/>
        </w:rPr>
        <w:t>Functional Shift in Seed Dispersal with Increasing Frugivory</w:t>
      </w:r>
      <w:r w:rsidR="00B126CF">
        <w:rPr>
          <w:rFonts w:eastAsia="Calibri"/>
          <w:i/>
          <w:iCs/>
        </w:rPr>
        <w:t xml:space="preserve"> </w:t>
      </w:r>
    </w:p>
    <w:p w14:paraId="4C75C262" w14:textId="39C90591" w:rsidR="006A0113" w:rsidRDefault="006A0113" w:rsidP="004643AD">
      <w:pPr>
        <w:spacing w:before="100" w:beforeAutospacing="1" w:after="100" w:afterAutospacing="1" w:line="480" w:lineRule="auto"/>
        <w:ind w:firstLine="720"/>
        <w:mirrorIndents/>
        <w:rPr>
          <w:rFonts w:eastAsia="Calibri"/>
        </w:rPr>
      </w:pPr>
      <w:r w:rsidRPr="00FD6748">
        <w:rPr>
          <w:rFonts w:eastAsia="Calibri"/>
        </w:rPr>
        <w:t xml:space="preserve">To investigate whether frugivory influences the gopher tortoise's functional role as a seed disperser, we first categorized the levels of frugivory by calculating all quartiles for the </w:t>
      </w:r>
      <w:r w:rsidR="00745579" w:rsidRPr="00FD6748">
        <w:rPr>
          <w:rFonts w:eastAsia="Calibri"/>
        </w:rPr>
        <w:t>degree of</w:t>
      </w:r>
      <w:r w:rsidR="00745579">
        <w:rPr>
          <w:rFonts w:eastAsia="Calibri"/>
        </w:rPr>
        <w:t xml:space="preserve"> frugivory</w:t>
      </w:r>
      <w:r w:rsidRPr="006A0113">
        <w:rPr>
          <w:rFonts w:eastAsia="Calibri"/>
        </w:rPr>
        <w:t xml:space="preserve">. The first and second quartiles had a value of 0.00, which combined to become the "No" frugivory category. The third quartile had a value of 0.05, so values </w:t>
      </w:r>
      <w:r w:rsidR="00745579">
        <w:rPr>
          <w:rFonts w:eastAsia="Calibri"/>
        </w:rPr>
        <w:t>&gt;</w:t>
      </w:r>
      <w:r w:rsidRPr="006A0113">
        <w:rPr>
          <w:rFonts w:eastAsia="Calibri"/>
        </w:rPr>
        <w:t xml:space="preserve"> 0.00 and </w:t>
      </w:r>
      <w:r w:rsidR="00745579">
        <w:rPr>
          <w:rFonts w:eastAsia="Calibri"/>
        </w:rPr>
        <w:t>≤</w:t>
      </w:r>
      <w:r w:rsidRPr="006A0113">
        <w:rPr>
          <w:rFonts w:eastAsia="Calibri"/>
        </w:rPr>
        <w:t xml:space="preserve"> 0.05 became the "Low" frugivory category</w:t>
      </w:r>
      <w:r w:rsidR="00B260D8">
        <w:rPr>
          <w:rFonts w:eastAsia="Calibri"/>
        </w:rPr>
        <w:t>, and t</w:t>
      </w:r>
      <w:r w:rsidRPr="006A0113">
        <w:rPr>
          <w:rFonts w:eastAsia="Calibri"/>
        </w:rPr>
        <w:t>he fourth quartile had a value of 0.99, so values</w:t>
      </w:r>
      <w:r w:rsidR="003117B6">
        <w:rPr>
          <w:rFonts w:eastAsia="Calibri"/>
        </w:rPr>
        <w:t xml:space="preserve"> that were</w:t>
      </w:r>
      <w:r w:rsidRPr="006A0113">
        <w:rPr>
          <w:rFonts w:eastAsia="Calibri"/>
        </w:rPr>
        <w:t xml:space="preserve"> </w:t>
      </w:r>
      <w:r w:rsidR="00745579">
        <w:rPr>
          <w:rFonts w:eastAsia="Calibri"/>
        </w:rPr>
        <w:t>&gt;</w:t>
      </w:r>
      <w:r w:rsidRPr="006A0113">
        <w:rPr>
          <w:rFonts w:eastAsia="Calibri"/>
        </w:rPr>
        <w:t xml:space="preserve"> 0.05 and </w:t>
      </w:r>
      <w:r w:rsidR="00745579">
        <w:rPr>
          <w:rFonts w:eastAsia="Calibri"/>
        </w:rPr>
        <w:t>≤</w:t>
      </w:r>
      <w:r w:rsidRPr="006A0113">
        <w:rPr>
          <w:rFonts w:eastAsia="Calibri"/>
        </w:rPr>
        <w:t xml:space="preserve"> 1.00 became the "High" frugivory category.</w:t>
      </w:r>
      <w:r w:rsidR="0026055D">
        <w:rPr>
          <w:rFonts w:eastAsia="Calibri"/>
        </w:rPr>
        <w:t xml:space="preserve"> </w:t>
      </w:r>
      <w:r w:rsidR="00D96DDC">
        <w:rPr>
          <w:rFonts w:eastAsia="Calibri"/>
        </w:rPr>
        <w:t>In addition to the quartile</w:t>
      </w:r>
      <w:r w:rsidR="00193392">
        <w:rPr>
          <w:rFonts w:eastAsia="Calibri"/>
        </w:rPr>
        <w:t xml:space="preserve"> value</w:t>
      </w:r>
      <w:r w:rsidR="00D96DDC">
        <w:rPr>
          <w:rFonts w:eastAsia="Calibri"/>
        </w:rPr>
        <w:t>s, c</w:t>
      </w:r>
      <w:r w:rsidR="0026055D">
        <w:rPr>
          <w:rFonts w:eastAsia="Calibri"/>
        </w:rPr>
        <w:t xml:space="preserve">onsidering </w:t>
      </w:r>
      <w:r w:rsidR="00731EA4">
        <w:rPr>
          <w:rFonts w:eastAsia="Calibri"/>
        </w:rPr>
        <w:t>that the gopher tortoise is a primarily herbivorous species</w:t>
      </w:r>
      <w:r w:rsidR="00D14B0F">
        <w:rPr>
          <w:rFonts w:eastAsia="Calibri"/>
        </w:rPr>
        <w:t xml:space="preserve"> </w:t>
      </w:r>
      <w:r w:rsidR="00D96DDC">
        <w:rPr>
          <w:rFonts w:eastAsia="Calibri"/>
        </w:rPr>
        <w:fldChar w:fldCharType="begin"/>
      </w:r>
      <w:r w:rsidR="00D96DDC">
        <w:rPr>
          <w:rFonts w:eastAsia="Calibri"/>
        </w:rPr>
        <w:instrText xml:space="preserve"> ADDIN ZOTERO_ITEM CSL_CITATION {"citationID":"33MI8lnX","properties":{"formattedCitation":"(Ashton and Ashton 2008)","plainCitation":"(Ashton and Ashton 2008)","noteIndex":0},"citationItems":[{"id":5804,"uris":["http://zotero.org/users/10895328/items/SICXYKIJ"],"itemData":{"id":5804,"type":"article-journal","container-title":"Gopherus polyphemus","page":"65-93","title":"The Natural History and Management of the Gopher Tortoise","author":[{"family":"Ashton","given":"Ray E."},{"family":"Ashton","given":"Patricia S."}],"issued":{"date-parts":[["2008"]]}}}],"schema":"https://github.com/citation-style-language/schema/raw/master/csl-citation.json"} </w:instrText>
      </w:r>
      <w:r w:rsidR="00D96DDC">
        <w:rPr>
          <w:rFonts w:eastAsia="Calibri"/>
        </w:rPr>
        <w:fldChar w:fldCharType="separate"/>
      </w:r>
      <w:r w:rsidR="00D96DDC" w:rsidRPr="00D96DDC">
        <w:rPr>
          <w:rFonts w:eastAsia="Calibri"/>
        </w:rPr>
        <w:t>(Ashton and Ashton 2008)</w:t>
      </w:r>
      <w:r w:rsidR="00D96DDC">
        <w:rPr>
          <w:rFonts w:eastAsia="Calibri"/>
        </w:rPr>
        <w:fldChar w:fldCharType="end"/>
      </w:r>
      <w:r w:rsidR="00731EA4">
        <w:rPr>
          <w:rFonts w:eastAsia="Calibri"/>
        </w:rPr>
        <w:t xml:space="preserve">, </w:t>
      </w:r>
      <w:r w:rsidR="00D96DDC">
        <w:rPr>
          <w:rFonts w:eastAsia="Calibri"/>
        </w:rPr>
        <w:t xml:space="preserve">we determined it </w:t>
      </w:r>
      <w:r w:rsidR="00193392">
        <w:rPr>
          <w:rFonts w:eastAsia="Calibri"/>
        </w:rPr>
        <w:t>wa</w:t>
      </w:r>
      <w:r w:rsidR="00D96DDC">
        <w:rPr>
          <w:rFonts w:eastAsia="Calibri"/>
        </w:rPr>
        <w:t>s adequate for</w:t>
      </w:r>
      <w:r w:rsidR="00731EA4">
        <w:rPr>
          <w:rFonts w:eastAsia="Calibri"/>
        </w:rPr>
        <w:t xml:space="preserve"> samples with &gt; 0.05</w:t>
      </w:r>
      <w:r w:rsidR="00D14B0F">
        <w:rPr>
          <w:rFonts w:eastAsia="Calibri"/>
        </w:rPr>
        <w:t xml:space="preserve"> of fecal volume comprised of</w:t>
      </w:r>
      <w:r w:rsidR="00D96DDC">
        <w:rPr>
          <w:rFonts w:eastAsia="Calibri"/>
        </w:rPr>
        <w:t xml:space="preserve"> fleshy</w:t>
      </w:r>
      <w:r w:rsidR="00D14B0F">
        <w:rPr>
          <w:rFonts w:eastAsia="Calibri"/>
        </w:rPr>
        <w:t xml:space="preserve"> fruit </w:t>
      </w:r>
      <w:r w:rsidR="00D96DDC">
        <w:rPr>
          <w:rFonts w:eastAsia="Calibri"/>
        </w:rPr>
        <w:t>to be considered</w:t>
      </w:r>
      <w:r w:rsidR="00D14B0F">
        <w:rPr>
          <w:rFonts w:eastAsia="Calibri"/>
        </w:rPr>
        <w:t xml:space="preserve"> </w:t>
      </w:r>
      <w:r w:rsidR="00D96DDC">
        <w:rPr>
          <w:rFonts w:eastAsia="Calibri"/>
        </w:rPr>
        <w:t>“H</w:t>
      </w:r>
      <w:r w:rsidR="00D14B0F">
        <w:rPr>
          <w:rFonts w:eastAsia="Calibri"/>
        </w:rPr>
        <w:t>igh</w:t>
      </w:r>
      <w:r w:rsidR="00D96DDC">
        <w:rPr>
          <w:rFonts w:eastAsia="Calibri"/>
        </w:rPr>
        <w:t>”</w:t>
      </w:r>
      <w:r w:rsidR="00D14B0F">
        <w:rPr>
          <w:rFonts w:eastAsia="Calibri"/>
        </w:rPr>
        <w:t xml:space="preserve"> frugivory.</w:t>
      </w:r>
    </w:p>
    <w:p w14:paraId="0C321376" w14:textId="630A655F" w:rsidR="00B260D8" w:rsidRDefault="00B260D8" w:rsidP="00B260D8">
      <w:pPr>
        <w:spacing w:before="100" w:beforeAutospacing="1" w:after="100" w:afterAutospacing="1" w:line="480" w:lineRule="auto"/>
        <w:ind w:firstLine="720"/>
        <w:mirrorIndents/>
        <w:rPr>
          <w:rFonts w:eastAsia="Calibri"/>
        </w:rPr>
      </w:pPr>
      <w:r>
        <w:rPr>
          <w:rFonts w:eastAsia="Calibri"/>
        </w:rPr>
        <w:t>We then</w:t>
      </w:r>
      <w:r w:rsidR="000D0822">
        <w:rPr>
          <w:rFonts w:eastAsia="Calibri"/>
        </w:rPr>
        <w:t xml:space="preserve"> </w:t>
      </w:r>
      <w:r w:rsidR="00967914" w:rsidRPr="00967914">
        <w:rPr>
          <w:rFonts w:eastAsia="Calibri"/>
        </w:rPr>
        <w:t xml:space="preserve">aggregated seed counts for all species exhibiting the same dispersal syndrome. This process provided us with total seed counts for each of the syndromes listed in Table 1 within each </w:t>
      </w:r>
      <w:r w:rsidR="007A2FF9">
        <w:rPr>
          <w:rFonts w:eastAsia="Calibri"/>
        </w:rPr>
        <w:t xml:space="preserve">fecal </w:t>
      </w:r>
      <w:r w:rsidR="00967914" w:rsidRPr="00967914">
        <w:rPr>
          <w:rFonts w:eastAsia="Calibri"/>
        </w:rPr>
        <w:t>sample. We then normalized the seed counts for each syndrome as the proportion of all seeds dispersed in each sample using the formula</w:t>
      </w:r>
      <w:r w:rsidR="003C12D6">
        <w:rPr>
          <w:rFonts w:eastAsia="Calibri"/>
        </w:rPr>
        <w:t xml:space="preserve"> </w:t>
      </w:r>
      <w:r w:rsidR="006A0184">
        <w:rPr>
          <w:rFonts w:eastAsia="Calibri"/>
        </w:rPr>
        <w:t xml:space="preserve"> </w:t>
      </w:r>
      <m:oMath>
        <m:f>
          <m:fPr>
            <m:ctrlPr>
              <w:rPr>
                <w:rFonts w:ascii="Cambria Math" w:eastAsia="Calibri" w:hAnsi="Cambria Math"/>
                <w:i/>
                <w:sz w:val="36"/>
                <w:szCs w:val="28"/>
              </w:rPr>
            </m:ctrlPr>
          </m:fPr>
          <m:num>
            <m:sSub>
              <m:sSubPr>
                <m:ctrlPr>
                  <w:rPr>
                    <w:rFonts w:ascii="Cambria Math" w:eastAsia="Calibri" w:hAnsi="Cambria Math"/>
                    <w:i/>
                    <w:sz w:val="36"/>
                    <w:szCs w:val="28"/>
                  </w:rPr>
                </m:ctrlPr>
              </m:sSubPr>
              <m:e>
                <m:r>
                  <w:rPr>
                    <w:rFonts w:ascii="Cambria Math" w:eastAsia="Calibri" w:hAnsi="Cambria Math"/>
                    <w:sz w:val="36"/>
                    <w:szCs w:val="28"/>
                  </w:rPr>
                  <m:t>x</m:t>
                </m:r>
              </m:e>
              <m:sub>
                <m:r>
                  <w:rPr>
                    <w:rFonts w:ascii="Cambria Math" w:eastAsia="Calibri" w:hAnsi="Cambria Math"/>
                    <w:sz w:val="36"/>
                    <w:szCs w:val="28"/>
                  </w:rPr>
                  <m:t>i</m:t>
                </m:r>
              </m:sub>
            </m:sSub>
          </m:num>
          <m:den>
            <m:nary>
              <m:naryPr>
                <m:chr m:val="∑"/>
                <m:limLoc m:val="undOvr"/>
                <m:ctrlPr>
                  <w:rPr>
                    <w:rFonts w:ascii="Cambria Math" w:eastAsia="Calibri" w:hAnsi="Cambria Math"/>
                    <w:i/>
                    <w:sz w:val="36"/>
                    <w:szCs w:val="28"/>
                  </w:rPr>
                </m:ctrlPr>
              </m:naryPr>
              <m:sub>
                <m:r>
                  <w:rPr>
                    <w:rFonts w:ascii="Cambria Math" w:eastAsia="Calibri" w:hAnsi="Cambria Math"/>
                    <w:sz w:val="36"/>
                    <w:szCs w:val="28"/>
                  </w:rPr>
                  <m:t>i=1</m:t>
                </m:r>
              </m:sub>
              <m:sup>
                <m:r>
                  <w:rPr>
                    <w:rFonts w:ascii="Cambria Math" w:eastAsia="Calibri" w:hAnsi="Cambria Math"/>
                    <w:sz w:val="36"/>
                    <w:szCs w:val="28"/>
                  </w:rPr>
                  <m:t>n</m:t>
                </m:r>
              </m:sup>
              <m:e>
                <m:sSub>
                  <m:sSubPr>
                    <m:ctrlPr>
                      <w:rPr>
                        <w:rFonts w:ascii="Cambria Math" w:eastAsia="Calibri" w:hAnsi="Cambria Math"/>
                        <w:i/>
                        <w:sz w:val="36"/>
                        <w:szCs w:val="28"/>
                      </w:rPr>
                    </m:ctrlPr>
                  </m:sSubPr>
                  <m:e>
                    <m:r>
                      <w:rPr>
                        <w:rFonts w:ascii="Cambria Math" w:eastAsia="Calibri" w:hAnsi="Cambria Math"/>
                        <w:sz w:val="36"/>
                        <w:szCs w:val="28"/>
                      </w:rPr>
                      <m:t>x</m:t>
                    </m:r>
                  </m:e>
                  <m:sub>
                    <m:r>
                      <w:rPr>
                        <w:rFonts w:ascii="Cambria Math" w:eastAsia="Calibri" w:hAnsi="Cambria Math"/>
                        <w:sz w:val="36"/>
                        <w:szCs w:val="28"/>
                      </w:rPr>
                      <m:t>i</m:t>
                    </m:r>
                  </m:sub>
                </m:sSub>
              </m:e>
            </m:nary>
          </m:den>
        </m:f>
      </m:oMath>
      <w:r w:rsidR="006A0184" w:rsidRPr="006A0184">
        <w:rPr>
          <w:rFonts w:eastAsia="Calibri"/>
        </w:rPr>
        <w:t>,</w:t>
      </w:r>
      <w:r w:rsidR="006A0184">
        <w:rPr>
          <w:rFonts w:eastAsia="Calibri"/>
          <w:sz w:val="36"/>
          <w:szCs w:val="28"/>
        </w:rPr>
        <w:t xml:space="preserve"> </w:t>
      </w:r>
      <w:r w:rsidR="00F47652" w:rsidRPr="0045386C">
        <w:rPr>
          <w:rFonts w:eastAsia="Calibri"/>
        </w:rPr>
        <w:t xml:space="preserve">where </w:t>
      </w:r>
      <w:r w:rsidR="00F47652" w:rsidRPr="00763C4C">
        <w:rPr>
          <w:rFonts w:ascii="Cambria Math" w:eastAsia="Calibri" w:hAnsi="Cambria Math" w:cs="Cambria Math"/>
        </w:rPr>
        <w:t>𝑥</w:t>
      </w:r>
      <w:proofErr w:type="spellStart"/>
      <w:r w:rsidR="00763C4C" w:rsidRPr="00763C4C">
        <w:rPr>
          <w:rFonts w:ascii="Cambria Math" w:eastAsia="Calibri" w:hAnsi="Cambria Math" w:cs="Cambria Math"/>
          <w:vertAlign w:val="subscript"/>
        </w:rPr>
        <w:t>i</w:t>
      </w:r>
      <w:proofErr w:type="spellEnd"/>
      <w:r w:rsidR="00F47652" w:rsidRPr="0045386C">
        <w:rPr>
          <w:rFonts w:eastAsia="Calibri"/>
        </w:rPr>
        <w:t xml:space="preserve">​ is the number of seeds of dispersal syndrome </w:t>
      </w:r>
      <w:proofErr w:type="spellStart"/>
      <w:r w:rsidR="00F2571A">
        <w:rPr>
          <w:rFonts w:ascii="Cambria Math" w:eastAsia="Calibri" w:hAnsi="Cambria Math" w:cs="Cambria Math"/>
          <w:i/>
          <w:iCs/>
        </w:rPr>
        <w:t>i</w:t>
      </w:r>
      <w:proofErr w:type="spellEnd"/>
      <w:r w:rsidR="00F2571A">
        <w:rPr>
          <w:rFonts w:eastAsia="Calibri"/>
        </w:rPr>
        <w:t xml:space="preserve"> in </w:t>
      </w:r>
      <w:r w:rsidR="00951A2A">
        <w:rPr>
          <w:rFonts w:eastAsia="Calibri"/>
        </w:rPr>
        <w:t>the</w:t>
      </w:r>
      <w:r w:rsidR="00F2571A">
        <w:rPr>
          <w:rFonts w:eastAsia="Calibri"/>
        </w:rPr>
        <w:t xml:space="preserve"> sample</w:t>
      </w:r>
      <w:r w:rsidR="00951A2A">
        <w:rPr>
          <w:rFonts w:eastAsia="Calibri"/>
        </w:rPr>
        <w:t xml:space="preserve"> of interest</w:t>
      </w:r>
      <w:r w:rsidR="008F664A">
        <w:rPr>
          <w:rFonts w:eastAsia="Calibri"/>
        </w:rPr>
        <w:t>,</w:t>
      </w:r>
      <w:r w:rsidR="007A2FF9">
        <w:rPr>
          <w:rFonts w:eastAsia="Calibri"/>
        </w:rPr>
        <w:t xml:space="preserve"> </w:t>
      </w:r>
      <w:r w:rsidR="008A4E71">
        <w:rPr>
          <w:rFonts w:eastAsia="Calibri"/>
        </w:rPr>
        <w:t xml:space="preserve">for </w:t>
      </w:r>
      <w:proofErr w:type="gramStart"/>
      <w:r w:rsidR="008A4E71">
        <w:rPr>
          <w:rFonts w:eastAsia="Calibri"/>
        </w:rPr>
        <w:t>all</w:t>
      </w:r>
      <w:r w:rsidR="00B36801">
        <w:rPr>
          <w:rFonts w:eastAsia="Calibri"/>
        </w:rPr>
        <w:t xml:space="preserve"> </w:t>
      </w:r>
      <w:r w:rsidR="008F664A" w:rsidRPr="008F664A">
        <w:rPr>
          <w:rFonts w:eastAsia="Calibri"/>
          <w:i/>
          <w:iCs/>
        </w:rPr>
        <w:t>n</w:t>
      </w:r>
      <w:proofErr w:type="gramEnd"/>
      <w:r w:rsidR="008F664A">
        <w:rPr>
          <w:rFonts w:eastAsia="Calibri"/>
        </w:rPr>
        <w:t xml:space="preserve"> dispersal syndromes</w:t>
      </w:r>
      <w:r w:rsidR="00951A2A">
        <w:rPr>
          <w:rFonts w:eastAsia="Calibri"/>
        </w:rPr>
        <w:t>.</w:t>
      </w:r>
      <w:r>
        <w:rPr>
          <w:rFonts w:eastAsia="Calibri"/>
        </w:rPr>
        <w:t xml:space="preserve"> Th</w:t>
      </w:r>
      <w:r w:rsidR="006724E5" w:rsidRPr="006724E5">
        <w:rPr>
          <w:rFonts w:eastAsia="Calibri"/>
        </w:rPr>
        <w:t xml:space="preserve">is transformation resulted in a compositional dataset, ideal for performing Correspondence Analysis (CA), which we conducted using the </w:t>
      </w:r>
      <w:proofErr w:type="spellStart"/>
      <w:r w:rsidR="006724E5" w:rsidRPr="006724E5">
        <w:rPr>
          <w:rFonts w:ascii="Courier New" w:eastAsia="Calibri" w:hAnsi="Courier New" w:cs="Courier New"/>
        </w:rPr>
        <w:t>easyCODA</w:t>
      </w:r>
      <w:proofErr w:type="spellEnd"/>
      <w:r w:rsidR="006724E5" w:rsidRPr="006724E5">
        <w:rPr>
          <w:rFonts w:eastAsia="Calibri"/>
        </w:rPr>
        <w:t xml:space="preserve"> package</w:t>
      </w:r>
      <w:r w:rsidR="00FE77E7">
        <w:rPr>
          <w:rFonts w:eastAsia="Calibri"/>
        </w:rPr>
        <w:t xml:space="preserve"> </w:t>
      </w:r>
      <w:r w:rsidR="00FE77E7">
        <w:rPr>
          <w:rFonts w:eastAsia="Calibri"/>
        </w:rPr>
        <w:fldChar w:fldCharType="begin"/>
      </w:r>
      <w:r w:rsidR="00FE77E7">
        <w:rPr>
          <w:rFonts w:eastAsia="Calibri"/>
        </w:rPr>
        <w:instrText xml:space="preserve"> ADDIN ZOTERO_ITEM CSL_CITATION {"citationID":"XE5pDxx1","properties":{"formattedCitation":"(Greenacre 2019)","plainCitation":"(Greenacre 2019)","noteIndex":0},"citationItems":[{"id":15694,"uris":["http://zotero.org/users/10895328/items/K4G27AMF"],"itemData":{"id":15694,"type":"article-journal","container-title":"Compositional Data Analysis in Practice","note":"publisher: Chapman &amp; Hall/CRC Interdisciplinary Statistics","title":"Package ‘easyCODA’","volume":"35","author":[{"family":"Greenacre","given":"Michael"}],"issued":{"date-parts":[["2019"]]}}}],"schema":"https://github.com/citation-style-language/schema/raw/master/csl-citation.json"} </w:instrText>
      </w:r>
      <w:r w:rsidR="00FE77E7">
        <w:rPr>
          <w:rFonts w:eastAsia="Calibri"/>
        </w:rPr>
        <w:fldChar w:fldCharType="separate"/>
      </w:r>
      <w:r w:rsidR="00FE77E7" w:rsidRPr="00F47652">
        <w:t>(Greenacre 2019)</w:t>
      </w:r>
      <w:r w:rsidR="00FE77E7">
        <w:rPr>
          <w:rFonts w:eastAsia="Calibri"/>
        </w:rPr>
        <w:fldChar w:fldCharType="end"/>
      </w:r>
      <w:r w:rsidR="00D136B3">
        <w:rPr>
          <w:rFonts w:eastAsia="Calibri"/>
        </w:rPr>
        <w:t>.</w:t>
      </w:r>
    </w:p>
    <w:p w14:paraId="1AD29705" w14:textId="682A5B59" w:rsidR="00290A0E" w:rsidRDefault="00935484" w:rsidP="00B260D8">
      <w:pPr>
        <w:spacing w:before="100" w:beforeAutospacing="1" w:after="100" w:afterAutospacing="1" w:line="480" w:lineRule="auto"/>
        <w:ind w:firstLine="720"/>
        <w:mirrorIndents/>
        <w:rPr>
          <w:rFonts w:eastAsia="Calibri"/>
        </w:rPr>
      </w:pPr>
      <w:r w:rsidRPr="00935484">
        <w:rPr>
          <w:rFonts w:eastAsia="Calibri"/>
        </w:rPr>
        <w:lastRenderedPageBreak/>
        <w:t>CA is a multivariate technique that ordinate</w:t>
      </w:r>
      <w:r>
        <w:rPr>
          <w:rFonts w:eastAsia="Calibri"/>
        </w:rPr>
        <w:t>s</w:t>
      </w:r>
      <w:r w:rsidRPr="00935484">
        <w:rPr>
          <w:rFonts w:eastAsia="Calibri"/>
        </w:rPr>
        <w:t xml:space="preserve"> compositional data</w:t>
      </w:r>
      <w:r w:rsidR="001E77E7">
        <w:rPr>
          <w:rFonts w:eastAsia="Calibri"/>
        </w:rPr>
        <w:t xml:space="preserve">, allowing to visualize the association between </w:t>
      </w:r>
      <w:r w:rsidRPr="00935484">
        <w:rPr>
          <w:rFonts w:eastAsia="Calibri"/>
        </w:rPr>
        <w:t>grouping variables</w:t>
      </w:r>
      <w:r w:rsidR="001E77E7">
        <w:rPr>
          <w:rFonts w:eastAsia="Calibri"/>
        </w:rPr>
        <w:t xml:space="preserve"> and the various parts of the composition</w:t>
      </w:r>
      <w:r>
        <w:rPr>
          <w:rFonts w:eastAsia="Calibri"/>
        </w:rPr>
        <w:t xml:space="preserve"> </w:t>
      </w:r>
      <w:r w:rsidR="00FE77E7">
        <w:rPr>
          <w:rFonts w:eastAsia="Calibri"/>
        </w:rPr>
        <w:fldChar w:fldCharType="begin"/>
      </w:r>
      <w:r w:rsidR="00FE77E7">
        <w:rPr>
          <w:rFonts w:eastAsia="Calibri"/>
        </w:rPr>
        <w:instrText xml:space="preserve"> ADDIN ZOTERO_ITEM CSL_CITATION {"citationID":"ypH31RkF","properties":{"formattedCitation":"(Greenacre 2017)","plainCitation":"(Greenacre 2017)","noteIndex":0},"citationItems":[{"id":7048,"uris":["http://zotero.org/users/10895328/items/JH2UINTZ"],"itemData":{"id":7048,"type":"book","ISBN":"1-315-36998-2","publisher":"Chapman and Hall/CRC","title":"Correspondence Analysis in Practice","author":[{"family":"Greenacre","given":"Michael"}],"issued":{"date-parts":[["2017"]]}}}],"schema":"https://github.com/citation-style-language/schema/raw/master/csl-citation.json"} </w:instrText>
      </w:r>
      <w:r w:rsidR="00FE77E7">
        <w:rPr>
          <w:rFonts w:eastAsia="Calibri"/>
        </w:rPr>
        <w:fldChar w:fldCharType="separate"/>
      </w:r>
      <w:r w:rsidR="00FE77E7" w:rsidRPr="005F6C28">
        <w:rPr>
          <w:rFonts w:eastAsia="Calibri"/>
        </w:rPr>
        <w:t>(Greenacre 2017)</w:t>
      </w:r>
      <w:r w:rsidR="00FE77E7">
        <w:rPr>
          <w:rFonts w:eastAsia="Calibri"/>
        </w:rPr>
        <w:fldChar w:fldCharType="end"/>
      </w:r>
      <w:r w:rsidR="001E77E7">
        <w:rPr>
          <w:rFonts w:eastAsia="Calibri"/>
        </w:rPr>
        <w:t>.</w:t>
      </w:r>
      <w:r w:rsidR="00C41BFA">
        <w:rPr>
          <w:rFonts w:eastAsia="Calibri"/>
        </w:rPr>
        <w:t xml:space="preserve"> </w:t>
      </w:r>
      <w:r w:rsidR="001E77E7">
        <w:rPr>
          <w:rFonts w:eastAsia="Calibri"/>
        </w:rPr>
        <w:t>I</w:t>
      </w:r>
      <w:r w:rsidR="00C41BFA">
        <w:rPr>
          <w:rFonts w:eastAsia="Calibri"/>
        </w:rPr>
        <w:t>n our case</w:t>
      </w:r>
      <w:r w:rsidR="001E77E7">
        <w:rPr>
          <w:rFonts w:eastAsia="Calibri"/>
        </w:rPr>
        <w:t>, the grouping variable is</w:t>
      </w:r>
      <w:r w:rsidR="00C41BFA">
        <w:rPr>
          <w:rFonts w:eastAsia="Calibri"/>
        </w:rPr>
        <w:t xml:space="preserve"> the frugivory level</w:t>
      </w:r>
      <w:r w:rsidR="00FE77E7">
        <w:rPr>
          <w:rFonts w:eastAsia="Calibri"/>
        </w:rPr>
        <w:t>.</w:t>
      </w:r>
      <w:r w:rsidR="00F7019A" w:rsidRPr="00F7019A">
        <w:rPr>
          <w:rFonts w:eastAsia="Calibri"/>
        </w:rPr>
        <w:t xml:space="preserve"> </w:t>
      </w:r>
      <w:r w:rsidRPr="00935484">
        <w:rPr>
          <w:rFonts w:eastAsia="Calibri"/>
        </w:rPr>
        <w:t>We ordinated the normalized seed counts in the CA, plotted the 9</w:t>
      </w:r>
      <w:r w:rsidR="005F1B13">
        <w:rPr>
          <w:rFonts w:eastAsia="Calibri"/>
        </w:rPr>
        <w:t>9</w:t>
      </w:r>
      <w:r w:rsidRPr="00935484">
        <w:rPr>
          <w:rFonts w:eastAsia="Calibri"/>
        </w:rPr>
        <w:t xml:space="preserve">% confidence intervals for each </w:t>
      </w:r>
      <w:r w:rsidR="00025C5E">
        <w:rPr>
          <w:rFonts w:eastAsia="Calibri"/>
        </w:rPr>
        <w:t>f</w:t>
      </w:r>
      <w:r w:rsidRPr="00935484">
        <w:rPr>
          <w:rFonts w:eastAsia="Calibri"/>
        </w:rPr>
        <w:t xml:space="preserve">rugivory </w:t>
      </w:r>
      <w:r w:rsidR="00C74EC8">
        <w:rPr>
          <w:rFonts w:eastAsia="Calibri"/>
        </w:rPr>
        <w:t>level</w:t>
      </w:r>
      <w:r w:rsidRPr="00935484">
        <w:rPr>
          <w:rFonts w:eastAsia="Calibri"/>
        </w:rPr>
        <w:t xml:space="preserve"> (No, Low, and High), and followed</w:t>
      </w:r>
      <w:r w:rsidR="00B260D8">
        <w:rPr>
          <w:rFonts w:eastAsia="Calibri"/>
        </w:rPr>
        <w:t xml:space="preserve"> </w:t>
      </w:r>
      <w:r w:rsidRPr="00935484">
        <w:rPr>
          <w:rFonts w:eastAsia="Calibri"/>
        </w:rPr>
        <w:t xml:space="preserve">the </w:t>
      </w:r>
      <w:r w:rsidR="00B260D8">
        <w:rPr>
          <w:rFonts w:eastAsia="Calibri"/>
        </w:rPr>
        <w:t>ordination</w:t>
      </w:r>
      <w:r w:rsidRPr="00935484">
        <w:rPr>
          <w:rFonts w:eastAsia="Calibri"/>
        </w:rPr>
        <w:t xml:space="preserve"> with a</w:t>
      </w:r>
      <w:r w:rsidR="00964761" w:rsidRPr="00964761">
        <w:t xml:space="preserve"> </w:t>
      </w:r>
      <w:r w:rsidR="00964761">
        <w:rPr>
          <w:rFonts w:eastAsia="Calibri"/>
        </w:rPr>
        <w:t>p</w:t>
      </w:r>
      <w:r w:rsidR="00964761" w:rsidRPr="00964761">
        <w:rPr>
          <w:rFonts w:eastAsia="Calibri"/>
        </w:rPr>
        <w:t xml:space="preserve">ermutational </w:t>
      </w:r>
      <w:r w:rsidR="00964761">
        <w:rPr>
          <w:rFonts w:eastAsia="Calibri"/>
        </w:rPr>
        <w:t>m</w:t>
      </w:r>
      <w:r w:rsidR="00964761" w:rsidRPr="00964761">
        <w:rPr>
          <w:rFonts w:eastAsia="Calibri"/>
        </w:rPr>
        <w:t xml:space="preserve">ultivariate </w:t>
      </w:r>
      <w:r w:rsidR="00964761">
        <w:rPr>
          <w:rFonts w:eastAsia="Calibri"/>
        </w:rPr>
        <w:t>a</w:t>
      </w:r>
      <w:r w:rsidR="00964761" w:rsidRPr="00964761">
        <w:rPr>
          <w:rFonts w:eastAsia="Calibri"/>
        </w:rPr>
        <w:t xml:space="preserve">nalysis of </w:t>
      </w:r>
      <w:r w:rsidR="00964761">
        <w:rPr>
          <w:rFonts w:eastAsia="Calibri"/>
        </w:rPr>
        <w:t>v</w:t>
      </w:r>
      <w:r w:rsidR="00964761" w:rsidRPr="00964761">
        <w:rPr>
          <w:rFonts w:eastAsia="Calibri"/>
        </w:rPr>
        <w:t>ariance</w:t>
      </w:r>
      <w:r w:rsidRPr="00935484">
        <w:rPr>
          <w:rFonts w:eastAsia="Calibri"/>
        </w:rPr>
        <w:t xml:space="preserve"> </w:t>
      </w:r>
      <w:r w:rsidR="00964761">
        <w:rPr>
          <w:rFonts w:eastAsia="Calibri"/>
        </w:rPr>
        <w:t>(</w:t>
      </w:r>
      <w:r w:rsidRPr="00935484">
        <w:rPr>
          <w:rFonts w:eastAsia="Calibri"/>
        </w:rPr>
        <w:t>PERMANOVA</w:t>
      </w:r>
      <w:r w:rsidR="00964761">
        <w:rPr>
          <w:rFonts w:eastAsia="Calibri"/>
        </w:rPr>
        <w:t>)</w:t>
      </w:r>
      <w:r w:rsidRPr="00935484">
        <w:rPr>
          <w:rFonts w:eastAsia="Calibri"/>
        </w:rPr>
        <w:t xml:space="preserve"> using the </w:t>
      </w:r>
      <w:r w:rsidRPr="00935484">
        <w:rPr>
          <w:rFonts w:ascii="Courier New" w:eastAsia="Calibri" w:hAnsi="Courier New" w:cs="Courier New"/>
        </w:rPr>
        <w:t>vegan</w:t>
      </w:r>
      <w:r w:rsidRPr="00935484">
        <w:rPr>
          <w:rFonts w:eastAsia="Calibri"/>
        </w:rPr>
        <w:t xml:space="preserve"> package</w:t>
      </w:r>
      <w:r w:rsidR="00F3784F">
        <w:rPr>
          <w:rFonts w:eastAsia="Calibri"/>
        </w:rPr>
        <w:t xml:space="preserve"> </w:t>
      </w:r>
      <w:r w:rsidR="00F3784F">
        <w:rPr>
          <w:rFonts w:eastAsia="Calibri"/>
        </w:rPr>
        <w:fldChar w:fldCharType="begin"/>
      </w:r>
      <w:r w:rsidR="00F3784F">
        <w:rPr>
          <w:rFonts w:eastAsia="Calibri"/>
        </w:rPr>
        <w:instrText xml:space="preserve"> ADDIN ZOTERO_ITEM CSL_CITATION {"citationID":"8u24I3qv","properties":{"formattedCitation":"(Oksanen et al. 2022)","plainCitation":"(Oksanen et al. 2022)","noteIndex":0},"citationItems":[{"id":14005,"uris":["http://zotero.org/users/10895328/items/AC3MTKYJ"],"itemData":{"id":14005,"type":"book","title":"vegan: Community Ecology Package. R package version 2.5-7. 2020","author":[{"family":"Oksanen","given":"Jari"},{"family":"Blanchet","given":"F. Guillaume"},{"family":"Friendly","given":"Michael"},{"family":"Kindt","given":"Roeland"},{"family":"Legendre","given":"Pierre"},{"family":"McGlinn","given":"Dan"},{"family":"Minchin","given":"P. R."},{"family":"O’Hara","given":"R. B."},{"family":"Simpson","given":"G. L."},{"family":"Solymos","given":"P."}],"issued":{"date-parts":[["2022"]]}}}],"schema":"https://github.com/citation-style-language/schema/raw/master/csl-citation.json"} </w:instrText>
      </w:r>
      <w:r w:rsidR="00F3784F">
        <w:rPr>
          <w:rFonts w:eastAsia="Calibri"/>
        </w:rPr>
        <w:fldChar w:fldCharType="separate"/>
      </w:r>
      <w:r w:rsidR="00F3784F" w:rsidRPr="00F3784F">
        <w:rPr>
          <w:rFonts w:eastAsia="Calibri"/>
        </w:rPr>
        <w:t>(Oksanen et al. 2022)</w:t>
      </w:r>
      <w:r w:rsidR="00F3784F">
        <w:rPr>
          <w:rFonts w:eastAsia="Calibri"/>
        </w:rPr>
        <w:fldChar w:fldCharType="end"/>
      </w:r>
      <w:r w:rsidR="00BD21EA">
        <w:rPr>
          <w:rFonts w:eastAsia="Calibri"/>
        </w:rPr>
        <w:t>.</w:t>
      </w:r>
      <w:r w:rsidR="00BD21EA" w:rsidRPr="00BD21EA">
        <w:t xml:space="preserve"> </w:t>
      </w:r>
      <w:r w:rsidR="00BD21EA" w:rsidRPr="00BD21EA">
        <w:rPr>
          <w:rFonts w:eastAsia="Calibri"/>
        </w:rPr>
        <w:t xml:space="preserve">This was done to test for differences in the seed dispersal syndromes </w:t>
      </w:r>
      <w:r w:rsidR="00BD21EA">
        <w:rPr>
          <w:rFonts w:eastAsia="Calibri"/>
        </w:rPr>
        <w:t xml:space="preserve">dispersed </w:t>
      </w:r>
      <w:r w:rsidR="00BD21EA" w:rsidRPr="00BD21EA">
        <w:rPr>
          <w:rFonts w:eastAsia="Calibri"/>
        </w:rPr>
        <w:t>based on the level of frugivory exhibited. The PERMANOVA was performed on the original count data, given its suitability for analyzing ecological count data.</w:t>
      </w:r>
    </w:p>
    <w:p w14:paraId="641D8B0E" w14:textId="074DC30E" w:rsidR="003C668E" w:rsidRDefault="003C668E" w:rsidP="00290A0E">
      <w:pPr>
        <w:spacing w:before="100" w:beforeAutospacing="1" w:after="100" w:afterAutospacing="1" w:line="480" w:lineRule="auto"/>
        <w:ind w:firstLine="720"/>
        <w:mirrorIndents/>
        <w:rPr>
          <w:rFonts w:eastAsia="Calibri"/>
        </w:rPr>
      </w:pPr>
      <w:r w:rsidRPr="003C668E">
        <w:rPr>
          <w:rFonts w:eastAsia="Calibri"/>
        </w:rPr>
        <w:t xml:space="preserve">We performed the PERMANOVA with 10,000 permutations based on Bray-Curtis </w:t>
      </w:r>
      <w:r w:rsidR="00CD4ED5">
        <w:rPr>
          <w:rFonts w:eastAsia="Calibri"/>
        </w:rPr>
        <w:t>dissimilarity</w:t>
      </w:r>
      <w:r w:rsidRPr="003C668E">
        <w:rPr>
          <w:rFonts w:eastAsia="Calibri"/>
        </w:rPr>
        <w:t xml:space="preserve">. </w:t>
      </w:r>
      <w:r w:rsidR="00964761">
        <w:rPr>
          <w:rFonts w:eastAsia="Calibri"/>
        </w:rPr>
        <w:t>Additionally</w:t>
      </w:r>
      <w:r w:rsidRPr="003C668E">
        <w:rPr>
          <w:rFonts w:eastAsia="Calibri"/>
        </w:rPr>
        <w:t xml:space="preserve">, we created a distance matrix using the Bray-Curtis method and performed a multivariate homogeneity of group dispersions analysis (PERMDISP) to assess dispersion differences between frugivory levels. An ANOVA was conducted on the PERMDISP object, followed by a Tukey post-hoc test to determine which </w:t>
      </w:r>
      <w:r w:rsidR="0037108A">
        <w:rPr>
          <w:rFonts w:eastAsia="Calibri"/>
        </w:rPr>
        <w:t xml:space="preserve">frugivory </w:t>
      </w:r>
      <w:r w:rsidR="00C51396">
        <w:rPr>
          <w:rFonts w:eastAsia="Calibri"/>
        </w:rPr>
        <w:t>levels</w:t>
      </w:r>
      <w:r w:rsidRPr="003C668E">
        <w:rPr>
          <w:rFonts w:eastAsia="Calibri"/>
        </w:rPr>
        <w:t xml:space="preserve"> differed significantly</w:t>
      </w:r>
      <w:r w:rsidR="00C41BFA">
        <w:rPr>
          <w:rFonts w:eastAsia="Calibri"/>
        </w:rPr>
        <w:t xml:space="preserve"> in the seed syndromes dispersed</w:t>
      </w:r>
      <w:r w:rsidRPr="003C668E">
        <w:rPr>
          <w:rFonts w:eastAsia="Calibri"/>
        </w:rPr>
        <w:t>.</w:t>
      </w:r>
    </w:p>
    <w:p w14:paraId="3F23274F" w14:textId="77777777" w:rsidR="001C76BD" w:rsidRDefault="001C76BD" w:rsidP="00D06E69">
      <w:pPr>
        <w:spacing w:before="100" w:beforeAutospacing="1" w:after="100" w:afterAutospacing="1" w:line="480" w:lineRule="auto"/>
        <w:mirrorIndents/>
        <w:rPr>
          <w:rFonts w:eastAsia="Calibri"/>
        </w:rPr>
      </w:pPr>
    </w:p>
    <w:p w14:paraId="73BA35D1" w14:textId="0FD54B8F" w:rsidR="002A3217" w:rsidRPr="0011680B" w:rsidRDefault="00D30740" w:rsidP="00D06E69">
      <w:pPr>
        <w:spacing w:before="100" w:beforeAutospacing="1" w:after="100" w:afterAutospacing="1" w:line="480" w:lineRule="auto"/>
        <w:mirrorIndents/>
        <w:rPr>
          <w:b/>
          <w:bCs/>
          <w:u w:val="single"/>
        </w:rPr>
      </w:pPr>
      <w:r>
        <w:rPr>
          <w:rFonts w:eastAsia="Calibri"/>
          <w:i/>
          <w:iCs/>
        </w:rPr>
        <w:t xml:space="preserve"> </w:t>
      </w:r>
      <w:r w:rsidR="002950FE" w:rsidRPr="00245440">
        <w:rPr>
          <w:b/>
          <w:bCs/>
          <w:u w:val="single"/>
        </w:rPr>
        <w:t>RESULTS</w:t>
      </w:r>
      <w:bookmarkEnd w:id="6"/>
    </w:p>
    <w:p w14:paraId="1B7D4B71" w14:textId="6507A40D" w:rsidR="005308CA" w:rsidRPr="003D28B9" w:rsidRDefault="006C7E6F" w:rsidP="00D06E69">
      <w:pPr>
        <w:spacing w:before="100" w:beforeAutospacing="1" w:after="100" w:afterAutospacing="1" w:line="480" w:lineRule="auto"/>
        <w:mirrorIndents/>
        <w:rPr>
          <w:rFonts w:eastAsia="Calibri"/>
          <w:i/>
          <w:iCs/>
        </w:rPr>
      </w:pPr>
      <w:r>
        <w:rPr>
          <w:rFonts w:eastAsia="Calibri"/>
          <w:i/>
          <w:iCs/>
        </w:rPr>
        <w:t xml:space="preserve">Seasonal </w:t>
      </w:r>
      <w:r w:rsidR="005308CA">
        <w:rPr>
          <w:rFonts w:eastAsia="Calibri"/>
          <w:i/>
          <w:iCs/>
        </w:rPr>
        <w:t>Patterns of</w:t>
      </w:r>
      <w:r w:rsidR="005512B9">
        <w:rPr>
          <w:rFonts w:eastAsia="Calibri"/>
          <w:i/>
          <w:iCs/>
        </w:rPr>
        <w:t xml:space="preserve"> </w:t>
      </w:r>
      <w:r w:rsidR="005308CA">
        <w:rPr>
          <w:rFonts w:eastAsia="Calibri"/>
          <w:i/>
          <w:iCs/>
        </w:rPr>
        <w:t>Precipitation</w:t>
      </w:r>
      <w:r>
        <w:rPr>
          <w:rFonts w:eastAsia="Calibri"/>
          <w:i/>
          <w:iCs/>
        </w:rPr>
        <w:t xml:space="preserve"> and Frugivory</w:t>
      </w:r>
    </w:p>
    <w:p w14:paraId="2DF210D6" w14:textId="78F85FC0" w:rsidR="001D5BB5" w:rsidRDefault="00777F62" w:rsidP="007548A2">
      <w:pPr>
        <w:spacing w:before="100" w:beforeAutospacing="1" w:after="100" w:afterAutospacing="1" w:line="480" w:lineRule="auto"/>
        <w:mirrorIndents/>
      </w:pPr>
      <w:r>
        <w:rPr>
          <w:b/>
          <w:bCs/>
        </w:rPr>
        <w:tab/>
      </w:r>
      <w:r w:rsidR="00301EA8">
        <w:rPr>
          <w:rFonts w:eastAsia="Calibri"/>
        </w:rPr>
        <w:t>In total, we collected 180 fecal samples from 24 known individuals and 27 samples from unknown tortoises for a total of 207 samples. Of the 207 fecal samples, 72 of them (</w:t>
      </w:r>
      <w:r w:rsidR="00301EA8" w:rsidRPr="00CC313B">
        <w:rPr>
          <w:rFonts w:eastAsia="Calibri"/>
        </w:rPr>
        <w:t>34</w:t>
      </w:r>
      <w:r w:rsidR="00301EA8">
        <w:rPr>
          <w:rFonts w:eastAsia="Calibri"/>
        </w:rPr>
        <w:t>.</w:t>
      </w:r>
      <w:r w:rsidR="00301EA8" w:rsidRPr="00CC313B">
        <w:rPr>
          <w:rFonts w:eastAsia="Calibri"/>
        </w:rPr>
        <w:t>78</w:t>
      </w:r>
      <w:r w:rsidR="00301EA8">
        <w:rPr>
          <w:rFonts w:eastAsia="Calibri"/>
        </w:rPr>
        <w:t xml:space="preserve">%) exhibited frugivory in at least trace amounts while the remaining 135 (65.22%) </w:t>
      </w:r>
      <w:r w:rsidR="007548A2">
        <w:rPr>
          <w:rFonts w:eastAsia="Calibri"/>
        </w:rPr>
        <w:t>showed</w:t>
      </w:r>
      <w:r w:rsidR="00301EA8">
        <w:rPr>
          <w:rFonts w:eastAsia="Calibri"/>
        </w:rPr>
        <w:t xml:space="preserve"> no signs of frugivory.</w:t>
      </w:r>
      <w:r w:rsidR="00A736FC">
        <w:rPr>
          <w:rFonts w:eastAsia="Calibri"/>
        </w:rPr>
        <w:t xml:space="preserve"> </w:t>
      </w:r>
      <w:r w:rsidR="0015254E">
        <w:t>The</w:t>
      </w:r>
      <w:r w:rsidR="00112A1A">
        <w:t xml:space="preserve"> GAM </w:t>
      </w:r>
      <w:r w:rsidR="0015254E">
        <w:t>revealed</w:t>
      </w:r>
      <w:r w:rsidR="00917FF6" w:rsidRPr="00917FF6">
        <w:t xml:space="preserve"> not</w:t>
      </w:r>
      <w:r w:rsidR="0015254E">
        <w:t>able</w:t>
      </w:r>
      <w:r w:rsidR="00917FF6" w:rsidRPr="00917FF6">
        <w:t xml:space="preserve"> increase</w:t>
      </w:r>
      <w:r w:rsidR="000334E6">
        <w:t>s</w:t>
      </w:r>
      <w:r w:rsidR="00917FF6" w:rsidRPr="00917FF6">
        <w:t xml:space="preserve"> in </w:t>
      </w:r>
      <w:r w:rsidR="008B512C">
        <w:t>monthly</w:t>
      </w:r>
      <w:r w:rsidR="00917FF6" w:rsidRPr="00917FF6">
        <w:t xml:space="preserve"> precipitation </w:t>
      </w:r>
      <w:r w:rsidR="00AE6C7C">
        <w:t xml:space="preserve">throughout the </w:t>
      </w:r>
      <w:r w:rsidR="00917FF6" w:rsidRPr="00917FF6">
        <w:t xml:space="preserve">spring </w:t>
      </w:r>
      <w:r w:rsidR="00AE6C7C">
        <w:t>a</w:t>
      </w:r>
      <w:r w:rsidR="00F241E9">
        <w:t>n</w:t>
      </w:r>
      <w:r w:rsidR="00AE6C7C">
        <w:t>d</w:t>
      </w:r>
      <w:r w:rsidR="00DB7F94">
        <w:t xml:space="preserve"> summer</w:t>
      </w:r>
      <w:r w:rsidR="007548A2">
        <w:t xml:space="preserve"> months</w:t>
      </w:r>
      <w:r w:rsidR="00DB7F94">
        <w:t xml:space="preserve"> with a clear</w:t>
      </w:r>
      <w:r w:rsidR="00917FF6" w:rsidRPr="00917FF6">
        <w:t xml:space="preserve"> peak </w:t>
      </w:r>
      <w:r w:rsidR="00B11CFA">
        <w:t>of close to 20</w:t>
      </w:r>
      <w:r w:rsidR="00AE6C7C">
        <w:t xml:space="preserve"> </w:t>
      </w:r>
      <w:r w:rsidR="00B11CFA">
        <w:t xml:space="preserve">cm of rainfall </w:t>
      </w:r>
      <w:r w:rsidR="00917FF6" w:rsidRPr="00917FF6">
        <w:t xml:space="preserve">in July (Fig. 2). </w:t>
      </w:r>
      <w:r w:rsidR="00AB23AD">
        <w:lastRenderedPageBreak/>
        <w:t xml:space="preserve">Subsequently, we </w:t>
      </w:r>
      <w:r w:rsidR="004B5DE9">
        <w:t>observed</w:t>
      </w:r>
      <w:r w:rsidR="00AB23AD">
        <w:t xml:space="preserve"> an </w:t>
      </w:r>
      <w:r w:rsidR="00917FF6" w:rsidRPr="00917FF6">
        <w:t>increase</w:t>
      </w:r>
      <w:r w:rsidR="00AB23AD">
        <w:t xml:space="preserve"> in frugivory </w:t>
      </w:r>
      <w:r w:rsidR="00090702">
        <w:t>through the</w:t>
      </w:r>
      <w:r w:rsidR="00AE6C7C">
        <w:t xml:space="preserve"> </w:t>
      </w:r>
      <w:r w:rsidR="00917FF6" w:rsidRPr="00917FF6">
        <w:t xml:space="preserve">late spring </w:t>
      </w:r>
      <w:r w:rsidR="00090702">
        <w:t xml:space="preserve">and </w:t>
      </w:r>
      <w:proofErr w:type="gramStart"/>
      <w:r w:rsidR="00090702">
        <w:t>entire</w:t>
      </w:r>
      <w:proofErr w:type="gramEnd"/>
      <w:r w:rsidR="004B5DE9">
        <w:t xml:space="preserve"> </w:t>
      </w:r>
      <w:r w:rsidR="00917FF6" w:rsidRPr="00917FF6">
        <w:t>summer</w:t>
      </w:r>
      <w:r w:rsidR="00AE6C7C">
        <w:t xml:space="preserve"> before</w:t>
      </w:r>
      <w:r w:rsidR="00917FF6" w:rsidRPr="00917FF6">
        <w:t xml:space="preserve"> peaking in</w:t>
      </w:r>
      <w:r w:rsidR="00DB7F94">
        <w:t xml:space="preserve"> the</w:t>
      </w:r>
      <w:r w:rsidR="00917FF6" w:rsidRPr="00917FF6">
        <w:t xml:space="preserve"> early fall (Fig. 2). At its peak</w:t>
      </w:r>
      <w:r w:rsidR="002F7071" w:rsidRPr="002F7071">
        <w:t xml:space="preserve"> </w:t>
      </w:r>
      <w:r w:rsidR="002F7071">
        <w:t>in September</w:t>
      </w:r>
      <w:r w:rsidR="00917FF6" w:rsidRPr="00917FF6">
        <w:t>, fleshy fruits comprised approximately a quarter of the gopher tortoise diet</w:t>
      </w:r>
      <w:r w:rsidR="00711576">
        <w:t xml:space="preserve"> (24% of fecal volume)</w:t>
      </w:r>
      <w:r w:rsidR="00CF3E95">
        <w:t xml:space="preserve"> and f</w:t>
      </w:r>
      <w:r w:rsidR="00917FF6" w:rsidRPr="00917FF6">
        <w:t>ruit consumption persisted through</w:t>
      </w:r>
      <w:r w:rsidR="00CF3E95">
        <w:t>out</w:t>
      </w:r>
      <w:r w:rsidR="00917FF6" w:rsidRPr="00917FF6">
        <w:t xml:space="preserve"> much of the fall before declining to nearly nonexistent levels in the winter.</w:t>
      </w:r>
    </w:p>
    <w:p w14:paraId="37215D64" w14:textId="77777777" w:rsidR="00917FF6" w:rsidRDefault="00917FF6" w:rsidP="00917FF6">
      <w:pPr>
        <w:spacing w:before="100" w:beforeAutospacing="1" w:after="100" w:afterAutospacing="1" w:line="480" w:lineRule="auto"/>
        <w:mirrorIndents/>
      </w:pPr>
    </w:p>
    <w:p w14:paraId="066F86CE" w14:textId="2D36E4BE" w:rsidR="00BE471C" w:rsidRPr="001D5BB5" w:rsidRDefault="001D5BB5" w:rsidP="00885C8D">
      <w:pPr>
        <w:spacing w:line="480" w:lineRule="auto"/>
        <w:mirrorIndents/>
        <w:rPr>
          <w:i/>
          <w:iCs/>
        </w:rPr>
      </w:pPr>
      <w:r w:rsidRPr="001D5BB5">
        <w:rPr>
          <w:i/>
          <w:iCs/>
        </w:rPr>
        <w:t>Time Lag Between Precipitation and Frugivory</w:t>
      </w:r>
    </w:p>
    <w:p w14:paraId="7F14D245" w14:textId="592D336B" w:rsidR="001D5BB5" w:rsidRDefault="00440C9F" w:rsidP="00552C6E">
      <w:pPr>
        <w:spacing w:line="480" w:lineRule="auto"/>
        <w:ind w:firstLine="720"/>
        <w:mirrorIndents/>
      </w:pPr>
      <w:r>
        <w:t xml:space="preserve">The cross-correlation analysis revealed </w:t>
      </w:r>
      <w:r w:rsidR="00903666">
        <w:t>the</w:t>
      </w:r>
      <w:r>
        <w:t xml:space="preserve"> highest </w:t>
      </w:r>
      <w:r w:rsidR="0012240B">
        <w:t>correlation</w:t>
      </w:r>
      <w:r>
        <w:t xml:space="preserve"> at a lag of -</w:t>
      </w:r>
      <w:r w:rsidR="004942CE">
        <w:t>3</w:t>
      </w:r>
      <w:r>
        <w:t xml:space="preserve"> months, with a</w:t>
      </w:r>
      <w:r w:rsidR="004942CE">
        <w:t xml:space="preserve"> significant</w:t>
      </w:r>
      <w:r>
        <w:t xml:space="preserve"> correlation coefficient of 0.</w:t>
      </w:r>
      <w:r w:rsidR="004942CE">
        <w:t>65</w:t>
      </w:r>
      <w:r>
        <w:t xml:space="preserve"> (Fig. 3a). This suggests that frugivory </w:t>
      </w:r>
      <w:r w:rsidR="004942CE">
        <w:t>wa</w:t>
      </w:r>
      <w:r>
        <w:t xml:space="preserve">s most strongly correlated with precipitation occurring </w:t>
      </w:r>
      <w:r w:rsidR="004E23C5">
        <w:t>three</w:t>
      </w:r>
      <w:r>
        <w:t xml:space="preserve"> months prior</w:t>
      </w:r>
      <w:r w:rsidR="009A51E2">
        <w:t xml:space="preserve">, meaning that </w:t>
      </w:r>
      <w:r w:rsidR="0012240B">
        <w:t>after seasonal rains begin it takes about three months</w:t>
      </w:r>
      <w:r w:rsidR="00A55E67">
        <w:t xml:space="preserve"> – or a full season –</w:t>
      </w:r>
      <w:r w:rsidR="0012240B">
        <w:t xml:space="preserve"> for fleshy fruits to subsequently appear in the fecal contents of the gopher tortoise.</w:t>
      </w:r>
      <w:r w:rsidR="0021585E">
        <w:t xml:space="preserve"> </w:t>
      </w:r>
      <w:r>
        <w:t>T</w:t>
      </w:r>
      <w:r w:rsidR="00D1383D">
        <w:t>h</w:t>
      </w:r>
      <w:r>
        <w:t xml:space="preserve">e GLM relating lagged precipitation to frugivory </w:t>
      </w:r>
      <w:r w:rsidR="00766EA2">
        <w:t>demonstrates</w:t>
      </w:r>
      <w:r>
        <w:t xml:space="preserve"> that monthly precipitation with a </w:t>
      </w:r>
      <w:r w:rsidR="004942CE">
        <w:t>three</w:t>
      </w:r>
      <w:r>
        <w:t xml:space="preserve">-month </w:t>
      </w:r>
      <w:r w:rsidR="00DD4A20">
        <w:t xml:space="preserve">time </w:t>
      </w:r>
      <w:r>
        <w:t>lag is a strong predictor of frugivory</w:t>
      </w:r>
      <w:r w:rsidR="005D1D22">
        <w:t xml:space="preserve"> (Figure 3b)</w:t>
      </w:r>
      <w:r>
        <w:t>. The median effect of lagged monthly precipitation on frugivory is 0.0</w:t>
      </w:r>
      <w:r w:rsidR="00577F94">
        <w:t>4</w:t>
      </w:r>
      <w:r>
        <w:t>, with a credible interval (CI) from 0.0</w:t>
      </w:r>
      <w:r w:rsidR="006B1ACD">
        <w:t>3</w:t>
      </w:r>
      <w:r>
        <w:t xml:space="preserve"> to 0.</w:t>
      </w:r>
      <w:r w:rsidR="006B1ACD">
        <w:t>07</w:t>
      </w:r>
      <w:r w:rsidR="005A584E">
        <w:t xml:space="preserve">. </w:t>
      </w:r>
      <w:r w:rsidR="00661664" w:rsidRPr="00661664">
        <w:t xml:space="preserve">In our analysis using an </w:t>
      </w:r>
      <w:proofErr w:type="spellStart"/>
      <w:r w:rsidR="00661664" w:rsidRPr="00661664">
        <w:t>ordbeta</w:t>
      </w:r>
      <w:proofErr w:type="spellEnd"/>
      <w:r w:rsidR="00661664" w:rsidRPr="00661664">
        <w:t xml:space="preserve"> regression with a logit link, the model predicts that in the absence of rain, the baseline probability of observing significant frugivory is approximately 17%. For each additional centimeter of monthly precipitation, the odds of observing greater frugivory increase by about 4.1%.</w:t>
      </w:r>
      <w:r w:rsidR="00661664">
        <w:t xml:space="preserve"> </w:t>
      </w:r>
      <w:r w:rsidR="00AB52EB">
        <w:t>T</w:t>
      </w:r>
      <w:r>
        <w:t xml:space="preserve">he probability of direction (pd) </w:t>
      </w:r>
      <w:r w:rsidR="007C5DCF">
        <w:t>for this association is 100%, indicating a certain</w:t>
      </w:r>
      <w:r>
        <w:t xml:space="preserve"> </w:t>
      </w:r>
      <w:r w:rsidR="00766EA2">
        <w:t>positive</w:t>
      </w:r>
      <w:r w:rsidR="00153DDB">
        <w:t xml:space="preserve"> association between </w:t>
      </w:r>
      <w:r w:rsidR="005A584E">
        <w:t xml:space="preserve">lagged </w:t>
      </w:r>
      <w:r w:rsidR="00153DDB">
        <w:t>monthly precipitation and frugivory in the gopher tortoise</w:t>
      </w:r>
      <w:r>
        <w:t xml:space="preserve"> </w:t>
      </w:r>
      <w:r w:rsidR="00082508">
        <w:fldChar w:fldCharType="begin"/>
      </w:r>
      <w:r w:rsidR="00B94EED">
        <w:instrText xml:space="preserve"> ADDIN ZOTERO_ITEM CSL_CITATION {"citationID":"sxylPgwz","properties":{"formattedCitation":"(Makowski et al. 2019b)","plainCitation":"(Makowski et al. 2019b)","noteIndex":0},"citationItems":[{"id":15736,"uris":["http://zotero.org/users/10895328/items/6T3WULAX"],"itemData":{"id":15736,"type":"article-journal","abstract":"Turmoil has engulfed psychological science. Causes and consequences of the reproducibility crisis are in dispute. With the hope of addressing some of its aspects, Bayesian methods are gaining increasing attention in psychological science. Some of their advantages, as opposed to the frequentist framework, are the ability to describe parameters in probabilistic terms and explicitly incorporate prior knowledge about them into the model. These issues are crucial in particular regarding the current debate about statistical signiﬁcance. Bayesian methods are not necessarily the only remedy against incorrect interpretations or wrong conclusions, but there is an increasing agreement that they are one of the keys to avoid such fallacies. Nevertheless, its ﬂexible nature is its power and weakness, for there is no agreement about what indices of “signiﬁcance” should be computed or reported. This lack of a consensual index or guidelines, such as the frequentist p-value, further contributes to the unnecessary opacity that many nonfamiliar readers perceive in Bayesian statistics. Thus, this study describes and compares several Bayesian indices, provide intuitive visual representation of their “behavior” in relationship with common sources of variance such as sample size, magnitude of effects and also frequentist signiﬁcance. The results contribute to the development of an intuitive understanding of the values that researchers report, allowing to draw sensible recommendations for Bayesian statistics description, critical for the standardization of scientiﬁc reporting.","container-title":"Frontiers in Psychology","DOI":"10.3389/fpsyg.2019.02767","ISSN":"1664-1078","journalAbbreviation":"Front. Psychol.","language":"en","page":"2767","source":"DOI.org (Crossref)","title":"Indices of Effect Existence and Significance in the Bayesian Framework","volume":"10","author":[{"family":"Makowski","given":"Dominique"},{"family":"Ben-Shachar","given":"Mattan S."},{"family":"Chen","given":"S. H. Annabel"},{"family":"Lüdecke","given":"Daniel"}],"issued":{"date-parts":[["2019",12,10]]}}}],"schema":"https://github.com/citation-style-language/schema/raw/master/csl-citation.json"} </w:instrText>
      </w:r>
      <w:r w:rsidR="00082508">
        <w:fldChar w:fldCharType="separate"/>
      </w:r>
      <w:r w:rsidR="00B94EED" w:rsidRPr="00B94EED">
        <w:t>(Makowski et al. 2019b)</w:t>
      </w:r>
      <w:r w:rsidR="00082508">
        <w:fldChar w:fldCharType="end"/>
      </w:r>
      <w:r w:rsidR="00082508" w:rsidRPr="00082508">
        <w:t>.</w:t>
      </w:r>
      <w:r w:rsidR="00A164CE" w:rsidRPr="00A164CE">
        <w:t xml:space="preserve"> </w:t>
      </w:r>
      <w:r w:rsidR="00A164CE">
        <w:t>The</w:t>
      </w:r>
      <w:r w:rsidR="005A584E">
        <w:t xml:space="preserve"> model’s</w:t>
      </w:r>
      <w:r w:rsidR="00A164CE">
        <w:t xml:space="preserve"> </w:t>
      </w:r>
      <w:proofErr w:type="spellStart"/>
      <w:r w:rsidR="00A164CE">
        <w:t>Rhat</w:t>
      </w:r>
      <w:proofErr w:type="spellEnd"/>
      <w:r w:rsidR="00A164CE">
        <w:t xml:space="preserve"> value of 1.00 confirms convergence and an effective sample size (ESS) of 1</w:t>
      </w:r>
      <w:r w:rsidR="005D4831">
        <w:t>6</w:t>
      </w:r>
      <w:r w:rsidR="00A164CE">
        <w:t>,</w:t>
      </w:r>
      <w:r w:rsidR="005D4831">
        <w:t>160</w:t>
      </w:r>
      <w:r w:rsidR="00A164CE">
        <w:t xml:space="preserve"> suggests high reliability in this estimate.</w:t>
      </w:r>
    </w:p>
    <w:p w14:paraId="41A6A270" w14:textId="77777777" w:rsidR="00D831FA" w:rsidRDefault="00D831FA" w:rsidP="00885C8D">
      <w:pPr>
        <w:spacing w:line="480" w:lineRule="auto"/>
        <w:mirrorIndents/>
      </w:pPr>
    </w:p>
    <w:p w14:paraId="1FDE8F07" w14:textId="77777777" w:rsidR="006B5EE2" w:rsidRPr="00B126CF" w:rsidRDefault="006B5EE2" w:rsidP="006B5EE2">
      <w:pPr>
        <w:spacing w:before="100" w:beforeAutospacing="1" w:after="100" w:afterAutospacing="1" w:line="480" w:lineRule="auto"/>
        <w:mirrorIndents/>
        <w:rPr>
          <w:rFonts w:eastAsia="Calibri"/>
          <w:i/>
          <w:iCs/>
        </w:rPr>
      </w:pPr>
      <w:r>
        <w:rPr>
          <w:rFonts w:eastAsia="Calibri"/>
          <w:i/>
          <w:iCs/>
        </w:rPr>
        <w:lastRenderedPageBreak/>
        <w:t xml:space="preserve">Functional Shift in Seed Dispersal with Increasing Frugivory </w:t>
      </w:r>
    </w:p>
    <w:p w14:paraId="4B5B606E" w14:textId="3D48E9F8" w:rsidR="00301EA8" w:rsidRDefault="004C4916" w:rsidP="00301EA8">
      <w:pPr>
        <w:spacing w:before="100" w:beforeAutospacing="1" w:after="100" w:afterAutospacing="1" w:line="480" w:lineRule="auto"/>
        <w:mirrorIndents/>
        <w:rPr>
          <w:rFonts w:eastAsia="Calibri"/>
        </w:rPr>
      </w:pPr>
      <w:r>
        <w:rPr>
          <w:noProof/>
        </w:rPr>
        <w:tab/>
      </w:r>
      <w:r w:rsidR="001E1A4B">
        <w:rPr>
          <w:rFonts w:eastAsia="Calibri"/>
        </w:rPr>
        <w:t>Of the total 17,886 seeds ingested, w</w:t>
      </w:r>
      <w:r w:rsidR="00301EA8">
        <w:rPr>
          <w:rFonts w:eastAsia="Calibri"/>
        </w:rPr>
        <w:t xml:space="preserve">e recorded a total of </w:t>
      </w:r>
      <w:r w:rsidR="00A457B0">
        <w:rPr>
          <w:rFonts w:eastAsia="Calibri"/>
        </w:rPr>
        <w:t xml:space="preserve">13,619 </w:t>
      </w:r>
      <w:r w:rsidR="00BD22BA">
        <w:rPr>
          <w:rFonts w:eastAsia="Calibri"/>
        </w:rPr>
        <w:t xml:space="preserve">intact </w:t>
      </w:r>
      <w:r w:rsidR="00F06420">
        <w:rPr>
          <w:rFonts w:eastAsia="Calibri"/>
        </w:rPr>
        <w:t xml:space="preserve">seeds </w:t>
      </w:r>
      <w:r w:rsidR="006127BC">
        <w:rPr>
          <w:rFonts w:eastAsia="Calibri"/>
        </w:rPr>
        <w:t>dispersed by the gopher tortoise</w:t>
      </w:r>
      <w:r w:rsidR="00E95E5B">
        <w:rPr>
          <w:rFonts w:eastAsia="Calibri"/>
        </w:rPr>
        <w:t xml:space="preserve">. </w:t>
      </w:r>
      <w:r w:rsidR="00301EA8">
        <w:rPr>
          <w:rFonts w:eastAsia="Calibri"/>
        </w:rPr>
        <w:t xml:space="preserve">A total of 62 seed species were identified (Table </w:t>
      </w:r>
      <w:r w:rsidR="00FC60D6">
        <w:rPr>
          <w:rFonts w:eastAsia="Calibri"/>
        </w:rPr>
        <w:t>2</w:t>
      </w:r>
      <w:r w:rsidR="00301EA8">
        <w:rPr>
          <w:rFonts w:eastAsia="Calibri"/>
        </w:rPr>
        <w:t>), with at least one species per dispersal syndrome from Table 1. However, some dispersal syndromes had a greater frequency of occurrence in the fecal samples than others. Foliage is the Fruit species had a frequency of occurrence of 98.07%, followed by seeds with the Autochory (76.81%) and Endozoochory (50.72%) syndromes, respectively. Although seeds exhibiting the Synzoochory syndrome were ingested, all</w:t>
      </w:r>
      <w:r w:rsidR="00965497">
        <w:rPr>
          <w:rFonts w:eastAsia="Calibri"/>
        </w:rPr>
        <w:t xml:space="preserve"> seeds</w:t>
      </w:r>
      <w:r w:rsidR="00301EA8">
        <w:rPr>
          <w:rFonts w:eastAsia="Calibri"/>
        </w:rPr>
        <w:t xml:space="preserve"> (n</w:t>
      </w:r>
      <w:r w:rsidR="00164CCB">
        <w:rPr>
          <w:rFonts w:eastAsia="Calibri"/>
        </w:rPr>
        <w:t xml:space="preserve"> </w:t>
      </w:r>
      <w:r w:rsidR="00301EA8">
        <w:rPr>
          <w:rFonts w:eastAsia="Calibri"/>
        </w:rPr>
        <w:t>=</w:t>
      </w:r>
      <w:r w:rsidR="00164CCB">
        <w:rPr>
          <w:rFonts w:eastAsia="Calibri"/>
        </w:rPr>
        <w:t xml:space="preserve"> </w:t>
      </w:r>
      <w:r w:rsidR="00301EA8">
        <w:rPr>
          <w:rFonts w:eastAsia="Calibri"/>
        </w:rPr>
        <w:t>3) were visibly damaged in the digestive process and were thus excluded from further analyses.</w:t>
      </w:r>
    </w:p>
    <w:p w14:paraId="3BCF37E8" w14:textId="18613D13" w:rsidR="00674C5E" w:rsidRDefault="00196CAA" w:rsidP="00BA2E71">
      <w:pPr>
        <w:spacing w:before="100" w:beforeAutospacing="1" w:after="100" w:afterAutospacing="1" w:line="480" w:lineRule="auto"/>
        <w:ind w:firstLine="720"/>
        <w:mirrorIndents/>
        <w:rPr>
          <w:noProof/>
        </w:rPr>
      </w:pPr>
      <w:r>
        <w:rPr>
          <w:rFonts w:eastAsia="Calibri"/>
        </w:rPr>
        <w:t xml:space="preserve">The CA was ultimately performed on 188 of the 207 samples because the remaining 19 samples either did not have seeds or only had visibly damaged seeds. </w:t>
      </w:r>
      <w:r w:rsidR="004C4916">
        <w:rPr>
          <w:noProof/>
        </w:rPr>
        <w:t xml:space="preserve">The CA </w:t>
      </w:r>
      <w:r w:rsidR="00755B0F">
        <w:rPr>
          <w:noProof/>
        </w:rPr>
        <w:t>illustrated</w:t>
      </w:r>
      <w:r w:rsidR="004C4916">
        <w:rPr>
          <w:noProof/>
        </w:rPr>
        <w:t xml:space="preserve"> </w:t>
      </w:r>
      <w:r w:rsidR="00ED7B68">
        <w:rPr>
          <w:noProof/>
        </w:rPr>
        <w:t>clear differences</w:t>
      </w:r>
      <w:r w:rsidR="004C4916">
        <w:rPr>
          <w:noProof/>
        </w:rPr>
        <w:t xml:space="preserve"> in </w:t>
      </w:r>
      <w:r w:rsidR="009D5BBC">
        <w:rPr>
          <w:noProof/>
        </w:rPr>
        <w:t xml:space="preserve">the </w:t>
      </w:r>
      <w:r w:rsidR="004C4916">
        <w:rPr>
          <w:noProof/>
        </w:rPr>
        <w:t>syndromes dispersed as frugivory increased</w:t>
      </w:r>
      <w:r w:rsidR="0002173D">
        <w:rPr>
          <w:noProof/>
        </w:rPr>
        <w:t xml:space="preserve"> (Fig. 4)</w:t>
      </w:r>
      <w:r w:rsidR="007D2F3A">
        <w:rPr>
          <w:noProof/>
        </w:rPr>
        <w:t>.</w:t>
      </w:r>
      <w:r w:rsidR="004C4916">
        <w:rPr>
          <w:noProof/>
        </w:rPr>
        <w:t xml:space="preserve"> </w:t>
      </w:r>
      <w:r w:rsidR="007D2F3A">
        <w:rPr>
          <w:noProof/>
        </w:rPr>
        <w:t>T</w:t>
      </w:r>
      <w:r w:rsidR="004C4916">
        <w:rPr>
          <w:noProof/>
        </w:rPr>
        <w:t xml:space="preserve">he </w:t>
      </w:r>
      <w:r w:rsidR="00D41E7F">
        <w:rPr>
          <w:noProof/>
        </w:rPr>
        <w:t>9</w:t>
      </w:r>
      <w:r w:rsidR="003D5D65">
        <w:rPr>
          <w:noProof/>
        </w:rPr>
        <w:t>9</w:t>
      </w:r>
      <w:r w:rsidR="00D41E7F">
        <w:rPr>
          <w:noProof/>
        </w:rPr>
        <w:t xml:space="preserve">% confidence ellipses </w:t>
      </w:r>
      <w:r w:rsidR="00564C68" w:rsidRPr="00440145">
        <w:rPr>
          <w:noProof/>
        </w:rPr>
        <w:t xml:space="preserve">in the CA provide a visual representation of variability and significant changes in </w:t>
      </w:r>
      <w:r w:rsidR="00BA2E71">
        <w:rPr>
          <w:noProof/>
        </w:rPr>
        <w:t xml:space="preserve">the </w:t>
      </w:r>
      <w:r w:rsidR="00564C68" w:rsidRPr="00440145">
        <w:rPr>
          <w:noProof/>
        </w:rPr>
        <w:t>dispersal syndromes associated with frugivory levels.</w:t>
      </w:r>
      <w:r w:rsidR="00564C68">
        <w:rPr>
          <w:noProof/>
        </w:rPr>
        <w:t xml:space="preserve"> The</w:t>
      </w:r>
      <w:r w:rsidR="00D41E7F">
        <w:rPr>
          <w:noProof/>
        </w:rPr>
        <w:t xml:space="preserve"> </w:t>
      </w:r>
      <w:r w:rsidR="004C4916">
        <w:rPr>
          <w:noProof/>
        </w:rPr>
        <w:t xml:space="preserve">No </w:t>
      </w:r>
      <w:r w:rsidR="0010081C">
        <w:rPr>
          <w:noProof/>
        </w:rPr>
        <w:t>and</w:t>
      </w:r>
      <w:r w:rsidR="004C4916">
        <w:rPr>
          <w:noProof/>
        </w:rPr>
        <w:t xml:space="preserve"> Low frugivory</w:t>
      </w:r>
      <w:r w:rsidR="00D41E7F">
        <w:rPr>
          <w:noProof/>
        </w:rPr>
        <w:t xml:space="preserve"> level</w:t>
      </w:r>
      <w:r w:rsidR="002451A3">
        <w:rPr>
          <w:noProof/>
        </w:rPr>
        <w:t xml:space="preserve"> ellipse</w:t>
      </w:r>
      <w:r w:rsidR="00D41E7F">
        <w:rPr>
          <w:noProof/>
        </w:rPr>
        <w:t>s</w:t>
      </w:r>
      <w:r w:rsidR="004C4916">
        <w:rPr>
          <w:noProof/>
        </w:rPr>
        <w:t xml:space="preserve"> </w:t>
      </w:r>
      <w:r w:rsidR="00BA2E71">
        <w:rPr>
          <w:noProof/>
        </w:rPr>
        <w:t>indicated increased dispersal of seeds with</w:t>
      </w:r>
      <w:r w:rsidR="004C4916">
        <w:rPr>
          <w:noProof/>
        </w:rPr>
        <w:t xml:space="preserve"> </w:t>
      </w:r>
      <w:r w:rsidR="0010081C">
        <w:rPr>
          <w:noProof/>
        </w:rPr>
        <w:t>the</w:t>
      </w:r>
      <w:r w:rsidR="00BA2E71">
        <w:rPr>
          <w:noProof/>
        </w:rPr>
        <w:t xml:space="preserve"> Myrmecochory and Foliage is the Fruit syndromes, while the No frugivory level ellipse was stretched in the direction of the</w:t>
      </w:r>
      <w:r w:rsidR="004C4916">
        <w:rPr>
          <w:noProof/>
        </w:rPr>
        <w:t xml:space="preserve"> Autochory</w:t>
      </w:r>
      <w:r w:rsidR="00BA2E71">
        <w:rPr>
          <w:noProof/>
        </w:rPr>
        <w:t xml:space="preserve"> and</w:t>
      </w:r>
      <w:r w:rsidR="004C4916">
        <w:rPr>
          <w:noProof/>
        </w:rPr>
        <w:t xml:space="preserve"> Hydrochory</w:t>
      </w:r>
      <w:r w:rsidR="00BA2E71">
        <w:rPr>
          <w:noProof/>
        </w:rPr>
        <w:t xml:space="preserve"> eigenvectors – indicating dispersal of those syndromes as well. When the tortoises exhibited Low levels of frugivory, they dispersed a relatively even distribution of seed syndromes, whereas when they exhibited High levels of frugivory, they mainly dispersed seeds with the Endozoochory syndrome. This observed shift in </w:t>
      </w:r>
      <w:r w:rsidR="003D5D65">
        <w:rPr>
          <w:noProof/>
        </w:rPr>
        <w:t xml:space="preserve">plant </w:t>
      </w:r>
      <w:r w:rsidR="00BA2E71">
        <w:rPr>
          <w:noProof/>
        </w:rPr>
        <w:t xml:space="preserve">syndromes dispersed </w:t>
      </w:r>
      <w:r w:rsidR="003D5D65">
        <w:rPr>
          <w:noProof/>
        </w:rPr>
        <w:t xml:space="preserve">depicts </w:t>
      </w:r>
      <w:r w:rsidR="00BA2E71">
        <w:rPr>
          <w:noProof/>
        </w:rPr>
        <w:t>seed dispersal</w:t>
      </w:r>
      <w:r w:rsidR="003D5D65">
        <w:rPr>
          <w:noProof/>
        </w:rPr>
        <w:t xml:space="preserve"> behavior</w:t>
      </w:r>
      <w:r w:rsidR="00BA2E71">
        <w:rPr>
          <w:noProof/>
        </w:rPr>
        <w:t xml:space="preserve"> more aligned with that of a primarily frugivorous seed disperser than that of an herbivor</w:t>
      </w:r>
      <w:r w:rsidR="003D5D65">
        <w:rPr>
          <w:noProof/>
        </w:rPr>
        <w:t>ous one</w:t>
      </w:r>
      <w:r w:rsidR="00BA2E71">
        <w:rPr>
          <w:noProof/>
        </w:rPr>
        <w:t>, as th</w:t>
      </w:r>
      <w:r w:rsidR="003D5D65">
        <w:rPr>
          <w:noProof/>
        </w:rPr>
        <w:t>e</w:t>
      </w:r>
      <w:r w:rsidR="00BA2E71">
        <w:rPr>
          <w:noProof/>
        </w:rPr>
        <w:t xml:space="preserve"> </w:t>
      </w:r>
      <w:r w:rsidR="003D5D65">
        <w:rPr>
          <w:noProof/>
        </w:rPr>
        <w:t xml:space="preserve">gopher tortoise </w:t>
      </w:r>
      <w:r w:rsidR="00BA2E71">
        <w:rPr>
          <w:noProof/>
        </w:rPr>
        <w:t>species is.</w:t>
      </w:r>
    </w:p>
    <w:p w14:paraId="61AB8F13" w14:textId="4C67D7C9" w:rsidR="00357441" w:rsidRDefault="00755B0F" w:rsidP="00C11E8F">
      <w:pPr>
        <w:spacing w:before="100" w:beforeAutospacing="1" w:after="100" w:afterAutospacing="1" w:line="480" w:lineRule="auto"/>
        <w:ind w:firstLine="720"/>
        <w:mirrorIndents/>
        <w:rPr>
          <w:noProof/>
        </w:rPr>
      </w:pPr>
      <w:r>
        <w:rPr>
          <w:noProof/>
        </w:rPr>
        <w:t>T</w:t>
      </w:r>
      <w:r w:rsidR="004C4916">
        <w:rPr>
          <w:noProof/>
        </w:rPr>
        <w:t>he PERMANOVA</w:t>
      </w:r>
      <w:r>
        <w:rPr>
          <w:noProof/>
        </w:rPr>
        <w:t xml:space="preserve"> </w:t>
      </w:r>
      <w:r w:rsidR="00F83FD2">
        <w:rPr>
          <w:noProof/>
        </w:rPr>
        <w:t>returned</w:t>
      </w:r>
      <w:r>
        <w:rPr>
          <w:noProof/>
        </w:rPr>
        <w:t xml:space="preserve"> a statistically siginificant result</w:t>
      </w:r>
      <w:r w:rsidR="0010081C">
        <w:rPr>
          <w:noProof/>
        </w:rPr>
        <w:t xml:space="preserve"> </w:t>
      </w:r>
      <w:r w:rsidR="00612A17">
        <w:rPr>
          <w:noProof/>
        </w:rPr>
        <w:t>(p</w:t>
      </w:r>
      <w:r w:rsidR="006A7424">
        <w:rPr>
          <w:noProof/>
        </w:rPr>
        <w:t>-value</w:t>
      </w:r>
      <w:r w:rsidR="00612A17">
        <w:rPr>
          <w:noProof/>
        </w:rPr>
        <w:t xml:space="preserve"> = </w:t>
      </w:r>
      <w:r w:rsidR="00BA2E71">
        <w:rPr>
          <w:noProof/>
        </w:rPr>
        <w:t>9</w:t>
      </w:r>
      <w:r w:rsidR="00612A17" w:rsidRPr="00612A17">
        <w:rPr>
          <w:noProof/>
        </w:rPr>
        <w:t>.</w:t>
      </w:r>
      <w:r w:rsidR="00BA2E71">
        <w:rPr>
          <w:noProof/>
        </w:rPr>
        <w:t>99</w:t>
      </w:r>
      <w:r w:rsidR="00612A17" w:rsidRPr="00612A17">
        <w:rPr>
          <w:noProof/>
        </w:rPr>
        <w:t>E-0</w:t>
      </w:r>
      <w:r w:rsidR="00BA2E71">
        <w:rPr>
          <w:noProof/>
        </w:rPr>
        <w:t>5</w:t>
      </w:r>
      <w:r w:rsidR="00612A17" w:rsidRPr="00612A17">
        <w:rPr>
          <w:noProof/>
        </w:rPr>
        <w:t>***</w:t>
      </w:r>
      <w:r w:rsidR="00612A17">
        <w:rPr>
          <w:noProof/>
        </w:rPr>
        <w:t>)</w:t>
      </w:r>
      <w:r w:rsidR="006A7424">
        <w:rPr>
          <w:noProof/>
        </w:rPr>
        <w:t>,</w:t>
      </w:r>
      <w:r w:rsidR="00612A17">
        <w:rPr>
          <w:noProof/>
        </w:rPr>
        <w:t xml:space="preserve"> </w:t>
      </w:r>
      <w:r w:rsidR="0010081C">
        <w:rPr>
          <w:noProof/>
        </w:rPr>
        <w:lastRenderedPageBreak/>
        <w:t xml:space="preserve">indicating </w:t>
      </w:r>
      <w:r w:rsidR="00F83FD2">
        <w:rPr>
          <w:noProof/>
        </w:rPr>
        <w:t xml:space="preserve">significant </w:t>
      </w:r>
      <w:r w:rsidR="0055340D">
        <w:rPr>
          <w:noProof/>
        </w:rPr>
        <w:t>differences in</w:t>
      </w:r>
      <w:r w:rsidR="0010081C">
        <w:rPr>
          <w:noProof/>
        </w:rPr>
        <w:t xml:space="preserve"> </w:t>
      </w:r>
      <w:r>
        <w:rPr>
          <w:noProof/>
        </w:rPr>
        <w:t xml:space="preserve">the </w:t>
      </w:r>
      <w:r w:rsidR="0010081C">
        <w:rPr>
          <w:noProof/>
        </w:rPr>
        <w:t>plant syndromes dispersed</w:t>
      </w:r>
      <w:r w:rsidR="0055340D">
        <w:rPr>
          <w:noProof/>
        </w:rPr>
        <w:t xml:space="preserve"> </w:t>
      </w:r>
      <w:r w:rsidR="003C1C55">
        <w:rPr>
          <w:noProof/>
        </w:rPr>
        <w:t>between</w:t>
      </w:r>
      <w:r w:rsidR="0010081C">
        <w:rPr>
          <w:noProof/>
        </w:rPr>
        <w:t xml:space="preserve"> the </w:t>
      </w:r>
      <w:r w:rsidR="0055340D">
        <w:rPr>
          <w:noProof/>
        </w:rPr>
        <w:t>three</w:t>
      </w:r>
      <w:r w:rsidR="0010081C">
        <w:rPr>
          <w:noProof/>
        </w:rPr>
        <w:t xml:space="preserve"> levels of frugivory</w:t>
      </w:r>
      <w:r w:rsidR="00F83FD2">
        <w:rPr>
          <w:noProof/>
        </w:rPr>
        <w:t xml:space="preserve"> (Table </w:t>
      </w:r>
      <w:r w:rsidR="00246B60">
        <w:rPr>
          <w:noProof/>
        </w:rPr>
        <w:t>3</w:t>
      </w:r>
      <w:r w:rsidR="00F83FD2">
        <w:rPr>
          <w:noProof/>
        </w:rPr>
        <w:t>). T</w:t>
      </w:r>
      <w:r>
        <w:rPr>
          <w:noProof/>
        </w:rPr>
        <w:t>he PERMISP and Tukey post-hoc test</w:t>
      </w:r>
      <w:r w:rsidR="00FE1A20">
        <w:rPr>
          <w:noProof/>
        </w:rPr>
        <w:t>s</w:t>
      </w:r>
      <w:r w:rsidR="0010081C">
        <w:rPr>
          <w:noProof/>
        </w:rPr>
        <w:t xml:space="preserve"> further</w:t>
      </w:r>
      <w:r>
        <w:rPr>
          <w:noProof/>
        </w:rPr>
        <w:t xml:space="preserve"> confirmed that there was a significant difference in </w:t>
      </w:r>
      <w:r w:rsidR="000032C9">
        <w:rPr>
          <w:noProof/>
        </w:rPr>
        <w:t>Low</w:t>
      </w:r>
      <w:r>
        <w:rPr>
          <w:noProof/>
        </w:rPr>
        <w:t>-</w:t>
      </w:r>
      <w:r w:rsidR="000032C9">
        <w:rPr>
          <w:noProof/>
        </w:rPr>
        <w:t>High</w:t>
      </w:r>
      <w:r>
        <w:rPr>
          <w:noProof/>
        </w:rPr>
        <w:t xml:space="preserve"> comparison</w:t>
      </w:r>
      <w:r w:rsidR="003D5D65">
        <w:rPr>
          <w:noProof/>
        </w:rPr>
        <w:t xml:space="preserve"> and an even stronger difference in the syndromes dispersed</w:t>
      </w:r>
      <w:r w:rsidR="00D918B1">
        <w:rPr>
          <w:noProof/>
        </w:rPr>
        <w:t xml:space="preserve"> between the No-High </w:t>
      </w:r>
      <w:r w:rsidR="003D5D65">
        <w:rPr>
          <w:noProof/>
        </w:rPr>
        <w:t>frugivory comparison</w:t>
      </w:r>
      <w:r w:rsidR="001C4D24">
        <w:rPr>
          <w:noProof/>
        </w:rPr>
        <w:t xml:space="preserve"> (</w:t>
      </w:r>
      <w:r w:rsidR="00C57596">
        <w:rPr>
          <w:noProof/>
        </w:rPr>
        <w:t xml:space="preserve">Table </w:t>
      </w:r>
      <w:r w:rsidR="00246B60">
        <w:rPr>
          <w:noProof/>
        </w:rPr>
        <w:t>3</w:t>
      </w:r>
      <w:r w:rsidR="001C4D24">
        <w:rPr>
          <w:noProof/>
        </w:rPr>
        <w:t>). These combined results</w:t>
      </w:r>
      <w:r w:rsidR="00975ED0">
        <w:rPr>
          <w:noProof/>
        </w:rPr>
        <w:t xml:space="preserve"> </w:t>
      </w:r>
      <w:r w:rsidR="007858EA">
        <w:rPr>
          <w:noProof/>
        </w:rPr>
        <w:t>suggest</w:t>
      </w:r>
      <w:r w:rsidR="00975ED0">
        <w:rPr>
          <w:noProof/>
        </w:rPr>
        <w:t xml:space="preserve"> that the</w:t>
      </w:r>
      <w:r w:rsidR="00306F01">
        <w:rPr>
          <w:noProof/>
        </w:rPr>
        <w:t xml:space="preserve"> suite of </w:t>
      </w:r>
      <w:r w:rsidR="00F34254">
        <w:rPr>
          <w:noProof/>
        </w:rPr>
        <w:t>plant</w:t>
      </w:r>
      <w:r w:rsidR="00306F01">
        <w:rPr>
          <w:noProof/>
        </w:rPr>
        <w:t xml:space="preserve"> syndromes </w:t>
      </w:r>
      <w:r w:rsidR="00F34254">
        <w:rPr>
          <w:noProof/>
        </w:rPr>
        <w:t>dispersed</w:t>
      </w:r>
      <w:r w:rsidR="00306F01">
        <w:rPr>
          <w:noProof/>
        </w:rPr>
        <w:t xml:space="preserve"> indeed</w:t>
      </w:r>
      <w:r w:rsidR="00975ED0">
        <w:rPr>
          <w:noProof/>
        </w:rPr>
        <w:t xml:space="preserve"> </w:t>
      </w:r>
      <w:r w:rsidR="00F34254">
        <w:rPr>
          <w:noProof/>
        </w:rPr>
        <w:t xml:space="preserve">shifts </w:t>
      </w:r>
      <w:r w:rsidR="00C07DA9">
        <w:rPr>
          <w:noProof/>
        </w:rPr>
        <w:t>during periods of</w:t>
      </w:r>
      <w:r w:rsidR="00975ED0">
        <w:rPr>
          <w:noProof/>
        </w:rPr>
        <w:t xml:space="preserve"> greater frugivory</w:t>
      </w:r>
      <w:r w:rsidR="00D93CD7">
        <w:rPr>
          <w:noProof/>
        </w:rPr>
        <w:t>.</w:t>
      </w:r>
    </w:p>
    <w:p w14:paraId="002DE58D" w14:textId="77777777" w:rsidR="00FF62EB" w:rsidRDefault="00FF62EB" w:rsidP="00D06E69">
      <w:pPr>
        <w:spacing w:before="100" w:beforeAutospacing="1" w:after="100" w:afterAutospacing="1" w:line="480" w:lineRule="auto"/>
        <w:mirrorIndents/>
        <w:rPr>
          <w:rFonts w:eastAsia="Calibri"/>
        </w:rPr>
      </w:pPr>
      <w:bookmarkStart w:id="7" w:name="_Toc113555159"/>
    </w:p>
    <w:bookmarkEnd w:id="7"/>
    <w:p w14:paraId="612B3AF5" w14:textId="7F08F80A" w:rsidR="00B22878" w:rsidRPr="00A73576" w:rsidRDefault="00036BD0" w:rsidP="001D2888">
      <w:pPr>
        <w:spacing w:before="100" w:beforeAutospacing="1" w:after="100" w:afterAutospacing="1" w:line="480" w:lineRule="auto"/>
        <w:mirrorIndents/>
        <w:rPr>
          <w:rFonts w:eastAsia="Calibri"/>
          <w:b/>
          <w:bCs/>
          <w:kern w:val="0"/>
          <w:szCs w:val="24"/>
        </w:rPr>
      </w:pPr>
      <w:r>
        <w:rPr>
          <w:rFonts w:eastAsia="Calibri"/>
          <w:b/>
          <w:bCs/>
          <w:u w:val="single"/>
        </w:rPr>
        <w:t>DISCUSSION</w:t>
      </w:r>
    </w:p>
    <w:p w14:paraId="2035C9EE" w14:textId="77777777" w:rsidR="00F46B53" w:rsidRDefault="00194558" w:rsidP="00194558">
      <w:pPr>
        <w:spacing w:before="100" w:beforeAutospacing="1" w:after="100" w:afterAutospacing="1" w:line="480" w:lineRule="auto"/>
        <w:ind w:firstLine="720"/>
        <w:mirrorIndents/>
        <w:rPr>
          <w:rFonts w:eastAsia="Calibri"/>
          <w:kern w:val="0"/>
          <w:szCs w:val="24"/>
        </w:rPr>
      </w:pPr>
      <w:r w:rsidRPr="00194558">
        <w:rPr>
          <w:rFonts w:eastAsia="Calibri"/>
          <w:kern w:val="0"/>
          <w:szCs w:val="24"/>
        </w:rPr>
        <w:t>The findings of this study reveal that frugivory in</w:t>
      </w:r>
      <w:r w:rsidR="00FF0E5D">
        <w:rPr>
          <w:rFonts w:eastAsia="Calibri"/>
          <w:kern w:val="0"/>
          <w:szCs w:val="24"/>
        </w:rPr>
        <w:t xml:space="preserve"> the</w:t>
      </w:r>
      <w:r w:rsidRPr="00194558">
        <w:rPr>
          <w:rFonts w:eastAsia="Calibri"/>
          <w:kern w:val="0"/>
          <w:szCs w:val="24"/>
        </w:rPr>
        <w:t xml:space="preserve"> gopher tortoise is aligned with seasonal precipitation and </w:t>
      </w:r>
      <w:r w:rsidR="00B27C09">
        <w:rPr>
          <w:rFonts w:eastAsia="Calibri"/>
          <w:kern w:val="0"/>
          <w:szCs w:val="24"/>
        </w:rPr>
        <w:t>strongly</w:t>
      </w:r>
      <w:r w:rsidRPr="00194558">
        <w:rPr>
          <w:rFonts w:eastAsia="Calibri"/>
          <w:kern w:val="0"/>
          <w:szCs w:val="24"/>
        </w:rPr>
        <w:t xml:space="preserve"> influences the dispersal of seeds </w:t>
      </w:r>
      <w:r w:rsidR="006070F8">
        <w:rPr>
          <w:rFonts w:eastAsia="Calibri"/>
          <w:kern w:val="0"/>
          <w:szCs w:val="24"/>
        </w:rPr>
        <w:t>exhibiting different</w:t>
      </w:r>
      <w:r w:rsidRPr="00194558">
        <w:rPr>
          <w:rFonts w:eastAsia="Calibri"/>
          <w:kern w:val="0"/>
          <w:szCs w:val="24"/>
        </w:rPr>
        <w:t xml:space="preserve"> </w:t>
      </w:r>
      <w:r w:rsidR="00B27C09">
        <w:rPr>
          <w:rFonts w:eastAsia="Calibri"/>
          <w:kern w:val="0"/>
          <w:szCs w:val="24"/>
        </w:rPr>
        <w:t>syndromes</w:t>
      </w:r>
      <w:r w:rsidRPr="00194558">
        <w:rPr>
          <w:rFonts w:eastAsia="Calibri"/>
          <w:kern w:val="0"/>
          <w:szCs w:val="24"/>
        </w:rPr>
        <w:t>.</w:t>
      </w:r>
      <w:r w:rsidR="00411A6B">
        <w:rPr>
          <w:rFonts w:eastAsia="Calibri"/>
          <w:kern w:val="0"/>
          <w:szCs w:val="24"/>
        </w:rPr>
        <w:t xml:space="preserve"> </w:t>
      </w:r>
      <w:r w:rsidRPr="00194558">
        <w:rPr>
          <w:rFonts w:eastAsia="Calibri"/>
          <w:kern w:val="0"/>
          <w:szCs w:val="24"/>
        </w:rPr>
        <w:t>The three-month time lag between peak precipitation and frugivory likely reflects the time required for the production and availability of fleshy fruits following rainfall</w:t>
      </w:r>
      <w:r w:rsidR="00B82D58">
        <w:rPr>
          <w:rFonts w:eastAsia="Calibri"/>
          <w:kern w:val="0"/>
          <w:szCs w:val="24"/>
        </w:rPr>
        <w:t>,</w:t>
      </w:r>
      <w:r w:rsidRPr="00194558">
        <w:rPr>
          <w:rFonts w:eastAsia="Calibri"/>
          <w:kern w:val="0"/>
          <w:szCs w:val="24"/>
        </w:rPr>
        <w:t xml:space="preserve"> consistent with previous studies indicating that frugivory in various species is temporally linked to the phenology of fruit-bearing plants</w:t>
      </w:r>
      <w:r w:rsidR="00C9566F">
        <w:rPr>
          <w:rFonts w:eastAsia="Calibri"/>
          <w:kern w:val="0"/>
          <w:szCs w:val="24"/>
        </w:rPr>
        <w:t xml:space="preserve"> </w:t>
      </w:r>
      <w:r w:rsidR="00C9566F">
        <w:rPr>
          <w:rFonts w:eastAsia="Calibri"/>
          <w:kern w:val="0"/>
          <w:szCs w:val="24"/>
        </w:rPr>
        <w:fldChar w:fldCharType="begin"/>
      </w:r>
      <w:r w:rsidR="00605002">
        <w:rPr>
          <w:rFonts w:eastAsia="Calibri"/>
          <w:kern w:val="0"/>
          <w:szCs w:val="24"/>
        </w:rPr>
        <w:instrText xml:space="preserve"> ADDIN ZOTERO_ITEM CSL_CITATION {"citationID":"YP4uwHQn","properties":{"formattedCitation":"(Remis 1997, Herrera et al. 2008)","plainCitation":"(Remis 1997, Herrera et al. 2008)","noteIndex":0},"citationItems":[{"id":15602,"uris":["http://zotero.org/users/10895328/items/NCUFV4HW"],"itemData":{"id":15602,"type":"article-journal","container-title":"American Journal of Primatology","DOI":"10.1002/(SICI)1098-2345(1997)43:2&lt;87::AID-AJP1&gt;3.0.CO;2-T","ISSN":"02752565, 10982345","issue":"2","journalAbbreviation":"Am. J. Primatol.","language":"en","page":"87-109","source":"DOI.org (Crossref)","title":"Western lowland gorillas (Gorilla gorilla gorilla) as seasonal frugivores: Use of variable resources","title-short":"Western lowland gorillas (Gorilla gorilla gorilla) as seasonal frugivores","volume":"43","author":[{"family":"Remis","given":"Melissa J."}],"issued":{"date-parts":[["1997"]]}}},{"id":15685,"uris":["http://zotero.org/users/10895328/items/69K3LV8S"],"itemData":{"id":15685,"type":"article-journal","abstract":"We used nitrogen isotope analysis from pectoral muscle of the Egyptian fruit bat Rousettus aegyptiacus (Chiroptera: Pteropodidae) to determine intrapopulation variation in sources of dietary protein throughout the year in northern Israel. In Mediterranean climates, winter and summer are stable seasons, whereas spring and fall are transitional seasons. Number of species of fruit-bearing plants is higher during the transitional periods, and we therefore predicted that intrapopulation variation would be higher during spring than in winter and summer; we made no prediction for fall because sample size was small. We also reconstructed sources of dietary protein for each individual using nitrogen isotope ratios (d15N) to determine whether individuals foraged on the same sources of food within each season. Intrapopulation variation in d15N was signiﬁcantly higher in spring (d15N range: 9.7–17.5&amp;) compared to winter (8.8–11.1&amp;) and summer (9.5–11.2&amp;), suggesting that individuals during this period varied more in their use of protein sources. Dietary reconstruction revealed intrapopulation partitioning among the bats in the use of plant food items, and interspeciﬁc partitioning among plants in their dependence on dispersal by bats.","container-title":"Journal of Mammalogy","DOI":"10.1644/07-MAMM-A-263.1","ISSN":"0022-2372, 1545-1542","issue":"5","journalAbbreviation":"Journal of Mammalogy","language":"en","page":"1184-1190","source":"DOI.org (Crossref)","title":"Dietary Implications of Intrapopulation Variation in Nitrogen Isotope Composition of an Old World Fruit Bat","volume":"89","author":[{"family":"Herrera","given":"M. L. Gerardo"},{"family":"Korine","given":"Carmi"},{"family":"Fleming","given":"Theodore H."},{"family":"Arad","given":"Zeev"}],"issued":{"date-parts":[["2008",10]]}}}],"schema":"https://github.com/citation-style-language/schema/raw/master/csl-citation.json"} </w:instrText>
      </w:r>
      <w:r w:rsidR="00C9566F">
        <w:rPr>
          <w:rFonts w:eastAsia="Calibri"/>
          <w:kern w:val="0"/>
          <w:szCs w:val="24"/>
        </w:rPr>
        <w:fldChar w:fldCharType="separate"/>
      </w:r>
      <w:r w:rsidR="00605002" w:rsidRPr="00605002">
        <w:rPr>
          <w:rFonts w:eastAsia="Calibri"/>
        </w:rPr>
        <w:t>(Remis 1997, Herrera et al. 2008)</w:t>
      </w:r>
      <w:r w:rsidR="00C9566F">
        <w:rPr>
          <w:rFonts w:eastAsia="Calibri"/>
          <w:kern w:val="0"/>
          <w:szCs w:val="24"/>
        </w:rPr>
        <w:fldChar w:fldCharType="end"/>
      </w:r>
      <w:r w:rsidRPr="00194558">
        <w:rPr>
          <w:rFonts w:eastAsia="Calibri"/>
          <w:kern w:val="0"/>
          <w:szCs w:val="24"/>
        </w:rPr>
        <w:t>, which is often triggered by</w:t>
      </w:r>
      <w:r w:rsidR="00B82D58">
        <w:rPr>
          <w:rFonts w:eastAsia="Calibri"/>
          <w:kern w:val="0"/>
          <w:szCs w:val="24"/>
        </w:rPr>
        <w:t xml:space="preserve"> seasonal</w:t>
      </w:r>
      <w:r w:rsidRPr="00194558">
        <w:rPr>
          <w:rFonts w:eastAsia="Calibri"/>
          <w:kern w:val="0"/>
          <w:szCs w:val="24"/>
        </w:rPr>
        <w:t xml:space="preserve"> rainfall</w:t>
      </w:r>
      <w:r w:rsidR="00B66AA2">
        <w:rPr>
          <w:rFonts w:eastAsia="Calibri"/>
          <w:kern w:val="0"/>
          <w:szCs w:val="24"/>
        </w:rPr>
        <w:t xml:space="preserve"> </w:t>
      </w:r>
      <w:r w:rsidR="00B66AA2">
        <w:rPr>
          <w:rFonts w:eastAsia="Calibri"/>
          <w:kern w:val="0"/>
          <w:szCs w:val="24"/>
        </w:rPr>
        <w:fldChar w:fldCharType="begin"/>
      </w:r>
      <w:r w:rsidR="00B66AA2">
        <w:rPr>
          <w:rFonts w:eastAsia="Calibri"/>
          <w:kern w:val="0"/>
          <w:szCs w:val="24"/>
        </w:rPr>
        <w:instrText xml:space="preserve"> ADDIN ZOTERO_ITEM CSL_CITATION {"citationID":"YoBCDCMu","properties":{"formattedCitation":"(Bancroft et al. 2000, Redwine et al. 2007)","plainCitation":"(Bancroft et al. 2000, Redwine et al. 2007)","noteIndex":0},"citationItems":[{"id":19241,"uris":["http://zotero.org/users/10895328/items/7BV86A4Q"],"itemData":{"id":19241,"type":"article-journal","abstract":"White-crowned Pigeons (Columba leucocephala) varied their timing of breeding and nesting intensity in response to variation in production of the four most important fruit species in their breeding-season diet in the upper Florida Keys. From 1988 through 1990, we monitored fruit production year-round in five habitats in which pigeons foraged and monitored all pigeon nests along two transects on Middle Butternut Key. Annually, pigeon breeding was positively correlated with summer rains and with the peak in overall fruit production. However, within the breeding season, only the availability of Metopium toxiferum was positively correlated with rainfall and the number of new clutches initiated. Both the timing and magnitude of breeding varied annually. In 1988, when Metopium was more available, more pigeons nested, the nesting season started earlier and lasted longer, and a large peak in nesting occurred when Metopium fruit ripened. During 1989 and 1990, when the relative availability of Metopium was lower, fewer pigeons nested, the nesting season was shorter, and the seasonal peak in nesting associated with Metopium fruit was reduced or absent. Nesting patterns did not appear to vary with changes in the relative availability of other fruits. White-crowned Pigeons appear to prefer Metopium fruits to other species. Because pigeons do not supplement nestling diets with arthropods, but augment their diets with protein-rich crop milk, they may depend on lipid-rich fruits such as Metopium to provide the energy for breeding and crop-milk production. Metopium fruit production may be influenced by rainfall and climatic conditions, both of which may vary spatially within the range of White-crowned Pigeons in Florida. Evidence that pigeons shift foraging sites when Metopium availability varies emphasizes the need to preserve large tracts of seasonal deciduous forest in the Keys and to protect Metopium trees in suburban areas where they are removed because they cause contact dermatitis in humans.","container-title":"The Auk","DOI":"10.1093/auk/117.2.416","ISSN":"1938-4254","issue":"2","journalAbbreviation":"The Auk","page":"416-426","title":"Rainfall, Fruiting Phenology, and the Nesting Season of White-Crowned Pigeons in the Upper Florida Keys","volume":"117","author":[{"family":"Bancroft","given":"G. Thomas"},{"family":"Bowman","given":"Reed"},{"family":"Sawicki","given":"Richard J."}],"issued":{"date-parts":[["2000",4,1]]}}},{"id":19243,"uris":["http://zotero.org/users/10895328/items/D9E2H4TQ"],"itemData":{"id":19243,"type":"article-journal","abstract":"We censused plants bearing ripe fruit along eight permanently marked transects to describe patterns of ripe fruit availability in a spatially interspersed patchwork of seasonally dry forests in the northern Florida Keys. Plants were sampled every four to six weeks between May 1998 and April 1999. We noted every tree, shrub, or vine with ripe ﬂeshy fruits present and rated each stem for the proportion of fruit produced. This sampling scheme allowed us to describe periods of ripe fruit availability in the forest community, as well as for the fourteen most frequently encountered species. Ripe fruit availability peaked during the wet season (July-September), deciduous trees and evergreen shrubs produced most of the fruit in most months, and most of the species producing fruit were evergreen trees in all months.","container-title":"Natural Areas Journal","DOI":"10.3375/0885-8608(2007)27[8:RFAITF]2.0.CO;2","ISSN":"0885-8608","issue":"1","journalAbbreviation":"Natural Areas Journal","language":"en","page":"8-15","source":"DOI.org (Crossref)","title":"Ripe Fruit Availability in the Fragmented Hardwood Forests of the Northern Florida Keys","volume":"27","author":[{"family":"Redwine","given":"Jed R."},{"family":"Sawicki","given":"Richard"},{"family":"Lorenz","given":"Jerome J."},{"family":"Hoffman","given":"Wayne"}],"issued":{"date-parts":[["2007",1]]}}}],"schema":"https://github.com/citation-style-language/schema/raw/master/csl-citation.json"} </w:instrText>
      </w:r>
      <w:r w:rsidR="00B66AA2">
        <w:rPr>
          <w:rFonts w:eastAsia="Calibri"/>
          <w:kern w:val="0"/>
          <w:szCs w:val="24"/>
        </w:rPr>
        <w:fldChar w:fldCharType="separate"/>
      </w:r>
      <w:r w:rsidR="00B66AA2" w:rsidRPr="00B66AA2">
        <w:rPr>
          <w:rFonts w:eastAsia="Calibri"/>
        </w:rPr>
        <w:t>(Bancroft et al. 2000, Redwine et al. 2007)</w:t>
      </w:r>
      <w:r w:rsidR="00B66AA2">
        <w:rPr>
          <w:rFonts w:eastAsia="Calibri"/>
          <w:kern w:val="0"/>
          <w:szCs w:val="24"/>
        </w:rPr>
        <w:fldChar w:fldCharType="end"/>
      </w:r>
      <w:r w:rsidRPr="00194558">
        <w:rPr>
          <w:rFonts w:eastAsia="Calibri"/>
          <w:kern w:val="0"/>
          <w:szCs w:val="24"/>
        </w:rPr>
        <w:t>.</w:t>
      </w:r>
    </w:p>
    <w:p w14:paraId="7C8F5251" w14:textId="6D250350" w:rsidR="00F94899" w:rsidRDefault="00594D32" w:rsidP="00194558">
      <w:pPr>
        <w:spacing w:before="100" w:beforeAutospacing="1" w:after="100" w:afterAutospacing="1" w:line="480" w:lineRule="auto"/>
        <w:ind w:firstLine="720"/>
        <w:mirrorIndents/>
        <w:rPr>
          <w:rFonts w:eastAsia="Calibri"/>
          <w:kern w:val="0"/>
          <w:szCs w:val="24"/>
        </w:rPr>
      </w:pPr>
      <w:r>
        <w:rPr>
          <w:rFonts w:eastAsia="Calibri"/>
          <w:kern w:val="0"/>
          <w:szCs w:val="24"/>
        </w:rPr>
        <w:t xml:space="preserve">In the case of </w:t>
      </w:r>
      <w:r w:rsidR="00E10E4D">
        <w:rPr>
          <w:rFonts w:eastAsia="Calibri"/>
          <w:kern w:val="0"/>
          <w:szCs w:val="24"/>
        </w:rPr>
        <w:t xml:space="preserve">the </w:t>
      </w:r>
      <w:r w:rsidR="00735A92">
        <w:rPr>
          <w:rFonts w:eastAsia="Calibri"/>
          <w:kern w:val="0"/>
          <w:szCs w:val="24"/>
        </w:rPr>
        <w:t xml:space="preserve">western lowland gorilla, seasonal patterns of fleshy fruit availability shifts </w:t>
      </w:r>
      <w:r w:rsidR="00E10E4D">
        <w:rPr>
          <w:rFonts w:eastAsia="Calibri"/>
          <w:kern w:val="0"/>
          <w:szCs w:val="24"/>
        </w:rPr>
        <w:t>its</w:t>
      </w:r>
      <w:r w:rsidR="00735A92">
        <w:rPr>
          <w:rFonts w:eastAsia="Calibri"/>
          <w:kern w:val="0"/>
          <w:szCs w:val="24"/>
        </w:rPr>
        <w:t xml:space="preserve"> diet</w:t>
      </w:r>
      <w:r w:rsidR="00C91B88">
        <w:rPr>
          <w:rFonts w:eastAsia="Calibri"/>
          <w:kern w:val="0"/>
          <w:szCs w:val="24"/>
        </w:rPr>
        <w:t xml:space="preserve"> from a primarily folivorous to</w:t>
      </w:r>
      <w:r w:rsidR="00735A92">
        <w:rPr>
          <w:rFonts w:eastAsia="Calibri"/>
          <w:kern w:val="0"/>
          <w:szCs w:val="24"/>
        </w:rPr>
        <w:t xml:space="preserve"> a more frugivorous one</w:t>
      </w:r>
      <w:r w:rsidR="00605002">
        <w:rPr>
          <w:rFonts w:eastAsia="Calibri"/>
          <w:kern w:val="0"/>
          <w:szCs w:val="24"/>
        </w:rPr>
        <w:t xml:space="preserve"> </w:t>
      </w:r>
      <w:r w:rsidR="00605002">
        <w:rPr>
          <w:rFonts w:eastAsia="Calibri"/>
          <w:kern w:val="0"/>
          <w:szCs w:val="24"/>
        </w:rPr>
        <w:fldChar w:fldCharType="begin"/>
      </w:r>
      <w:r w:rsidR="00605002">
        <w:rPr>
          <w:rFonts w:eastAsia="Calibri"/>
          <w:kern w:val="0"/>
          <w:szCs w:val="24"/>
        </w:rPr>
        <w:instrText xml:space="preserve"> ADDIN ZOTERO_ITEM CSL_CITATION {"citationID":"cPe14why","properties":{"formattedCitation":"(Remis 1997)","plainCitation":"(Remis 1997)","noteIndex":0},"citationItems":[{"id":15602,"uris":["http://zotero.org/users/10895328/items/NCUFV4HW"],"itemData":{"id":15602,"type":"article-journal","container-title":"American Journal of Primatology","DOI":"10.1002/(SICI)1098-2345(1997)43:2&lt;87::AID-AJP1&gt;3.0.CO;2-T","ISSN":"02752565, 10982345","issue":"2","journalAbbreviation":"Am. J. Primatol.","language":"en","page":"87-109","source":"DOI.org (Crossref)","title":"Western lowland gorillas (Gorilla gorilla gorilla) as seasonal frugivores: Use of variable resources","title-short":"Western lowland gorillas (Gorilla gorilla gorilla) as seasonal frugivores","volume":"43","author":[{"family":"Remis","given":"Melissa J."}],"issued":{"date-parts":[["1997"]]}}}],"schema":"https://github.com/citation-style-language/schema/raw/master/csl-citation.json"} </w:instrText>
      </w:r>
      <w:r w:rsidR="00605002">
        <w:rPr>
          <w:rFonts w:eastAsia="Calibri"/>
          <w:kern w:val="0"/>
          <w:szCs w:val="24"/>
        </w:rPr>
        <w:fldChar w:fldCharType="separate"/>
      </w:r>
      <w:r w:rsidR="00605002" w:rsidRPr="00605002">
        <w:rPr>
          <w:rFonts w:eastAsia="Calibri"/>
        </w:rPr>
        <w:t>(Remis 1997)</w:t>
      </w:r>
      <w:r w:rsidR="00605002">
        <w:rPr>
          <w:rFonts w:eastAsia="Calibri"/>
          <w:kern w:val="0"/>
          <w:szCs w:val="24"/>
        </w:rPr>
        <w:fldChar w:fldCharType="end"/>
      </w:r>
      <w:r w:rsidR="00735A92">
        <w:rPr>
          <w:rFonts w:eastAsia="Calibri"/>
          <w:kern w:val="0"/>
          <w:szCs w:val="24"/>
        </w:rPr>
        <w:t>.</w:t>
      </w:r>
      <w:r w:rsidR="000267DE">
        <w:rPr>
          <w:rFonts w:eastAsia="Calibri"/>
          <w:kern w:val="0"/>
          <w:szCs w:val="24"/>
        </w:rPr>
        <w:t xml:space="preserve"> Th</w:t>
      </w:r>
      <w:r w:rsidR="00E10E4D">
        <w:rPr>
          <w:rFonts w:eastAsia="Calibri"/>
          <w:kern w:val="0"/>
          <w:szCs w:val="24"/>
        </w:rPr>
        <w:t>ese seasonal</w:t>
      </w:r>
      <w:r w:rsidR="000267DE">
        <w:rPr>
          <w:rFonts w:eastAsia="Calibri"/>
          <w:kern w:val="0"/>
          <w:szCs w:val="24"/>
        </w:rPr>
        <w:t xml:space="preserve"> dietary shift</w:t>
      </w:r>
      <w:r w:rsidR="00E10E4D">
        <w:rPr>
          <w:rFonts w:eastAsia="Calibri"/>
          <w:kern w:val="0"/>
          <w:szCs w:val="24"/>
        </w:rPr>
        <w:t>s toward frugivory</w:t>
      </w:r>
      <w:r w:rsidR="000267DE">
        <w:rPr>
          <w:rFonts w:eastAsia="Calibri"/>
          <w:kern w:val="0"/>
          <w:szCs w:val="24"/>
        </w:rPr>
        <w:t xml:space="preserve"> </w:t>
      </w:r>
      <w:r w:rsidR="00E10E4D">
        <w:rPr>
          <w:rFonts w:eastAsia="Calibri"/>
          <w:kern w:val="0"/>
          <w:szCs w:val="24"/>
        </w:rPr>
        <w:t>alter</w:t>
      </w:r>
      <w:r w:rsidR="000267DE">
        <w:rPr>
          <w:rFonts w:eastAsia="Calibri"/>
          <w:kern w:val="0"/>
          <w:szCs w:val="24"/>
        </w:rPr>
        <w:t xml:space="preserve"> the behavior and movement patterns of </w:t>
      </w:r>
      <w:r w:rsidR="00E10E4D">
        <w:rPr>
          <w:rFonts w:eastAsia="Calibri"/>
          <w:kern w:val="0"/>
          <w:szCs w:val="24"/>
        </w:rPr>
        <w:t>th</w:t>
      </w:r>
      <w:r w:rsidR="00790D37">
        <w:rPr>
          <w:rFonts w:eastAsia="Calibri"/>
          <w:kern w:val="0"/>
          <w:szCs w:val="24"/>
        </w:rPr>
        <w:t>is species during periods of fleshy fruit abundance</w:t>
      </w:r>
      <w:r w:rsidR="000267DE">
        <w:rPr>
          <w:rFonts w:eastAsia="Calibri"/>
          <w:kern w:val="0"/>
          <w:szCs w:val="24"/>
        </w:rPr>
        <w:t xml:space="preserve"> </w:t>
      </w:r>
      <w:r w:rsidR="000267DE">
        <w:rPr>
          <w:rFonts w:eastAsia="Calibri"/>
          <w:kern w:val="0"/>
          <w:szCs w:val="24"/>
        </w:rPr>
        <w:fldChar w:fldCharType="begin"/>
      </w:r>
      <w:r w:rsidR="000267DE">
        <w:rPr>
          <w:rFonts w:eastAsia="Calibri"/>
          <w:kern w:val="0"/>
          <w:szCs w:val="24"/>
        </w:rPr>
        <w:instrText xml:space="preserve"> ADDIN ZOTERO_ITEM CSL_CITATION {"citationID":"xRmgbjYW","properties":{"formattedCitation":"(Robira et al. 2023)","plainCitation":"(Robira et al. 2023)","noteIndex":0},"citationItems":[{"id":15607,"uris":["http://zotero.org/users/10895328/items/RGAPEEIS"],"itemData":{"id":15607,"type":"chapter","abstract":"Tropical forests show high spatiotemporal seasonal variation in food availability, especially for fruits. To forage efficiently, frugivorous primates are expected to have higher spatiotemporal knowledge of food availability than folivorous primates. Here, we compiled published and new evidence to shed light on the foraging strategies and the underpinning cognition in the seasonally frugivorous western gorilla (G. gorilla) in response to seasonal changes in resources (high- and low-fruit seasons). Specifically, we assessed how western gorillas decide where to feed (movement heuristic and spatial knowledge), how to move (e.g., movement speed and straightness), and when to go (temporal knowledge) and come back to feeding sites (recursion pattern) when feeding mostly on fruits or leaves. Based on GPS tracks continuously recorded on three habituated groups in Central African Republic (May 2016 to November 2017), we found that western gorillas rely on spatiotemporal knowledge to decide where to go and when in both dietary seasons. Space-use patterns (daily path length and weekly range) were larger during the high-fruit season because of changes in food spatial distribution. However, the foraging strategies barely changed with seasons in terms of speed, straightness, and recursion patterns. Our results highlight how spatiotemporal cognition may buffer the effects of changes in food availability in seasonal frugivorous species. Given their role in seed dispersal, characterizing the cognition underlying tropical frugivore movements may provide insights into understanding large-scale ecological processes underpinning tropical forest regeneration and dynamics.","container-title":"Movement Ecology of Afrotropical Forest Mammals","event-place":"Cham","ISBN":"978-3-031-27030-7","note":"DOI: 10.1007/978-3-031-27030-7_9","page":"151-170","publisher":"Springer International Publishing","publisher-place":"Cham","title":"Do Seasonal Frugivory and Cognition Shape Foraging Movements in Wild Western Gorillas?","URL":"https://doi.org/10.1007/978-3-031-27030-7_9","author":[{"family":"Robira","given":"Benjamin"},{"family":"Benhamou","given":"Simon"},{"family":"Fuh","given":"Terence Neba"},{"family":"Masi","given":"Shelly"}],"editor":[{"family":"Reyna-Hurtado","given":"Rafael"},{"family":"Chapman","given":"Colin A."},{"family":"Melletti","given":"Mario"}],"issued":{"date-parts":[["2023"]]}}}],"schema":"https://github.com/citation-style-language/schema/raw/master/csl-citation.json"} </w:instrText>
      </w:r>
      <w:r w:rsidR="000267DE">
        <w:rPr>
          <w:rFonts w:eastAsia="Calibri"/>
          <w:kern w:val="0"/>
          <w:szCs w:val="24"/>
        </w:rPr>
        <w:fldChar w:fldCharType="separate"/>
      </w:r>
      <w:r w:rsidR="000267DE" w:rsidRPr="000267DE">
        <w:rPr>
          <w:rFonts w:eastAsia="Calibri"/>
        </w:rPr>
        <w:t>(Robira et al. 2023)</w:t>
      </w:r>
      <w:r w:rsidR="000267DE">
        <w:rPr>
          <w:rFonts w:eastAsia="Calibri"/>
          <w:kern w:val="0"/>
          <w:szCs w:val="24"/>
        </w:rPr>
        <w:fldChar w:fldCharType="end"/>
      </w:r>
      <w:r w:rsidR="000267DE">
        <w:rPr>
          <w:rFonts w:eastAsia="Calibri"/>
          <w:kern w:val="0"/>
          <w:szCs w:val="24"/>
        </w:rPr>
        <w:t>.</w:t>
      </w:r>
      <w:r w:rsidR="00F46B53">
        <w:rPr>
          <w:rFonts w:eastAsia="Calibri"/>
          <w:kern w:val="0"/>
          <w:szCs w:val="24"/>
        </w:rPr>
        <w:t xml:space="preserve"> </w:t>
      </w:r>
      <w:r w:rsidR="00C91B88">
        <w:rPr>
          <w:rFonts w:eastAsia="Calibri"/>
          <w:kern w:val="0"/>
          <w:szCs w:val="24"/>
        </w:rPr>
        <w:t>Furthermore, f</w:t>
      </w:r>
      <w:r w:rsidR="00605002">
        <w:rPr>
          <w:rFonts w:eastAsia="Calibri"/>
          <w:kern w:val="0"/>
          <w:szCs w:val="24"/>
        </w:rPr>
        <w:t>rugivorous bats use</w:t>
      </w:r>
      <w:r w:rsidR="00C91B88">
        <w:rPr>
          <w:rFonts w:eastAsia="Calibri"/>
          <w:kern w:val="0"/>
          <w:szCs w:val="24"/>
        </w:rPr>
        <w:t xml:space="preserve"> seasonal increases in</w:t>
      </w:r>
      <w:r w:rsidR="00605002">
        <w:rPr>
          <w:rFonts w:eastAsia="Calibri"/>
          <w:kern w:val="0"/>
          <w:szCs w:val="24"/>
        </w:rPr>
        <w:t xml:space="preserve"> fleshy fruit availability to </w:t>
      </w:r>
      <w:r w:rsidR="00F46B53">
        <w:rPr>
          <w:rFonts w:eastAsia="Calibri"/>
          <w:kern w:val="0"/>
          <w:szCs w:val="24"/>
        </w:rPr>
        <w:t>diverge</w:t>
      </w:r>
      <w:r w:rsidR="00526281">
        <w:rPr>
          <w:rFonts w:eastAsia="Calibri"/>
          <w:kern w:val="0"/>
          <w:szCs w:val="24"/>
        </w:rPr>
        <w:t xml:space="preserve"> their resource use patterns </w:t>
      </w:r>
      <w:r w:rsidR="000267DE">
        <w:rPr>
          <w:rFonts w:eastAsia="Calibri"/>
          <w:kern w:val="0"/>
          <w:szCs w:val="24"/>
        </w:rPr>
        <w:t>from</w:t>
      </w:r>
      <w:r w:rsidR="00526281">
        <w:rPr>
          <w:rFonts w:eastAsia="Calibri"/>
          <w:kern w:val="0"/>
          <w:szCs w:val="24"/>
        </w:rPr>
        <w:t xml:space="preserve"> conspecifics, thereby resulting in </w:t>
      </w:r>
      <w:r w:rsidR="00C91B88">
        <w:rPr>
          <w:rFonts w:eastAsia="Calibri"/>
          <w:kern w:val="0"/>
          <w:szCs w:val="24"/>
        </w:rPr>
        <w:t xml:space="preserve">a </w:t>
      </w:r>
      <w:r w:rsidR="00526281">
        <w:rPr>
          <w:rFonts w:eastAsia="Calibri"/>
          <w:kern w:val="0"/>
          <w:szCs w:val="24"/>
        </w:rPr>
        <w:t>greater</w:t>
      </w:r>
      <w:r w:rsidR="00C91B88">
        <w:rPr>
          <w:rFonts w:eastAsia="Calibri"/>
          <w:kern w:val="0"/>
          <w:szCs w:val="24"/>
        </w:rPr>
        <w:t xml:space="preserve"> incidence of</w:t>
      </w:r>
      <w:r w:rsidR="00526281">
        <w:rPr>
          <w:rFonts w:eastAsia="Calibri"/>
          <w:kern w:val="0"/>
          <w:szCs w:val="24"/>
        </w:rPr>
        <w:t xml:space="preserve"> individual diet specialization</w:t>
      </w:r>
      <w:r w:rsidR="001B75B8">
        <w:rPr>
          <w:rFonts w:eastAsia="Calibri"/>
          <w:kern w:val="0"/>
          <w:szCs w:val="24"/>
        </w:rPr>
        <w:t xml:space="preserve"> </w:t>
      </w:r>
      <w:r w:rsidR="001B75B8">
        <w:rPr>
          <w:rFonts w:eastAsia="Calibri"/>
          <w:kern w:val="0"/>
          <w:szCs w:val="24"/>
        </w:rPr>
        <w:fldChar w:fldCharType="begin"/>
      </w:r>
      <w:r w:rsidR="001B75B8">
        <w:rPr>
          <w:rFonts w:eastAsia="Calibri"/>
          <w:kern w:val="0"/>
          <w:szCs w:val="24"/>
        </w:rPr>
        <w:instrText xml:space="preserve"> ADDIN ZOTERO_ITEM CSL_CITATION {"citationID":"lB9wKvqy","properties":{"formattedCitation":"(Herrera et al. 2008)","plainCitation":"(Herrera et al. 2008)","noteIndex":0},"citationItems":[{"id":15685,"uris":["http://zotero.org/users/10895328/items/69K3LV8S"],"itemData":{"id":15685,"type":"article-journal","abstract":"We used nitrogen isotope analysis from pectoral muscle of the Egyptian fruit bat Rousettus aegyptiacus (Chiroptera: Pteropodidae) to determine intrapopulation variation in sources of dietary protein throughout the year in northern Israel. In Mediterranean climates, winter and summer are stable seasons, whereas spring and fall are transitional seasons. Number of species of fruit-bearing plants is higher during the transitional periods, and we therefore predicted that intrapopulation variation would be higher during spring than in winter and summer; we made no prediction for fall because sample size was small. We also reconstructed sources of dietary protein for each individual using nitrogen isotope ratios (d15N) to determine whether individuals foraged on the same sources of food within each season. Intrapopulation variation in d15N was signiﬁcantly higher in spring (d15N range: 9.7–17.5&amp;) compared to winter (8.8–11.1&amp;) and summer (9.5–11.2&amp;), suggesting that individuals during this period varied more in their use of protein sources. Dietary reconstruction revealed intrapopulation partitioning among the bats in the use of plant food items, and interspeciﬁc partitioning among plants in their dependence on dispersal by bats.","container-title":"Journal of Mammalogy","DOI":"10.1644/07-MAMM-A-263.1","ISSN":"0022-2372, 1545-1542","issue":"5","journalAbbreviation":"Journal of Mammalogy","language":"en","page":"1184-1190","source":"DOI.org (Crossref)","title":"Dietary Implications of Intrapopulation Variation in Nitrogen Isotope Composition of an Old World Fruit Bat","volume":"89","author":[{"family":"Herrera","given":"M. L. Gerardo"},{"family":"Korine","given":"Carmi"},{"family":"Fleming","given":"Theodore H."},{"family":"Arad","given":"Zeev"}],"issued":{"date-parts":[["2008",10]]}}}],"schema":"https://github.com/citation-style-language/schema/raw/master/csl-citation.json"} </w:instrText>
      </w:r>
      <w:r w:rsidR="001B75B8">
        <w:rPr>
          <w:rFonts w:eastAsia="Calibri"/>
          <w:kern w:val="0"/>
          <w:szCs w:val="24"/>
        </w:rPr>
        <w:fldChar w:fldCharType="separate"/>
      </w:r>
      <w:r w:rsidR="001B75B8" w:rsidRPr="001B75B8">
        <w:rPr>
          <w:rFonts w:eastAsia="Calibri"/>
        </w:rPr>
        <w:t>(Herrera et al. 2008)</w:t>
      </w:r>
      <w:r w:rsidR="001B75B8">
        <w:rPr>
          <w:rFonts w:eastAsia="Calibri"/>
          <w:kern w:val="0"/>
          <w:szCs w:val="24"/>
        </w:rPr>
        <w:fldChar w:fldCharType="end"/>
      </w:r>
      <w:r w:rsidR="001B75B8">
        <w:rPr>
          <w:rFonts w:eastAsia="Calibri"/>
          <w:kern w:val="0"/>
          <w:szCs w:val="24"/>
        </w:rPr>
        <w:t xml:space="preserve"> –</w:t>
      </w:r>
      <w:r w:rsidR="00526281">
        <w:rPr>
          <w:rFonts w:eastAsia="Calibri"/>
          <w:kern w:val="0"/>
          <w:szCs w:val="24"/>
        </w:rPr>
        <w:t xml:space="preserve"> a</w:t>
      </w:r>
      <w:r w:rsidR="001B75B8">
        <w:rPr>
          <w:rFonts w:eastAsia="Calibri"/>
          <w:kern w:val="0"/>
          <w:szCs w:val="24"/>
        </w:rPr>
        <w:t xml:space="preserve"> phenomenon </w:t>
      </w:r>
      <w:r w:rsidR="000267DE">
        <w:rPr>
          <w:rFonts w:eastAsia="Calibri"/>
          <w:kern w:val="0"/>
          <w:szCs w:val="24"/>
        </w:rPr>
        <w:t>recently</w:t>
      </w:r>
      <w:r w:rsidR="00EA6ABC">
        <w:rPr>
          <w:rFonts w:eastAsia="Calibri"/>
          <w:kern w:val="0"/>
          <w:szCs w:val="24"/>
        </w:rPr>
        <w:t xml:space="preserve"> </w:t>
      </w:r>
      <w:r w:rsidR="001B75B8">
        <w:rPr>
          <w:rFonts w:eastAsia="Calibri"/>
          <w:kern w:val="0"/>
          <w:szCs w:val="24"/>
        </w:rPr>
        <w:t>confirm</w:t>
      </w:r>
      <w:r w:rsidR="00EA6ABC">
        <w:rPr>
          <w:rFonts w:eastAsia="Calibri"/>
          <w:kern w:val="0"/>
          <w:szCs w:val="24"/>
        </w:rPr>
        <w:t>ed</w:t>
      </w:r>
      <w:r w:rsidR="001B75B8">
        <w:rPr>
          <w:rFonts w:eastAsia="Calibri"/>
          <w:kern w:val="0"/>
          <w:szCs w:val="24"/>
        </w:rPr>
        <w:t xml:space="preserve"> </w:t>
      </w:r>
      <w:r w:rsidR="000267DE">
        <w:rPr>
          <w:rFonts w:eastAsia="Calibri"/>
          <w:kern w:val="0"/>
          <w:szCs w:val="24"/>
        </w:rPr>
        <w:t xml:space="preserve">to </w:t>
      </w:r>
      <w:r w:rsidR="000267DE">
        <w:rPr>
          <w:rFonts w:eastAsia="Calibri"/>
          <w:kern w:val="0"/>
          <w:szCs w:val="24"/>
        </w:rPr>
        <w:lastRenderedPageBreak/>
        <w:t>be occurring with</w:t>
      </w:r>
      <w:r w:rsidR="00EA6ABC">
        <w:rPr>
          <w:rFonts w:eastAsia="Calibri"/>
          <w:kern w:val="0"/>
          <w:szCs w:val="24"/>
        </w:rPr>
        <w:t xml:space="preserve"> the tortoises of this study </w:t>
      </w:r>
      <w:r w:rsidR="00EA6ABC">
        <w:rPr>
          <w:rFonts w:eastAsia="Calibri"/>
          <w:kern w:val="0"/>
          <w:szCs w:val="24"/>
        </w:rPr>
        <w:fldChar w:fldCharType="begin"/>
      </w:r>
      <w:r w:rsidR="00EA6ABC">
        <w:rPr>
          <w:rFonts w:eastAsia="Calibri"/>
          <w:kern w:val="0"/>
          <w:szCs w:val="24"/>
        </w:rPr>
        <w:instrText xml:space="preserve"> ADDIN ZOTERO_ITEM CSL_CITATION {"citationID":"rgUSCec9","properties":{"formattedCitation":"(Figueroa et al. 2024)","plainCitation":"(Figueroa et al. 2024)","noteIndex":0},"citationItems":[{"id":19450,"uris":["http://zotero.org/users/10895328/items/DALW77GM"],"itemData":{"id":19450,"type":"article-journal","abstract":"Individual diet specialization, where individuals within a population exhibit distinct dietary patterns, can be influenced by shifts in ecological opportunity. One underexplored avenue of research is in investigating whether individuals switch foraging strategies (e.g., shifting from herbivory to frugivory) when ecological opportunity provides a pulse of limiting resources, such as fleshy fruits. This study investigates the influence of seasonal frugivory on diet consistency and specialization among generalist herbivores, specifically the gopher tortoise (Gopherus polyphemus), in southeastern Florida, USA. We hypothesized that increased frugivory during the wet season (June through November), coinciding with a resource pulse of fleshy fruits, leads to more inconsistent and specialized diets. Using radio telemetry to track individual tortoises and analyzing dissected fecal samples grouped into functional food categories, we applied Bayesian hierarchical modeling to examine diet consistency and specialization. Our results indicated that higher frugivory levels in the wet season correlate with greater diet inconsistency and specialization compared to the dry season. This pattern suggests that gopher tortoises may switch foraging strategies to exploit seasonal resource pulses of fleshy fruit, thus adopting more inconsistent and specialized diets. Additionally, important activities in the life history of the gopher tortoise, such as copulation, home range defense, and burrow construction, coincide with periods of increased fruit consumption and dietary inconsistency/specialization. Increased intake of carbohydrates and digestible energy from fleshy fruits may allow for more time in the tortoise's activity budget for these activities. Finally, by elucidating the relationship between seasonal frugivory and diet consistency/specialization, this research enhances our understanding of the mechanisms shaping ecological dynamics at the intraspecific level which can subsequently influence communitylevel interactions such as animal-mediated seed dispersal.","container-title":"Food Webs","DOI":"10.1016/j.fooweb.2024.e00356","ISSN":"23522496","journalAbbreviation":"Food Webs","language":"en","page":"e00356","source":"DOI.org (Crossref)","title":"Seasonal frugivory drives both diet inconsistency and individual specialization in the generalist herbivore gopher tortoise","volume":"40","author":[{"family":"Figueroa","given":"Adrian"},{"family":"Coblentz","given":"Kyle"},{"family":"Herrera","given":"Alyssa"},{"family":"Cuni","given":"Lydia"},{"family":"Villate","given":"Jennifer"},{"family":"Liu","given":"Hong"},{"family":"Araujo","given":"Marcio Silva"},{"family":"Whitfield","given":"Steven M."}],"issued":{"date-parts":[["2024",9]]}}}],"schema":"https://github.com/citation-style-language/schema/raw/master/csl-citation.json"} </w:instrText>
      </w:r>
      <w:r w:rsidR="00EA6ABC">
        <w:rPr>
          <w:rFonts w:eastAsia="Calibri"/>
          <w:kern w:val="0"/>
          <w:szCs w:val="24"/>
        </w:rPr>
        <w:fldChar w:fldCharType="separate"/>
      </w:r>
      <w:r w:rsidR="00EA6ABC" w:rsidRPr="00EA6ABC">
        <w:rPr>
          <w:rFonts w:eastAsia="Calibri"/>
        </w:rPr>
        <w:t>(Figueroa et al. 2024)</w:t>
      </w:r>
      <w:r w:rsidR="00EA6ABC">
        <w:rPr>
          <w:rFonts w:eastAsia="Calibri"/>
          <w:kern w:val="0"/>
          <w:szCs w:val="24"/>
        </w:rPr>
        <w:fldChar w:fldCharType="end"/>
      </w:r>
      <w:r w:rsidR="00F46B53">
        <w:rPr>
          <w:rFonts w:eastAsia="Calibri"/>
          <w:kern w:val="0"/>
          <w:szCs w:val="24"/>
        </w:rPr>
        <w:t>,</w:t>
      </w:r>
      <w:r w:rsidR="004D69DD">
        <w:rPr>
          <w:rFonts w:eastAsia="Calibri"/>
          <w:kern w:val="0"/>
          <w:szCs w:val="24"/>
        </w:rPr>
        <w:t xml:space="preserve"> as </w:t>
      </w:r>
      <w:r w:rsidR="00510B52">
        <w:rPr>
          <w:rFonts w:eastAsia="Calibri"/>
          <w:kern w:val="0"/>
          <w:szCs w:val="24"/>
        </w:rPr>
        <w:t>seasonal fluctuation</w:t>
      </w:r>
      <w:r w:rsidR="004D69DD">
        <w:rPr>
          <w:rFonts w:eastAsia="Calibri"/>
          <w:kern w:val="0"/>
          <w:szCs w:val="24"/>
        </w:rPr>
        <w:t>s</w:t>
      </w:r>
      <w:r w:rsidR="00510B52">
        <w:rPr>
          <w:rFonts w:eastAsia="Calibri"/>
          <w:kern w:val="0"/>
          <w:szCs w:val="24"/>
        </w:rPr>
        <w:t xml:space="preserve"> in rainfall subsequently trigger</w:t>
      </w:r>
      <w:r w:rsidR="004D69DD">
        <w:rPr>
          <w:rFonts w:eastAsia="Calibri"/>
          <w:kern w:val="0"/>
          <w:szCs w:val="24"/>
        </w:rPr>
        <w:t>s</w:t>
      </w:r>
      <w:r w:rsidR="00510B52">
        <w:rPr>
          <w:rFonts w:eastAsia="Calibri"/>
          <w:kern w:val="0"/>
          <w:szCs w:val="24"/>
        </w:rPr>
        <w:t xml:space="preserve"> fleshy fruit production in the </w:t>
      </w:r>
      <w:r w:rsidR="00F46B53">
        <w:rPr>
          <w:rFonts w:eastAsia="Calibri"/>
          <w:kern w:val="0"/>
          <w:szCs w:val="24"/>
        </w:rPr>
        <w:t>local</w:t>
      </w:r>
      <w:r w:rsidR="004D69DD">
        <w:rPr>
          <w:rFonts w:eastAsia="Calibri"/>
          <w:kern w:val="0"/>
          <w:szCs w:val="24"/>
        </w:rPr>
        <w:t xml:space="preserve"> plant communit</w:t>
      </w:r>
      <w:r w:rsidR="00F46B53">
        <w:rPr>
          <w:rFonts w:eastAsia="Calibri"/>
          <w:kern w:val="0"/>
          <w:szCs w:val="24"/>
        </w:rPr>
        <w:t>ies</w:t>
      </w:r>
      <w:r w:rsidR="004D69DD">
        <w:rPr>
          <w:rFonts w:eastAsia="Calibri"/>
          <w:kern w:val="0"/>
          <w:szCs w:val="24"/>
        </w:rPr>
        <w:t xml:space="preserve"> </w:t>
      </w:r>
      <w:r w:rsidR="004D69DD">
        <w:rPr>
          <w:rFonts w:eastAsia="Calibri"/>
          <w:kern w:val="0"/>
          <w:szCs w:val="24"/>
        </w:rPr>
        <w:fldChar w:fldCharType="begin"/>
      </w:r>
      <w:r w:rsidR="004D69DD">
        <w:rPr>
          <w:rFonts w:eastAsia="Calibri"/>
          <w:kern w:val="0"/>
          <w:szCs w:val="24"/>
        </w:rPr>
        <w:instrText xml:space="preserve"> ADDIN ZOTERO_ITEM CSL_CITATION {"citationID":"9VsLq7rt","properties":{"formattedCitation":"(Bancroft et al. 2000, Redwine et al. 2007)","plainCitation":"(Bancroft et al. 2000, Redwine et al. 2007)","noteIndex":0},"citationItems":[{"id":19241,"uris":["http://zotero.org/users/10895328/items/7BV86A4Q"],"itemData":{"id":19241,"type":"article-journal","abstract":"White-crowned Pigeons (Columba leucocephala) varied their timing of breeding and nesting intensity in response to variation in production of the four most important fruit species in their breeding-season diet in the upper Florida Keys. From 1988 through 1990, we monitored fruit production year-round in five habitats in which pigeons foraged and monitored all pigeon nests along two transects on Middle Butternut Key. Annually, pigeon breeding was positively correlated with summer rains and with the peak in overall fruit production. However, within the breeding season, only the availability of Metopium toxiferum was positively correlated with rainfall and the number of new clutches initiated. Both the timing and magnitude of breeding varied annually. In 1988, when Metopium was more available, more pigeons nested, the nesting season started earlier and lasted longer, and a large peak in nesting occurred when Metopium fruit ripened. During 1989 and 1990, when the relative availability of Metopium was lower, fewer pigeons nested, the nesting season was shorter, and the seasonal peak in nesting associated with Metopium fruit was reduced or absent. Nesting patterns did not appear to vary with changes in the relative availability of other fruits. White-crowned Pigeons appear to prefer Metopium fruits to other species. Because pigeons do not supplement nestling diets with arthropods, but augment their diets with protein-rich crop milk, they may depend on lipid-rich fruits such as Metopium to provide the energy for breeding and crop-milk production. Metopium fruit production may be influenced by rainfall and climatic conditions, both of which may vary spatially within the range of White-crowned Pigeons in Florida. Evidence that pigeons shift foraging sites when Metopium availability varies emphasizes the need to preserve large tracts of seasonal deciduous forest in the Keys and to protect Metopium trees in suburban areas where they are removed because they cause contact dermatitis in humans.","container-title":"The Auk","DOI":"10.1093/auk/117.2.416","ISSN":"1938-4254","issue":"2","journalAbbreviation":"The Auk","page":"416-426","title":"Rainfall, Fruiting Phenology, and the Nesting Season of White-Crowned Pigeons in the Upper Florida Keys","volume":"117","author":[{"family":"Bancroft","given":"G. Thomas"},{"family":"Bowman","given":"Reed"},{"family":"Sawicki","given":"Richard J."}],"issued":{"date-parts":[["2000",4,1]]}}},{"id":19243,"uris":["http://zotero.org/users/10895328/items/D9E2H4TQ"],"itemData":{"id":19243,"type":"article-journal","abstract":"We censused plants bearing ripe fruit along eight permanently marked transects to describe patterns of ripe fruit availability in a spatially interspersed patchwork of seasonally dry forests in the northern Florida Keys. Plants were sampled every four to six weeks between May 1998 and April 1999. We noted every tree, shrub, or vine with ripe ﬂeshy fruits present and rated each stem for the proportion of fruit produced. This sampling scheme allowed us to describe periods of ripe fruit availability in the forest community, as well as for the fourteen most frequently encountered species. Ripe fruit availability peaked during the wet season (July-September), deciduous trees and evergreen shrubs produced most of the fruit in most months, and most of the species producing fruit were evergreen trees in all months.","container-title":"Natural Areas Journal","DOI":"10.3375/0885-8608(2007)27[8:RFAITF]2.0.CO;2","ISSN":"0885-8608","issue":"1","journalAbbreviation":"Natural Areas Journal","language":"en","page":"8-15","source":"DOI.org (Crossref)","title":"Ripe Fruit Availability in the Fragmented Hardwood Forests of the Northern Florida Keys","volume":"27","author":[{"family":"Redwine","given":"Jed R."},{"family":"Sawicki","given":"Richard"},{"family":"Lorenz","given":"Jerome J."},{"family":"Hoffman","given":"Wayne"}],"issued":{"date-parts":[["2007",1]]}}}],"schema":"https://github.com/citation-style-language/schema/raw/master/csl-citation.json"} </w:instrText>
      </w:r>
      <w:r w:rsidR="004D69DD">
        <w:rPr>
          <w:rFonts w:eastAsia="Calibri"/>
          <w:kern w:val="0"/>
          <w:szCs w:val="24"/>
        </w:rPr>
        <w:fldChar w:fldCharType="separate"/>
      </w:r>
      <w:r w:rsidR="004D69DD" w:rsidRPr="004D69DD">
        <w:rPr>
          <w:rFonts w:eastAsia="Calibri"/>
        </w:rPr>
        <w:t>(Bancroft et al. 2000, Redwine et al. 2007)</w:t>
      </w:r>
      <w:r w:rsidR="004D69DD">
        <w:rPr>
          <w:rFonts w:eastAsia="Calibri"/>
          <w:kern w:val="0"/>
          <w:szCs w:val="24"/>
        </w:rPr>
        <w:fldChar w:fldCharType="end"/>
      </w:r>
      <w:r w:rsidR="004D69DD">
        <w:rPr>
          <w:rFonts w:eastAsia="Calibri"/>
          <w:kern w:val="0"/>
          <w:szCs w:val="24"/>
        </w:rPr>
        <w:t>.</w:t>
      </w:r>
    </w:p>
    <w:p w14:paraId="61E1563F" w14:textId="377D48DE" w:rsidR="00194558" w:rsidRDefault="00194558" w:rsidP="00194558">
      <w:pPr>
        <w:spacing w:before="100" w:beforeAutospacing="1" w:after="100" w:afterAutospacing="1" w:line="480" w:lineRule="auto"/>
        <w:ind w:firstLine="720"/>
        <w:mirrorIndents/>
        <w:rPr>
          <w:rFonts w:eastAsia="Calibri"/>
          <w:kern w:val="0"/>
          <w:szCs w:val="24"/>
        </w:rPr>
      </w:pPr>
      <w:r w:rsidRPr="00194558">
        <w:rPr>
          <w:rFonts w:eastAsia="Calibri"/>
          <w:kern w:val="0"/>
          <w:szCs w:val="24"/>
        </w:rPr>
        <w:t xml:space="preserve">The strong correlation between lagged precipitation and frugivory suggests that gopher tortoises track seasonal </w:t>
      </w:r>
      <w:r w:rsidR="00F46B53">
        <w:rPr>
          <w:rFonts w:eastAsia="Calibri"/>
          <w:kern w:val="0"/>
          <w:szCs w:val="24"/>
        </w:rPr>
        <w:t xml:space="preserve">fleshy </w:t>
      </w:r>
      <w:r w:rsidRPr="00194558">
        <w:rPr>
          <w:rFonts w:eastAsia="Calibri"/>
          <w:kern w:val="0"/>
          <w:szCs w:val="24"/>
        </w:rPr>
        <w:t>fruit availability, adjusting their diet accordingly to maximize fruit consumption when it is most abundant.</w:t>
      </w:r>
      <w:r w:rsidR="00B82D58">
        <w:rPr>
          <w:rFonts w:eastAsia="Calibri"/>
          <w:kern w:val="0"/>
          <w:szCs w:val="24"/>
        </w:rPr>
        <w:t xml:space="preserve"> This </w:t>
      </w:r>
      <w:r w:rsidR="00EB5C8E">
        <w:rPr>
          <w:rFonts w:eastAsia="Calibri"/>
          <w:kern w:val="0"/>
          <w:szCs w:val="24"/>
        </w:rPr>
        <w:t>behavior may be</w:t>
      </w:r>
      <w:r w:rsidR="00B750DE">
        <w:rPr>
          <w:rFonts w:eastAsia="Calibri"/>
          <w:kern w:val="0"/>
          <w:szCs w:val="24"/>
        </w:rPr>
        <w:t xml:space="preserve"> exhibited</w:t>
      </w:r>
      <w:r w:rsidR="00EB5C8E">
        <w:rPr>
          <w:rFonts w:eastAsia="Calibri"/>
          <w:kern w:val="0"/>
          <w:szCs w:val="24"/>
        </w:rPr>
        <w:t xml:space="preserve"> </w:t>
      </w:r>
      <w:r w:rsidR="00453C32">
        <w:rPr>
          <w:rFonts w:eastAsia="Calibri"/>
          <w:kern w:val="0"/>
          <w:szCs w:val="24"/>
        </w:rPr>
        <w:t>as a result of increased ecological</w:t>
      </w:r>
      <w:r w:rsidR="00453C32" w:rsidRPr="00160CAC">
        <w:rPr>
          <w:rFonts w:eastAsia="Calibri"/>
          <w:kern w:val="0"/>
          <w:szCs w:val="24"/>
        </w:rPr>
        <w:t xml:space="preserve"> </w:t>
      </w:r>
      <w:r w:rsidR="00453C32">
        <w:rPr>
          <w:rFonts w:eastAsia="Calibri"/>
          <w:kern w:val="0"/>
          <w:szCs w:val="24"/>
        </w:rPr>
        <w:t>opportunity</w:t>
      </w:r>
      <w:r w:rsidR="00645FBE">
        <w:rPr>
          <w:rFonts w:eastAsia="Calibri"/>
          <w:kern w:val="0"/>
          <w:szCs w:val="24"/>
        </w:rPr>
        <w:t xml:space="preserve"> </w:t>
      </w:r>
      <w:r w:rsidR="00645FBE">
        <w:rPr>
          <w:rFonts w:eastAsia="Calibri"/>
          <w:kern w:val="0"/>
          <w:szCs w:val="24"/>
        </w:rPr>
        <w:fldChar w:fldCharType="begin"/>
      </w:r>
      <w:r w:rsidR="00C91B88">
        <w:rPr>
          <w:rFonts w:eastAsia="Calibri"/>
          <w:kern w:val="0"/>
          <w:szCs w:val="24"/>
        </w:rPr>
        <w:instrText xml:space="preserve"> ADDIN ZOTERO_ITEM CSL_CITATION {"citationID":"q6MkXFwG","properties":{"formattedCitation":"(Herrera et al. 2008, Ara\\uc0\\u250{}jo et al. 2011, Figueroa et al. 2024)","plainCitation":"(Herrera et al. 2008, Araújo et al. 2011, Figueroa et al. 2024)","noteIndex":0},"citationItems":[{"id":15685,"uris":["http://zotero.org/users/10895328/items/69K3LV8S"],"itemData":{"id":15685,"type":"article-journal","abstract":"We used nitrogen isotope analysis from pectoral muscle of the Egyptian fruit bat Rousettus aegyptiacus (Chiroptera: Pteropodidae) to determine intrapopulation variation in sources of dietary protein throughout the year in northern Israel. In Mediterranean climates, winter and summer are stable seasons, whereas spring and fall are transitional seasons. Number of species of fruit-bearing plants is higher during the transitional periods, and we therefore predicted that intrapopulation variation would be higher during spring than in winter and summer; we made no prediction for fall because sample size was small. We also reconstructed sources of dietary protein for each individual using nitrogen isotope ratios (d15N) to determine whether individuals foraged on the same sources of food within each season. Intrapopulation variation in d15N was signiﬁcantly higher in spring (d15N range: 9.7–17.5&amp;) compared to winter (8.8–11.1&amp;) and summer (9.5–11.2&amp;), suggesting that individuals during this period varied more in their use of protein sources. Dietary reconstruction revealed intrapopulation partitioning among the bats in the use of plant food items, and interspeciﬁc partitioning among plants in their dependence on dispersal by bats.","container-title":"Journal of Mammalogy","DOI":"10.1644/07-MAMM-A-263.1","ISSN":"0022-2372, 1545-1542","issue":"5","journalAbbreviation":"Journal of Mammalogy","language":"en","page":"1184-1190","source":"DOI.org (Crossref)","title":"Dietary Implications of Intrapopulation Variation in Nitrogen Isotope Composition of an Old World Fruit Bat","volume":"89","author":[{"family":"Herrera","given":"M. L. Gerardo"},{"family":"Korine","given":"Carmi"},{"family":"Fleming","given":"Theodore H."},{"family":"Arad","given":"Zeev"}],"issued":{"date-parts":[["2008",10]]}}},{"id":5789,"uris":["http://zotero.org/users/10895328/items/XJC3BTX5"],"itemData":{"id":5789,"type":"article-journal","abstract":"Ecology Letters (2011) 14: 948–958 Abstract Many generalist populations are composed of specialised individuals, whose niches are small subsets of the population niche. This ‘individual specialisation’ is a widespread phenomenon in natural populations, but until recently few studies quantified the magnitude of individual specialisation and how this magnitude varies among populations or contexts. Such quantitative approaches are necessary for us to understand how ecological interactions influence the amount of among-individual variation, and how the amount of variation might affect ecological dynamics. Herein, we review recent studies of individual specialisation, emphasising the novel insights arising from quantitative measures of diet variation. Experimental and comparative studies have confirmed long-standing theoretical expectations that the magnitude of among-individual diet variation depends on the level of intra and interspecific competition, ecological opportunity and predation. In contrast, there is little empirical information as to how individual specialisation affects community dynamics. We discuss some emerging methodological issues as guidelines for researchers studying individual specialisation, and make specific recommendations regarding avenues for future research.","container-title":"Ecology Letters","DOI":"https://doi.org/10.1111/j.1461-0248.2011.01662.x","ISSN":"1461-023X","issue":"9","journalAbbreviation":"Ecol Lett","page":"948-958","title":"The ecological causes of individual specialisation","volume":"14","author":[{"family":"Araújo","given":"Márcio S."},{"family":"Bolnick","given":"Daniel I."},{"family":"Layman","given":"Craig A."}],"issued":{"date-parts":[["2011"]]}}},{"id":19450,"uris":["http://zotero.org/users/10895328/items/DALW77GM"],"itemData":{"id":19450,"type":"article-journal","abstract":"Individual diet specialization, where individuals within a population exhibit distinct dietary patterns, can be influenced by shifts in ecological opportunity. One underexplored avenue of research is in investigating whether individuals switch foraging strategies (e.g., shifting from herbivory to frugivory) when ecological opportunity provides a pulse of limiting resources, such as fleshy fruits. This study investigates the influence of seasonal frugivory on diet consistency and specialization among generalist herbivores, specifically the gopher tortoise (Gopherus polyphemus), in southeastern Florida, USA. We hypothesized that increased frugivory during the wet season (June through November), coinciding with a resource pulse of fleshy fruits, leads to more inconsistent and specialized diets. Using radio telemetry to track individual tortoises and analyzing dissected fecal samples grouped into functional food categories, we applied Bayesian hierarchical modeling to examine diet consistency and specialization. Our results indicated that higher frugivory levels in the wet season correlate with greater diet inconsistency and specialization compared to the dry season. This pattern suggests that gopher tortoises may switch foraging strategies to exploit seasonal resource pulses of fleshy fruit, thus adopting more inconsistent and specialized diets. Additionally, important activities in the life history of the gopher tortoise, such as copulation, home range defense, and burrow construction, coincide with periods of increased fruit consumption and dietary inconsistency/specialization. Increased intake of carbohydrates and digestible energy from fleshy fruits may allow for more time in the tortoise's activity budget for these activities. Finally, by elucidating the relationship between seasonal frugivory and diet consistency/specialization, this research enhances our understanding of the mechanisms shaping ecological dynamics at the intraspecific level which can subsequently influence communitylevel interactions such as animal-mediated seed dispersal.","container-title":"Food Webs","DOI":"10.1016/j.fooweb.2024.e00356","ISSN":"23522496","journalAbbreviation":"Food Webs","language":"en","page":"e00356","source":"DOI.org (Crossref)","title":"Seasonal frugivory drives both diet inconsistency and individual specialization in the generalist herbivore gopher tortoise","volume":"40","author":[{"family":"Figueroa","given":"Adrian"},{"family":"Coblentz","given":"Kyle"},{"family":"Herrera","given":"Alyssa"},{"family":"Cuni","given":"Lydia"},{"family":"Villate","given":"Jennifer"},{"family":"Liu","given":"Hong"},{"family":"Araujo","given":"Marcio Silva"},{"family":"Whitfield","given":"Steven M."}],"issued":{"date-parts":[["2024",9]]}}}],"schema":"https://github.com/citation-style-language/schema/raw/master/csl-citation.json"} </w:instrText>
      </w:r>
      <w:r w:rsidR="00645FBE">
        <w:rPr>
          <w:rFonts w:eastAsia="Calibri"/>
          <w:kern w:val="0"/>
          <w:szCs w:val="24"/>
        </w:rPr>
        <w:fldChar w:fldCharType="separate"/>
      </w:r>
      <w:r w:rsidR="00C91B88" w:rsidRPr="00C91B88">
        <w:rPr>
          <w:kern w:val="0"/>
        </w:rPr>
        <w:t>(Herrera et al. 2008, Araújo et al. 2011, Figueroa et al. 2024)</w:t>
      </w:r>
      <w:r w:rsidR="00645FBE">
        <w:rPr>
          <w:rFonts w:eastAsia="Calibri"/>
          <w:kern w:val="0"/>
          <w:szCs w:val="24"/>
        </w:rPr>
        <w:fldChar w:fldCharType="end"/>
      </w:r>
      <w:r w:rsidR="00453C32">
        <w:rPr>
          <w:rFonts w:eastAsia="Calibri"/>
          <w:kern w:val="0"/>
          <w:szCs w:val="24"/>
        </w:rPr>
        <w:t xml:space="preserve">, </w:t>
      </w:r>
      <w:r w:rsidR="00EB5C8E">
        <w:rPr>
          <w:rFonts w:eastAsia="Calibri"/>
          <w:kern w:val="0"/>
          <w:szCs w:val="24"/>
        </w:rPr>
        <w:t>to reduce intraspecific</w:t>
      </w:r>
      <w:r w:rsidR="00B750DE">
        <w:rPr>
          <w:rFonts w:eastAsia="Calibri"/>
          <w:kern w:val="0"/>
          <w:szCs w:val="24"/>
        </w:rPr>
        <w:t xml:space="preserve"> resource</w:t>
      </w:r>
      <w:r w:rsidR="00EB5C8E">
        <w:rPr>
          <w:rFonts w:eastAsia="Calibri"/>
          <w:kern w:val="0"/>
          <w:szCs w:val="24"/>
        </w:rPr>
        <w:t xml:space="preserve"> competition</w:t>
      </w:r>
      <w:r w:rsidR="008F60EE">
        <w:rPr>
          <w:rFonts w:eastAsia="Calibri"/>
          <w:kern w:val="0"/>
          <w:szCs w:val="24"/>
        </w:rPr>
        <w:t xml:space="preserve"> </w:t>
      </w:r>
      <w:r w:rsidR="008F60EE">
        <w:rPr>
          <w:rFonts w:eastAsia="Calibri"/>
          <w:kern w:val="0"/>
          <w:szCs w:val="24"/>
        </w:rPr>
        <w:fldChar w:fldCharType="begin"/>
      </w:r>
      <w:r w:rsidR="008F60EE">
        <w:rPr>
          <w:rFonts w:eastAsia="Calibri"/>
          <w:kern w:val="0"/>
          <w:szCs w:val="24"/>
        </w:rPr>
        <w:instrText xml:space="preserve"> ADDIN ZOTERO_ITEM CSL_CITATION {"citationID":"rcwWoSDD","properties":{"formattedCitation":"(Bolnick et al. 2003)","plainCitation":"(Bolnick et al. 2003)","noteIndex":0},"citationItems":[{"id":6054,"uris":["http://zotero.org/users/10895328/items/9WWIX9ZH"],"itemData":{"id":6054,"type":"article-journal","container-title":"The American Naturalist","ISSN":"0003-0147","issue":"1","page":"1-28","title":"The ecology of individuals: incidence and implications of individual specialization","volume":"161","author":[{"family":"Bolnick","given":"Daniel I."},{"family":"Svanbäck","given":"Richard"},{"family":"Fordyce","given":"James A."},{"family":"Yang","given":"Louie H."},{"family":"Davis","given":"Jeremy M."},{"family":"Hulsey","given":"C. Darrin"},{"family":"Forister","given":"Matthew L."}],"issued":{"date-parts":[["2003"]]}}}],"schema":"https://github.com/citation-style-language/schema/raw/master/csl-citation.json"} </w:instrText>
      </w:r>
      <w:r w:rsidR="008F60EE">
        <w:rPr>
          <w:rFonts w:eastAsia="Calibri"/>
          <w:kern w:val="0"/>
          <w:szCs w:val="24"/>
        </w:rPr>
        <w:fldChar w:fldCharType="separate"/>
      </w:r>
      <w:r w:rsidR="008F60EE" w:rsidRPr="008F60EE">
        <w:rPr>
          <w:rFonts w:eastAsia="Calibri"/>
        </w:rPr>
        <w:t>(Bolnick et al. 2003)</w:t>
      </w:r>
      <w:r w:rsidR="008F60EE">
        <w:rPr>
          <w:rFonts w:eastAsia="Calibri"/>
          <w:kern w:val="0"/>
          <w:szCs w:val="24"/>
        </w:rPr>
        <w:fldChar w:fldCharType="end"/>
      </w:r>
      <w:r w:rsidR="00B750DE">
        <w:rPr>
          <w:rFonts w:eastAsia="Calibri"/>
          <w:kern w:val="0"/>
          <w:szCs w:val="24"/>
        </w:rPr>
        <w:t xml:space="preserve">, </w:t>
      </w:r>
      <w:r w:rsidR="00EB5C8E">
        <w:rPr>
          <w:rFonts w:eastAsia="Calibri"/>
          <w:kern w:val="0"/>
          <w:szCs w:val="24"/>
        </w:rPr>
        <w:t xml:space="preserve">or to meet </w:t>
      </w:r>
      <w:r w:rsidR="00B750DE">
        <w:rPr>
          <w:rFonts w:eastAsia="Calibri"/>
          <w:kern w:val="0"/>
          <w:szCs w:val="24"/>
        </w:rPr>
        <w:t>energetic</w:t>
      </w:r>
      <w:r w:rsidR="00EB5C8E">
        <w:rPr>
          <w:rFonts w:eastAsia="Calibri"/>
          <w:kern w:val="0"/>
          <w:szCs w:val="24"/>
        </w:rPr>
        <w:t xml:space="preserve"> demands</w:t>
      </w:r>
      <w:r w:rsidR="009A54E1">
        <w:rPr>
          <w:rFonts w:eastAsia="Calibri"/>
          <w:kern w:val="0"/>
          <w:szCs w:val="24"/>
        </w:rPr>
        <w:t xml:space="preserve"> </w:t>
      </w:r>
      <w:r w:rsidR="009A54E1">
        <w:rPr>
          <w:rFonts w:eastAsia="Calibri"/>
          <w:kern w:val="0"/>
          <w:szCs w:val="24"/>
        </w:rPr>
        <w:fldChar w:fldCharType="begin"/>
      </w:r>
      <w:r w:rsidR="009A54E1">
        <w:rPr>
          <w:rFonts w:eastAsia="Calibri"/>
          <w:kern w:val="0"/>
          <w:szCs w:val="24"/>
        </w:rPr>
        <w:instrText xml:space="preserve"> ADDIN ZOTERO_ITEM CSL_CITATION {"citationID":"TtiTwJ5p","properties":{"formattedCitation":"(Bury and Germano 1994)","plainCitation":"(Bury and Germano 1994)","noteIndex":0},"citationItems":[{"id":6161,"uris":["http://zotero.org/users/10895328/items/UUIA5PP4"],"itemData":{"id":6161,"type":"report","collection-title":"Fish and Wildlife Research","event-place":"Washington, D.C.","genre":"Report","language":"English","number":"13","publisher-place":"Washington, D.C.","source":"USGS Publications Warehouse","title":"Biology of North American tortoises","author":[{"family":"Bury","given":"R. Bruce"},{"family":"Germano","given":"David J."}],"issued":{"date-parts":[["1994"]]}}}],"schema":"https://github.com/citation-style-language/schema/raw/master/csl-citation.json"} </w:instrText>
      </w:r>
      <w:r w:rsidR="009A54E1">
        <w:rPr>
          <w:rFonts w:eastAsia="Calibri"/>
          <w:kern w:val="0"/>
          <w:szCs w:val="24"/>
        </w:rPr>
        <w:fldChar w:fldCharType="separate"/>
      </w:r>
      <w:r w:rsidR="009A54E1" w:rsidRPr="009A54E1">
        <w:rPr>
          <w:rFonts w:eastAsia="Calibri"/>
        </w:rPr>
        <w:t>(Bury and Germano 1994)</w:t>
      </w:r>
      <w:r w:rsidR="009A54E1">
        <w:rPr>
          <w:rFonts w:eastAsia="Calibri"/>
          <w:kern w:val="0"/>
          <w:szCs w:val="24"/>
        </w:rPr>
        <w:fldChar w:fldCharType="end"/>
      </w:r>
      <w:r w:rsidR="00950242">
        <w:rPr>
          <w:rFonts w:eastAsia="Calibri"/>
          <w:kern w:val="0"/>
          <w:szCs w:val="24"/>
        </w:rPr>
        <w:t>.</w:t>
      </w:r>
      <w:r w:rsidR="00CE0776">
        <w:rPr>
          <w:rFonts w:eastAsia="Calibri"/>
          <w:kern w:val="0"/>
          <w:szCs w:val="24"/>
        </w:rPr>
        <w:t xml:space="preserve"> Th</w:t>
      </w:r>
      <w:r w:rsidR="00950242">
        <w:rPr>
          <w:rFonts w:eastAsia="Calibri"/>
          <w:kern w:val="0"/>
          <w:szCs w:val="24"/>
        </w:rPr>
        <w:t>e</w:t>
      </w:r>
      <w:r w:rsidR="00CE0776">
        <w:rPr>
          <w:rFonts w:eastAsia="Calibri"/>
          <w:kern w:val="0"/>
          <w:szCs w:val="24"/>
        </w:rPr>
        <w:t xml:space="preserve"> seasonal tracking of fleshy fruit</w:t>
      </w:r>
      <w:r w:rsidR="00C009D0">
        <w:rPr>
          <w:rFonts w:eastAsia="Calibri"/>
          <w:kern w:val="0"/>
          <w:szCs w:val="24"/>
        </w:rPr>
        <w:t>s</w:t>
      </w:r>
      <w:r w:rsidR="00950242">
        <w:rPr>
          <w:rFonts w:eastAsia="Calibri"/>
          <w:kern w:val="0"/>
          <w:szCs w:val="24"/>
        </w:rPr>
        <w:t xml:space="preserve"> </w:t>
      </w:r>
      <w:r w:rsidR="00CE0776">
        <w:rPr>
          <w:rFonts w:eastAsia="Calibri"/>
          <w:kern w:val="0"/>
          <w:szCs w:val="24"/>
        </w:rPr>
        <w:t xml:space="preserve">is not very surprising as it has been </w:t>
      </w:r>
      <w:r w:rsidR="00C009D0">
        <w:rPr>
          <w:rFonts w:eastAsia="Calibri"/>
          <w:kern w:val="0"/>
          <w:szCs w:val="24"/>
        </w:rPr>
        <w:t>observ</w:t>
      </w:r>
      <w:r w:rsidR="00CE0776">
        <w:rPr>
          <w:rFonts w:eastAsia="Calibri"/>
          <w:kern w:val="0"/>
          <w:szCs w:val="24"/>
        </w:rPr>
        <w:t xml:space="preserve">ed in other species </w:t>
      </w:r>
      <w:r w:rsidR="00CE0776">
        <w:rPr>
          <w:rFonts w:eastAsia="Calibri"/>
          <w:kern w:val="0"/>
          <w:szCs w:val="24"/>
        </w:rPr>
        <w:fldChar w:fldCharType="begin"/>
      </w:r>
      <w:r w:rsidR="00FE59C5">
        <w:rPr>
          <w:rFonts w:eastAsia="Calibri"/>
          <w:kern w:val="0"/>
          <w:szCs w:val="24"/>
        </w:rPr>
        <w:instrText xml:space="preserve"> ADDIN ZOTERO_ITEM CSL_CITATION {"citationID":"PWXKlsX3","properties":{"formattedCitation":"(Remis 1997, Koike et al. 2008, Abrahms et al. 2021)","plainCitation":"(Remis 1997, Koike et al. 2008, Abrahms et al. 2021)","noteIndex":0},"citationItems":[{"id":15602,"uris":["http://zotero.org/users/10895328/items/NCUFV4HW"],"itemData":{"id":15602,"type":"article-journal","container-title":"American Journal of Primatology","DOI":"10.1002/(SICI)1098-2345(1997)43:2&lt;87::AID-AJP1&gt;3.0.CO;2-T","ISSN":"02752565, 10982345","issue":"2","journalAbbreviation":"Am. J. Primatol.","language":"en","page":"87-109","source":"DOI.org (Crossref)","title":"Western lowland gorillas (Gorilla gorilla gorilla) as seasonal frugivores: Use of variable resources","title-short":"Western lowland gorillas (Gorilla gorilla gorilla) as seasonal frugivores","volume":"43","author":[{"family":"Remis","given":"Melissa J."}],"issued":{"date-parts":[["1997"]]}}},{"id":13448,"uris":["http://zotero.org/users/10895328/items/6FG97H7P"],"itemData":{"id":13448,"type":"article-journal","abstract":"We investigated the relationship between the fruit phenology of Prunus jamasakura and the fruitfeeding period of the Asiatic black bear (Ursus thibetanus). The purposes of this study were to determine (1) when bears feed on the fruit of P. jamasakura in relation to phenology; (2) whether ingestion damages seeds; and (3) how ingestion inﬂuences seed germination. We assessed the relationship between the phenology of fruit maturation (size, sugar concentration, color, persistence, and germination percentage) and the feeding period of bears in the ﬁeld, as judged from bear shelves and claw marks. We also compared the germination percentage of seeds ingested by captive bears with that of uningested. Bears fed on the fruit from days 50 to 66 after ﬂowering, when most of the fruits were on the tree and became large, the germination percentage of seeds increased, and the sugar concentration became high. Bears fed only on mature fruits and so obtained high-quality nutrients. Germination tests showed that ingestion of fruits by the bears caused no physical damage to the seeds. Ingested seeds did not show a signiﬁcant diﬀerence in germination percentage from seeds, whose pulp was artiﬁcially removed. These results indicate that bears are potentially eﬀective dispersers from a qualitative perspective and, to some extent, from a quantitative perspective.","container-title":"Ecological Research","DOI":"10.1007/s11284-007-0399-3","ISSN":"0912-3814, 1440-1703","issue":"2","journalAbbreviation":"Ecol Res","language":"en","page":"385-392","source":"DOI.org (Crossref)","title":"Fruit phenology of Prunus jamasakura and the feeding habit of the Asiatic black bear as a seed disperser","volume":"23","author":[{"family":"Koike","given":"Shinsuke"},{"family":"Kasai","given":"Shinsuke"},{"family":"Yamazaki","given":"Koji"},{"family":"Furubayashi","given":"Kengo"}],"issued":{"date-parts":[["2008",3]]}}},{"id":5678,"uris":["http://zotero.org/users/10895328/items/JHN2D3YQ"],"itemData":{"id":5678,"type":"article-journal","abstract":"Resource tracking, where animals increase energy gain by moving to track phenological variation in resources across space, is emerging as a fundamental attribute of animal movement ecology. However, a theoretical framework to understand when and where resource tracking should occur, and how resource tracking should lead to emergent ecological patterns, is lacking. We present a framework that unites concepts from optimal foraging theory and landscape ecology, which can be used to generate and test predictions on how resource dynamics shape animal movement across taxa, systems, and scales. Consideration of the interplay between animal movement and resource dynamics not only advances ecological understanding but can also guide biodiversity conservation in an era of global change.","container-title":"Trends in Ecology &amp; Evolution","DOI":"https://doi.org/10.1016/j.tree.2020.10.018","ISSN":"0169-5347","issue":"4","journalAbbreviation":"Trends Ecol Evol","page":"308-320","title":"Emerging Perspectives on Resource Tracking and Animal Movement Ecology","volume":"36","author":[{"family":"Abrahms","given":"Briana"},{"family":"Aikens","given":"Ellen O."},{"family":"Armstrong","given":"Jonathan B."},{"family":"Deacy","given":"William W."},{"family":"Kauffman","given":"Matthew J."},{"family":"Merkle","given":"Jerod A."}],"issued":{"date-parts":[["2021",4,1]]}}}],"schema":"https://github.com/citation-style-language/schema/raw/master/csl-citation.json"} </w:instrText>
      </w:r>
      <w:r w:rsidR="00CE0776">
        <w:rPr>
          <w:rFonts w:eastAsia="Calibri"/>
          <w:kern w:val="0"/>
          <w:szCs w:val="24"/>
        </w:rPr>
        <w:fldChar w:fldCharType="separate"/>
      </w:r>
      <w:r w:rsidR="00FE59C5" w:rsidRPr="00FE59C5">
        <w:rPr>
          <w:rFonts w:eastAsia="Calibri"/>
        </w:rPr>
        <w:t>(Remis 1997, Koike et al. 2008, Abrahms et al. 2021)</w:t>
      </w:r>
      <w:r w:rsidR="00CE0776">
        <w:rPr>
          <w:rFonts w:eastAsia="Calibri"/>
          <w:kern w:val="0"/>
          <w:szCs w:val="24"/>
        </w:rPr>
        <w:fldChar w:fldCharType="end"/>
      </w:r>
      <w:r w:rsidR="006B5265">
        <w:rPr>
          <w:rFonts w:eastAsia="Calibri"/>
          <w:kern w:val="0"/>
          <w:szCs w:val="24"/>
        </w:rPr>
        <w:t xml:space="preserve">, but </w:t>
      </w:r>
      <w:r w:rsidR="00FE59C5">
        <w:rPr>
          <w:rFonts w:eastAsia="Calibri"/>
          <w:kern w:val="0"/>
          <w:szCs w:val="24"/>
        </w:rPr>
        <w:t xml:space="preserve">its implications for </w:t>
      </w:r>
      <w:r w:rsidR="00C009D0">
        <w:rPr>
          <w:rFonts w:eastAsia="Calibri"/>
          <w:kern w:val="0"/>
          <w:szCs w:val="24"/>
        </w:rPr>
        <w:t xml:space="preserve">community-wide </w:t>
      </w:r>
      <w:r w:rsidR="00FE59C5">
        <w:rPr>
          <w:rFonts w:eastAsia="Calibri"/>
          <w:kern w:val="0"/>
          <w:szCs w:val="24"/>
        </w:rPr>
        <w:t xml:space="preserve">seed dispersal are </w:t>
      </w:r>
      <w:r w:rsidR="00DC485D">
        <w:rPr>
          <w:rFonts w:eastAsia="Calibri"/>
          <w:kern w:val="0"/>
          <w:szCs w:val="24"/>
        </w:rPr>
        <w:t>important to consider</w:t>
      </w:r>
      <w:r w:rsidR="006B5265">
        <w:rPr>
          <w:rFonts w:eastAsia="Calibri"/>
          <w:kern w:val="0"/>
          <w:szCs w:val="24"/>
        </w:rPr>
        <w:t>.</w:t>
      </w:r>
    </w:p>
    <w:p w14:paraId="1305DB4F" w14:textId="2673D000" w:rsidR="00F94899" w:rsidRDefault="00F94899" w:rsidP="00F94899">
      <w:pPr>
        <w:spacing w:before="100" w:beforeAutospacing="1" w:after="100" w:afterAutospacing="1" w:line="480" w:lineRule="auto"/>
        <w:ind w:firstLine="720"/>
        <w:mirrorIndents/>
        <w:rPr>
          <w:rFonts w:eastAsia="Calibri"/>
          <w:kern w:val="0"/>
          <w:szCs w:val="24"/>
        </w:rPr>
      </w:pPr>
      <w:r>
        <w:rPr>
          <w:rFonts w:eastAsia="Calibri"/>
          <w:kern w:val="0"/>
          <w:szCs w:val="24"/>
        </w:rPr>
        <w:t xml:space="preserve">While dispersal syndromes alone may be unreliable for predicting </w:t>
      </w:r>
      <w:r w:rsidR="001617BA">
        <w:rPr>
          <w:rFonts w:eastAsia="Calibri"/>
          <w:kern w:val="0"/>
          <w:szCs w:val="24"/>
        </w:rPr>
        <w:t xml:space="preserve">animal-mediated </w:t>
      </w:r>
      <w:r w:rsidR="00402B76">
        <w:rPr>
          <w:rFonts w:eastAsia="Calibri"/>
          <w:kern w:val="0"/>
          <w:szCs w:val="24"/>
        </w:rPr>
        <w:t xml:space="preserve">seed </w:t>
      </w:r>
      <w:r w:rsidR="001617BA">
        <w:rPr>
          <w:rFonts w:eastAsia="Calibri"/>
          <w:kern w:val="0"/>
          <w:szCs w:val="24"/>
        </w:rPr>
        <w:t>dispersal</w:t>
      </w:r>
      <w:r>
        <w:rPr>
          <w:rFonts w:eastAsia="Calibri"/>
          <w:kern w:val="0"/>
          <w:szCs w:val="24"/>
        </w:rPr>
        <w:t xml:space="preserve"> </w:t>
      </w:r>
      <w:r>
        <w:rPr>
          <w:rFonts w:eastAsia="Calibri"/>
          <w:kern w:val="0"/>
          <w:szCs w:val="24"/>
        </w:rPr>
        <w:fldChar w:fldCharType="begin"/>
      </w:r>
      <w:r>
        <w:rPr>
          <w:rFonts w:eastAsia="Calibri"/>
          <w:kern w:val="0"/>
          <w:szCs w:val="24"/>
        </w:rPr>
        <w:instrText xml:space="preserve"> ADDIN ZOTERO_ITEM CSL_CITATION {"citationID":"PSK3SHTx","properties":{"formattedCitation":"(Green et al. 2021)","plainCitation":"(Green et al. 2021)","noteIndex":0},"citationItems":[{"id":7044,"uris":["http://zotero.org/users/10895328/items/UGGCXV7M"],"itemData":{"id":7044,"type":"article-journal","container-title":"Oikos","ISSN":"0030-1299","journalAbbreviation":"Oikos","title":"Plant dispersal syndromes are unreliable, especially for predicting zoochory and long‐distance dispersal","author":[{"family":"Green","given":"Andy J."},{"family":"Baltzinger","given":"Christophe"},{"family":"Lovas‐Kiss","given":"Ádám"}],"issued":{"date-parts":[["2021"]]}}}],"schema":"https://github.com/citation-style-language/schema/raw/master/csl-citation.json"} </w:instrText>
      </w:r>
      <w:r>
        <w:rPr>
          <w:rFonts w:eastAsia="Calibri"/>
          <w:kern w:val="0"/>
          <w:szCs w:val="24"/>
        </w:rPr>
        <w:fldChar w:fldCharType="separate"/>
      </w:r>
      <w:r w:rsidRPr="00411A6B">
        <w:rPr>
          <w:rFonts w:eastAsia="Calibri"/>
        </w:rPr>
        <w:t>(Green et al. 2021)</w:t>
      </w:r>
      <w:r>
        <w:rPr>
          <w:rFonts w:eastAsia="Calibri"/>
          <w:kern w:val="0"/>
          <w:szCs w:val="24"/>
        </w:rPr>
        <w:fldChar w:fldCharType="end"/>
      </w:r>
      <w:r>
        <w:rPr>
          <w:rFonts w:eastAsia="Calibri"/>
          <w:kern w:val="0"/>
          <w:szCs w:val="24"/>
        </w:rPr>
        <w:t>, the adaptation of fleshy fruits may</w:t>
      </w:r>
      <w:r w:rsidR="00F46B53">
        <w:rPr>
          <w:rFonts w:eastAsia="Calibri"/>
          <w:kern w:val="0"/>
          <w:szCs w:val="24"/>
        </w:rPr>
        <w:t xml:space="preserve"> indeed</w:t>
      </w:r>
      <w:r>
        <w:rPr>
          <w:rFonts w:eastAsia="Calibri"/>
          <w:kern w:val="0"/>
          <w:szCs w:val="24"/>
        </w:rPr>
        <w:t xml:space="preserve"> confer competitive advantages</w:t>
      </w:r>
      <w:r w:rsidR="00C009D0">
        <w:rPr>
          <w:rFonts w:eastAsia="Calibri"/>
          <w:kern w:val="0"/>
          <w:szCs w:val="24"/>
        </w:rPr>
        <w:t xml:space="preserve"> </w:t>
      </w:r>
      <w:r w:rsidR="00F46B53">
        <w:rPr>
          <w:rFonts w:eastAsia="Calibri"/>
          <w:kern w:val="0"/>
          <w:szCs w:val="24"/>
        </w:rPr>
        <w:t>by</w:t>
      </w:r>
      <w:r w:rsidR="00C009D0">
        <w:rPr>
          <w:rFonts w:eastAsia="Calibri"/>
          <w:kern w:val="0"/>
          <w:szCs w:val="24"/>
        </w:rPr>
        <w:t xml:space="preserve"> </w:t>
      </w:r>
      <w:r w:rsidRPr="00E67E54">
        <w:rPr>
          <w:rFonts w:eastAsia="Calibri"/>
          <w:kern w:val="0"/>
          <w:szCs w:val="24"/>
        </w:rPr>
        <w:t>not only increas</w:t>
      </w:r>
      <w:r w:rsidR="00DB35A9">
        <w:rPr>
          <w:rFonts w:eastAsia="Calibri"/>
          <w:kern w:val="0"/>
          <w:szCs w:val="24"/>
        </w:rPr>
        <w:t>ing</w:t>
      </w:r>
      <w:r w:rsidR="00402B76">
        <w:rPr>
          <w:rFonts w:eastAsia="Calibri"/>
          <w:kern w:val="0"/>
          <w:szCs w:val="24"/>
        </w:rPr>
        <w:t xml:space="preserve"> seed</w:t>
      </w:r>
      <w:r w:rsidRPr="00E67E54">
        <w:rPr>
          <w:rFonts w:eastAsia="Calibri"/>
          <w:kern w:val="0"/>
          <w:szCs w:val="24"/>
        </w:rPr>
        <w:t xml:space="preserve"> dispersal </w:t>
      </w:r>
      <w:r w:rsidR="00402B76">
        <w:rPr>
          <w:rFonts w:eastAsia="Calibri"/>
          <w:kern w:val="0"/>
          <w:szCs w:val="24"/>
        </w:rPr>
        <w:t>for</w:t>
      </w:r>
      <w:r>
        <w:rPr>
          <w:rFonts w:eastAsia="Calibri"/>
          <w:kern w:val="0"/>
          <w:szCs w:val="24"/>
        </w:rPr>
        <w:t xml:space="preserve"> </w:t>
      </w:r>
      <w:r w:rsidR="00F07151">
        <w:rPr>
          <w:rFonts w:eastAsia="Calibri"/>
          <w:kern w:val="0"/>
          <w:szCs w:val="24"/>
        </w:rPr>
        <w:t>fleshy-fruited</w:t>
      </w:r>
      <w:r w:rsidR="00402B76">
        <w:rPr>
          <w:rFonts w:eastAsia="Calibri"/>
          <w:kern w:val="0"/>
          <w:szCs w:val="24"/>
        </w:rPr>
        <w:t xml:space="preserve"> specie</w:t>
      </w:r>
      <w:r>
        <w:rPr>
          <w:rFonts w:eastAsia="Calibri"/>
          <w:kern w:val="0"/>
          <w:szCs w:val="24"/>
        </w:rPr>
        <w:t xml:space="preserve">s, </w:t>
      </w:r>
      <w:r w:rsidRPr="00E67E54">
        <w:rPr>
          <w:rFonts w:eastAsia="Calibri"/>
          <w:kern w:val="0"/>
          <w:szCs w:val="24"/>
        </w:rPr>
        <w:t xml:space="preserve">but </w:t>
      </w:r>
      <w:r w:rsidR="009C6033">
        <w:rPr>
          <w:rFonts w:eastAsia="Calibri"/>
          <w:kern w:val="0"/>
          <w:szCs w:val="24"/>
        </w:rPr>
        <w:t>decreas</w:t>
      </w:r>
      <w:r w:rsidR="00DB35A9">
        <w:rPr>
          <w:rFonts w:eastAsia="Calibri"/>
          <w:kern w:val="0"/>
          <w:szCs w:val="24"/>
        </w:rPr>
        <w:t>ing</w:t>
      </w:r>
      <w:r w:rsidRPr="00E67E54">
        <w:rPr>
          <w:rFonts w:eastAsia="Calibri"/>
          <w:kern w:val="0"/>
          <w:szCs w:val="24"/>
        </w:rPr>
        <w:t xml:space="preserve"> </w:t>
      </w:r>
      <w:r w:rsidR="00402B76">
        <w:rPr>
          <w:rFonts w:eastAsia="Calibri"/>
          <w:kern w:val="0"/>
          <w:szCs w:val="24"/>
        </w:rPr>
        <w:t>seed dispersal for</w:t>
      </w:r>
      <w:r w:rsidRPr="00E67E54">
        <w:rPr>
          <w:rFonts w:eastAsia="Calibri"/>
          <w:kern w:val="0"/>
          <w:szCs w:val="24"/>
        </w:rPr>
        <w:t xml:space="preserve"> competing s</w:t>
      </w:r>
      <w:r w:rsidR="00DB35A9">
        <w:rPr>
          <w:rFonts w:eastAsia="Calibri"/>
          <w:kern w:val="0"/>
          <w:szCs w:val="24"/>
        </w:rPr>
        <w:t>pecies that exhibit</w:t>
      </w:r>
      <w:r w:rsidRPr="00E67E54">
        <w:rPr>
          <w:rFonts w:eastAsia="Calibri"/>
          <w:kern w:val="0"/>
          <w:szCs w:val="24"/>
        </w:rPr>
        <w:t xml:space="preserve"> other syndromes</w:t>
      </w:r>
      <w:r>
        <w:rPr>
          <w:rFonts w:eastAsia="Calibri"/>
          <w:kern w:val="0"/>
          <w:szCs w:val="24"/>
        </w:rPr>
        <w:t>.</w:t>
      </w:r>
      <w:r w:rsidR="009C6033">
        <w:rPr>
          <w:rFonts w:eastAsia="Calibri"/>
          <w:kern w:val="0"/>
          <w:szCs w:val="24"/>
        </w:rPr>
        <w:t xml:space="preserve"> Interestingly, </w:t>
      </w:r>
      <w:r w:rsidR="00204BD4">
        <w:rPr>
          <w:rFonts w:eastAsia="Calibri"/>
          <w:kern w:val="0"/>
          <w:szCs w:val="24"/>
        </w:rPr>
        <w:t>the dispersal syndrome that was most strongly (negatively) affected by increased frugivory</w:t>
      </w:r>
      <w:r w:rsidR="00DB35A9">
        <w:rPr>
          <w:rFonts w:eastAsia="Calibri"/>
          <w:kern w:val="0"/>
          <w:szCs w:val="24"/>
        </w:rPr>
        <w:t xml:space="preserve"> in this study</w:t>
      </w:r>
      <w:r w:rsidR="00204BD4">
        <w:rPr>
          <w:rFonts w:eastAsia="Calibri"/>
          <w:kern w:val="0"/>
          <w:szCs w:val="24"/>
        </w:rPr>
        <w:t xml:space="preserve"> was the Foliage is the Fruit syndrome </w:t>
      </w:r>
      <w:r w:rsidR="00CB130C">
        <w:rPr>
          <w:rFonts w:eastAsia="Calibri"/>
          <w:kern w:val="0"/>
          <w:szCs w:val="24"/>
        </w:rPr>
        <w:fldChar w:fldCharType="begin"/>
      </w:r>
      <w:r w:rsidR="00CB130C">
        <w:rPr>
          <w:rFonts w:eastAsia="Calibri"/>
          <w:kern w:val="0"/>
          <w:szCs w:val="24"/>
        </w:rPr>
        <w:instrText xml:space="preserve"> ADDIN ZOTERO_ITEM CSL_CITATION {"citationID":"1rGROvXQ","properties":{"formattedCitation":"(Janzen 1984)","plainCitation":"(Janzen 1984)","noteIndex":0},"citationItems":[{"id":7443,"uris":["http://zotero.org/users/10895328/items/9A5PS2X2"],"itemData":{"id":7443,"type":"article-journal","container-title":"The American Naturalist","DOI":"10.1086/284208","ISSN":"0003-0147","issue":"3","page":"338-353","title":"Dispersal of Small Seeds by Big Herbivores: Foliage is the Fruit","volume":"123","author":[{"family":"Janzen","given":"D. H."}],"issued":{"date-parts":[["1984"]]}}}],"schema":"https://github.com/citation-style-language/schema/raw/master/csl-citation.json"} </w:instrText>
      </w:r>
      <w:r w:rsidR="00CB130C">
        <w:rPr>
          <w:rFonts w:eastAsia="Calibri"/>
          <w:kern w:val="0"/>
          <w:szCs w:val="24"/>
        </w:rPr>
        <w:fldChar w:fldCharType="separate"/>
      </w:r>
      <w:r w:rsidR="00CB130C" w:rsidRPr="00CB130C">
        <w:rPr>
          <w:rFonts w:eastAsia="Calibri"/>
        </w:rPr>
        <w:t>(Janzen 1984)</w:t>
      </w:r>
      <w:r w:rsidR="00CB130C">
        <w:rPr>
          <w:rFonts w:eastAsia="Calibri"/>
          <w:kern w:val="0"/>
          <w:szCs w:val="24"/>
        </w:rPr>
        <w:fldChar w:fldCharType="end"/>
      </w:r>
      <w:r w:rsidR="00204BD4">
        <w:rPr>
          <w:rFonts w:eastAsia="Calibri"/>
          <w:kern w:val="0"/>
          <w:szCs w:val="24"/>
        </w:rPr>
        <w:t>.</w:t>
      </w:r>
      <w:r w:rsidR="00CB130C">
        <w:rPr>
          <w:rFonts w:eastAsia="Calibri"/>
          <w:kern w:val="0"/>
          <w:szCs w:val="24"/>
        </w:rPr>
        <w:t xml:space="preserve"> This syndrome is </w:t>
      </w:r>
      <w:r w:rsidR="00DB35A9">
        <w:rPr>
          <w:rFonts w:eastAsia="Calibri"/>
          <w:kern w:val="0"/>
          <w:szCs w:val="24"/>
        </w:rPr>
        <w:t>suggested</w:t>
      </w:r>
      <w:r w:rsidR="00CB130C">
        <w:rPr>
          <w:rFonts w:eastAsia="Calibri"/>
          <w:kern w:val="0"/>
          <w:szCs w:val="24"/>
        </w:rPr>
        <w:t xml:space="preserve"> to have evolved</w:t>
      </w:r>
      <w:r w:rsidR="003B5D5C">
        <w:rPr>
          <w:rFonts w:eastAsia="Calibri"/>
          <w:kern w:val="0"/>
          <w:szCs w:val="24"/>
        </w:rPr>
        <w:t xml:space="preserve"> in many herbaceous </w:t>
      </w:r>
      <w:r w:rsidR="00DB35A9">
        <w:rPr>
          <w:rFonts w:eastAsia="Calibri"/>
          <w:kern w:val="0"/>
          <w:szCs w:val="24"/>
        </w:rPr>
        <w:t>plants</w:t>
      </w:r>
      <w:r w:rsidR="00CB130C">
        <w:rPr>
          <w:rFonts w:eastAsia="Calibri"/>
          <w:kern w:val="0"/>
          <w:szCs w:val="24"/>
        </w:rPr>
        <w:t xml:space="preserve"> </w:t>
      </w:r>
      <w:r w:rsidR="0019287A">
        <w:rPr>
          <w:rFonts w:eastAsia="Calibri"/>
          <w:kern w:val="0"/>
          <w:szCs w:val="24"/>
        </w:rPr>
        <w:t>to</w:t>
      </w:r>
      <w:r w:rsidR="00CB130C">
        <w:rPr>
          <w:rFonts w:eastAsia="Calibri"/>
          <w:kern w:val="0"/>
          <w:szCs w:val="24"/>
        </w:rPr>
        <w:t xml:space="preserve"> increas</w:t>
      </w:r>
      <w:r w:rsidR="0019287A">
        <w:rPr>
          <w:rFonts w:eastAsia="Calibri"/>
          <w:kern w:val="0"/>
          <w:szCs w:val="24"/>
        </w:rPr>
        <w:t xml:space="preserve">e </w:t>
      </w:r>
      <w:r w:rsidR="003B5D5C">
        <w:rPr>
          <w:rFonts w:eastAsia="Calibri"/>
          <w:kern w:val="0"/>
          <w:szCs w:val="24"/>
        </w:rPr>
        <w:t>ingestion of their seeds</w:t>
      </w:r>
      <w:r w:rsidR="0019287A">
        <w:rPr>
          <w:rFonts w:eastAsia="Calibri"/>
          <w:kern w:val="0"/>
          <w:szCs w:val="24"/>
        </w:rPr>
        <w:t xml:space="preserve"> </w:t>
      </w:r>
      <w:r w:rsidR="00CB130C">
        <w:rPr>
          <w:rFonts w:eastAsia="Calibri"/>
          <w:kern w:val="0"/>
          <w:szCs w:val="24"/>
        </w:rPr>
        <w:t>by large herbivores</w:t>
      </w:r>
      <w:r w:rsidR="003B5D5C">
        <w:rPr>
          <w:rFonts w:eastAsia="Calibri"/>
          <w:kern w:val="0"/>
          <w:szCs w:val="24"/>
        </w:rPr>
        <w:t>.</w:t>
      </w:r>
      <w:r w:rsidR="009070B5">
        <w:rPr>
          <w:rFonts w:eastAsia="Calibri"/>
          <w:kern w:val="0"/>
          <w:szCs w:val="24"/>
        </w:rPr>
        <w:t xml:space="preserve"> </w:t>
      </w:r>
      <w:r w:rsidR="003B5D5C">
        <w:rPr>
          <w:rFonts w:eastAsia="Calibri"/>
          <w:kern w:val="0"/>
          <w:szCs w:val="24"/>
        </w:rPr>
        <w:t>These plants</w:t>
      </w:r>
      <w:r w:rsidR="009070B5">
        <w:rPr>
          <w:rFonts w:eastAsia="Calibri"/>
          <w:kern w:val="0"/>
          <w:szCs w:val="24"/>
        </w:rPr>
        <w:t xml:space="preserve"> offer a nutriti</w:t>
      </w:r>
      <w:r w:rsidR="003B5D5C">
        <w:rPr>
          <w:rFonts w:eastAsia="Calibri"/>
          <w:kern w:val="0"/>
          <w:szCs w:val="24"/>
        </w:rPr>
        <w:t>ous</w:t>
      </w:r>
      <w:r w:rsidR="009070B5">
        <w:rPr>
          <w:rFonts w:eastAsia="Calibri"/>
          <w:kern w:val="0"/>
          <w:szCs w:val="24"/>
        </w:rPr>
        <w:t xml:space="preserve"> reward</w:t>
      </w:r>
      <w:r w:rsidR="003B5D5C">
        <w:rPr>
          <w:rFonts w:eastAsia="Calibri"/>
          <w:kern w:val="0"/>
          <w:szCs w:val="24"/>
        </w:rPr>
        <w:t xml:space="preserve"> of foliage </w:t>
      </w:r>
      <w:r w:rsidR="000635DD">
        <w:rPr>
          <w:rFonts w:eastAsia="Calibri"/>
          <w:kern w:val="0"/>
          <w:szCs w:val="24"/>
        </w:rPr>
        <w:t>that is contaminated with seeds</w:t>
      </w:r>
      <w:r w:rsidR="004011E9">
        <w:rPr>
          <w:rFonts w:eastAsia="Calibri"/>
          <w:kern w:val="0"/>
          <w:szCs w:val="24"/>
        </w:rPr>
        <w:t xml:space="preserve"> </w:t>
      </w:r>
      <w:proofErr w:type="gramStart"/>
      <w:r w:rsidR="004011E9">
        <w:rPr>
          <w:rFonts w:eastAsia="Calibri"/>
          <w:kern w:val="0"/>
          <w:szCs w:val="24"/>
        </w:rPr>
        <w:t>in order</w:t>
      </w:r>
      <w:r w:rsidR="000635DD">
        <w:rPr>
          <w:rFonts w:eastAsia="Calibri"/>
          <w:kern w:val="0"/>
          <w:szCs w:val="24"/>
        </w:rPr>
        <w:t xml:space="preserve"> </w:t>
      </w:r>
      <w:r w:rsidR="003B5D5C">
        <w:rPr>
          <w:rFonts w:eastAsia="Calibri"/>
          <w:kern w:val="0"/>
          <w:szCs w:val="24"/>
        </w:rPr>
        <w:t>to</w:t>
      </w:r>
      <w:proofErr w:type="gramEnd"/>
      <w:r w:rsidR="003B5D5C">
        <w:rPr>
          <w:rFonts w:eastAsia="Calibri"/>
          <w:kern w:val="0"/>
          <w:szCs w:val="24"/>
        </w:rPr>
        <w:t xml:space="preserve"> </w:t>
      </w:r>
      <w:r w:rsidR="009070B5">
        <w:rPr>
          <w:rFonts w:eastAsia="Calibri"/>
          <w:kern w:val="0"/>
          <w:szCs w:val="24"/>
        </w:rPr>
        <w:t xml:space="preserve">coax </w:t>
      </w:r>
      <w:r w:rsidR="003B5D5C">
        <w:rPr>
          <w:rFonts w:eastAsia="Calibri"/>
          <w:kern w:val="0"/>
          <w:szCs w:val="24"/>
        </w:rPr>
        <w:t xml:space="preserve">herbivores </w:t>
      </w:r>
      <w:r w:rsidR="009070B5">
        <w:rPr>
          <w:rFonts w:eastAsia="Calibri"/>
          <w:kern w:val="0"/>
          <w:szCs w:val="24"/>
        </w:rPr>
        <w:t xml:space="preserve">into </w:t>
      </w:r>
      <w:r w:rsidR="000635DD">
        <w:rPr>
          <w:rFonts w:eastAsia="Calibri"/>
          <w:kern w:val="0"/>
          <w:szCs w:val="24"/>
        </w:rPr>
        <w:t>dispersing their seeds</w:t>
      </w:r>
      <w:r w:rsidR="009070B5">
        <w:rPr>
          <w:rFonts w:eastAsia="Calibri"/>
          <w:kern w:val="0"/>
          <w:szCs w:val="24"/>
        </w:rPr>
        <w:t>.</w:t>
      </w:r>
      <w:r w:rsidR="003B5D5C">
        <w:rPr>
          <w:rFonts w:eastAsia="Calibri"/>
          <w:kern w:val="0"/>
          <w:szCs w:val="24"/>
        </w:rPr>
        <w:t xml:space="preserve"> </w:t>
      </w:r>
      <w:r w:rsidR="009521E9">
        <w:rPr>
          <w:rFonts w:eastAsia="Calibri"/>
          <w:kern w:val="0"/>
          <w:szCs w:val="24"/>
        </w:rPr>
        <w:t>This syndrome is</w:t>
      </w:r>
      <w:r w:rsidR="00533341">
        <w:rPr>
          <w:rFonts w:eastAsia="Calibri"/>
          <w:kern w:val="0"/>
          <w:szCs w:val="24"/>
        </w:rPr>
        <w:t xml:space="preserve"> </w:t>
      </w:r>
      <w:r w:rsidR="009521E9">
        <w:rPr>
          <w:rFonts w:eastAsia="Calibri"/>
          <w:kern w:val="0"/>
          <w:szCs w:val="24"/>
        </w:rPr>
        <w:t xml:space="preserve">prevalent </w:t>
      </w:r>
      <w:r w:rsidR="009C4F21">
        <w:rPr>
          <w:rFonts w:eastAsia="Calibri"/>
          <w:kern w:val="0"/>
          <w:szCs w:val="24"/>
        </w:rPr>
        <w:t xml:space="preserve">in </w:t>
      </w:r>
      <w:r w:rsidR="00D04F3E">
        <w:rPr>
          <w:rFonts w:eastAsia="Calibri"/>
          <w:kern w:val="0"/>
          <w:szCs w:val="24"/>
        </w:rPr>
        <w:t xml:space="preserve">the </w:t>
      </w:r>
      <w:proofErr w:type="spellStart"/>
      <w:r w:rsidR="009C4F21">
        <w:rPr>
          <w:rFonts w:eastAsia="Calibri"/>
          <w:kern w:val="0"/>
          <w:szCs w:val="24"/>
        </w:rPr>
        <w:t>Poaceae</w:t>
      </w:r>
      <w:proofErr w:type="spellEnd"/>
      <w:r w:rsidR="009C4F21">
        <w:rPr>
          <w:rFonts w:eastAsia="Calibri"/>
          <w:kern w:val="0"/>
          <w:szCs w:val="24"/>
        </w:rPr>
        <w:t xml:space="preserve"> </w:t>
      </w:r>
      <w:r w:rsidR="00D04F3E">
        <w:rPr>
          <w:rFonts w:eastAsia="Calibri"/>
          <w:kern w:val="0"/>
          <w:szCs w:val="24"/>
        </w:rPr>
        <w:t>plant family</w:t>
      </w:r>
      <w:r w:rsidR="009521E9">
        <w:rPr>
          <w:rFonts w:eastAsia="Calibri"/>
          <w:kern w:val="0"/>
          <w:szCs w:val="24"/>
        </w:rPr>
        <w:t xml:space="preserve"> </w:t>
      </w:r>
      <w:r w:rsidR="005D33C9">
        <w:rPr>
          <w:rFonts w:eastAsia="Calibri"/>
          <w:kern w:val="0"/>
          <w:szCs w:val="24"/>
        </w:rPr>
        <w:t>and</w:t>
      </w:r>
      <w:r w:rsidR="00D04F3E">
        <w:rPr>
          <w:rFonts w:eastAsia="Calibri"/>
          <w:kern w:val="0"/>
          <w:szCs w:val="24"/>
        </w:rPr>
        <w:t xml:space="preserve"> is</w:t>
      </w:r>
      <w:r w:rsidR="005D33C9">
        <w:rPr>
          <w:rFonts w:eastAsia="Calibri"/>
          <w:kern w:val="0"/>
          <w:szCs w:val="24"/>
        </w:rPr>
        <w:t xml:space="preserve"> </w:t>
      </w:r>
      <w:r w:rsidR="00981A8D">
        <w:rPr>
          <w:rFonts w:eastAsia="Calibri"/>
          <w:kern w:val="0"/>
          <w:szCs w:val="24"/>
        </w:rPr>
        <w:t xml:space="preserve">found in </w:t>
      </w:r>
      <w:r w:rsidR="00D04F3E">
        <w:rPr>
          <w:rFonts w:eastAsia="Calibri"/>
          <w:kern w:val="0"/>
          <w:szCs w:val="24"/>
        </w:rPr>
        <w:t>species of</w:t>
      </w:r>
      <w:r w:rsidR="005D33C9">
        <w:rPr>
          <w:rFonts w:eastAsia="Calibri"/>
          <w:kern w:val="0"/>
          <w:szCs w:val="24"/>
        </w:rPr>
        <w:t xml:space="preserve"> Fabaceae</w:t>
      </w:r>
      <w:r w:rsidR="00D851A0">
        <w:rPr>
          <w:rFonts w:eastAsia="Calibri"/>
          <w:kern w:val="0"/>
          <w:szCs w:val="24"/>
        </w:rPr>
        <w:t xml:space="preserve"> </w:t>
      </w:r>
      <w:r w:rsidR="00D851A0">
        <w:rPr>
          <w:rFonts w:eastAsia="Calibri"/>
          <w:kern w:val="0"/>
          <w:szCs w:val="24"/>
        </w:rPr>
        <w:fldChar w:fldCharType="begin"/>
      </w:r>
      <w:r w:rsidR="00D851A0">
        <w:rPr>
          <w:rFonts w:eastAsia="Calibri"/>
          <w:kern w:val="0"/>
          <w:szCs w:val="24"/>
        </w:rPr>
        <w:instrText xml:space="preserve"> ADDIN ZOTERO_ITEM CSL_CITATION {"citationID":"Ir0AOGpM","properties":{"formattedCitation":"(Janzen 1984)","plainCitation":"(Janzen 1984)","noteIndex":0},"citationItems":[{"id":7443,"uris":["http://zotero.org/users/10895328/items/9A5PS2X2"],"itemData":{"id":7443,"type":"article-journal","container-title":"The American Naturalist","DOI":"10.1086/284208","ISSN":"0003-0147","issue":"3","page":"338-353","title":"Dispersal of Small Seeds by Big Herbivores: Foliage is the Fruit","volume":"123","author":[{"family":"Janzen","given":"D. H."}],"issued":{"date-parts":[["1984"]]}}}],"schema":"https://github.com/citation-style-language/schema/raw/master/csl-citation.json"} </w:instrText>
      </w:r>
      <w:r w:rsidR="00D851A0">
        <w:rPr>
          <w:rFonts w:eastAsia="Calibri"/>
          <w:kern w:val="0"/>
          <w:szCs w:val="24"/>
        </w:rPr>
        <w:fldChar w:fldCharType="separate"/>
      </w:r>
      <w:r w:rsidR="00D851A0" w:rsidRPr="00D851A0">
        <w:rPr>
          <w:rFonts w:eastAsia="Calibri"/>
        </w:rPr>
        <w:t>(Janzen 1984)</w:t>
      </w:r>
      <w:r w:rsidR="00D851A0">
        <w:rPr>
          <w:rFonts w:eastAsia="Calibri"/>
          <w:kern w:val="0"/>
          <w:szCs w:val="24"/>
        </w:rPr>
        <w:fldChar w:fldCharType="end"/>
      </w:r>
      <w:r w:rsidR="009C4F21">
        <w:rPr>
          <w:rFonts w:eastAsia="Calibri"/>
          <w:kern w:val="0"/>
          <w:szCs w:val="24"/>
        </w:rPr>
        <w:t xml:space="preserve">. </w:t>
      </w:r>
      <w:r w:rsidR="004011E9">
        <w:rPr>
          <w:rFonts w:eastAsia="Calibri"/>
          <w:kern w:val="0"/>
          <w:szCs w:val="24"/>
        </w:rPr>
        <w:t>Considering that both</w:t>
      </w:r>
      <w:r w:rsidR="009C4F21">
        <w:rPr>
          <w:rFonts w:eastAsia="Calibri"/>
          <w:kern w:val="0"/>
          <w:szCs w:val="24"/>
        </w:rPr>
        <w:t xml:space="preserve"> </w:t>
      </w:r>
      <w:r w:rsidR="004011E9">
        <w:rPr>
          <w:rFonts w:eastAsia="Calibri"/>
          <w:kern w:val="0"/>
          <w:szCs w:val="24"/>
        </w:rPr>
        <w:t>plant families</w:t>
      </w:r>
      <w:r w:rsidR="00533341">
        <w:rPr>
          <w:rFonts w:eastAsia="Calibri"/>
          <w:kern w:val="0"/>
          <w:szCs w:val="24"/>
        </w:rPr>
        <w:t xml:space="preserve"> are important</w:t>
      </w:r>
      <w:r w:rsidR="00D04F3E">
        <w:rPr>
          <w:rFonts w:eastAsia="Calibri"/>
          <w:kern w:val="0"/>
          <w:szCs w:val="24"/>
        </w:rPr>
        <w:t xml:space="preserve"> </w:t>
      </w:r>
      <w:r w:rsidR="00981A8D">
        <w:rPr>
          <w:rFonts w:eastAsia="Calibri"/>
          <w:kern w:val="0"/>
          <w:szCs w:val="24"/>
        </w:rPr>
        <w:t>in</w:t>
      </w:r>
      <w:r w:rsidR="00533341">
        <w:rPr>
          <w:rFonts w:eastAsia="Calibri"/>
          <w:kern w:val="0"/>
          <w:szCs w:val="24"/>
        </w:rPr>
        <w:t xml:space="preserve"> the gopher tortoise diet </w:t>
      </w:r>
      <w:r w:rsidR="00533341">
        <w:rPr>
          <w:rFonts w:eastAsia="Calibri"/>
          <w:kern w:val="0"/>
          <w:szCs w:val="24"/>
        </w:rPr>
        <w:fldChar w:fldCharType="begin"/>
      </w:r>
      <w:r w:rsidR="00533341">
        <w:rPr>
          <w:rFonts w:eastAsia="Calibri"/>
          <w:kern w:val="0"/>
          <w:szCs w:val="24"/>
        </w:rPr>
        <w:instrText xml:space="preserve"> ADDIN ZOTERO_ITEM CSL_CITATION {"citationID":"1hcxHwNB","properties":{"formattedCitation":"(Birkhead et al. 2005, Ashton and Ashton 2008, Figueroa et al. 2021)","plainCitation":"(Birkhead et al. 2005, Ashton and Ashton 2008, Figueroa et al. 2021)","noteIndex":0},"citationItems":[{"id":5996,"uris":["http://zotero.org/users/10895328/items/L92EB6L7"],"itemData":{"id":5996,"type":"article-journal","abstract":"This study documents the ingestion of leaves and seeds by gopher tortoises (Gopherus polyphemus) in a relatively intact pine savanna habitat. Fifty-three species of seeds were identified. Species richness of seeds ingested was highest during spring and fall and was lowest during summer. Grass seed and foliage were consumed consistently by tortoises throughout the year. Despite being found in only 12% of all scats, Rubus seed comprised half of all seeds recovered. Based on seeds in scats, tortoises ingested the fruits of plants in the same proportions in which the plants occurred immediately around active burrows. Although some kinds of leaves were less prevalent in scats than predicted by their availability near active tortoise burrows, this may have occurred because these leaves were digested and, therefore unrecognizable in scats. The role of the gopher tortoise as a generalist herbivore and an opportunistic frugivore was confirmed.","container-title":"American Midland Naturalist","DOI":"Doi 10.1674/0003-0031(2005)154[0143:Pofasi]2.0.Co;2","ISSN":"0003-0031","issue":"1","journalAbbreviation":"Am Midl Nat","language":"English","page":"143-151","title":"Patterns of folivory and seed ingestion by gopher tortoises (Gopherus polyphemus) in a southeastern pine savanna","volume":"154","author":[{"family":"Birkhead","given":"R. D."},{"family":"Guyer","given":"C."},{"family":"Hermann","given":"S. M."},{"family":"Michener","given":"W. K."}],"issued":{"date-parts":[["2005",7]]}}},{"id":5804,"uris":["http://zotero.org/users/10895328/items/SICXYKIJ"],"itemData":{"id":5804,"type":"article-journal","container-title":"Gopherus polyphemus","page":"65-93","title":"The Natural History and Management of the Gopher Tortoise","author":[{"family":"Ashton","given":"Ray E."},{"family":"Ashton","given":"Patricia S."}],"issued":{"date-parts":[["2008"]]}}},{"id":6757,"uris":["http://zotero.org/users/10895328/items/5KWT8IAL"],"itemData":{"id":6757,"type":"article-journal","container-title":"Chelonian Conservation and Biology","issue":"1","license":"Creative Commons Attribution 4.0 International License (CC-BY)","page":"27-34, 8","title":"Seed Consumption by Gopher Tortoises (Gopherus polyphemus) in the Globally Imperiled Pine Rockland Ecosystem of Southern Florida, USA","volume":"20","author":[{"family":"Figueroa","given":"Adrian"},{"family":"Lange","given":"James"},{"family":"Whitfield","given":"Steven M."}],"issued":{"date-parts":[["2021"]]}}}],"schema":"https://github.com/citation-style-language/schema/raw/master/csl-citation.json"} </w:instrText>
      </w:r>
      <w:r w:rsidR="00533341">
        <w:rPr>
          <w:rFonts w:eastAsia="Calibri"/>
          <w:kern w:val="0"/>
          <w:szCs w:val="24"/>
        </w:rPr>
        <w:fldChar w:fldCharType="separate"/>
      </w:r>
      <w:r w:rsidR="00533341" w:rsidRPr="00533341">
        <w:rPr>
          <w:rFonts w:eastAsia="Calibri"/>
        </w:rPr>
        <w:t>(Birkhead et al. 2005, Ashton and Ashton 2008, Figueroa et al. 2021)</w:t>
      </w:r>
      <w:r w:rsidR="00533341">
        <w:rPr>
          <w:rFonts w:eastAsia="Calibri"/>
          <w:kern w:val="0"/>
          <w:szCs w:val="24"/>
        </w:rPr>
        <w:fldChar w:fldCharType="end"/>
      </w:r>
      <w:r w:rsidR="00DB1DB4">
        <w:rPr>
          <w:rFonts w:eastAsia="Calibri"/>
          <w:kern w:val="0"/>
          <w:szCs w:val="24"/>
        </w:rPr>
        <w:t xml:space="preserve">, the insights from this study could have broad implications for better understanding the seed dispersal </w:t>
      </w:r>
      <w:r w:rsidR="00DB1DB4">
        <w:rPr>
          <w:rFonts w:eastAsia="Calibri"/>
          <w:kern w:val="0"/>
          <w:szCs w:val="24"/>
        </w:rPr>
        <w:lastRenderedPageBreak/>
        <w:t>ecology of seeds exhibiting this syndrome.</w:t>
      </w:r>
    </w:p>
    <w:p w14:paraId="024BCF5B" w14:textId="3501069D" w:rsidR="00194558" w:rsidRPr="00194558" w:rsidRDefault="00846677" w:rsidP="00EF2B0D">
      <w:pPr>
        <w:spacing w:before="100" w:beforeAutospacing="1" w:after="100" w:afterAutospacing="1" w:line="480" w:lineRule="auto"/>
        <w:ind w:firstLine="720"/>
        <w:mirrorIndents/>
        <w:rPr>
          <w:rFonts w:eastAsia="Calibri"/>
          <w:kern w:val="0"/>
          <w:szCs w:val="24"/>
        </w:rPr>
      </w:pPr>
      <w:r>
        <w:rPr>
          <w:rFonts w:eastAsia="Calibri"/>
          <w:kern w:val="0"/>
          <w:szCs w:val="24"/>
        </w:rPr>
        <w:t>A</w:t>
      </w:r>
      <w:r w:rsidRPr="00194558">
        <w:rPr>
          <w:rFonts w:eastAsia="Calibri"/>
          <w:kern w:val="0"/>
          <w:szCs w:val="24"/>
        </w:rPr>
        <w:t>lthough</w:t>
      </w:r>
      <w:r>
        <w:rPr>
          <w:rFonts w:eastAsia="Calibri"/>
          <w:kern w:val="0"/>
          <w:szCs w:val="24"/>
        </w:rPr>
        <w:t xml:space="preserve"> the</w:t>
      </w:r>
      <w:r w:rsidRPr="00194558">
        <w:rPr>
          <w:rFonts w:eastAsia="Calibri"/>
          <w:kern w:val="0"/>
          <w:szCs w:val="24"/>
        </w:rPr>
        <w:t xml:space="preserve"> gopher tortoise exhibit</w:t>
      </w:r>
      <w:r>
        <w:rPr>
          <w:rFonts w:eastAsia="Calibri"/>
          <w:kern w:val="0"/>
          <w:szCs w:val="24"/>
        </w:rPr>
        <w:t>s</w:t>
      </w:r>
      <w:r w:rsidRPr="00194558">
        <w:rPr>
          <w:rFonts w:eastAsia="Calibri"/>
          <w:kern w:val="0"/>
          <w:szCs w:val="24"/>
        </w:rPr>
        <w:t xml:space="preserve"> flexibility in </w:t>
      </w:r>
      <w:r>
        <w:rPr>
          <w:rFonts w:eastAsia="Calibri"/>
          <w:kern w:val="0"/>
          <w:szCs w:val="24"/>
        </w:rPr>
        <w:t>its</w:t>
      </w:r>
      <w:r w:rsidRPr="00194558">
        <w:rPr>
          <w:rFonts w:eastAsia="Calibri"/>
          <w:kern w:val="0"/>
          <w:szCs w:val="24"/>
        </w:rPr>
        <w:t xml:space="preserve"> diet</w:t>
      </w:r>
      <w:r>
        <w:rPr>
          <w:rFonts w:eastAsia="Calibri"/>
          <w:kern w:val="0"/>
          <w:szCs w:val="24"/>
        </w:rPr>
        <w:t xml:space="preserve"> </w:t>
      </w:r>
      <w:r w:rsidR="00B308D1">
        <w:rPr>
          <w:rFonts w:eastAsia="Calibri"/>
          <w:kern w:val="0"/>
          <w:szCs w:val="24"/>
        </w:rPr>
        <w:fldChar w:fldCharType="begin"/>
      </w:r>
      <w:r w:rsidR="00B308D1">
        <w:rPr>
          <w:rFonts w:eastAsia="Calibri"/>
          <w:kern w:val="0"/>
          <w:szCs w:val="24"/>
        </w:rPr>
        <w:instrText xml:space="preserve"> ADDIN ZOTERO_ITEM CSL_CITATION {"citationID":"SgvOzwFD","properties":{"formattedCitation":"(Ashton and Ashton 2008)","plainCitation":"(Ashton and Ashton 2008)","noteIndex":0},"citationItems":[{"id":5804,"uris":["http://zotero.org/users/10895328/items/SICXYKIJ"],"itemData":{"id":5804,"type":"article-journal","container-title":"Gopherus polyphemus","page":"65-93","title":"The Natural History and Management of the Gopher Tortoise","author":[{"family":"Ashton","given":"Ray E."},{"family":"Ashton","given":"Patricia S."}],"issued":{"date-parts":[["2008"]]}}}],"schema":"https://github.com/citation-style-language/schema/raw/master/csl-citation.json"} </w:instrText>
      </w:r>
      <w:r w:rsidR="00B308D1">
        <w:rPr>
          <w:rFonts w:eastAsia="Calibri"/>
          <w:kern w:val="0"/>
          <w:szCs w:val="24"/>
        </w:rPr>
        <w:fldChar w:fldCharType="separate"/>
      </w:r>
      <w:r w:rsidR="00B308D1" w:rsidRPr="00B308D1">
        <w:rPr>
          <w:rFonts w:eastAsia="Calibri"/>
        </w:rPr>
        <w:t>(Ashton and Ashton 2008)</w:t>
      </w:r>
      <w:r w:rsidR="00B308D1">
        <w:rPr>
          <w:rFonts w:eastAsia="Calibri"/>
          <w:kern w:val="0"/>
          <w:szCs w:val="24"/>
        </w:rPr>
        <w:fldChar w:fldCharType="end"/>
      </w:r>
      <w:r w:rsidRPr="00194558">
        <w:rPr>
          <w:rFonts w:eastAsia="Calibri"/>
          <w:kern w:val="0"/>
          <w:szCs w:val="24"/>
        </w:rPr>
        <w:t xml:space="preserve">, </w:t>
      </w:r>
      <w:r w:rsidR="00697747">
        <w:rPr>
          <w:rFonts w:eastAsia="Calibri"/>
          <w:kern w:val="0"/>
          <w:szCs w:val="24"/>
        </w:rPr>
        <w:t>its</w:t>
      </w:r>
      <w:r w:rsidRPr="00194558">
        <w:rPr>
          <w:rFonts w:eastAsia="Calibri"/>
          <w:kern w:val="0"/>
          <w:szCs w:val="24"/>
        </w:rPr>
        <w:t xml:space="preserve"> effectiveness as</w:t>
      </w:r>
      <w:r>
        <w:rPr>
          <w:rFonts w:eastAsia="Calibri"/>
          <w:kern w:val="0"/>
          <w:szCs w:val="24"/>
        </w:rPr>
        <w:t xml:space="preserve"> a seed</w:t>
      </w:r>
      <w:r w:rsidRPr="00194558">
        <w:rPr>
          <w:rFonts w:eastAsia="Calibri"/>
          <w:kern w:val="0"/>
          <w:szCs w:val="24"/>
        </w:rPr>
        <w:t xml:space="preserve"> disperser for </w:t>
      </w:r>
      <w:r w:rsidR="00697747">
        <w:rPr>
          <w:rFonts w:eastAsia="Calibri"/>
          <w:kern w:val="0"/>
          <w:szCs w:val="24"/>
        </w:rPr>
        <w:t>various</w:t>
      </w:r>
      <w:r w:rsidRPr="00194558">
        <w:rPr>
          <w:rFonts w:eastAsia="Calibri"/>
          <w:kern w:val="0"/>
          <w:szCs w:val="24"/>
        </w:rPr>
        <w:t xml:space="preserve"> plant syndromes is enhanced when </w:t>
      </w:r>
      <w:r w:rsidR="00B308D1">
        <w:rPr>
          <w:rFonts w:eastAsia="Calibri"/>
          <w:kern w:val="0"/>
          <w:szCs w:val="24"/>
        </w:rPr>
        <w:t>it</w:t>
      </w:r>
      <w:r w:rsidRPr="00194558">
        <w:rPr>
          <w:rFonts w:eastAsia="Calibri"/>
          <w:kern w:val="0"/>
          <w:szCs w:val="24"/>
        </w:rPr>
        <w:t xml:space="preserve"> consume</w:t>
      </w:r>
      <w:r w:rsidR="00B308D1">
        <w:rPr>
          <w:rFonts w:eastAsia="Calibri"/>
          <w:kern w:val="0"/>
          <w:szCs w:val="24"/>
        </w:rPr>
        <w:t>s</w:t>
      </w:r>
      <w:r w:rsidRPr="00194558">
        <w:rPr>
          <w:rFonts w:eastAsia="Calibri"/>
          <w:kern w:val="0"/>
          <w:szCs w:val="24"/>
        </w:rPr>
        <w:t xml:space="preserve"> more</w:t>
      </w:r>
      <w:r w:rsidR="00B308D1">
        <w:rPr>
          <w:rFonts w:eastAsia="Calibri"/>
          <w:kern w:val="0"/>
          <w:szCs w:val="24"/>
        </w:rPr>
        <w:t xml:space="preserve"> fleshy</w:t>
      </w:r>
      <w:r w:rsidRPr="00194558">
        <w:rPr>
          <w:rFonts w:eastAsia="Calibri"/>
          <w:kern w:val="0"/>
          <w:szCs w:val="24"/>
        </w:rPr>
        <w:t xml:space="preserve"> fruits. The significant results from the PERMANOVA and subsequent analyses underscore the distinct differences in the plant syndromes dispersed across varying levels of frugivory.</w:t>
      </w:r>
      <w:r w:rsidR="000853E9">
        <w:rPr>
          <w:rFonts w:eastAsia="Calibri"/>
          <w:kern w:val="0"/>
          <w:szCs w:val="24"/>
        </w:rPr>
        <w:t xml:space="preserve"> </w:t>
      </w:r>
      <w:r w:rsidR="00194558" w:rsidRPr="00194558">
        <w:rPr>
          <w:rFonts w:eastAsia="Calibri"/>
          <w:kern w:val="0"/>
          <w:szCs w:val="24"/>
        </w:rPr>
        <w:t>Our study demonstrates that as gopher tortoise become</w:t>
      </w:r>
      <w:r w:rsidR="007C0586">
        <w:rPr>
          <w:rFonts w:eastAsia="Calibri"/>
          <w:kern w:val="0"/>
          <w:szCs w:val="24"/>
        </w:rPr>
        <w:t>s</w:t>
      </w:r>
      <w:r w:rsidR="00194558" w:rsidRPr="00194558">
        <w:rPr>
          <w:rFonts w:eastAsia="Calibri"/>
          <w:kern w:val="0"/>
          <w:szCs w:val="24"/>
        </w:rPr>
        <w:t xml:space="preserve"> more frugivorous, </w:t>
      </w:r>
      <w:r w:rsidR="007C0586">
        <w:rPr>
          <w:rFonts w:eastAsia="Calibri"/>
          <w:kern w:val="0"/>
          <w:szCs w:val="24"/>
        </w:rPr>
        <w:t>its</w:t>
      </w:r>
      <w:r w:rsidR="00194558" w:rsidRPr="00194558">
        <w:rPr>
          <w:rFonts w:eastAsia="Calibri"/>
          <w:kern w:val="0"/>
          <w:szCs w:val="24"/>
        </w:rPr>
        <w:t xml:space="preserve"> </w:t>
      </w:r>
      <w:r w:rsidR="00697747">
        <w:rPr>
          <w:rFonts w:eastAsia="Calibri"/>
          <w:kern w:val="0"/>
          <w:szCs w:val="24"/>
        </w:rPr>
        <w:t xml:space="preserve">functional </w:t>
      </w:r>
      <w:r w:rsidR="00194558" w:rsidRPr="00194558">
        <w:rPr>
          <w:rFonts w:eastAsia="Calibri"/>
          <w:kern w:val="0"/>
          <w:szCs w:val="24"/>
        </w:rPr>
        <w:t xml:space="preserve">role as </w:t>
      </w:r>
      <w:r w:rsidR="007C0586">
        <w:rPr>
          <w:rFonts w:eastAsia="Calibri"/>
          <w:kern w:val="0"/>
          <w:szCs w:val="24"/>
        </w:rPr>
        <w:t xml:space="preserve">a </w:t>
      </w:r>
      <w:r w:rsidR="00194558" w:rsidRPr="00194558">
        <w:rPr>
          <w:rFonts w:eastAsia="Calibri"/>
          <w:kern w:val="0"/>
          <w:szCs w:val="24"/>
        </w:rPr>
        <w:t xml:space="preserve">seed disperser shifts </w:t>
      </w:r>
      <w:r w:rsidR="00C25F4E">
        <w:rPr>
          <w:rFonts w:eastAsia="Calibri"/>
          <w:kern w:val="0"/>
          <w:szCs w:val="24"/>
        </w:rPr>
        <w:t>substantially</w:t>
      </w:r>
      <w:r w:rsidR="00194558" w:rsidRPr="00194558">
        <w:rPr>
          <w:rFonts w:eastAsia="Calibri"/>
          <w:kern w:val="0"/>
          <w:szCs w:val="24"/>
        </w:rPr>
        <w:t xml:space="preserve">. At high levels of frugivory, the </w:t>
      </w:r>
      <w:r w:rsidR="00697747">
        <w:rPr>
          <w:rFonts w:eastAsia="Calibri"/>
          <w:kern w:val="0"/>
          <w:szCs w:val="24"/>
        </w:rPr>
        <w:t>gopher tortoise</w:t>
      </w:r>
      <w:r w:rsidR="00194558" w:rsidRPr="00194558">
        <w:rPr>
          <w:rFonts w:eastAsia="Calibri"/>
          <w:kern w:val="0"/>
          <w:szCs w:val="24"/>
        </w:rPr>
        <w:t xml:space="preserve"> </w:t>
      </w:r>
      <w:r w:rsidR="003A2F39">
        <w:rPr>
          <w:rFonts w:eastAsia="Calibri"/>
          <w:kern w:val="0"/>
          <w:szCs w:val="24"/>
        </w:rPr>
        <w:t xml:space="preserve">not only </w:t>
      </w:r>
      <w:r w:rsidR="000853E9">
        <w:rPr>
          <w:rFonts w:eastAsia="Calibri"/>
          <w:kern w:val="0"/>
          <w:szCs w:val="24"/>
        </w:rPr>
        <w:t>primarily</w:t>
      </w:r>
      <w:r w:rsidR="00194558" w:rsidRPr="00194558">
        <w:rPr>
          <w:rFonts w:eastAsia="Calibri"/>
          <w:kern w:val="0"/>
          <w:szCs w:val="24"/>
        </w:rPr>
        <w:t xml:space="preserve"> disperse</w:t>
      </w:r>
      <w:r w:rsidR="00697747">
        <w:rPr>
          <w:rFonts w:eastAsia="Calibri"/>
          <w:kern w:val="0"/>
          <w:szCs w:val="24"/>
        </w:rPr>
        <w:t>s</w:t>
      </w:r>
      <w:r w:rsidR="00194558" w:rsidRPr="00194558">
        <w:rPr>
          <w:rFonts w:eastAsia="Calibri"/>
          <w:kern w:val="0"/>
          <w:szCs w:val="24"/>
        </w:rPr>
        <w:t xml:space="preserve"> seeds with the Endozoochory syndrome,</w:t>
      </w:r>
      <w:r w:rsidR="003A2F39">
        <w:rPr>
          <w:rFonts w:eastAsia="Calibri"/>
          <w:kern w:val="0"/>
          <w:szCs w:val="24"/>
        </w:rPr>
        <w:t xml:space="preserve"> but drastically reduce </w:t>
      </w:r>
      <w:r w:rsidR="007C0586">
        <w:rPr>
          <w:rFonts w:eastAsia="Calibri"/>
          <w:kern w:val="0"/>
          <w:szCs w:val="24"/>
        </w:rPr>
        <w:t>the seeds they disperse that exhibit the Foliage is the Fruit syndrome. Th</w:t>
      </w:r>
      <w:r w:rsidR="000853E9">
        <w:rPr>
          <w:rFonts w:eastAsia="Calibri"/>
          <w:kern w:val="0"/>
          <w:szCs w:val="24"/>
        </w:rPr>
        <w:t>ese</w:t>
      </w:r>
      <w:r w:rsidR="007C0586">
        <w:rPr>
          <w:rFonts w:eastAsia="Calibri"/>
          <w:kern w:val="0"/>
          <w:szCs w:val="24"/>
        </w:rPr>
        <w:t xml:space="preserve"> observation</w:t>
      </w:r>
      <w:r w:rsidR="000853E9">
        <w:rPr>
          <w:rFonts w:eastAsia="Calibri"/>
          <w:kern w:val="0"/>
          <w:szCs w:val="24"/>
        </w:rPr>
        <w:t>s</w:t>
      </w:r>
      <w:r w:rsidR="007C0586">
        <w:rPr>
          <w:rFonts w:eastAsia="Calibri"/>
          <w:kern w:val="0"/>
          <w:szCs w:val="24"/>
        </w:rPr>
        <w:t xml:space="preserve"> not only suggest a shift in foraging strategy, but a</w:t>
      </w:r>
      <w:r w:rsidR="00194558" w:rsidRPr="00194558">
        <w:rPr>
          <w:rFonts w:eastAsia="Calibri"/>
          <w:kern w:val="0"/>
          <w:szCs w:val="24"/>
        </w:rPr>
        <w:t xml:space="preserve"> functional shift towards a </w:t>
      </w:r>
      <w:r w:rsidR="00D17629" w:rsidRPr="00194558">
        <w:rPr>
          <w:rFonts w:eastAsia="Calibri"/>
          <w:kern w:val="0"/>
          <w:szCs w:val="24"/>
        </w:rPr>
        <w:t xml:space="preserve">role </w:t>
      </w:r>
      <w:r w:rsidR="00D17629">
        <w:rPr>
          <w:rFonts w:eastAsia="Calibri"/>
          <w:kern w:val="0"/>
          <w:szCs w:val="24"/>
        </w:rPr>
        <w:t>better characterized as that of a classical</w:t>
      </w:r>
      <w:r w:rsidR="00194558" w:rsidRPr="00194558">
        <w:rPr>
          <w:rFonts w:eastAsia="Calibri"/>
          <w:kern w:val="0"/>
          <w:szCs w:val="24"/>
        </w:rPr>
        <w:t xml:space="preserve"> frugivor</w:t>
      </w:r>
      <w:r w:rsidR="00D17629">
        <w:rPr>
          <w:rFonts w:eastAsia="Calibri"/>
          <w:kern w:val="0"/>
          <w:szCs w:val="24"/>
        </w:rPr>
        <w:t>e</w:t>
      </w:r>
      <w:r w:rsidR="00C25F4E">
        <w:rPr>
          <w:rFonts w:eastAsia="Calibri"/>
          <w:kern w:val="0"/>
          <w:szCs w:val="24"/>
        </w:rPr>
        <w:t xml:space="preserve"> </w:t>
      </w:r>
      <w:r w:rsidR="00C25F4E">
        <w:rPr>
          <w:rFonts w:eastAsia="Calibri"/>
          <w:kern w:val="0"/>
          <w:szCs w:val="24"/>
        </w:rPr>
        <w:fldChar w:fldCharType="begin"/>
      </w:r>
      <w:r w:rsidR="00C25F4E">
        <w:rPr>
          <w:rFonts w:eastAsia="Calibri"/>
          <w:kern w:val="0"/>
          <w:szCs w:val="24"/>
        </w:rPr>
        <w:instrText xml:space="preserve"> ADDIN ZOTERO_ITEM CSL_CITATION {"citationID":"KxzuFqu1","properties":{"formattedCitation":"(Jordano 2000, Levey et al. 2002)","plainCitation":"(Jordano 2000, Levey et al. 2002)","noteIndex":0},"citationItems":[{"id":17110,"uris":["http://zotero.org/users/10895328/items/WEMTHH7J"],"itemData":{"id":17110,"type":"article-journal","container-title":"Seeds: the ecology of regeneration in plant communities","page":"125-166","title":"Fruits and frugivory","volume":"2","author":[{"family":"Jordano","given":"Pedro"}],"issued":{"date-parts":[["2000"]]}}},{"id":7807,"uris":["http://zotero.org/users/10895328/items/WNEEB5KV"],"itemData":{"id":7807,"type":"book","ISBN":"0-85199-525-X","publisher":"CABI","title":"Seed dispersal and frugivory: ecology, evolution, and conservation","author":[{"family":"Levey","given":"Douglas John"},{"family":"Silva","given":"Wesley R."},{"family":"Galetti","given":"Mauro"}],"issued":{"date-parts":[["2002"]]}}}],"schema":"https://github.com/citation-style-language/schema/raw/master/csl-citation.json"} </w:instrText>
      </w:r>
      <w:r w:rsidR="00C25F4E">
        <w:rPr>
          <w:rFonts w:eastAsia="Calibri"/>
          <w:kern w:val="0"/>
          <w:szCs w:val="24"/>
        </w:rPr>
        <w:fldChar w:fldCharType="separate"/>
      </w:r>
      <w:r w:rsidR="00C25F4E" w:rsidRPr="00C25F4E">
        <w:rPr>
          <w:rFonts w:eastAsia="Calibri"/>
        </w:rPr>
        <w:t>(Jordano 2000, Levey et al. 2002)</w:t>
      </w:r>
      <w:r w:rsidR="00C25F4E">
        <w:rPr>
          <w:rFonts w:eastAsia="Calibri"/>
          <w:kern w:val="0"/>
          <w:szCs w:val="24"/>
        </w:rPr>
        <w:fldChar w:fldCharType="end"/>
      </w:r>
      <w:r w:rsidR="000853E9">
        <w:rPr>
          <w:rFonts w:eastAsia="Calibri"/>
          <w:kern w:val="0"/>
          <w:szCs w:val="24"/>
        </w:rPr>
        <w:t>, which can</w:t>
      </w:r>
      <w:r w:rsidR="008403F2">
        <w:rPr>
          <w:rFonts w:eastAsia="Calibri"/>
          <w:kern w:val="0"/>
          <w:szCs w:val="24"/>
        </w:rPr>
        <w:t xml:space="preserve"> be thought of as a</w:t>
      </w:r>
      <w:r w:rsidR="008F4378">
        <w:rPr>
          <w:rFonts w:eastAsia="Calibri"/>
          <w:kern w:val="0"/>
          <w:szCs w:val="24"/>
        </w:rPr>
        <w:t xml:space="preserve"> conceptual shift along the mutualism-antagonism continuum </w:t>
      </w:r>
      <w:r w:rsidR="00832A45">
        <w:rPr>
          <w:rFonts w:eastAsia="Calibri"/>
          <w:kern w:val="0"/>
          <w:szCs w:val="24"/>
        </w:rPr>
        <w:t>illustrated</w:t>
      </w:r>
      <w:r w:rsidR="008F4378">
        <w:rPr>
          <w:rFonts w:eastAsia="Calibri"/>
          <w:kern w:val="0"/>
          <w:szCs w:val="24"/>
        </w:rPr>
        <w:t xml:space="preserve"> in </w:t>
      </w:r>
      <w:r w:rsidR="00CC597E">
        <w:rPr>
          <w:rFonts w:eastAsia="Calibri"/>
          <w:kern w:val="0"/>
          <w:szCs w:val="24"/>
        </w:rPr>
        <w:t>van Leeuwen et al. (2022)</w:t>
      </w:r>
      <w:r w:rsidR="00194558" w:rsidRPr="00194558">
        <w:rPr>
          <w:rFonts w:eastAsia="Calibri"/>
          <w:kern w:val="0"/>
          <w:szCs w:val="24"/>
        </w:rPr>
        <w:t>.</w:t>
      </w:r>
    </w:p>
    <w:p w14:paraId="152AC34A" w14:textId="6DD6C148" w:rsidR="00194558" w:rsidRPr="00194558" w:rsidRDefault="00194558" w:rsidP="00194558">
      <w:pPr>
        <w:spacing w:before="100" w:beforeAutospacing="1" w:after="100" w:afterAutospacing="1" w:line="480" w:lineRule="auto"/>
        <w:ind w:firstLine="720"/>
        <w:mirrorIndents/>
        <w:rPr>
          <w:rFonts w:eastAsia="Calibri"/>
          <w:kern w:val="0"/>
          <w:szCs w:val="24"/>
        </w:rPr>
      </w:pPr>
      <w:r w:rsidRPr="00194558">
        <w:rPr>
          <w:rFonts w:eastAsia="Calibri"/>
          <w:kern w:val="0"/>
          <w:szCs w:val="24"/>
        </w:rPr>
        <w:t>The ability of gopher tortoises to adapt their diet in response to seasonal changes in fruit availability underscores their</w:t>
      </w:r>
      <w:r w:rsidR="00EF2B0D">
        <w:rPr>
          <w:rFonts w:eastAsia="Calibri"/>
          <w:kern w:val="0"/>
          <w:szCs w:val="24"/>
        </w:rPr>
        <w:t xml:space="preserve"> </w:t>
      </w:r>
      <w:r w:rsidR="00697747">
        <w:rPr>
          <w:rFonts w:eastAsia="Calibri"/>
          <w:kern w:val="0"/>
          <w:szCs w:val="24"/>
        </w:rPr>
        <w:t>crucial</w:t>
      </w:r>
      <w:r w:rsidRPr="00194558">
        <w:rPr>
          <w:rFonts w:eastAsia="Calibri"/>
          <w:kern w:val="0"/>
          <w:szCs w:val="24"/>
        </w:rPr>
        <w:t xml:space="preserve"> role as seed dispersers </w:t>
      </w:r>
      <w:r w:rsidR="00697747">
        <w:rPr>
          <w:rFonts w:eastAsia="Calibri"/>
          <w:kern w:val="0"/>
          <w:szCs w:val="24"/>
        </w:rPr>
        <w:t>for</w:t>
      </w:r>
      <w:r w:rsidRPr="00194558">
        <w:rPr>
          <w:rFonts w:eastAsia="Calibri"/>
          <w:kern w:val="0"/>
          <w:szCs w:val="24"/>
        </w:rPr>
        <w:t xml:space="preserve"> the</w:t>
      </w:r>
      <w:r w:rsidR="00697747">
        <w:rPr>
          <w:rFonts w:eastAsia="Calibri"/>
          <w:kern w:val="0"/>
          <w:szCs w:val="24"/>
        </w:rPr>
        <w:t xml:space="preserve"> critically imperiled</w:t>
      </w:r>
      <w:r w:rsidRPr="00194558">
        <w:rPr>
          <w:rFonts w:eastAsia="Calibri"/>
          <w:kern w:val="0"/>
          <w:szCs w:val="24"/>
        </w:rPr>
        <w:t xml:space="preserve"> pine rockland</w:t>
      </w:r>
      <w:r w:rsidR="00697747">
        <w:rPr>
          <w:rFonts w:eastAsia="Calibri"/>
          <w:kern w:val="0"/>
          <w:szCs w:val="24"/>
        </w:rPr>
        <w:t xml:space="preserve"> plant community of South Florida</w:t>
      </w:r>
      <w:r w:rsidR="00EF2B0D">
        <w:rPr>
          <w:rFonts w:eastAsia="Calibri"/>
          <w:kern w:val="0"/>
          <w:szCs w:val="24"/>
        </w:rPr>
        <w:t xml:space="preserve"> and</w:t>
      </w:r>
      <w:r w:rsidR="00697747">
        <w:rPr>
          <w:rFonts w:eastAsia="Calibri"/>
          <w:kern w:val="0"/>
          <w:szCs w:val="24"/>
        </w:rPr>
        <w:t xml:space="preserve"> the</w:t>
      </w:r>
      <w:r w:rsidR="00EF2B0D">
        <w:rPr>
          <w:rFonts w:eastAsia="Calibri"/>
          <w:kern w:val="0"/>
          <w:szCs w:val="24"/>
        </w:rPr>
        <w:t xml:space="preserve"> </w:t>
      </w:r>
      <w:r w:rsidR="00697747">
        <w:rPr>
          <w:rFonts w:eastAsia="Calibri"/>
          <w:kern w:val="0"/>
          <w:szCs w:val="24"/>
        </w:rPr>
        <w:t xml:space="preserve">plant communities of </w:t>
      </w:r>
      <w:r w:rsidR="00EF2B0D">
        <w:rPr>
          <w:rFonts w:eastAsia="Calibri"/>
          <w:kern w:val="0"/>
          <w:szCs w:val="24"/>
        </w:rPr>
        <w:t>other</w:t>
      </w:r>
      <w:r w:rsidRPr="00194558">
        <w:rPr>
          <w:rFonts w:eastAsia="Calibri"/>
          <w:kern w:val="0"/>
          <w:szCs w:val="24"/>
        </w:rPr>
        <w:t xml:space="preserve"> ecosystem</w:t>
      </w:r>
      <w:r w:rsidR="00EF2B0D">
        <w:rPr>
          <w:rFonts w:eastAsia="Calibri"/>
          <w:kern w:val="0"/>
          <w:szCs w:val="24"/>
        </w:rPr>
        <w:t>s they inhabit</w:t>
      </w:r>
      <w:r w:rsidR="00697747">
        <w:rPr>
          <w:rFonts w:eastAsia="Calibri"/>
          <w:kern w:val="0"/>
          <w:szCs w:val="24"/>
        </w:rPr>
        <w:t xml:space="preserve"> </w:t>
      </w:r>
      <w:r w:rsidR="00EF2B0D">
        <w:rPr>
          <w:rFonts w:eastAsia="Calibri"/>
          <w:kern w:val="0"/>
          <w:szCs w:val="24"/>
        </w:rPr>
        <w:fldChar w:fldCharType="begin"/>
      </w:r>
      <w:r w:rsidR="004842B5">
        <w:rPr>
          <w:rFonts w:eastAsia="Calibri"/>
          <w:kern w:val="0"/>
          <w:szCs w:val="24"/>
        </w:rPr>
        <w:instrText xml:space="preserve"> ADDIN ZOTERO_ITEM CSL_CITATION {"citationID":"ASlePMFy","properties":{"formattedCitation":"(Auffenberg and Franz 1982, Figueroa et al. 2021, Whitfield et al. 2022)","plainCitation":"(Auffenberg and Franz 1982, Figueroa et al. 2021, Whitfield et al. 2022)","noteIndex":0},"citationItems":[{"id":5815,"uris":["http://zotero.org/users/10895328/items/PC8AIVD8"],"itemData":{"id":5815,"type":"article-journal","container-title":"North American Tortoises: Conservation Ecology","page":"95-126","title":"The status and distribution of the gopher tortoise (Gopherus polyphemus)","author":[{"family":"Auffenberg","given":"W."},{"family":"Franz","given":"R."}],"issued":{"date-parts":[["1982"]]}}},{"id":6757,"uris":["http://zotero.org/users/10895328/items/5KWT8IAL"],"itemData":{"id":6757,"type":"article-journal","container-title":"Chelonian Conservation and Biology","issue":"1","license":"Creative Commons Attribution 4.0 International License (CC-BY)","page":"27-34, 8","title":"Seed Consumption by Gopher Tortoises (Gopherus polyphemus) in the Globally Imperiled Pine Rockland Ecosystem of Southern Florida, USA","volume":"20","author":[{"family":"Figueroa","given":"Adrian"},{"family":"Lange","given":"James"},{"family":"Whitfield","given":"Steven M."}],"issued":{"date-parts":[["2021"]]}}},{"id":9602,"uris":["http://zotero.org/users/10895328/items/B86WWK9U"],"itemData":{"id":9602,"type":"article-journal","abstract":"The Gopher Tortoise is a keystone species and a species of conservation concern in the southeastern United States, but the biology of tortoises at the extreme southeastern limit of the range is poorly understood. We examined physical characteristics and habitat associations of Gopher Tortoise burrows in pine rockland natural preserves in the highly urbanized Miami-Dade County (Florida, USA). We measured width, depth, and orientation of burrows at two sites. We compared a suite of 11 habitat features (e.g., canopy cover, understory density, ground cover, soil depth, and soil compaction) at random points and at Gopher Tortoise burrows in each of the two sites. Burrow widths were similar between sites and included burrows of both adults and juveniles—evidence that both populations are reproducing. Burrows were very short (most &amp;lt;2 m) compared to burrow lengths reported from other sites (&amp;gt;4 m), likely because soil depth is very shallow in extreme south Florida. We used multidimensional scaling and analysis of similarity to detect differences in habitat variables among sites, among point types (random points and burrows), and between active and inactive burrows. Low leaf litter cover, high grass cover, low canopy cover, and deep soil were among the major variables associated with all burrows and active burrows. The habitat associations of the burrows were similar to studies from other areas, yet the short burrows and association with the deepest available soils appear to be a strong response to the unique geology of pine rockland habitats. We discuss vegetative associations of Gopher Tortoises in the context of management in urban natural areas and implications for protection of Gopher Tortoises at the southern limit of their geographic range.","container-title":"Ichthyology &amp; Herpetology","DOI":"10.1643/h2020168 %J Ichthyology &amp; Herpetology","ISSN":"2766-1512","issue":"1","page":"22-32","title":"Burrow Characteristics and Habitat Associations of Gopher Tortoises in Urban Pine Rockland Reserves (Miami, Florida, USA)","volume":"110","author":[{"family":"Whitfield","given":"Steven M."},{"family":"Valle","given":"Daniel"},{"family":"Figueroa","given":"Adrian"},{"family":"Chin","given":"Brianna"},{"family":"Bravo-Gallegos","given":"Hugo"},{"family":"Leone","given":"Frank"}],"issued":{"date-parts":[["2022"]]}}}],"schema":"https://github.com/citation-style-language/schema/raw/master/csl-citation.json"} </w:instrText>
      </w:r>
      <w:r w:rsidR="00EF2B0D">
        <w:rPr>
          <w:rFonts w:eastAsia="Calibri"/>
          <w:kern w:val="0"/>
          <w:szCs w:val="24"/>
        </w:rPr>
        <w:fldChar w:fldCharType="separate"/>
      </w:r>
      <w:r w:rsidR="004842B5" w:rsidRPr="004842B5">
        <w:rPr>
          <w:rFonts w:eastAsia="Calibri"/>
        </w:rPr>
        <w:t>(Auffenberg and Franz 1982, Figueroa et al. 2021, Whitfield et al. 2022)</w:t>
      </w:r>
      <w:r w:rsidR="00EF2B0D">
        <w:rPr>
          <w:rFonts w:eastAsia="Calibri"/>
          <w:kern w:val="0"/>
          <w:szCs w:val="24"/>
        </w:rPr>
        <w:fldChar w:fldCharType="end"/>
      </w:r>
      <w:r w:rsidRPr="00194558">
        <w:rPr>
          <w:rFonts w:eastAsia="Calibri"/>
          <w:kern w:val="0"/>
          <w:szCs w:val="24"/>
        </w:rPr>
        <w:t xml:space="preserve">. By dispersing a wide range of seeds, including those from fleshy fruits and other syndromes, they contribute to maintaining plant diversity and ecosystem </w:t>
      </w:r>
      <w:r w:rsidR="004842B5">
        <w:rPr>
          <w:rFonts w:eastAsia="Calibri"/>
          <w:kern w:val="0"/>
          <w:szCs w:val="24"/>
        </w:rPr>
        <w:t>function</w:t>
      </w:r>
      <w:r w:rsidR="00E74DD0">
        <w:rPr>
          <w:rFonts w:eastAsia="Calibri"/>
          <w:kern w:val="0"/>
          <w:szCs w:val="24"/>
        </w:rPr>
        <w:t xml:space="preserve"> </w:t>
      </w:r>
      <w:r w:rsidR="00E74DD0">
        <w:rPr>
          <w:rFonts w:eastAsia="Calibri"/>
          <w:kern w:val="0"/>
          <w:szCs w:val="24"/>
        </w:rPr>
        <w:fldChar w:fldCharType="begin"/>
      </w:r>
      <w:r w:rsidR="00B277B0">
        <w:rPr>
          <w:rFonts w:eastAsia="Calibri"/>
          <w:kern w:val="0"/>
          <w:szCs w:val="24"/>
        </w:rPr>
        <w:instrText xml:space="preserve"> ADDIN ZOTERO_ITEM CSL_CITATION {"citationID":"vzplLAeU","properties":{"formattedCitation":"(McConkey et al. 2012, Howe 2016)","plainCitation":"(McConkey et al. 2012, Howe 2016)","noteIndex":0},"citationItems":[{"id":8051,"uris":["http://zotero.org/users/10895328/items/J932DZ9B"],"itemData":{"id":8051,"type":"article-journal","abstract":"A growing understanding of the ecology of seed dispersal has so far had little influence on conservation practice, while the needs of conservation practice have had little influence on seed dispersal research. Yet seed dispersal interacts decisively with the major drivers of biodiversity change in the 21st century: habitat fragmentation, overharvesting, biological invasions, and climate change. We synthesize current knowledge of the effects these drivers have on seed dispersal to identify research gaps and to show how this information can be used to improve conservation management. The drivers, either individually, or in combination, have changed the quantity, species composition, and spatial pattern of dispersed seeds in the majority of ecosystems worldwide, with inevitable consequences for species survival in a rapidly changing world. The natural history of seed dispersal is now well-understood in a range of landscapes worldwide. Only a few generalizations that have emerged are directly applicable to conservation management, however, because they are frequently confounded by site-specific and species-specific variation. Potentially synergistic interactions between disturbances are likely to exacerbate the negative impacts, but these are rarely investigated. We recommend that the conservation status of functionally unique dispersers be revised and that the conservation target for key seed dispersers should be a population size that maintains their ecological function, rather than merely the minimum viable population. Based on our analysis of conservation needs, seed dispersal research should be carried out at larger spatial scales in heterogenous landscapes, examining the simultaneous impacts of multiple drivers on community-wide seed dispersal networks. (C) 2011 Elsevier Ltd. All rights reserved.","container-title":"Biological Conservation","DOI":"10.1016/j.biocon.2011.09.018","ISSN":"0006-3207","issue":"1","language":"English","page":"1-13","title":"Seed dispersal in changing landscapes","volume":"146","author":[{"family":"McConkey","given":"K. R."},{"family":"Prasad","given":"S."},{"family":"Corlett","given":"R. T."},{"family":"Campos-Arceiz","given":"A."},{"family":"Brodie","given":"J. F."},{"family":"Rogers","given":"H."},{"family":"Santamaria","given":"L."}],"issued":{"date-parts":[["2012",2]]}}},{"id":10450,"uris":["http://zotero.org/users/10895328/items/5M8V5D72"],"itemData":{"id":10450,"type":"article-journal","container-title":"Global Ecology and Conservation","ISSN":"2351-9894","page":"152-178","title":"Making dispersal syndromes and networks useful in tropical conservation and restoration","volume":"6","author":[{"family":"Howe","given":"H. F."}],"issued":{"date-parts":[["2016"]]}}}],"schema":"https://github.com/citation-style-language/schema/raw/master/csl-citation.json"} </w:instrText>
      </w:r>
      <w:r w:rsidR="00E74DD0">
        <w:rPr>
          <w:rFonts w:eastAsia="Calibri"/>
          <w:kern w:val="0"/>
          <w:szCs w:val="24"/>
        </w:rPr>
        <w:fldChar w:fldCharType="separate"/>
      </w:r>
      <w:r w:rsidR="00B277B0" w:rsidRPr="00B277B0">
        <w:rPr>
          <w:rFonts w:eastAsia="Calibri"/>
        </w:rPr>
        <w:t>(McConkey et al. 2012, Howe 2016)</w:t>
      </w:r>
      <w:r w:rsidR="00E74DD0">
        <w:rPr>
          <w:rFonts w:eastAsia="Calibri"/>
          <w:kern w:val="0"/>
          <w:szCs w:val="24"/>
        </w:rPr>
        <w:fldChar w:fldCharType="end"/>
      </w:r>
      <w:r w:rsidRPr="00194558">
        <w:rPr>
          <w:rFonts w:eastAsia="Calibri"/>
          <w:kern w:val="0"/>
          <w:szCs w:val="24"/>
        </w:rPr>
        <w:t>. The identified lag in frugivory following precipitation highlights the tortoises' capacity to exploit temporal resource peaks, which is crucial for the regeneration of the pine rockland flora</w:t>
      </w:r>
      <w:r w:rsidR="00B277B0">
        <w:rPr>
          <w:rFonts w:eastAsia="Calibri"/>
          <w:kern w:val="0"/>
          <w:szCs w:val="24"/>
        </w:rPr>
        <w:t xml:space="preserve"> in </w:t>
      </w:r>
      <w:r w:rsidR="00494CDF">
        <w:rPr>
          <w:rFonts w:eastAsia="Calibri"/>
          <w:kern w:val="0"/>
          <w:szCs w:val="24"/>
        </w:rPr>
        <w:t xml:space="preserve">periods where disturbances </w:t>
      </w:r>
      <w:r w:rsidR="00E9267C">
        <w:rPr>
          <w:rFonts w:eastAsia="Calibri"/>
          <w:kern w:val="0"/>
          <w:szCs w:val="24"/>
        </w:rPr>
        <w:t>such as</w:t>
      </w:r>
      <w:r w:rsidR="00494CDF">
        <w:rPr>
          <w:rFonts w:eastAsia="Calibri"/>
          <w:kern w:val="0"/>
          <w:szCs w:val="24"/>
        </w:rPr>
        <w:t xml:space="preserve"> hurricanes and fires may result in </w:t>
      </w:r>
      <w:r w:rsidR="00A55FD2">
        <w:rPr>
          <w:rFonts w:eastAsia="Calibri"/>
          <w:kern w:val="0"/>
          <w:szCs w:val="24"/>
        </w:rPr>
        <w:t xml:space="preserve">open habitat for colonization </w:t>
      </w:r>
      <w:r w:rsidR="00A55FD2">
        <w:rPr>
          <w:rFonts w:eastAsia="Calibri"/>
          <w:kern w:val="0"/>
          <w:szCs w:val="24"/>
        </w:rPr>
        <w:fldChar w:fldCharType="begin"/>
      </w:r>
      <w:r w:rsidR="00187006">
        <w:rPr>
          <w:rFonts w:eastAsia="Calibri"/>
          <w:kern w:val="0"/>
          <w:szCs w:val="24"/>
        </w:rPr>
        <w:instrText xml:space="preserve"> ADDIN ZOTERO_ITEM CSL_CITATION {"citationID":"WMxxjtFO","properties":{"formattedCitation":"(Snyder 1991, Henry et al. 2020)","plainCitation":"(Snyder 1991, Henry et al. 2020)","noteIndex":0},"citationItems":[{"id":9082,"uris":["http://zotero.org/users/10895328/items/QWI7AX8W"],"itemData":{"id":9082,"type":"paper-conference","event-title":"The Longleaf Pine Ecosystem: Ecology, Restoration and Management","page":"303-319","title":"Fire regimes in subtropical south Florida","volume":"17","author":[{"family":"Snyder","given":"J. R."}],"issued":{"date-parts":[["1991"]]}}},{"id":7257,"uris":["http://zotero.org/users/10895328/items/6QBRNIKN"],"itemData":{"id":7257,"type":"article-journal","container-title":"Global Change Biology","ISSN":"1354-1013","issue":"2","page":"798-806","title":"Maintaining historic disturbance regimes increases species' resilience to catastrophic hurricanes","volume":"26","author":[{"family":"Henry","given":"E. H."},{"family":"Burford Reiskind","given":"M. O."},{"family":"Land","given":"A. D."},{"family":"Haddad","given":"N. M."}],"issued":{"date-parts":[["2020"]]}}}],"schema":"https://github.com/citation-style-language/schema/raw/master/csl-citation.json"} </w:instrText>
      </w:r>
      <w:r w:rsidR="00A55FD2">
        <w:rPr>
          <w:rFonts w:eastAsia="Calibri"/>
          <w:kern w:val="0"/>
          <w:szCs w:val="24"/>
        </w:rPr>
        <w:fldChar w:fldCharType="separate"/>
      </w:r>
      <w:r w:rsidR="00187006" w:rsidRPr="00187006">
        <w:rPr>
          <w:rFonts w:eastAsia="Calibri"/>
        </w:rPr>
        <w:t xml:space="preserve">(Snyder 1991, </w:t>
      </w:r>
      <w:r w:rsidR="00187006" w:rsidRPr="00187006">
        <w:rPr>
          <w:rFonts w:eastAsia="Calibri"/>
        </w:rPr>
        <w:lastRenderedPageBreak/>
        <w:t>Henry et al. 2020)</w:t>
      </w:r>
      <w:r w:rsidR="00A55FD2">
        <w:rPr>
          <w:rFonts w:eastAsia="Calibri"/>
          <w:kern w:val="0"/>
          <w:szCs w:val="24"/>
        </w:rPr>
        <w:fldChar w:fldCharType="end"/>
      </w:r>
      <w:r w:rsidRPr="00194558">
        <w:rPr>
          <w:rFonts w:eastAsia="Calibri"/>
          <w:kern w:val="0"/>
          <w:szCs w:val="24"/>
        </w:rPr>
        <w:t>.</w:t>
      </w:r>
    </w:p>
    <w:p w14:paraId="5311E4D0" w14:textId="5378C308" w:rsidR="00E41A38" w:rsidRDefault="00194558" w:rsidP="00E41A38">
      <w:pPr>
        <w:spacing w:before="100" w:beforeAutospacing="1" w:after="100" w:afterAutospacing="1" w:line="480" w:lineRule="auto"/>
        <w:ind w:firstLine="720"/>
        <w:mirrorIndents/>
        <w:rPr>
          <w:rFonts w:eastAsia="Calibri"/>
          <w:kern w:val="0"/>
          <w:szCs w:val="24"/>
        </w:rPr>
      </w:pPr>
      <w:r w:rsidRPr="00194558">
        <w:rPr>
          <w:rFonts w:eastAsia="Calibri"/>
          <w:kern w:val="0"/>
          <w:szCs w:val="24"/>
        </w:rPr>
        <w:t xml:space="preserve">Moreover, the predominance of fleshy fruit seed dispersal during periods of high frugivory suggests that gopher tortoises can significantly influence the recruitment and spatial distribution of </w:t>
      </w:r>
      <w:r w:rsidR="004842B5">
        <w:rPr>
          <w:rFonts w:eastAsia="Calibri"/>
          <w:kern w:val="0"/>
          <w:szCs w:val="24"/>
        </w:rPr>
        <w:t xml:space="preserve">fleshy </w:t>
      </w:r>
      <w:r w:rsidRPr="00194558">
        <w:rPr>
          <w:rFonts w:eastAsia="Calibri"/>
          <w:kern w:val="0"/>
          <w:szCs w:val="24"/>
        </w:rPr>
        <w:t>fruit-bearing plants. This functional shift may have broader implications for the dynamics of plant communities, potentially enhancing the competitive advantage of plants with the Endozoochory syndrome</w:t>
      </w:r>
      <w:r w:rsidR="003569A2">
        <w:rPr>
          <w:rFonts w:eastAsia="Calibri"/>
          <w:kern w:val="0"/>
          <w:szCs w:val="24"/>
        </w:rPr>
        <w:t xml:space="preserve"> over others with </w:t>
      </w:r>
      <w:r w:rsidR="00E1627B">
        <w:rPr>
          <w:rFonts w:eastAsia="Calibri"/>
          <w:kern w:val="0"/>
          <w:szCs w:val="24"/>
        </w:rPr>
        <w:t>competing</w:t>
      </w:r>
      <w:r w:rsidR="00E41A38">
        <w:rPr>
          <w:rFonts w:eastAsia="Calibri"/>
          <w:kern w:val="0"/>
          <w:szCs w:val="24"/>
        </w:rPr>
        <w:t xml:space="preserve"> dispersal syndromes</w:t>
      </w:r>
      <w:r w:rsidR="00E1627B">
        <w:rPr>
          <w:rFonts w:eastAsia="Calibri"/>
          <w:kern w:val="0"/>
          <w:szCs w:val="24"/>
        </w:rPr>
        <w:t xml:space="preserve"> such as the Foliage is the Fruit syndrome</w:t>
      </w:r>
      <w:r w:rsidRPr="00194558">
        <w:rPr>
          <w:rFonts w:eastAsia="Calibri"/>
          <w:kern w:val="0"/>
          <w:szCs w:val="24"/>
        </w:rPr>
        <w:t>.</w:t>
      </w:r>
      <w:r w:rsidR="00546DE1">
        <w:rPr>
          <w:rFonts w:eastAsia="Calibri"/>
          <w:kern w:val="0"/>
          <w:szCs w:val="24"/>
        </w:rPr>
        <w:t xml:space="preserve"> Gopher tortoises are </w:t>
      </w:r>
      <w:r w:rsidR="002A20D4">
        <w:rPr>
          <w:rFonts w:eastAsia="Calibri"/>
          <w:kern w:val="0"/>
          <w:szCs w:val="24"/>
        </w:rPr>
        <w:t xml:space="preserve">already known to be effective seed dispersers </w:t>
      </w:r>
      <w:r w:rsidR="00CB6F68">
        <w:rPr>
          <w:rFonts w:eastAsia="Calibri"/>
          <w:kern w:val="0"/>
          <w:szCs w:val="24"/>
        </w:rPr>
        <w:t>for</w:t>
      </w:r>
      <w:r w:rsidR="002A20D4">
        <w:rPr>
          <w:rFonts w:eastAsia="Calibri"/>
          <w:kern w:val="0"/>
          <w:szCs w:val="24"/>
        </w:rPr>
        <w:t xml:space="preserve"> many plant species </w:t>
      </w:r>
      <w:r w:rsidR="002A20D4">
        <w:rPr>
          <w:rFonts w:eastAsia="Calibri"/>
          <w:kern w:val="0"/>
          <w:szCs w:val="24"/>
        </w:rPr>
        <w:fldChar w:fldCharType="begin"/>
      </w:r>
      <w:r w:rsidR="002A20D4">
        <w:rPr>
          <w:rFonts w:eastAsia="Calibri"/>
          <w:kern w:val="0"/>
          <w:szCs w:val="24"/>
        </w:rPr>
        <w:instrText xml:space="preserve"> ADDIN ZOTERO_ITEM CSL_CITATION {"citationID":"jJR7RiCH","properties":{"formattedCitation":"(Richardson and Stiling 2019a)","plainCitation":"(Richardson and Stiling 2019a)","noteIndex":0},"citationItems":[{"id":8749,"uris":["http://zotero.org/users/10895328/items/HZWFI5C6"],"itemData":{"id":8749,"type":"article-journal","container-title":"The American Midland Naturalist","ISSN":"0003-0031","issue":"2","page":"181-190","title":"Gopher Tortoise (Gopherus polyphemus) Gut Passage Can Alter Seed Germinability","volume":"182","author":[{"family":"Richardson","given":"J. C."},{"family":"Stiling","given":"P."}],"issued":{"date-parts":[["2019"]]}}}],"schema":"https://github.com/citation-style-language/schema/raw/master/csl-citation.json"} </w:instrText>
      </w:r>
      <w:r w:rsidR="002A20D4">
        <w:rPr>
          <w:rFonts w:eastAsia="Calibri"/>
          <w:kern w:val="0"/>
          <w:szCs w:val="24"/>
        </w:rPr>
        <w:fldChar w:fldCharType="separate"/>
      </w:r>
      <w:r w:rsidR="002A20D4" w:rsidRPr="002A20D4">
        <w:rPr>
          <w:rFonts w:eastAsia="Calibri"/>
        </w:rPr>
        <w:t>(Richardson and Stiling 2019a)</w:t>
      </w:r>
      <w:r w:rsidR="002A20D4">
        <w:rPr>
          <w:rFonts w:eastAsia="Calibri"/>
          <w:kern w:val="0"/>
          <w:szCs w:val="24"/>
        </w:rPr>
        <w:fldChar w:fldCharType="end"/>
      </w:r>
      <w:r w:rsidR="002A20D4">
        <w:rPr>
          <w:rFonts w:eastAsia="Calibri"/>
          <w:kern w:val="0"/>
          <w:szCs w:val="24"/>
        </w:rPr>
        <w:t>,</w:t>
      </w:r>
      <w:r w:rsidR="00CB6F68">
        <w:rPr>
          <w:rFonts w:eastAsia="Calibri"/>
          <w:kern w:val="0"/>
          <w:szCs w:val="24"/>
        </w:rPr>
        <w:t xml:space="preserve"> with their use of movement corridors directing the dispersal of seeds to suitable sites for germination </w:t>
      </w:r>
      <w:r w:rsidR="00CB6F68">
        <w:rPr>
          <w:rFonts w:eastAsia="Calibri"/>
          <w:kern w:val="0"/>
          <w:szCs w:val="24"/>
        </w:rPr>
        <w:fldChar w:fldCharType="begin"/>
      </w:r>
      <w:r w:rsidR="00CB6F68">
        <w:rPr>
          <w:rFonts w:eastAsia="Calibri"/>
          <w:kern w:val="0"/>
          <w:szCs w:val="24"/>
        </w:rPr>
        <w:instrText xml:space="preserve"> ADDIN ZOTERO_ITEM CSL_CITATION {"citationID":"Ca2ZccH8","properties":{"formattedCitation":"(Hanish 2018)","plainCitation":"(Hanish 2018)","noteIndex":0},"citationItems":[{"id":7160,"uris":["http://zotero.org/users/10895328/items/NSSVF84B"],"itemData":{"id":7160,"type":"thesis","publisher":"Florida Atlantic University","title":"Seed Dispersal of the Cocoplum (Chrysobalanus icaco) by Gopher Tortoises (Gopherus polyphemus) in Southeastern Florida","author":[{"family":"Hanish","given":"Carolyn J."}],"issued":{"date-parts":[["2018"]]}}}],"schema":"https://github.com/citation-style-language/schema/raw/master/csl-citation.json"} </w:instrText>
      </w:r>
      <w:r w:rsidR="00CB6F68">
        <w:rPr>
          <w:rFonts w:eastAsia="Calibri"/>
          <w:kern w:val="0"/>
          <w:szCs w:val="24"/>
        </w:rPr>
        <w:fldChar w:fldCharType="separate"/>
      </w:r>
      <w:r w:rsidR="00CB6F68" w:rsidRPr="00CB6F68">
        <w:rPr>
          <w:rFonts w:eastAsia="Calibri"/>
        </w:rPr>
        <w:t>(Hanish 2018)</w:t>
      </w:r>
      <w:r w:rsidR="00CB6F68">
        <w:rPr>
          <w:rFonts w:eastAsia="Calibri"/>
          <w:kern w:val="0"/>
          <w:szCs w:val="24"/>
        </w:rPr>
        <w:fldChar w:fldCharType="end"/>
      </w:r>
      <w:r w:rsidR="00CB6F68">
        <w:rPr>
          <w:rFonts w:eastAsia="Calibri"/>
          <w:kern w:val="0"/>
          <w:szCs w:val="24"/>
        </w:rPr>
        <w:t>.</w:t>
      </w:r>
    </w:p>
    <w:p w14:paraId="262D341C" w14:textId="77777777" w:rsidR="00C04390" w:rsidRDefault="00157D35" w:rsidP="00E41A38">
      <w:pPr>
        <w:spacing w:before="100" w:beforeAutospacing="1" w:after="100" w:afterAutospacing="1" w:line="480" w:lineRule="auto"/>
        <w:ind w:firstLine="720"/>
        <w:mirrorIndents/>
        <w:rPr>
          <w:rFonts w:eastAsia="Calibri"/>
          <w:kern w:val="0"/>
          <w:szCs w:val="24"/>
        </w:rPr>
      </w:pPr>
      <w:r>
        <w:rPr>
          <w:rFonts w:eastAsia="Calibri"/>
          <w:kern w:val="0"/>
          <w:szCs w:val="24"/>
        </w:rPr>
        <w:t>Although herbivory may mediate</w:t>
      </w:r>
      <w:r w:rsidR="00DA06D5">
        <w:rPr>
          <w:rFonts w:eastAsia="Calibri"/>
          <w:kern w:val="0"/>
          <w:szCs w:val="24"/>
        </w:rPr>
        <w:t xml:space="preserve"> plant</w:t>
      </w:r>
      <w:r>
        <w:rPr>
          <w:rFonts w:eastAsia="Calibri"/>
          <w:kern w:val="0"/>
          <w:szCs w:val="24"/>
        </w:rPr>
        <w:t xml:space="preserve"> community succession </w:t>
      </w:r>
      <w:r>
        <w:rPr>
          <w:rFonts w:eastAsia="Calibri"/>
          <w:kern w:val="0"/>
          <w:szCs w:val="24"/>
        </w:rPr>
        <w:fldChar w:fldCharType="begin"/>
      </w:r>
      <w:r>
        <w:rPr>
          <w:rFonts w:eastAsia="Calibri"/>
          <w:kern w:val="0"/>
          <w:szCs w:val="24"/>
        </w:rPr>
        <w:instrText xml:space="preserve"> ADDIN ZOTERO_ITEM CSL_CITATION {"citationID":"Rrr0cY0r","properties":{"formattedCitation":"(Heinen and Castillo 2019)","plainCitation":"(Heinen and Castillo 2019)","noteIndex":0},"citationItems":[{"id":7226,"uris":["http://zotero.org/users/10895328/items/TNWCDEMF"],"itemData":{"id":7226,"type":"article-journal","container-title":"The American Midland Naturalist","issue":"1","page":"81-91, 11","title":"Browse-Mediated Succession by Deer and Elk 40 Y After a Clearcut in Northern Lower Michigan","volume":"181","author":[{"family":"Heinen","given":"Joel T."},{"family":"Castillo","given":"Buck"}],"issued":{"date-parts":[["2019"]]}}}],"schema":"https://github.com/citation-style-language/schema/raw/master/csl-citation.json"} </w:instrText>
      </w:r>
      <w:r>
        <w:rPr>
          <w:rFonts w:eastAsia="Calibri"/>
          <w:kern w:val="0"/>
          <w:szCs w:val="24"/>
        </w:rPr>
        <w:fldChar w:fldCharType="separate"/>
      </w:r>
      <w:r w:rsidRPr="00A45DB4">
        <w:rPr>
          <w:rFonts w:eastAsia="Calibri"/>
        </w:rPr>
        <w:t>(Heinen and Castillo 2019)</w:t>
      </w:r>
      <w:r>
        <w:rPr>
          <w:rFonts w:eastAsia="Calibri"/>
          <w:kern w:val="0"/>
          <w:szCs w:val="24"/>
        </w:rPr>
        <w:fldChar w:fldCharType="end"/>
      </w:r>
      <w:r>
        <w:rPr>
          <w:rFonts w:eastAsia="Calibri"/>
          <w:kern w:val="0"/>
          <w:szCs w:val="24"/>
        </w:rPr>
        <w:t>, and alter species richness and diversity</w:t>
      </w:r>
      <w:r w:rsidR="000F7A09">
        <w:rPr>
          <w:rFonts w:eastAsia="Calibri"/>
          <w:kern w:val="0"/>
          <w:szCs w:val="24"/>
        </w:rPr>
        <w:t xml:space="preserve"> via non-selective </w:t>
      </w:r>
      <w:r w:rsidR="00235DD2">
        <w:rPr>
          <w:rFonts w:eastAsia="Calibri"/>
          <w:kern w:val="0"/>
          <w:szCs w:val="24"/>
        </w:rPr>
        <w:t>foraging</w:t>
      </w:r>
      <w:r w:rsidR="00414438">
        <w:rPr>
          <w:rFonts w:eastAsia="Calibri"/>
          <w:kern w:val="0"/>
          <w:szCs w:val="24"/>
        </w:rPr>
        <w:t xml:space="preserve"> </w:t>
      </w:r>
      <w:r>
        <w:rPr>
          <w:rFonts w:eastAsia="Calibri"/>
          <w:kern w:val="0"/>
          <w:szCs w:val="24"/>
        </w:rPr>
        <w:fldChar w:fldCharType="begin"/>
      </w:r>
      <w:r w:rsidR="00DA378D">
        <w:rPr>
          <w:rFonts w:eastAsia="Calibri"/>
          <w:kern w:val="0"/>
          <w:szCs w:val="24"/>
        </w:rPr>
        <w:instrText xml:space="preserve"> ADDIN ZOTERO_ITEM CSL_CITATION {"citationID":"V3IQEMR9","properties":{"formattedCitation":"(Richardson and Stiling 2019b, Ceballos and Goessling 2023)","plainCitation":"(Richardson and Stiling 2019b, Ceballos and Goessling 2023)","noteIndex":0},"citationItems":[{"id":8744,"uris":["http://zotero.org/users/10895328/items/GR9TNIXH"],"itemData":{"id":8744,"type":"article-journal","abstract":"Mammalian herbivores often alter plant species richness and diversity, but such impacts have not been much investigated in reptiles. This study examined the effects of gopher tortoise (Gopherus polyphemus) herbivory on species richness, Gini-Simpson diversity, and dominance, plant abundance, and biomass. Tortoise herbivory was eliminated in five areas through the use of exclosure plots for a period of two years and was compared to five similar areas where tortoises were allowed to feed. Cafeteria feeding trials were also used to quantify dietary preference. Tortoise exclosure plots had lowered species richness, and significantly lowered diversity, but significantly higher dominance than in controls. Heliotropium polyphyllum, the most highly preferred local species by tortoises, was the most dominant plant in exclosure and control plots and became even more dominant in exclosure plots. The abundance and biomass of the next two most common plant species, Fimbristylis cymosa and Polypremum procumbens, which are not preferred by tortoises, were reduced in the exclosures, probably due to increased competition with Heliotropium. Several rare plant species were eliminated in the exclosure plots. We conclude that tortoise herbivory may directly influence plant community assembly by reducing preferred plant species and promoting the growth of non-preferred species.","container-title":"Plant Ecology","DOI":"10.1007/s11258-019-00921-4","ISSN":"1385-0237","issue":"3","journalAbbreviation":"Plant Ecol","language":"English","page":"383-391","title":"Gopher tortoise herbivory increases plant species richness and diversity","volume":"220","author":[{"family":"Richardson","given":"J. C."},{"family":"Stiling","given":"P."}],"issued":{"date-parts":[["2019",3]]}}},{"id":19480,"uris":["http://zotero.org/users/10895328/items/LXNNTL2Z"],"itemData":{"id":19480,"type":"article-journal","container-title":"Herpetological Conservation and Biology","issue":"1","journalAbbreviation":"Herpetological Conservation and Biology","page":"182-195","title":"Foraging Ecology of Gopher Tortoises (Gopherus polyphemus) within Boyd Hill Nature Preserve, St. Petersburg, Florida, USA","volume":"18","author":[{"family":"Ceballos","given":"Celina"},{"family":"Goessling","given":"Jeffry M."}],"issued":{"date-parts":[["2023"]]}}}],"schema":"https://github.com/citation-style-language/schema/raw/master/csl-citation.json"} </w:instrText>
      </w:r>
      <w:r>
        <w:rPr>
          <w:rFonts w:eastAsia="Calibri"/>
          <w:kern w:val="0"/>
          <w:szCs w:val="24"/>
        </w:rPr>
        <w:fldChar w:fldCharType="separate"/>
      </w:r>
      <w:r w:rsidR="00DA378D" w:rsidRPr="00DA378D">
        <w:rPr>
          <w:rFonts w:eastAsia="Calibri"/>
        </w:rPr>
        <w:t>(Richardson and Stiling 2019b, Ceballos and Goessling 2023)</w:t>
      </w:r>
      <w:r>
        <w:rPr>
          <w:rFonts w:eastAsia="Calibri"/>
          <w:kern w:val="0"/>
          <w:szCs w:val="24"/>
        </w:rPr>
        <w:fldChar w:fldCharType="end"/>
      </w:r>
      <w:r w:rsidR="00DA06D5">
        <w:rPr>
          <w:rFonts w:eastAsia="Calibri"/>
          <w:kern w:val="0"/>
          <w:szCs w:val="24"/>
        </w:rPr>
        <w:t>,</w:t>
      </w:r>
      <w:r w:rsidR="00DA06D5" w:rsidRPr="00DA06D5">
        <w:rPr>
          <w:rFonts w:eastAsia="Calibri"/>
          <w:kern w:val="0"/>
          <w:szCs w:val="24"/>
        </w:rPr>
        <w:t xml:space="preserve"> </w:t>
      </w:r>
      <w:r w:rsidR="00DA06D5">
        <w:rPr>
          <w:rFonts w:eastAsia="Calibri"/>
          <w:kern w:val="0"/>
          <w:szCs w:val="24"/>
        </w:rPr>
        <w:t>the gopher tortoise likely has an understated impact on plant communities via seed dispersal</w:t>
      </w:r>
      <w:r>
        <w:rPr>
          <w:rFonts w:eastAsia="Calibri"/>
          <w:kern w:val="0"/>
          <w:szCs w:val="24"/>
        </w:rPr>
        <w:t>.</w:t>
      </w:r>
      <w:r w:rsidR="00C17D42">
        <w:rPr>
          <w:rFonts w:eastAsia="Calibri"/>
          <w:kern w:val="0"/>
          <w:szCs w:val="24"/>
        </w:rPr>
        <w:t xml:space="preserve"> The impacts of the gopher tortoise </w:t>
      </w:r>
      <w:r w:rsidR="00235DD2">
        <w:rPr>
          <w:rFonts w:eastAsia="Calibri"/>
          <w:kern w:val="0"/>
          <w:szCs w:val="24"/>
        </w:rPr>
        <w:t>via seed dispersal</w:t>
      </w:r>
      <w:r w:rsidR="00C17D42">
        <w:rPr>
          <w:rFonts w:eastAsia="Calibri"/>
          <w:kern w:val="0"/>
          <w:szCs w:val="24"/>
        </w:rPr>
        <w:t xml:space="preserve"> can be </w:t>
      </w:r>
      <w:r w:rsidR="00235DD2">
        <w:rPr>
          <w:rFonts w:eastAsia="Calibri"/>
          <w:kern w:val="0"/>
          <w:szCs w:val="24"/>
        </w:rPr>
        <w:t xml:space="preserve">gleaned </w:t>
      </w:r>
      <w:r w:rsidR="00C17D42">
        <w:rPr>
          <w:rFonts w:eastAsia="Calibri"/>
          <w:kern w:val="0"/>
          <w:szCs w:val="24"/>
        </w:rPr>
        <w:t>from</w:t>
      </w:r>
      <w:r w:rsidR="00925A58">
        <w:rPr>
          <w:rFonts w:eastAsia="Calibri"/>
          <w:kern w:val="0"/>
          <w:szCs w:val="24"/>
        </w:rPr>
        <w:t xml:space="preserve"> the diversity of seeds dispersed </w:t>
      </w:r>
      <w:r w:rsidR="00235DD2">
        <w:rPr>
          <w:rFonts w:eastAsia="Calibri"/>
          <w:kern w:val="0"/>
          <w:szCs w:val="24"/>
        </w:rPr>
        <w:t>in</w:t>
      </w:r>
      <w:r w:rsidR="00925A58">
        <w:rPr>
          <w:rFonts w:eastAsia="Calibri"/>
          <w:kern w:val="0"/>
          <w:szCs w:val="24"/>
        </w:rPr>
        <w:t xml:space="preserve"> this</w:t>
      </w:r>
      <w:r w:rsidR="00A70F07">
        <w:rPr>
          <w:rFonts w:eastAsia="Calibri"/>
          <w:kern w:val="0"/>
          <w:szCs w:val="24"/>
        </w:rPr>
        <w:t xml:space="preserve"> </w:t>
      </w:r>
      <w:r w:rsidR="00804D00">
        <w:rPr>
          <w:rFonts w:eastAsia="Calibri"/>
          <w:kern w:val="0"/>
          <w:szCs w:val="24"/>
        </w:rPr>
        <w:t xml:space="preserve">and previous </w:t>
      </w:r>
      <w:r w:rsidR="00A70F07">
        <w:rPr>
          <w:rFonts w:eastAsia="Calibri"/>
          <w:kern w:val="0"/>
          <w:szCs w:val="24"/>
        </w:rPr>
        <w:t>stud</w:t>
      </w:r>
      <w:r w:rsidR="00804D00">
        <w:rPr>
          <w:rFonts w:eastAsia="Calibri"/>
          <w:kern w:val="0"/>
          <w:szCs w:val="24"/>
        </w:rPr>
        <w:t>ies</w:t>
      </w:r>
      <w:r w:rsidR="00925A58">
        <w:rPr>
          <w:rFonts w:eastAsia="Calibri"/>
          <w:kern w:val="0"/>
          <w:szCs w:val="24"/>
        </w:rPr>
        <w:t xml:space="preserve"> </w:t>
      </w:r>
      <w:r w:rsidR="00FE7AC8">
        <w:rPr>
          <w:rFonts w:eastAsia="Calibri"/>
          <w:kern w:val="0"/>
          <w:szCs w:val="24"/>
        </w:rPr>
        <w:fldChar w:fldCharType="begin"/>
      </w:r>
      <w:r w:rsidR="00FE7AC8">
        <w:rPr>
          <w:rFonts w:eastAsia="Calibri"/>
          <w:kern w:val="0"/>
          <w:szCs w:val="24"/>
        </w:rPr>
        <w:instrText xml:space="preserve"> ADDIN ZOTERO_ITEM CSL_CITATION {"citationID":"1rHDBoW6","properties":{"formattedCitation":"(Carlson et al. 2003, Birkhead et al. 2005, Figueroa et al. 2021)","plainCitation":"(Carlson et al. 2003, Birkhead et al. 2005, Figueroa et al. 2021)","noteIndex":0},"citationItems":[{"id":6201,"uris":["http://zotero.org/users/10895328/items/ZQJSSIHR"],"itemData":{"id":6201,"type":"article-journal","container-title":"Florida Scientist","ISSN":"0098-4590","issue":"2","page":"147-154","title":"Seed dispersal by Gopherus polyphemus at Archbold Biological Station, Florida","volume":"66","author":[{"family":"Carlson","given":"J. E."},{"family":"Menges","given":"E. S."},{"family":"Marks","given":"P. L."}],"issued":{"date-parts":[["2003"]]}}},{"id":5996,"uris":["http://zotero.org/users/10895328/items/L92EB6L7"],"itemData":{"id":5996,"type":"article-journal","abstract":"This study documents the ingestion of leaves and seeds by gopher tortoises (Gopherus polyphemus) in a relatively intact pine savanna habitat. Fifty-three species of seeds were identified. Species richness of seeds ingested was highest during spring and fall and was lowest during summer. Grass seed and foliage were consumed consistently by tortoises throughout the year. Despite being found in only 12% of all scats, Rubus seed comprised half of all seeds recovered. Based on seeds in scats, tortoises ingested the fruits of plants in the same proportions in which the plants occurred immediately around active burrows. Although some kinds of leaves were less prevalent in scats than predicted by their availability near active tortoise burrows, this may have occurred because these leaves were digested and, therefore unrecognizable in scats. The role of the gopher tortoise as a generalist herbivore and an opportunistic frugivore was confirmed.","container-title":"American Midland Naturalist","DOI":"Doi 10.1674/0003-0031(2005)154[0143:Pofasi]2.0.Co;2","ISSN":"0003-0031","issue":"1","journalAbbreviation":"Am Midl Nat","language":"English","page":"143-151","title":"Patterns of folivory and seed ingestion by gopher tortoises (Gopherus polyphemus) in a southeastern pine savanna","volume":"154","author":[{"family":"Birkhead","given":"R. D."},{"family":"Guyer","given":"C."},{"family":"Hermann","given":"S. M."},{"family":"Michener","given":"W. K."}],"issued":{"date-parts":[["2005",7]]}}},{"id":6757,"uris":["http://zotero.org/users/10895328/items/5KWT8IAL"],"itemData":{"id":6757,"type":"article-journal","container-title":"Chelonian Conservation and Biology","issue":"1","license":"Creative Commons Attribution 4.0 International License (CC-BY)","page":"27-34, 8","title":"Seed Consumption by Gopher Tortoises (Gopherus polyphemus) in the Globally Imperiled Pine Rockland Ecosystem of Southern Florida, USA","volume":"20","author":[{"family":"Figueroa","given":"Adrian"},{"family":"Lange","given":"James"},{"family":"Whitfield","given":"Steven M."}],"issued":{"date-parts":[["2021"]]}}}],"schema":"https://github.com/citation-style-language/schema/raw/master/csl-citation.json"} </w:instrText>
      </w:r>
      <w:r w:rsidR="00FE7AC8">
        <w:rPr>
          <w:rFonts w:eastAsia="Calibri"/>
          <w:kern w:val="0"/>
          <w:szCs w:val="24"/>
        </w:rPr>
        <w:fldChar w:fldCharType="separate"/>
      </w:r>
      <w:r w:rsidR="00FE7AC8" w:rsidRPr="00FE7AC8">
        <w:rPr>
          <w:rFonts w:eastAsia="Calibri"/>
        </w:rPr>
        <w:t>(Carlson et al. 2003, Birkhead et al. 2005, Figueroa et al. 2021)</w:t>
      </w:r>
      <w:r w:rsidR="00FE7AC8">
        <w:rPr>
          <w:rFonts w:eastAsia="Calibri"/>
          <w:kern w:val="0"/>
          <w:szCs w:val="24"/>
        </w:rPr>
        <w:fldChar w:fldCharType="end"/>
      </w:r>
      <w:r w:rsidR="00925A58">
        <w:rPr>
          <w:rFonts w:eastAsia="Calibri"/>
          <w:kern w:val="0"/>
          <w:szCs w:val="24"/>
        </w:rPr>
        <w:t xml:space="preserve">, as well as </w:t>
      </w:r>
      <w:r w:rsidR="005B13FB">
        <w:rPr>
          <w:rFonts w:eastAsia="Calibri"/>
          <w:kern w:val="0"/>
          <w:szCs w:val="24"/>
        </w:rPr>
        <w:t>in the</w:t>
      </w:r>
      <w:r w:rsidR="00C17D42">
        <w:rPr>
          <w:rFonts w:eastAsia="Calibri"/>
          <w:kern w:val="0"/>
          <w:szCs w:val="24"/>
        </w:rPr>
        <w:t xml:space="preserve"> </w:t>
      </w:r>
      <w:r w:rsidR="003431D9">
        <w:rPr>
          <w:rFonts w:eastAsia="Calibri"/>
          <w:kern w:val="0"/>
          <w:szCs w:val="24"/>
        </w:rPr>
        <w:t>habitat associations</w:t>
      </w:r>
      <w:r w:rsidR="005B13FB">
        <w:rPr>
          <w:rFonts w:eastAsia="Calibri"/>
          <w:kern w:val="0"/>
          <w:szCs w:val="24"/>
        </w:rPr>
        <w:t xml:space="preserve"> of this species</w:t>
      </w:r>
      <w:r w:rsidR="003431D9">
        <w:rPr>
          <w:rFonts w:eastAsia="Calibri"/>
          <w:kern w:val="0"/>
          <w:szCs w:val="24"/>
        </w:rPr>
        <w:t xml:space="preserve"> which include areas with open canop</w:t>
      </w:r>
      <w:r w:rsidR="005B13FB">
        <w:rPr>
          <w:rFonts w:eastAsia="Calibri"/>
          <w:kern w:val="0"/>
          <w:szCs w:val="24"/>
        </w:rPr>
        <w:t>y</w:t>
      </w:r>
      <w:r w:rsidR="003431D9">
        <w:rPr>
          <w:rFonts w:eastAsia="Calibri"/>
          <w:kern w:val="0"/>
          <w:szCs w:val="24"/>
        </w:rPr>
        <w:t xml:space="preserve"> and sandy soil</w:t>
      </w:r>
      <w:r w:rsidR="00C17D42">
        <w:rPr>
          <w:rFonts w:eastAsia="Calibri"/>
          <w:kern w:val="0"/>
          <w:szCs w:val="24"/>
        </w:rPr>
        <w:t>s</w:t>
      </w:r>
      <w:r w:rsidR="002307AE">
        <w:rPr>
          <w:rFonts w:eastAsia="Calibri"/>
          <w:kern w:val="0"/>
          <w:szCs w:val="24"/>
        </w:rPr>
        <w:t xml:space="preserve"> </w:t>
      </w:r>
      <w:r w:rsidR="002307AE">
        <w:rPr>
          <w:rFonts w:eastAsia="Calibri"/>
          <w:kern w:val="0"/>
          <w:szCs w:val="24"/>
        </w:rPr>
        <w:fldChar w:fldCharType="begin"/>
      </w:r>
      <w:r w:rsidR="002307AE">
        <w:rPr>
          <w:rFonts w:eastAsia="Calibri"/>
          <w:kern w:val="0"/>
          <w:szCs w:val="24"/>
        </w:rPr>
        <w:instrText xml:space="preserve"> ADDIN ZOTERO_ITEM CSL_CITATION {"citationID":"9srpvNie","properties":{"formattedCitation":"(Whitfield et al. 2022)","plainCitation":"(Whitfield et al. 2022)","noteIndex":0},"citationItems":[{"id":9602,"uris":["http://zotero.org/users/10895328/items/B86WWK9U"],"itemData":{"id":9602,"type":"article-journal","abstract":"The Gopher Tortoise is a keystone species and a species of conservation concern in the southeastern United States, but the biology of tortoises at the extreme southeastern limit of the range is poorly understood. We examined physical characteristics and habitat associations of Gopher Tortoise burrows in pine rockland natural preserves in the highly urbanized Miami-Dade County (Florida, USA). We measured width, depth, and orientation of burrows at two sites. We compared a suite of 11 habitat features (e.g., canopy cover, understory density, ground cover, soil depth, and soil compaction) at random points and at Gopher Tortoise burrows in each of the two sites. Burrow widths were similar between sites and included burrows of both adults and juveniles—evidence that both populations are reproducing. Burrows were very short (most &amp;lt;2 m) compared to burrow lengths reported from other sites (&amp;gt;4 m), likely because soil depth is very shallow in extreme south Florida. We used multidimensional scaling and analysis of similarity to detect differences in habitat variables among sites, among point types (random points and burrows), and between active and inactive burrows. Low leaf litter cover, high grass cover, low canopy cover, and deep soil were among the major variables associated with all burrows and active burrows. The habitat associations of the burrows were similar to studies from other areas, yet the short burrows and association with the deepest available soils appear to be a strong response to the unique geology of pine rockland habitats. We discuss vegetative associations of Gopher Tortoises in the context of management in urban natural areas and implications for protection of Gopher Tortoises at the southern limit of their geographic range.","container-title":"Ichthyology &amp; Herpetology","DOI":"10.1643/h2020168 %J Ichthyology &amp; Herpetology","ISSN":"2766-1512","issue":"1","page":"22-32","title":"Burrow Characteristics and Habitat Associations of Gopher Tortoises in Urban Pine Rockland Reserves (Miami, Florida, USA)","volume":"110","author":[{"family":"Whitfield","given":"Steven M."},{"family":"Valle","given":"Daniel"},{"family":"Figueroa","given":"Adrian"},{"family":"Chin","given":"Brianna"},{"family":"Bravo-Gallegos","given":"Hugo"},{"family":"Leone","given":"Frank"}],"issued":{"date-parts":[["2022"]]}}}],"schema":"https://github.com/citation-style-language/schema/raw/master/csl-citation.json"} </w:instrText>
      </w:r>
      <w:r w:rsidR="002307AE">
        <w:rPr>
          <w:rFonts w:eastAsia="Calibri"/>
          <w:kern w:val="0"/>
          <w:szCs w:val="24"/>
        </w:rPr>
        <w:fldChar w:fldCharType="separate"/>
      </w:r>
      <w:r w:rsidR="002307AE" w:rsidRPr="002307AE">
        <w:rPr>
          <w:rFonts w:eastAsia="Calibri"/>
        </w:rPr>
        <w:t>(Whitfield et al. 2022)</w:t>
      </w:r>
      <w:r w:rsidR="002307AE">
        <w:rPr>
          <w:rFonts w:eastAsia="Calibri"/>
          <w:kern w:val="0"/>
          <w:szCs w:val="24"/>
        </w:rPr>
        <w:fldChar w:fldCharType="end"/>
      </w:r>
      <w:r w:rsidR="00C04390">
        <w:rPr>
          <w:rFonts w:eastAsia="Calibri"/>
          <w:kern w:val="0"/>
          <w:szCs w:val="24"/>
        </w:rPr>
        <w:t xml:space="preserve"> – </w:t>
      </w:r>
      <w:r w:rsidR="00C17D42">
        <w:rPr>
          <w:rFonts w:eastAsia="Calibri"/>
          <w:kern w:val="0"/>
          <w:szCs w:val="24"/>
        </w:rPr>
        <w:t>often favor</w:t>
      </w:r>
      <w:r w:rsidR="00F02DFA">
        <w:rPr>
          <w:rFonts w:eastAsia="Calibri"/>
          <w:kern w:val="0"/>
          <w:szCs w:val="24"/>
        </w:rPr>
        <w:t xml:space="preserve">able </w:t>
      </w:r>
      <w:r w:rsidR="00C17D42">
        <w:rPr>
          <w:rFonts w:eastAsia="Calibri"/>
          <w:kern w:val="0"/>
          <w:szCs w:val="24"/>
        </w:rPr>
        <w:t>conditions</w:t>
      </w:r>
      <w:r w:rsidR="00F02DFA">
        <w:rPr>
          <w:rFonts w:eastAsia="Calibri"/>
          <w:kern w:val="0"/>
          <w:szCs w:val="24"/>
        </w:rPr>
        <w:t xml:space="preserve"> for</w:t>
      </w:r>
      <w:r w:rsidR="00C17D42">
        <w:rPr>
          <w:rFonts w:eastAsia="Calibri"/>
          <w:kern w:val="0"/>
          <w:szCs w:val="24"/>
        </w:rPr>
        <w:t xml:space="preserve"> seed</w:t>
      </w:r>
      <w:r w:rsidR="00F02DFA">
        <w:rPr>
          <w:rFonts w:eastAsia="Calibri"/>
          <w:kern w:val="0"/>
          <w:szCs w:val="24"/>
        </w:rPr>
        <w:t xml:space="preserve"> germination</w:t>
      </w:r>
      <w:r>
        <w:rPr>
          <w:rFonts w:eastAsia="Calibri"/>
          <w:kern w:val="0"/>
          <w:szCs w:val="24"/>
        </w:rPr>
        <w:t>.</w:t>
      </w:r>
    </w:p>
    <w:p w14:paraId="6FB954BF" w14:textId="4701ABEB" w:rsidR="00925A58" w:rsidRPr="001F2B3B" w:rsidRDefault="0022476E" w:rsidP="00E41A38">
      <w:pPr>
        <w:spacing w:before="100" w:beforeAutospacing="1" w:after="100" w:afterAutospacing="1" w:line="480" w:lineRule="auto"/>
        <w:ind w:firstLine="720"/>
        <w:mirrorIndents/>
        <w:rPr>
          <w:rFonts w:eastAsia="Calibri"/>
          <w:kern w:val="0"/>
          <w:szCs w:val="24"/>
        </w:rPr>
      </w:pPr>
      <w:r>
        <w:rPr>
          <w:rFonts w:eastAsia="Calibri"/>
          <w:kern w:val="0"/>
          <w:szCs w:val="24"/>
        </w:rPr>
        <w:t xml:space="preserve">For </w:t>
      </w:r>
      <w:r w:rsidR="00F07151">
        <w:rPr>
          <w:rFonts w:eastAsia="Calibri"/>
          <w:kern w:val="0"/>
          <w:szCs w:val="24"/>
        </w:rPr>
        <w:t>fleshy-fruited</w:t>
      </w:r>
      <w:r>
        <w:rPr>
          <w:rFonts w:eastAsia="Calibri"/>
          <w:kern w:val="0"/>
          <w:szCs w:val="24"/>
        </w:rPr>
        <w:t xml:space="preserve"> species</w:t>
      </w:r>
      <w:r w:rsidR="00C309A9">
        <w:rPr>
          <w:rFonts w:eastAsia="Calibri"/>
          <w:kern w:val="0"/>
          <w:szCs w:val="24"/>
        </w:rPr>
        <w:t xml:space="preserve"> whose seeds have a high frequency of occurrence</w:t>
      </w:r>
      <w:r>
        <w:rPr>
          <w:rFonts w:eastAsia="Calibri"/>
          <w:kern w:val="0"/>
          <w:szCs w:val="24"/>
        </w:rPr>
        <w:t xml:space="preserve">, the gopher tortoise may be a reliable seed disperser by </w:t>
      </w:r>
      <w:r w:rsidR="00D53807">
        <w:rPr>
          <w:rFonts w:eastAsia="Calibri"/>
          <w:kern w:val="0"/>
          <w:szCs w:val="24"/>
        </w:rPr>
        <w:t>consistently</w:t>
      </w:r>
      <w:r>
        <w:rPr>
          <w:rFonts w:eastAsia="Calibri"/>
          <w:kern w:val="0"/>
          <w:szCs w:val="24"/>
        </w:rPr>
        <w:t xml:space="preserve"> consuming </w:t>
      </w:r>
      <w:r w:rsidR="00A21B58">
        <w:rPr>
          <w:rFonts w:eastAsia="Calibri"/>
          <w:kern w:val="0"/>
          <w:szCs w:val="24"/>
        </w:rPr>
        <w:t xml:space="preserve">their fruits and dispersing their seeds. However, even for species </w:t>
      </w:r>
      <w:r w:rsidR="00E72739">
        <w:rPr>
          <w:rFonts w:eastAsia="Calibri"/>
          <w:kern w:val="0"/>
          <w:szCs w:val="24"/>
        </w:rPr>
        <w:t>whose seeds</w:t>
      </w:r>
      <w:r w:rsidR="00A21B58">
        <w:rPr>
          <w:rFonts w:eastAsia="Calibri"/>
          <w:kern w:val="0"/>
          <w:szCs w:val="24"/>
        </w:rPr>
        <w:t xml:space="preserve"> may not have been</w:t>
      </w:r>
      <w:r w:rsidR="00E72739">
        <w:rPr>
          <w:rFonts w:eastAsia="Calibri"/>
          <w:kern w:val="0"/>
          <w:szCs w:val="24"/>
        </w:rPr>
        <w:t xml:space="preserve"> dispersed as frequently, the gopher tortoise may still be an effective seed disperser by </w:t>
      </w:r>
      <w:r w:rsidR="001F2B3B">
        <w:rPr>
          <w:rFonts w:eastAsia="Calibri"/>
          <w:kern w:val="0"/>
          <w:szCs w:val="24"/>
        </w:rPr>
        <w:t>gorging on</w:t>
      </w:r>
      <w:r w:rsidR="00D53807">
        <w:rPr>
          <w:rFonts w:eastAsia="Calibri"/>
          <w:kern w:val="0"/>
          <w:szCs w:val="24"/>
        </w:rPr>
        <w:t xml:space="preserve"> </w:t>
      </w:r>
      <w:r w:rsidR="00575524">
        <w:rPr>
          <w:rFonts w:eastAsia="Calibri"/>
          <w:kern w:val="0"/>
          <w:szCs w:val="24"/>
        </w:rPr>
        <w:t xml:space="preserve">their </w:t>
      </w:r>
      <w:r w:rsidR="001F2B3B">
        <w:rPr>
          <w:rFonts w:eastAsia="Calibri"/>
          <w:kern w:val="0"/>
          <w:szCs w:val="24"/>
        </w:rPr>
        <w:t xml:space="preserve">fruits </w:t>
      </w:r>
      <w:r w:rsidR="00C309A9">
        <w:rPr>
          <w:rFonts w:eastAsia="Calibri"/>
          <w:kern w:val="0"/>
          <w:szCs w:val="24"/>
        </w:rPr>
        <w:t>which</w:t>
      </w:r>
      <w:r w:rsidR="00575524">
        <w:rPr>
          <w:rFonts w:eastAsia="Calibri"/>
          <w:kern w:val="0"/>
          <w:szCs w:val="24"/>
        </w:rPr>
        <w:t xml:space="preserve"> may be</w:t>
      </w:r>
      <w:r w:rsidR="001F2B3B">
        <w:rPr>
          <w:rFonts w:eastAsia="Calibri"/>
          <w:kern w:val="0"/>
          <w:szCs w:val="24"/>
        </w:rPr>
        <w:t xml:space="preserve"> more temporally restricted in availability but are consumed in exorbitant amounts, as in the case of </w:t>
      </w:r>
      <w:r w:rsidR="00FA0B49">
        <w:rPr>
          <w:rFonts w:eastAsia="Calibri"/>
          <w:kern w:val="0"/>
          <w:szCs w:val="24"/>
        </w:rPr>
        <w:t xml:space="preserve">the state-threatened </w:t>
      </w:r>
      <w:r w:rsidR="001F2B3B">
        <w:rPr>
          <w:rFonts w:eastAsia="Calibri"/>
          <w:kern w:val="0"/>
          <w:szCs w:val="24"/>
        </w:rPr>
        <w:t>locustberry (</w:t>
      </w:r>
      <w:proofErr w:type="spellStart"/>
      <w:r w:rsidR="001F2B3B">
        <w:rPr>
          <w:rFonts w:eastAsia="Calibri"/>
          <w:i/>
          <w:iCs/>
          <w:kern w:val="0"/>
          <w:szCs w:val="24"/>
        </w:rPr>
        <w:t>Byrsonima</w:t>
      </w:r>
      <w:proofErr w:type="spellEnd"/>
      <w:r w:rsidR="001F2B3B">
        <w:rPr>
          <w:rFonts w:eastAsia="Calibri"/>
          <w:i/>
          <w:iCs/>
          <w:kern w:val="0"/>
          <w:szCs w:val="24"/>
        </w:rPr>
        <w:t xml:space="preserve"> lucida</w:t>
      </w:r>
      <w:r w:rsidR="001F2B3B">
        <w:rPr>
          <w:rFonts w:eastAsia="Calibri"/>
          <w:kern w:val="0"/>
          <w:szCs w:val="24"/>
        </w:rPr>
        <w:t>)</w:t>
      </w:r>
      <w:r w:rsidR="007318BE">
        <w:rPr>
          <w:rFonts w:eastAsia="Calibri"/>
          <w:kern w:val="0"/>
          <w:szCs w:val="24"/>
        </w:rPr>
        <w:t>, West Indian lilac (</w:t>
      </w:r>
      <w:proofErr w:type="spellStart"/>
      <w:r w:rsidR="007318BE">
        <w:rPr>
          <w:rFonts w:eastAsia="Calibri"/>
          <w:kern w:val="0"/>
          <w:szCs w:val="24"/>
        </w:rPr>
        <w:t>Miconia</w:t>
      </w:r>
      <w:proofErr w:type="spellEnd"/>
      <w:r w:rsidR="007318BE">
        <w:rPr>
          <w:rFonts w:eastAsia="Calibri"/>
          <w:kern w:val="0"/>
          <w:szCs w:val="24"/>
        </w:rPr>
        <w:t xml:space="preserve"> bicolor), </w:t>
      </w:r>
      <w:r w:rsidR="007318BE">
        <w:rPr>
          <w:rFonts w:eastAsia="Calibri"/>
          <w:kern w:val="0"/>
          <w:szCs w:val="24"/>
        </w:rPr>
        <w:lastRenderedPageBreak/>
        <w:t xml:space="preserve">and </w:t>
      </w:r>
      <w:proofErr w:type="spellStart"/>
      <w:r w:rsidR="00A13A68">
        <w:rPr>
          <w:rFonts w:eastAsia="Calibri"/>
          <w:kern w:val="0"/>
          <w:szCs w:val="24"/>
        </w:rPr>
        <w:t>l</w:t>
      </w:r>
      <w:r w:rsidR="00A13A68" w:rsidRPr="00A13A68">
        <w:rPr>
          <w:rFonts w:eastAsia="Calibri"/>
          <w:kern w:val="0"/>
          <w:szCs w:val="24"/>
        </w:rPr>
        <w:t>ongstalked</w:t>
      </w:r>
      <w:proofErr w:type="spellEnd"/>
      <w:r w:rsidR="00A13A68" w:rsidRPr="00A13A68">
        <w:rPr>
          <w:rFonts w:eastAsia="Calibri"/>
          <w:kern w:val="0"/>
          <w:szCs w:val="24"/>
        </w:rPr>
        <w:t>-stopper</w:t>
      </w:r>
      <w:r w:rsidR="00A13A68">
        <w:rPr>
          <w:rFonts w:eastAsia="Calibri"/>
          <w:kern w:val="0"/>
          <w:szCs w:val="24"/>
        </w:rPr>
        <w:t xml:space="preserve"> (</w:t>
      </w:r>
      <w:proofErr w:type="spellStart"/>
      <w:r w:rsidR="00A13A68" w:rsidRPr="00A13A68">
        <w:rPr>
          <w:rFonts w:eastAsia="Calibri"/>
          <w:i/>
          <w:iCs/>
          <w:kern w:val="0"/>
          <w:szCs w:val="24"/>
        </w:rPr>
        <w:t>Mosiera</w:t>
      </w:r>
      <w:proofErr w:type="spellEnd"/>
      <w:r w:rsidR="00A13A68" w:rsidRPr="00A13A68">
        <w:rPr>
          <w:rFonts w:eastAsia="Calibri"/>
          <w:i/>
          <w:iCs/>
          <w:kern w:val="0"/>
          <w:szCs w:val="24"/>
        </w:rPr>
        <w:t xml:space="preserve"> longipes</w:t>
      </w:r>
      <w:r w:rsidR="00A13A68">
        <w:rPr>
          <w:rFonts w:eastAsia="Calibri"/>
          <w:kern w:val="0"/>
          <w:szCs w:val="24"/>
        </w:rPr>
        <w:t>)</w:t>
      </w:r>
      <w:r w:rsidR="006E5AAC">
        <w:rPr>
          <w:rFonts w:eastAsia="Calibri"/>
          <w:kern w:val="0"/>
          <w:szCs w:val="24"/>
        </w:rPr>
        <w:t>, resulting in a narrow window</w:t>
      </w:r>
      <w:r w:rsidR="00C76901">
        <w:rPr>
          <w:rFonts w:eastAsia="Calibri"/>
          <w:kern w:val="0"/>
          <w:szCs w:val="24"/>
        </w:rPr>
        <w:t xml:space="preserve"> of</w:t>
      </w:r>
      <w:r w:rsidR="006E5AAC">
        <w:rPr>
          <w:rFonts w:eastAsia="Calibri"/>
          <w:kern w:val="0"/>
          <w:szCs w:val="24"/>
        </w:rPr>
        <w:t xml:space="preserve"> </w:t>
      </w:r>
      <w:r w:rsidR="008E3767">
        <w:rPr>
          <w:rFonts w:eastAsia="Calibri"/>
          <w:kern w:val="0"/>
          <w:szCs w:val="24"/>
        </w:rPr>
        <w:t xml:space="preserve">active </w:t>
      </w:r>
      <w:r w:rsidR="00575524">
        <w:rPr>
          <w:rFonts w:eastAsia="Calibri"/>
          <w:kern w:val="0"/>
          <w:szCs w:val="24"/>
        </w:rPr>
        <w:t>seed dispersal.</w:t>
      </w:r>
      <w:r w:rsidR="008E3767">
        <w:rPr>
          <w:rFonts w:eastAsia="Calibri"/>
          <w:kern w:val="0"/>
          <w:szCs w:val="24"/>
        </w:rPr>
        <w:t xml:space="preserve"> As a result, conservation of the gopher tortoise is not only </w:t>
      </w:r>
      <w:r w:rsidR="007E74B8">
        <w:rPr>
          <w:rFonts w:eastAsia="Calibri"/>
          <w:kern w:val="0"/>
          <w:szCs w:val="24"/>
        </w:rPr>
        <w:t xml:space="preserve">in service of </w:t>
      </w:r>
      <w:r w:rsidR="008E3767">
        <w:rPr>
          <w:rFonts w:eastAsia="Calibri"/>
          <w:kern w:val="0"/>
          <w:szCs w:val="24"/>
        </w:rPr>
        <w:t>protecting th</w:t>
      </w:r>
      <w:r w:rsidR="007E74B8">
        <w:rPr>
          <w:rFonts w:eastAsia="Calibri"/>
          <w:kern w:val="0"/>
          <w:szCs w:val="24"/>
        </w:rPr>
        <w:t>is</w:t>
      </w:r>
      <w:r w:rsidR="008E3767">
        <w:rPr>
          <w:rFonts w:eastAsia="Calibri"/>
          <w:kern w:val="0"/>
          <w:szCs w:val="24"/>
        </w:rPr>
        <w:t xml:space="preserve"> </w:t>
      </w:r>
      <w:r w:rsidR="00E61AB2">
        <w:rPr>
          <w:rFonts w:eastAsia="Calibri"/>
          <w:kern w:val="0"/>
          <w:szCs w:val="24"/>
        </w:rPr>
        <w:t>chelonian</w:t>
      </w:r>
      <w:r w:rsidR="007E74B8">
        <w:rPr>
          <w:rFonts w:eastAsia="Calibri"/>
          <w:kern w:val="0"/>
          <w:szCs w:val="24"/>
        </w:rPr>
        <w:t xml:space="preserve">, but </w:t>
      </w:r>
      <w:r w:rsidR="00D96A15">
        <w:rPr>
          <w:rFonts w:eastAsia="Calibri"/>
          <w:kern w:val="0"/>
          <w:szCs w:val="24"/>
        </w:rPr>
        <w:t xml:space="preserve">it is </w:t>
      </w:r>
      <w:r w:rsidR="007E74B8">
        <w:rPr>
          <w:rFonts w:eastAsia="Calibri"/>
          <w:kern w:val="0"/>
          <w:szCs w:val="24"/>
        </w:rPr>
        <w:t xml:space="preserve">in </w:t>
      </w:r>
      <w:r w:rsidR="00476630">
        <w:rPr>
          <w:rFonts w:eastAsia="Calibri"/>
          <w:kern w:val="0"/>
          <w:szCs w:val="24"/>
        </w:rPr>
        <w:t xml:space="preserve">service of </w:t>
      </w:r>
      <w:r w:rsidR="007E74B8">
        <w:rPr>
          <w:rFonts w:eastAsia="Calibri"/>
          <w:kern w:val="0"/>
          <w:szCs w:val="24"/>
        </w:rPr>
        <w:t>protecting the commensal</w:t>
      </w:r>
      <w:r w:rsidR="00476630">
        <w:rPr>
          <w:rFonts w:eastAsia="Calibri"/>
          <w:kern w:val="0"/>
          <w:szCs w:val="24"/>
        </w:rPr>
        <w:t xml:space="preserve">s </w:t>
      </w:r>
      <w:r w:rsidR="007E74B8">
        <w:rPr>
          <w:rFonts w:eastAsia="Calibri"/>
          <w:kern w:val="0"/>
          <w:szCs w:val="24"/>
        </w:rPr>
        <w:t>that use their burrows</w:t>
      </w:r>
      <w:r w:rsidR="00CB21F7">
        <w:rPr>
          <w:rFonts w:eastAsia="Calibri"/>
          <w:kern w:val="0"/>
          <w:szCs w:val="24"/>
        </w:rPr>
        <w:t xml:space="preserve"> </w:t>
      </w:r>
      <w:r w:rsidR="009E3BC1">
        <w:rPr>
          <w:rFonts w:eastAsia="Calibri"/>
          <w:kern w:val="0"/>
          <w:szCs w:val="24"/>
        </w:rPr>
        <w:fldChar w:fldCharType="begin"/>
      </w:r>
      <w:r w:rsidR="009E3BC1">
        <w:rPr>
          <w:rFonts w:eastAsia="Calibri"/>
          <w:kern w:val="0"/>
          <w:szCs w:val="24"/>
        </w:rPr>
        <w:instrText xml:space="preserve"> ADDIN ZOTERO_ITEM CSL_CITATION {"citationID":"E28u14ut","properties":{"formattedCitation":"(Diemer 1986, Lips 1991, Melanson 2021)","plainCitation":"(Diemer 1986, Lips 1991, Melanson 2021)","noteIndex":0},"citationItems":[{"id":6570,"uris":["http://zotero.org/users/10895328/items/YLLYDKN8"],"itemData":{"id":6570,"type":"article-journal","abstract":"[Recent research on the gopher tortoise (Gopherus polyphemus) has indicated its ecological importance, revealed reasons for its decline, and suggested management strategies. It is generally associated with the sandhill community but occurs in a variety of other natural and ruderal habitats. Limiting factors include well-drained sandy soil, adequate herbaceous food, and sunlit nesting sites. Tortoise densities and movements are related to herbaceous biomass. As the principal sandhill grazer, the gopher tortoise serves as a seed dispersal agent for native groundstory plants. The burrowing habits of the gopher tortoise return leached nutrients to the surface and the burrows provide refuges for many other species. Female gopher tortoises reach sexual maturity at 10-20 yr of age and produce a single annual clutch of about six eggs. Recruitment is reduced by heavy egg and hatchling predation. The major reasons for the decline of the gopher tortoise are habitat destruction, habitat degradation, and human predation. Recommended conservation measures include prescribed burning of sandhill habitat, establishment of preserves, protection from over-harvest, restocking, and public education.]","container-title":"Herpetologica","ISSN":"00180831, 19385099","issue":"1","journalAbbreviation":"Herpetologica","page":"125-133","source":"JSTOR","title":"The Ecology and Management of the Gopher Tortoise in the Southeastern United States","volume":"42","author":[{"family":"Diemer","given":"Joan E."}],"issued":{"date-parts":[["1986"]]}}},{"id":7843,"uris":["http://zotero.org/users/10895328/items/XYIB4BD3"],"itemData":{"id":7843,"type":"article-journal","container-title":"Journal of Herpetology","DOI":"Doi 10.2307/1564772","ISSN":"0022-1511","issue":"4","journalAbbreviation":"J Herpetol","language":"English","page":"477-481","title":"Vertebrates Associated with Tortoise (Gopherus polyphemus) Burrows in 4 Habitats in South-Central Florida","volume":"25","author":[{"family":"Lips","given":"K. R."}],"issued":{"date-parts":[["1991",12]]}}},{"id":8087,"uris":["http://zotero.org/users/10895328/items/5HEPFRI7"],"itemData":{"id":8087,"type":"thesis","number-of-pages":"99","publisher":"Florida Atlantic University","title":"Investigating vertebrate relationships of the south Florida gopher tortoise: a study of vertebrate species within scrub, pine rockland, coastal hammock and grassland habitats","author":[{"family":"Melanson","given":"Lauren"}],"issued":{"date-parts":[["2021"]]}}}],"schema":"https://github.com/citation-style-language/schema/raw/master/csl-citation.json"} </w:instrText>
      </w:r>
      <w:r w:rsidR="009E3BC1">
        <w:rPr>
          <w:rFonts w:eastAsia="Calibri"/>
          <w:kern w:val="0"/>
          <w:szCs w:val="24"/>
        </w:rPr>
        <w:fldChar w:fldCharType="separate"/>
      </w:r>
      <w:r w:rsidR="009E3BC1" w:rsidRPr="009E3BC1">
        <w:rPr>
          <w:rFonts w:eastAsia="Calibri"/>
        </w:rPr>
        <w:t>(Diemer 1986, Lips 1991, Melanson 2021)</w:t>
      </w:r>
      <w:r w:rsidR="009E3BC1">
        <w:rPr>
          <w:rFonts w:eastAsia="Calibri"/>
          <w:kern w:val="0"/>
          <w:szCs w:val="24"/>
        </w:rPr>
        <w:fldChar w:fldCharType="end"/>
      </w:r>
      <w:r w:rsidR="00084369">
        <w:rPr>
          <w:rFonts w:eastAsia="Calibri"/>
          <w:kern w:val="0"/>
          <w:szCs w:val="24"/>
        </w:rPr>
        <w:t>,</w:t>
      </w:r>
      <w:r w:rsidR="007E74B8">
        <w:rPr>
          <w:rFonts w:eastAsia="Calibri"/>
          <w:kern w:val="0"/>
          <w:szCs w:val="24"/>
        </w:rPr>
        <w:t xml:space="preserve"> and the thousands of plant species </w:t>
      </w:r>
      <w:r w:rsidR="00CB21F7">
        <w:rPr>
          <w:rFonts w:eastAsia="Calibri"/>
          <w:kern w:val="0"/>
          <w:szCs w:val="24"/>
        </w:rPr>
        <w:t xml:space="preserve">with which </w:t>
      </w:r>
      <w:r w:rsidR="007E74B8">
        <w:rPr>
          <w:rFonts w:eastAsia="Calibri"/>
          <w:kern w:val="0"/>
          <w:szCs w:val="24"/>
        </w:rPr>
        <w:t>it interacts</w:t>
      </w:r>
      <w:r w:rsidR="00177363">
        <w:rPr>
          <w:rFonts w:eastAsia="Calibri"/>
          <w:kern w:val="0"/>
          <w:szCs w:val="24"/>
        </w:rPr>
        <w:t xml:space="preserve"> </w:t>
      </w:r>
      <w:r w:rsidR="00177363">
        <w:rPr>
          <w:rFonts w:eastAsia="Calibri"/>
          <w:kern w:val="0"/>
          <w:szCs w:val="24"/>
        </w:rPr>
        <w:fldChar w:fldCharType="begin"/>
      </w:r>
      <w:r w:rsidR="00177363">
        <w:rPr>
          <w:rFonts w:eastAsia="Calibri"/>
          <w:kern w:val="0"/>
          <w:szCs w:val="24"/>
        </w:rPr>
        <w:instrText xml:space="preserve"> ADDIN ZOTERO_ITEM CSL_CITATION {"citationID":"UDzWedPm","properties":{"formattedCitation":"(Ashton and Ashton 2008)","plainCitation":"(Ashton and Ashton 2008)","noteIndex":0},"citationItems":[{"id":5804,"uris":["http://zotero.org/users/10895328/items/SICXYKIJ"],"itemData":{"id":5804,"type":"article-journal","container-title":"Gopherus polyphemus","page":"65-93","title":"The Natural History and Management of the Gopher Tortoise","author":[{"family":"Ashton","given":"Ray E."},{"family":"Ashton","given":"Patricia S."}],"issued":{"date-parts":[["2008"]]}}}],"schema":"https://github.com/citation-style-language/schema/raw/master/csl-citation.json"} </w:instrText>
      </w:r>
      <w:r w:rsidR="00177363">
        <w:rPr>
          <w:rFonts w:eastAsia="Calibri"/>
          <w:kern w:val="0"/>
          <w:szCs w:val="24"/>
        </w:rPr>
        <w:fldChar w:fldCharType="separate"/>
      </w:r>
      <w:r w:rsidR="00177363" w:rsidRPr="00177363">
        <w:rPr>
          <w:rFonts w:eastAsia="Calibri"/>
        </w:rPr>
        <w:t>(Ashton and Ashton 2008)</w:t>
      </w:r>
      <w:r w:rsidR="00177363">
        <w:rPr>
          <w:rFonts w:eastAsia="Calibri"/>
          <w:kern w:val="0"/>
          <w:szCs w:val="24"/>
        </w:rPr>
        <w:fldChar w:fldCharType="end"/>
      </w:r>
      <w:r w:rsidR="007E74B8">
        <w:rPr>
          <w:rFonts w:eastAsia="Calibri"/>
          <w:kern w:val="0"/>
          <w:szCs w:val="24"/>
        </w:rPr>
        <w:t>.</w:t>
      </w:r>
      <w:r w:rsidR="00177363">
        <w:rPr>
          <w:rFonts w:eastAsia="Calibri"/>
          <w:kern w:val="0"/>
          <w:szCs w:val="24"/>
        </w:rPr>
        <w:t xml:space="preserve"> </w:t>
      </w:r>
    </w:p>
    <w:p w14:paraId="5DEE1F87" w14:textId="0EB6C1B9" w:rsidR="0039409D" w:rsidRDefault="00194558" w:rsidP="00B71497">
      <w:pPr>
        <w:spacing w:before="100" w:beforeAutospacing="1" w:after="100" w:afterAutospacing="1" w:line="480" w:lineRule="auto"/>
        <w:ind w:firstLine="720"/>
        <w:mirrorIndents/>
        <w:rPr>
          <w:rFonts w:eastAsia="Calibri"/>
          <w:kern w:val="0"/>
          <w:szCs w:val="24"/>
        </w:rPr>
      </w:pPr>
      <w:r w:rsidRPr="00194558">
        <w:rPr>
          <w:rFonts w:eastAsia="Calibri"/>
          <w:kern w:val="0"/>
          <w:szCs w:val="24"/>
        </w:rPr>
        <w:t xml:space="preserve">While this study provides a comprehensive analysis of frugivory and seed dispersal in </w:t>
      </w:r>
      <w:r w:rsidR="00E1627B">
        <w:rPr>
          <w:rFonts w:eastAsia="Calibri"/>
          <w:kern w:val="0"/>
          <w:szCs w:val="24"/>
        </w:rPr>
        <w:t xml:space="preserve">the </w:t>
      </w:r>
      <w:r w:rsidRPr="00194558">
        <w:rPr>
          <w:rFonts w:eastAsia="Calibri"/>
          <w:kern w:val="0"/>
          <w:szCs w:val="24"/>
        </w:rPr>
        <w:t>gopher tortoise, several limitations should be acknowledged. The reliance on scat analysis, although effective, may not capture all aspects of the tortoises' diet or the fate of dispersed seeds. Future studies could</w:t>
      </w:r>
      <w:r w:rsidR="00F6553C">
        <w:rPr>
          <w:rFonts w:eastAsia="Calibri"/>
          <w:kern w:val="0"/>
          <w:szCs w:val="24"/>
        </w:rPr>
        <w:t xml:space="preserve"> quantify </w:t>
      </w:r>
      <w:r w:rsidR="008C3CEF">
        <w:rPr>
          <w:rFonts w:eastAsia="Calibri"/>
          <w:kern w:val="0"/>
          <w:szCs w:val="24"/>
        </w:rPr>
        <w:t xml:space="preserve">the </w:t>
      </w:r>
      <w:r w:rsidR="00F6553C">
        <w:rPr>
          <w:rFonts w:eastAsia="Calibri"/>
          <w:kern w:val="0"/>
          <w:szCs w:val="24"/>
        </w:rPr>
        <w:t xml:space="preserve">availability </w:t>
      </w:r>
      <w:r w:rsidR="008C3CEF">
        <w:rPr>
          <w:rFonts w:eastAsia="Calibri"/>
          <w:kern w:val="0"/>
          <w:szCs w:val="24"/>
        </w:rPr>
        <w:t>of</w:t>
      </w:r>
      <w:r w:rsidR="00F6553C">
        <w:rPr>
          <w:rFonts w:eastAsia="Calibri"/>
          <w:kern w:val="0"/>
          <w:szCs w:val="24"/>
        </w:rPr>
        <w:t xml:space="preserve"> </w:t>
      </w:r>
      <w:r w:rsidR="00B71497">
        <w:rPr>
          <w:rFonts w:eastAsia="Calibri"/>
          <w:kern w:val="0"/>
          <w:szCs w:val="24"/>
        </w:rPr>
        <w:t>plants</w:t>
      </w:r>
      <w:r w:rsidR="00F6553C">
        <w:rPr>
          <w:rFonts w:eastAsia="Calibri"/>
          <w:kern w:val="0"/>
          <w:szCs w:val="24"/>
        </w:rPr>
        <w:t xml:space="preserve"> exhibiting differen</w:t>
      </w:r>
      <w:r w:rsidR="008C3CEF">
        <w:rPr>
          <w:rFonts w:eastAsia="Calibri"/>
          <w:kern w:val="0"/>
          <w:szCs w:val="24"/>
        </w:rPr>
        <w:t>t</w:t>
      </w:r>
      <w:r w:rsidR="00F6553C">
        <w:rPr>
          <w:rFonts w:eastAsia="Calibri"/>
          <w:kern w:val="0"/>
          <w:szCs w:val="24"/>
        </w:rPr>
        <w:t xml:space="preserve"> dispersal syndromes or</w:t>
      </w:r>
      <w:r w:rsidRPr="00194558">
        <w:rPr>
          <w:rFonts w:eastAsia="Calibri"/>
          <w:kern w:val="0"/>
          <w:szCs w:val="24"/>
        </w:rPr>
        <w:t xml:space="preserve"> integrate tracking of seed </w:t>
      </w:r>
      <w:r w:rsidR="000F461D">
        <w:rPr>
          <w:rFonts w:eastAsia="Calibri"/>
          <w:kern w:val="0"/>
          <w:szCs w:val="24"/>
        </w:rPr>
        <w:t>fates</w:t>
      </w:r>
      <w:r w:rsidRPr="00194558">
        <w:rPr>
          <w:rFonts w:eastAsia="Calibri"/>
          <w:kern w:val="0"/>
          <w:szCs w:val="24"/>
        </w:rPr>
        <w:t xml:space="preserve"> </w:t>
      </w:r>
      <w:r w:rsidR="009A7C3A">
        <w:rPr>
          <w:rFonts w:eastAsia="Calibri"/>
          <w:kern w:val="0"/>
          <w:szCs w:val="24"/>
        </w:rPr>
        <w:t>from</w:t>
      </w:r>
      <w:r w:rsidR="000F461D">
        <w:rPr>
          <w:rFonts w:eastAsia="Calibri"/>
          <w:kern w:val="0"/>
          <w:szCs w:val="24"/>
        </w:rPr>
        <w:t xml:space="preserve"> dispersal</w:t>
      </w:r>
      <w:r w:rsidR="009A7C3A">
        <w:rPr>
          <w:rFonts w:eastAsia="Calibri"/>
          <w:kern w:val="0"/>
          <w:szCs w:val="24"/>
        </w:rPr>
        <w:t xml:space="preserve"> </w:t>
      </w:r>
      <w:r w:rsidR="000F461D">
        <w:rPr>
          <w:rFonts w:eastAsia="Calibri"/>
          <w:kern w:val="0"/>
          <w:szCs w:val="24"/>
        </w:rPr>
        <w:t>to</w:t>
      </w:r>
      <w:r w:rsidRPr="00194558">
        <w:rPr>
          <w:rFonts w:eastAsia="Calibri"/>
          <w:kern w:val="0"/>
          <w:szCs w:val="24"/>
        </w:rPr>
        <w:t xml:space="preserve"> germination</w:t>
      </w:r>
      <w:r w:rsidR="000F461D">
        <w:rPr>
          <w:rFonts w:eastAsia="Calibri"/>
          <w:kern w:val="0"/>
          <w:szCs w:val="24"/>
        </w:rPr>
        <w:t xml:space="preserve"> and establishment</w:t>
      </w:r>
      <w:r w:rsidR="00B71497">
        <w:rPr>
          <w:rFonts w:eastAsia="Calibri"/>
          <w:kern w:val="0"/>
          <w:szCs w:val="24"/>
        </w:rPr>
        <w:t xml:space="preserve"> </w:t>
      </w:r>
      <w:r w:rsidR="00B71497">
        <w:rPr>
          <w:rFonts w:eastAsia="Calibri"/>
          <w:kern w:val="0"/>
          <w:szCs w:val="24"/>
        </w:rPr>
        <w:fldChar w:fldCharType="begin"/>
      </w:r>
      <w:r w:rsidR="00B71497">
        <w:rPr>
          <w:rFonts w:eastAsia="Calibri"/>
          <w:kern w:val="0"/>
          <w:szCs w:val="24"/>
        </w:rPr>
        <w:instrText xml:space="preserve"> ADDIN ZOTERO_ITEM CSL_CITATION {"citationID":"WcVnfbeF","properties":{"formattedCitation":"(Godoy and Jordano 2001, Schupp and Jordano 2011)","plainCitation":"(Godoy and Jordano 2001, Schupp and Jordano 2011)","noteIndex":0},"citationItems":[{"id":6971,"uris":["http://zotero.org/users/10895328/items/FBGNLLGY"],"itemData":{"id":6971,"type":"article-journal","abstract":"A long-standing challenge in studies of seed dispersal by animal frugivores has been the characterization of the spatial relationships between dispersed seeds and the maternal plants, i.e. the seed shadow. The difficulties to track unambiguously the origin of frugivore-dispersed seeds in natural communities has been considered an unavoidable limitation of the research field and precluded a robust analysis of the direct consequences of zoochory. Here we report that the multilocus genotype at simple sequence repeat (SSR; microsatellite) loci of the woody endocarp, a tissue of maternal origin, provides an unequivocal genetic fingerprint of the source tree. By comparing the endocarp genotype against the complete set of genotypes of reproductive trees in the population, we could unambiguously identify the source tree for 82.1% of the seeds collected in seed traps and hypothesize that the remaining 17.9% of sampled seeds come from other populations. Identification of the source tree for Prunus mahaleb seeds dispersed by frugivores revealed a marked heterogeneity in the genetic composition of the seed rain in different microhabitats, with a range of 1-5 distinct maternal trees contributing seeds to a particular landscape patch. Within-population dispersal distances ranged between 0 and 316 m, with up to 62% of the seeds delivered within 15 m of the source trees. Long distance dispersal events, detected by the exclusion of all reproductive trees in the population, accounted for up to 17.9% of the seeds sampled. Our results indicate strong distance limitation of seed delivery combined with infrequent long-distance dispersal events, extreme heterogeneity in the landscape pattern of genetic makeup, and a marked mosaic of multiple parentage for the seeds delivered to a particular patch.","container-title":"Molecular Ecology","DOI":"DOI 10.1046/j.0962-1083.2001.01342.x","ISSN":"0962-1083","issue":"9","journalAbbreviation":"Mol Ecol","language":"English","page":"2275-2283","title":"Seed dispersal by animals: exact identification of source trees with endocarp DNA microsatellites","volume":"10","author":[{"family":"Godoy","given":"J. A."},{"family":"Jordano","given":"P."}],"issued":{"date-parts":[["2001",9]]}}},{"id":8973,"uris":["http://zotero.org/users/10895328/items/6C5NFUJI"],"itemData":{"id":8973,"type":"article-journal","abstract":"The Janzen-Connell (J-C) model (Janzen 1970; Connell 1971) has been a dominant yet controversial paradigm for forest community dynamics for four decades, especially in the tropics. With increasing distance from the parent plant, the density of dispersed seeds decreases and, because of a reduced impact of distance-and density-responsive seed and seedling enemies, propagule survival increases, resulting in peak recruitment at some distance from the parent and little recruitment near adult conspecifics. This spacing generates gaps near adult trees for the recruitment of heterospecifics, enhancing species coexistence and species richness. Field studies, primarily focused on seeds and young seedlings, have repeatedly demonstrated increasing survival with increasing distance from parents or decreasing density of propagules (e. g. Clark &amp; Clark 1984; Gilbert et al. 1994; Swamy &amp; Terborgh 2010). Yet a meta-analysis of distance-dependent propagule survival failed to support a general pattern of survival increasing with distance from adult conspecifics, suggesting that there is no need for further experimental tests of the J-C hypothesis in terms of diversity enhancement-results are species-specific, not general (Hyatt et al. 2003). However, a lack of consistent experimental results is not surprising. The outcome of tests of the hypothesis can vary as a function of many factors that can affect successive recruitment stages differently (Schupp 1992; Hyatt et al. 2003; Swamy &amp; Terborgh 2010). This highlights a critical gap-a full test of the J-C model requires data demonstrating that effects carry over to recruitment of new reproductive adults, yet few studies have gone beyond early stages. There is strong inferential evidence that adult trees can show the imprint of J-C effects (e. g. Nathan et al. 2000; Howe &amp; Miriti 2004), and focal individual modelling has clearly demonstrated that J-C effects can operate from sapling through adult stages in a significant number of species (Peters 2003). It is likely that such results are not unusual, but there have been few attempts to demonstrate J-C spacing at the adult stage. In this issue of Molecular Ecology, Steinitz et al. (2011) studied the Mediterranean pine Pinus halepensis (Aleppo pine) and combined a unique situation with an innovative approach to provide the most elegant demonstration yet that adult recruits are spaced further from parents than expected from the initial seed distribution, clear evidence of a J-C effect carrying over to reproductive adults. A major advancement of this study is that it incorporates estimates of the initial patterns of seed dispersal and parentage analysis of adult-offspring relationships, illustrating the value of combined field and genetic approaches.","container-title":"Molecular Ecology","DOI":"10.1111/j.1365-294X.2011.05202.x","ISSN":"0962-1083","issue":"19","journalAbbreviation":"Mol Ecol","language":"English","page":"3953-3955","title":"The full path of Janzen-Connell effects: genetic tracking of seeds to adult plant recruitment","volume":"20","author":[{"family":"Schupp","given":"E. W."},{"family":"Jordano","given":"P."}],"issued":{"date-parts":[["2011",10]]}}}],"schema":"https://github.com/citation-style-language/schema/raw/master/csl-citation.json"} </w:instrText>
      </w:r>
      <w:r w:rsidR="00B71497">
        <w:rPr>
          <w:rFonts w:eastAsia="Calibri"/>
          <w:kern w:val="0"/>
          <w:szCs w:val="24"/>
        </w:rPr>
        <w:fldChar w:fldCharType="separate"/>
      </w:r>
      <w:r w:rsidR="00B71497" w:rsidRPr="00AB37EF">
        <w:rPr>
          <w:rFonts w:eastAsia="Calibri"/>
        </w:rPr>
        <w:t>(Godoy and Jordano 2001, Schupp and Jordano 2011)</w:t>
      </w:r>
      <w:r w:rsidR="00B71497">
        <w:rPr>
          <w:rFonts w:eastAsia="Calibri"/>
          <w:kern w:val="0"/>
          <w:szCs w:val="24"/>
        </w:rPr>
        <w:fldChar w:fldCharType="end"/>
      </w:r>
      <w:r w:rsidR="008C3CEF">
        <w:rPr>
          <w:rFonts w:eastAsia="Calibri"/>
          <w:kern w:val="0"/>
          <w:szCs w:val="24"/>
        </w:rPr>
        <w:t>,</w:t>
      </w:r>
      <w:r w:rsidRPr="00194558">
        <w:rPr>
          <w:rFonts w:eastAsia="Calibri"/>
          <w:kern w:val="0"/>
          <w:szCs w:val="24"/>
        </w:rPr>
        <w:t xml:space="preserve"> provid</w:t>
      </w:r>
      <w:r w:rsidR="008C3CEF">
        <w:rPr>
          <w:rFonts w:eastAsia="Calibri"/>
          <w:kern w:val="0"/>
          <w:szCs w:val="24"/>
        </w:rPr>
        <w:t>ing</w:t>
      </w:r>
      <w:r w:rsidRPr="00194558">
        <w:rPr>
          <w:rFonts w:eastAsia="Calibri"/>
          <w:kern w:val="0"/>
          <w:szCs w:val="24"/>
        </w:rPr>
        <w:t xml:space="preserve"> a more holistic understanding of the ecological impacts</w:t>
      </w:r>
      <w:r w:rsidR="006D6DF8">
        <w:rPr>
          <w:rFonts w:eastAsia="Calibri"/>
          <w:kern w:val="0"/>
          <w:szCs w:val="24"/>
        </w:rPr>
        <w:t xml:space="preserve"> of gopher tortoise </w:t>
      </w:r>
      <w:r w:rsidR="00B71497">
        <w:rPr>
          <w:rFonts w:eastAsia="Calibri"/>
          <w:kern w:val="0"/>
          <w:szCs w:val="24"/>
        </w:rPr>
        <w:t>as a seed disperser</w:t>
      </w:r>
      <w:r w:rsidR="000F461D">
        <w:rPr>
          <w:rFonts w:eastAsia="Calibri"/>
          <w:kern w:val="0"/>
          <w:szCs w:val="24"/>
        </w:rPr>
        <w:t xml:space="preserve"> </w:t>
      </w:r>
      <w:r w:rsidR="00B71497">
        <w:rPr>
          <w:rFonts w:eastAsia="Calibri"/>
          <w:kern w:val="0"/>
          <w:szCs w:val="24"/>
        </w:rPr>
        <w:t>for various species</w:t>
      </w:r>
      <w:r w:rsidRPr="00194558">
        <w:rPr>
          <w:rFonts w:eastAsia="Calibri"/>
          <w:kern w:val="0"/>
          <w:szCs w:val="24"/>
        </w:rPr>
        <w:t>.</w:t>
      </w:r>
      <w:r w:rsidR="006D6DF8">
        <w:rPr>
          <w:rFonts w:eastAsia="Calibri"/>
          <w:kern w:val="0"/>
          <w:szCs w:val="24"/>
        </w:rPr>
        <w:t xml:space="preserve"> </w:t>
      </w:r>
      <w:r w:rsidRPr="00194558">
        <w:rPr>
          <w:rFonts w:eastAsia="Calibri"/>
          <w:kern w:val="0"/>
          <w:szCs w:val="24"/>
        </w:rPr>
        <w:t>Additionally,</w:t>
      </w:r>
      <w:r w:rsidR="006D6DF8">
        <w:rPr>
          <w:rFonts w:eastAsia="Calibri"/>
          <w:kern w:val="0"/>
          <w:szCs w:val="24"/>
        </w:rPr>
        <w:t xml:space="preserve"> a thorough quantification of seed dispersal effectiveness </w:t>
      </w:r>
      <w:r w:rsidR="0031369E">
        <w:rPr>
          <w:rFonts w:eastAsia="Calibri"/>
          <w:kern w:val="0"/>
          <w:szCs w:val="24"/>
        </w:rPr>
        <w:t xml:space="preserve">for </w:t>
      </w:r>
      <w:r w:rsidR="00B71497">
        <w:rPr>
          <w:rFonts w:eastAsia="Calibri"/>
          <w:kern w:val="0"/>
          <w:szCs w:val="24"/>
        </w:rPr>
        <w:t>the gopher tortoise</w:t>
      </w:r>
      <w:r w:rsidR="000E1D09">
        <w:rPr>
          <w:rFonts w:eastAsia="Calibri"/>
          <w:kern w:val="0"/>
          <w:szCs w:val="24"/>
        </w:rPr>
        <w:t xml:space="preserve"> could provide insight into how effective</w:t>
      </w:r>
      <w:r w:rsidR="0031369E">
        <w:rPr>
          <w:rFonts w:eastAsia="Calibri"/>
          <w:kern w:val="0"/>
          <w:szCs w:val="24"/>
        </w:rPr>
        <w:t xml:space="preserve"> </w:t>
      </w:r>
      <w:r w:rsidR="00B71497">
        <w:rPr>
          <w:rFonts w:eastAsia="Calibri"/>
          <w:kern w:val="0"/>
          <w:szCs w:val="24"/>
        </w:rPr>
        <w:t>it</w:t>
      </w:r>
      <w:r w:rsidR="000E1D09">
        <w:rPr>
          <w:rFonts w:eastAsia="Calibri"/>
          <w:kern w:val="0"/>
          <w:szCs w:val="24"/>
        </w:rPr>
        <w:t xml:space="preserve"> </w:t>
      </w:r>
      <w:r w:rsidR="00B71497">
        <w:rPr>
          <w:rFonts w:eastAsia="Calibri"/>
          <w:kern w:val="0"/>
          <w:szCs w:val="24"/>
        </w:rPr>
        <w:t>is</w:t>
      </w:r>
      <w:r w:rsidR="000E1D09">
        <w:rPr>
          <w:rFonts w:eastAsia="Calibri"/>
          <w:kern w:val="0"/>
          <w:szCs w:val="24"/>
        </w:rPr>
        <w:t xml:space="preserve"> </w:t>
      </w:r>
      <w:r w:rsidR="00B71497">
        <w:rPr>
          <w:rFonts w:eastAsia="Calibri"/>
          <w:kern w:val="0"/>
          <w:szCs w:val="24"/>
        </w:rPr>
        <w:t xml:space="preserve">as </w:t>
      </w:r>
      <w:r w:rsidR="000E1D09">
        <w:rPr>
          <w:rFonts w:eastAsia="Calibri"/>
          <w:kern w:val="0"/>
          <w:szCs w:val="24"/>
        </w:rPr>
        <w:t>a dispersal vector</w:t>
      </w:r>
      <w:r w:rsidR="00B52E0E">
        <w:rPr>
          <w:rFonts w:eastAsia="Calibri"/>
          <w:kern w:val="0"/>
          <w:szCs w:val="24"/>
        </w:rPr>
        <w:t xml:space="preserve">, opening the possibility for comparative studies along the mutualism-antagonism continuum </w:t>
      </w:r>
      <w:r w:rsidR="00B52E0E">
        <w:rPr>
          <w:rFonts w:eastAsia="Calibri"/>
          <w:kern w:val="0"/>
          <w:szCs w:val="24"/>
        </w:rPr>
        <w:fldChar w:fldCharType="begin"/>
      </w:r>
      <w:r w:rsidR="004842B5">
        <w:rPr>
          <w:rFonts w:eastAsia="Calibri"/>
          <w:kern w:val="0"/>
          <w:szCs w:val="24"/>
        </w:rPr>
        <w:instrText xml:space="preserve"> ADDIN ZOTERO_ITEM CSL_CITATION {"citationID":"Zk2WjHOm","properties":{"formattedCitation":"(van Leeuwen et al. 2022)","plainCitation":"(van Leeuwen et al. 2022)","dontUpdate":true,"noteIndex":0},"citationItems":[{"id":9765,"uris":["http://zotero.org/users/10895328/items/4MBGR6TU"],"itemData":{"id":9765,"type":"article-journal","abstract":"Many angiosperms rely on vertebrates for seed dispersal via gut passage, an interaction that has been traditionally classified as a mutualism. The seed dispersal effectiveness (SDE) framework provides a mechanistic approach to evaluate evolutionary and ecological characteristics of animal-mediated seed dispersal, by synthesising the quantity and the quality of the dispersal that a plant species receives from each of its animal dispersers. However, the application of the SDE framework has been largely restricted to plant-frugivore interactions, whereas animal-mediated seed dispersal results from plant-disperser interactions that cover a continuum from pure mutualisms to antagonisms. This biases ecological and evolutionary knowledge on plant-disperser interactions. Here, we propose an extended SDE framework ('eSDE') that allows comparing plant-disperser interactions in the full mutualism-antagonism continuum ranging from pure mutualisms (frugivores) to conditional mutualisms (scatter-hoarding granivores and folivores) and antagonisms (pure granivores). We present the eSDE framework, and use examples to illustrate how it can be applied to compare effectiveness among plant-disperser interaction types. Our initial comparison based on available data suggests that vertebrate species differ more in the number of seeds they deposit away from the mother plant (quantity), than in the effects such dispersal processes have on seed fate (quality). Scatter-hoarding granivores provide the most effective dispersal due to high removal rates, closely followed by frugivores due to high deposition rates. Folivores and pure granivores provide low quantity dispersal, but of high and moderate quality, respectively. These early comparative insights illustrate the necessity and usefulness of more standardized data collection protocols, for which we provide recommendations. Applying the eSDE framework can reveal broad-scale patterns across and within plant-disperser interaction types, which will advance our evolutionary understanding of plant-animal interactions. This will provide new insights into the consequence of anthropogenic impacts on vertebrate-mediated seed dispersal in a world in which plant-animal interactions are increasingly threatened.","container-title":"Oikos","DOI":"https://doi.org/10.1111/oik.09254","ISSN":"0030-1299","journalAbbreviation":"Oikos","page":"e09254","title":"A seed dispersal effectiveness framework across the mutualism–antagonism continuum","author":[{"family":"Leeuwen","given":"Casper H. A.","non-dropping-particle":"van"},{"family":"Villar","given":"Nacho"},{"family":"Mendoza Sagrera","given":"Irene"},{"family":"Green","given":"Andy J."},{"family":"Bakker","given":"Elisabeth S."},{"family":"Soons","given":"Merel B."},{"family":"Galetti","given":"Mauro"},{"family":"Jansen","given":"Patrick A."},{"family":"Nolet","given":"Bart A."},{"family":"Santamaría","given":"Luis"}],"issued":{"date-parts":[["2022",6,28]]}}}],"schema":"https://github.com/citation-style-language/schema/raw/master/csl-citation.json"} </w:instrText>
      </w:r>
      <w:r w:rsidR="00B52E0E">
        <w:rPr>
          <w:rFonts w:eastAsia="Calibri"/>
          <w:kern w:val="0"/>
          <w:szCs w:val="24"/>
        </w:rPr>
        <w:fldChar w:fldCharType="separate"/>
      </w:r>
      <w:r w:rsidR="00B52E0E" w:rsidRPr="00B52E0E">
        <w:rPr>
          <w:rFonts w:eastAsia="Calibri"/>
        </w:rPr>
        <w:t>(</w:t>
      </w:r>
      <w:r w:rsidR="004842B5" w:rsidRPr="004842B5">
        <w:rPr>
          <w:rFonts w:eastAsia="Calibri"/>
          <w:i/>
          <w:iCs/>
        </w:rPr>
        <w:t>sensu</w:t>
      </w:r>
      <w:r w:rsidR="004842B5">
        <w:rPr>
          <w:rFonts w:eastAsia="Calibri"/>
        </w:rPr>
        <w:t xml:space="preserve"> </w:t>
      </w:r>
      <w:r w:rsidR="00B52E0E" w:rsidRPr="00B52E0E">
        <w:rPr>
          <w:rFonts w:eastAsia="Calibri"/>
        </w:rPr>
        <w:t>van Leeuwen et al. 2022)</w:t>
      </w:r>
      <w:r w:rsidR="00B52E0E">
        <w:rPr>
          <w:rFonts w:eastAsia="Calibri"/>
          <w:kern w:val="0"/>
          <w:szCs w:val="24"/>
        </w:rPr>
        <w:fldChar w:fldCharType="end"/>
      </w:r>
      <w:r w:rsidR="00B52E0E">
        <w:rPr>
          <w:rFonts w:eastAsia="Calibri"/>
          <w:kern w:val="0"/>
          <w:szCs w:val="24"/>
        </w:rPr>
        <w:t>.</w:t>
      </w:r>
      <w:r w:rsidR="00B71497">
        <w:rPr>
          <w:rFonts w:eastAsia="Calibri"/>
          <w:kern w:val="0"/>
          <w:szCs w:val="24"/>
        </w:rPr>
        <w:t xml:space="preserve"> Finally, l</w:t>
      </w:r>
      <w:r w:rsidRPr="00194558">
        <w:rPr>
          <w:rFonts w:eastAsia="Calibri"/>
          <w:kern w:val="0"/>
          <w:szCs w:val="24"/>
        </w:rPr>
        <w:t>ong-term studies examining interannual variability in precipitation and frugivory would also be valuable in understanding the impacts of climate change on these dynamics.</w:t>
      </w:r>
    </w:p>
    <w:p w14:paraId="56FD68A8" w14:textId="77777777" w:rsidR="00B71497" w:rsidRDefault="00B71497" w:rsidP="00B71497">
      <w:pPr>
        <w:spacing w:before="100" w:beforeAutospacing="1" w:after="100" w:afterAutospacing="1" w:line="480" w:lineRule="auto"/>
        <w:ind w:firstLine="720"/>
        <w:mirrorIndents/>
        <w:rPr>
          <w:rFonts w:eastAsia="Calibri"/>
          <w:kern w:val="0"/>
          <w:szCs w:val="24"/>
        </w:rPr>
      </w:pPr>
    </w:p>
    <w:p w14:paraId="3119DE06" w14:textId="11F974FA" w:rsidR="0032623E" w:rsidRDefault="0039409D" w:rsidP="0039409D">
      <w:pPr>
        <w:spacing w:before="100" w:beforeAutospacing="1" w:after="100" w:afterAutospacing="1" w:line="480" w:lineRule="auto"/>
        <w:mirrorIndents/>
        <w:rPr>
          <w:rFonts w:eastAsia="Calibri"/>
          <w:kern w:val="0"/>
          <w:szCs w:val="24"/>
        </w:rPr>
      </w:pPr>
      <w:r w:rsidRPr="0032623E">
        <w:rPr>
          <w:rFonts w:eastAsia="Calibri"/>
          <w:b/>
          <w:bCs/>
          <w:kern w:val="0"/>
          <w:szCs w:val="24"/>
          <w:u w:val="single"/>
        </w:rPr>
        <w:t>ACKNOWLEDGEMENT</w:t>
      </w:r>
      <w:r w:rsidR="0032623E" w:rsidRPr="0032623E">
        <w:rPr>
          <w:rFonts w:eastAsia="Calibri"/>
          <w:b/>
          <w:bCs/>
          <w:kern w:val="0"/>
          <w:szCs w:val="24"/>
          <w:u w:val="single"/>
        </w:rPr>
        <w:t>S</w:t>
      </w:r>
    </w:p>
    <w:p w14:paraId="2D7810A7" w14:textId="77777777" w:rsidR="00C439B3" w:rsidRDefault="001F20F9" w:rsidP="009C2F89">
      <w:pPr>
        <w:spacing w:before="100" w:beforeAutospacing="1" w:after="100" w:afterAutospacing="1" w:line="480" w:lineRule="auto"/>
        <w:mirrorIndents/>
        <w:rPr>
          <w:rFonts w:eastAsia="Calibri"/>
          <w:kern w:val="0"/>
          <w:szCs w:val="24"/>
        </w:rPr>
      </w:pPr>
      <w:r w:rsidRPr="001F20F9">
        <w:rPr>
          <w:rFonts w:eastAsia="Calibri"/>
          <w:kern w:val="0"/>
          <w:szCs w:val="24"/>
        </w:rPr>
        <w:t xml:space="preserve">We would like to thank the Miami-Dade County Natural Areas Management (NAM) division as well as the Florida Fish and Wildlife Conservation Commission (FWC) for allowing us to conduct this work under NAM permit #304 and FWC permit LSSC-19-00011B. AF thanks Joel </w:t>
      </w:r>
      <w:r w:rsidRPr="001F20F9">
        <w:rPr>
          <w:rFonts w:eastAsia="Calibri"/>
          <w:kern w:val="0"/>
          <w:szCs w:val="24"/>
        </w:rPr>
        <w:lastRenderedPageBreak/>
        <w:t>Heinen for thoughtful comments on the manuscript</w:t>
      </w:r>
      <w:r w:rsidR="00204CB5">
        <w:rPr>
          <w:rFonts w:eastAsia="Calibri"/>
          <w:kern w:val="0"/>
          <w:szCs w:val="24"/>
        </w:rPr>
        <w:t xml:space="preserve"> as well as</w:t>
      </w:r>
      <w:r w:rsidRPr="001F20F9">
        <w:rPr>
          <w:rFonts w:eastAsia="Calibri"/>
          <w:kern w:val="0"/>
          <w:szCs w:val="24"/>
        </w:rPr>
        <w:t xml:space="preserve"> Pedro Jordano</w:t>
      </w:r>
      <w:r w:rsidR="00204CB5">
        <w:rPr>
          <w:rFonts w:eastAsia="Calibri"/>
          <w:kern w:val="0"/>
          <w:szCs w:val="24"/>
        </w:rPr>
        <w:t xml:space="preserve"> and </w:t>
      </w:r>
      <w:r w:rsidR="00FC415C" w:rsidRPr="00FC415C">
        <w:rPr>
          <w:rFonts w:eastAsia="Calibri"/>
          <w:kern w:val="0"/>
          <w:szCs w:val="24"/>
        </w:rPr>
        <w:t>Márcio Silva Araújo</w:t>
      </w:r>
      <w:r w:rsidR="00FC415C">
        <w:rPr>
          <w:rFonts w:eastAsia="Calibri"/>
          <w:kern w:val="0"/>
          <w:szCs w:val="24"/>
        </w:rPr>
        <w:t xml:space="preserve"> </w:t>
      </w:r>
      <w:r w:rsidRPr="001F20F9">
        <w:rPr>
          <w:rFonts w:eastAsia="Calibri"/>
          <w:kern w:val="0"/>
          <w:szCs w:val="24"/>
        </w:rPr>
        <w:t>for insightful conversations that aided the conception of this work.</w:t>
      </w:r>
      <w:r w:rsidR="002A0153">
        <w:rPr>
          <w:rFonts w:eastAsia="Calibri"/>
          <w:kern w:val="0"/>
          <w:szCs w:val="24"/>
        </w:rPr>
        <w:t xml:space="preserve"> </w:t>
      </w:r>
    </w:p>
    <w:p w14:paraId="74ED7205" w14:textId="77777777" w:rsidR="00C439B3" w:rsidRDefault="00C439B3" w:rsidP="009C2F89">
      <w:pPr>
        <w:spacing w:before="100" w:beforeAutospacing="1" w:after="100" w:afterAutospacing="1" w:line="480" w:lineRule="auto"/>
        <w:mirrorIndents/>
        <w:rPr>
          <w:rFonts w:eastAsia="Calibri"/>
          <w:kern w:val="0"/>
          <w:szCs w:val="24"/>
        </w:rPr>
      </w:pPr>
    </w:p>
    <w:p w14:paraId="1BDB9101" w14:textId="5F2E986C" w:rsidR="00C439B3" w:rsidRPr="00C439B3" w:rsidRDefault="00C439B3" w:rsidP="009C2F89">
      <w:pPr>
        <w:spacing w:before="100" w:beforeAutospacing="1" w:after="100" w:afterAutospacing="1" w:line="480" w:lineRule="auto"/>
        <w:mirrorIndents/>
        <w:rPr>
          <w:rFonts w:eastAsia="Calibri"/>
          <w:b/>
          <w:bCs/>
          <w:kern w:val="0"/>
          <w:szCs w:val="24"/>
          <w:u w:val="single"/>
        </w:rPr>
      </w:pPr>
      <w:r w:rsidRPr="00C439B3">
        <w:rPr>
          <w:rFonts w:eastAsia="Calibri"/>
          <w:b/>
          <w:bCs/>
          <w:kern w:val="0"/>
          <w:szCs w:val="24"/>
          <w:u w:val="single"/>
        </w:rPr>
        <w:t>FUNDING</w:t>
      </w:r>
      <w:r w:rsidR="008F7C6C">
        <w:rPr>
          <w:rFonts w:eastAsia="Calibri"/>
          <w:b/>
          <w:bCs/>
          <w:kern w:val="0"/>
          <w:szCs w:val="24"/>
          <w:u w:val="single"/>
        </w:rPr>
        <w:t xml:space="preserve"> STATEMENT</w:t>
      </w:r>
    </w:p>
    <w:p w14:paraId="59CABD47" w14:textId="01F24F3B" w:rsidR="00CF14D4" w:rsidRPr="009C2F89" w:rsidRDefault="00D62D35" w:rsidP="009C2F89">
      <w:pPr>
        <w:spacing w:before="100" w:beforeAutospacing="1" w:after="100" w:afterAutospacing="1" w:line="480" w:lineRule="auto"/>
        <w:mirrorIndents/>
        <w:rPr>
          <w:rFonts w:eastAsia="Calibri"/>
          <w:kern w:val="0"/>
          <w:szCs w:val="24"/>
        </w:rPr>
      </w:pPr>
      <w:r w:rsidRPr="00D62D35">
        <w:rPr>
          <w:rFonts w:eastAsia="Calibri"/>
          <w:kern w:val="0"/>
          <w:szCs w:val="24"/>
        </w:rPr>
        <w:t xml:space="preserve">AF thanks the National Science Foundation (HRD #1810974), Florida International University, and the Zoo Miami Foundation for funding this project. </w:t>
      </w:r>
      <w:r w:rsidR="00CF14D4" w:rsidRPr="0039409D">
        <w:rPr>
          <w:rFonts w:eastAsia="Calibri"/>
          <w:b/>
          <w:bCs/>
          <w:kern w:val="0"/>
          <w:szCs w:val="24"/>
        </w:rPr>
        <w:br w:type="page"/>
      </w:r>
    </w:p>
    <w:p w14:paraId="1D821640" w14:textId="32C151C7" w:rsidR="00810E44" w:rsidRPr="00810E44" w:rsidRDefault="00810E44" w:rsidP="00D06E69">
      <w:pPr>
        <w:spacing w:before="100" w:beforeAutospacing="1" w:after="100" w:afterAutospacing="1" w:line="480" w:lineRule="auto"/>
        <w:mirrorIndents/>
        <w:rPr>
          <w:rFonts w:eastAsia="Calibri"/>
          <w:b/>
          <w:bCs/>
          <w:kern w:val="0"/>
          <w:szCs w:val="24"/>
          <w:u w:val="single"/>
        </w:rPr>
      </w:pPr>
      <w:r w:rsidRPr="00810E44">
        <w:rPr>
          <w:rFonts w:eastAsia="Calibri"/>
          <w:b/>
          <w:bCs/>
          <w:kern w:val="0"/>
          <w:szCs w:val="24"/>
          <w:u w:val="single"/>
        </w:rPr>
        <w:lastRenderedPageBreak/>
        <w:t>FIGURES AND TABLES</w:t>
      </w:r>
    </w:p>
    <w:p w14:paraId="0E16DA95" w14:textId="1665EEB6" w:rsidR="003865C8" w:rsidRDefault="002F1025" w:rsidP="00D06E69">
      <w:pPr>
        <w:spacing w:before="100" w:beforeAutospacing="1" w:after="100" w:afterAutospacing="1" w:line="480" w:lineRule="auto"/>
        <w:mirrorIndents/>
        <w:rPr>
          <w:rFonts w:eastAsia="Calibri"/>
          <w:kern w:val="0"/>
          <w:szCs w:val="24"/>
        </w:rPr>
      </w:pPr>
      <w:r>
        <w:rPr>
          <w:noProof/>
        </w:rPr>
        <w:drawing>
          <wp:inline distT="0" distB="0" distL="0" distR="0" wp14:anchorId="71D67E60" wp14:editId="55E744F6">
            <wp:extent cx="5943600" cy="459295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43600" cy="4592955"/>
                    </a:xfrm>
                    <a:prstGeom prst="rect">
                      <a:avLst/>
                    </a:prstGeom>
                    <a:noFill/>
                    <a:ln>
                      <a:noFill/>
                    </a:ln>
                  </pic:spPr>
                </pic:pic>
              </a:graphicData>
            </a:graphic>
          </wp:inline>
        </w:drawing>
      </w:r>
    </w:p>
    <w:p w14:paraId="18231A59" w14:textId="4FAB48C7" w:rsidR="00F84EE6" w:rsidRPr="00ED62C2" w:rsidRDefault="003865C8" w:rsidP="00D06E69">
      <w:pPr>
        <w:spacing w:before="100" w:beforeAutospacing="1" w:after="100" w:afterAutospacing="1" w:line="480" w:lineRule="auto"/>
        <w:mirrorIndents/>
        <w:rPr>
          <w:rFonts w:eastAsia="Calibri"/>
          <w:b/>
          <w:bCs/>
          <w:kern w:val="0"/>
          <w:szCs w:val="24"/>
        </w:rPr>
      </w:pPr>
      <w:r w:rsidRPr="00F84EE6">
        <w:rPr>
          <w:rFonts w:eastAsia="Calibri"/>
          <w:b/>
          <w:bCs/>
          <w:kern w:val="0"/>
          <w:szCs w:val="24"/>
        </w:rPr>
        <w:t xml:space="preserve">Figure </w:t>
      </w:r>
      <w:r>
        <w:rPr>
          <w:rFonts w:eastAsia="Calibri"/>
          <w:b/>
          <w:bCs/>
          <w:kern w:val="0"/>
          <w:szCs w:val="24"/>
        </w:rPr>
        <w:t>1</w:t>
      </w:r>
      <w:r w:rsidRPr="00F84EE6">
        <w:rPr>
          <w:rFonts w:eastAsia="Calibri"/>
          <w:b/>
          <w:bCs/>
          <w:kern w:val="0"/>
          <w:szCs w:val="24"/>
        </w:rPr>
        <w:t>.</w:t>
      </w:r>
      <w:r w:rsidR="00242EC8" w:rsidRPr="00242EC8">
        <w:rPr>
          <w:rFonts w:eastAsia="Calibri"/>
          <w:kern w:val="0"/>
          <w:szCs w:val="24"/>
        </w:rPr>
        <w:t xml:space="preserve"> Our study site, Zoo Miami, lies on the largest expanse of pine rockland habitat outside of Everglades National Park known as The Richmond Tract in Miami-Dade County, Florida, USA.</w:t>
      </w:r>
    </w:p>
    <w:p w14:paraId="3A6052B2" w14:textId="1A7395AC" w:rsidR="007F5980" w:rsidRPr="00E86A27" w:rsidRDefault="007F5980" w:rsidP="00F84EE6">
      <w:pPr>
        <w:spacing w:before="100" w:beforeAutospacing="1" w:after="100" w:afterAutospacing="1" w:line="480" w:lineRule="auto"/>
        <w:mirrorIndents/>
        <w:rPr>
          <w:rFonts w:eastAsia="Calibri"/>
          <w:kern w:val="0"/>
          <w:szCs w:val="24"/>
        </w:rPr>
      </w:pPr>
      <w:r w:rsidRPr="007F5980">
        <w:t xml:space="preserve"> </w:t>
      </w:r>
      <w:r w:rsidRPr="00F84EE6">
        <w:rPr>
          <w:rFonts w:eastAsia="Calibri"/>
          <w:b/>
          <w:bCs/>
          <w:kern w:val="0"/>
          <w:szCs w:val="24"/>
        </w:rPr>
        <w:t xml:space="preserve"> </w:t>
      </w:r>
      <w:r w:rsidR="00743DF9">
        <w:rPr>
          <w:noProof/>
        </w:rPr>
        <w:lastRenderedPageBreak/>
        <w:drawing>
          <wp:inline distT="0" distB="0" distL="0" distR="0" wp14:anchorId="0199685F" wp14:editId="52B2706C">
            <wp:extent cx="5943600" cy="3443605"/>
            <wp:effectExtent l="0" t="0" r="0" b="444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43600" cy="3443605"/>
                    </a:xfrm>
                    <a:prstGeom prst="rect">
                      <a:avLst/>
                    </a:prstGeom>
                    <a:noFill/>
                    <a:ln>
                      <a:noFill/>
                    </a:ln>
                  </pic:spPr>
                </pic:pic>
              </a:graphicData>
            </a:graphic>
          </wp:inline>
        </w:drawing>
      </w:r>
      <w:r w:rsidR="00F84EE6" w:rsidRPr="00F84EE6">
        <w:rPr>
          <w:rFonts w:eastAsia="Calibri"/>
          <w:b/>
          <w:bCs/>
          <w:kern w:val="0"/>
          <w:szCs w:val="24"/>
        </w:rPr>
        <w:t xml:space="preserve">Figure </w:t>
      </w:r>
      <w:r w:rsidR="000508A3">
        <w:rPr>
          <w:rFonts w:eastAsia="Calibri"/>
          <w:b/>
          <w:bCs/>
          <w:kern w:val="0"/>
          <w:szCs w:val="24"/>
        </w:rPr>
        <w:t>2</w:t>
      </w:r>
      <w:r w:rsidR="00F84EE6" w:rsidRPr="00F84EE6">
        <w:rPr>
          <w:rFonts w:eastAsia="Calibri"/>
          <w:b/>
          <w:bCs/>
          <w:kern w:val="0"/>
          <w:szCs w:val="24"/>
        </w:rPr>
        <w:t>.</w:t>
      </w:r>
      <w:r w:rsidR="00F84EE6" w:rsidRPr="00F84EE6">
        <w:rPr>
          <w:rFonts w:eastAsia="Calibri"/>
          <w:kern w:val="0"/>
          <w:szCs w:val="24"/>
        </w:rPr>
        <w:t xml:space="preserve"> </w:t>
      </w:r>
      <w:r w:rsidR="00F568BA">
        <w:rPr>
          <w:rFonts w:eastAsia="Calibri"/>
          <w:kern w:val="0"/>
          <w:szCs w:val="24"/>
        </w:rPr>
        <w:t>S</w:t>
      </w:r>
      <w:r w:rsidR="005C65B4">
        <w:rPr>
          <w:rFonts w:eastAsia="Calibri"/>
          <w:kern w:val="0"/>
          <w:szCs w:val="24"/>
        </w:rPr>
        <w:t>easonal</w:t>
      </w:r>
      <w:r w:rsidR="00D317A2">
        <w:rPr>
          <w:rFonts w:eastAsia="Calibri"/>
          <w:kern w:val="0"/>
          <w:szCs w:val="24"/>
        </w:rPr>
        <w:t xml:space="preserve"> </w:t>
      </w:r>
      <w:r w:rsidR="005C65B4">
        <w:rPr>
          <w:rFonts w:eastAsia="Calibri"/>
          <w:kern w:val="0"/>
          <w:szCs w:val="24"/>
        </w:rPr>
        <w:t>patterns of</w:t>
      </w:r>
      <w:r w:rsidR="00B86F19">
        <w:rPr>
          <w:rFonts w:eastAsia="Calibri"/>
          <w:kern w:val="0"/>
          <w:szCs w:val="24"/>
        </w:rPr>
        <w:t xml:space="preserve"> precipitation (blue</w:t>
      </w:r>
      <w:r w:rsidR="00766D5C">
        <w:rPr>
          <w:rFonts w:eastAsia="Calibri"/>
          <w:kern w:val="0"/>
          <w:szCs w:val="24"/>
        </w:rPr>
        <w:t xml:space="preserve"> line</w:t>
      </w:r>
      <w:r w:rsidR="00B86F19">
        <w:rPr>
          <w:rFonts w:eastAsia="Calibri"/>
          <w:kern w:val="0"/>
          <w:szCs w:val="24"/>
        </w:rPr>
        <w:t>)</w:t>
      </w:r>
      <w:r w:rsidR="00D317A2">
        <w:rPr>
          <w:rFonts w:eastAsia="Calibri"/>
          <w:kern w:val="0"/>
          <w:szCs w:val="24"/>
        </w:rPr>
        <w:t xml:space="preserve"> </w:t>
      </w:r>
      <w:r w:rsidR="00B86F19">
        <w:rPr>
          <w:rFonts w:eastAsia="Calibri"/>
          <w:kern w:val="0"/>
          <w:szCs w:val="24"/>
        </w:rPr>
        <w:t>and</w:t>
      </w:r>
      <w:r w:rsidR="00D317A2">
        <w:rPr>
          <w:rFonts w:eastAsia="Calibri"/>
          <w:kern w:val="0"/>
          <w:szCs w:val="24"/>
        </w:rPr>
        <w:t xml:space="preserve"> frugivory</w:t>
      </w:r>
      <w:r w:rsidR="00D31D2C">
        <w:rPr>
          <w:rFonts w:eastAsia="Calibri"/>
          <w:kern w:val="0"/>
          <w:szCs w:val="24"/>
        </w:rPr>
        <w:t xml:space="preserve"> (</w:t>
      </w:r>
      <w:r w:rsidR="005C65B4">
        <w:rPr>
          <w:rFonts w:eastAsia="Calibri"/>
          <w:kern w:val="0"/>
          <w:szCs w:val="24"/>
        </w:rPr>
        <w:t>purple</w:t>
      </w:r>
      <w:r w:rsidR="00B86F19">
        <w:rPr>
          <w:rFonts w:eastAsia="Calibri"/>
          <w:kern w:val="0"/>
          <w:szCs w:val="24"/>
        </w:rPr>
        <w:t xml:space="preserve"> line</w:t>
      </w:r>
      <w:r w:rsidR="00D31D2C">
        <w:rPr>
          <w:rFonts w:eastAsia="Calibri"/>
          <w:kern w:val="0"/>
          <w:szCs w:val="24"/>
        </w:rPr>
        <w:t>)</w:t>
      </w:r>
      <w:r w:rsidR="005C65B4">
        <w:rPr>
          <w:rFonts w:eastAsia="Calibri"/>
          <w:kern w:val="0"/>
          <w:szCs w:val="24"/>
        </w:rPr>
        <w:t xml:space="preserve"> with 95% Credible Intervals in gray</w:t>
      </w:r>
      <w:r w:rsidR="00D317A2">
        <w:rPr>
          <w:rFonts w:eastAsia="Calibri"/>
          <w:kern w:val="0"/>
          <w:szCs w:val="24"/>
        </w:rPr>
        <w:t xml:space="preserve">. </w:t>
      </w:r>
      <w:r w:rsidR="005C65B4">
        <w:rPr>
          <w:rFonts w:eastAsia="Calibri"/>
          <w:kern w:val="0"/>
          <w:szCs w:val="24"/>
        </w:rPr>
        <w:t>Purple triangles</w:t>
      </w:r>
      <w:r w:rsidR="00D317A2">
        <w:rPr>
          <w:rFonts w:eastAsia="Calibri"/>
          <w:kern w:val="0"/>
          <w:szCs w:val="24"/>
        </w:rPr>
        <w:t xml:space="preserve"> represent each fecal sample and the colored rectangles in the background represent the calendar seasons. </w:t>
      </w:r>
      <w:r w:rsidR="005C65B4">
        <w:rPr>
          <w:rFonts w:eastAsia="Calibri"/>
          <w:kern w:val="0"/>
          <w:szCs w:val="24"/>
        </w:rPr>
        <w:t xml:space="preserve">Winter is blue, spring is green, summer is red, and fall is orange. </w:t>
      </w:r>
      <w:r w:rsidR="00477078">
        <w:rPr>
          <w:rFonts w:eastAsia="Calibri"/>
          <w:kern w:val="0"/>
          <w:szCs w:val="24"/>
        </w:rPr>
        <w:t xml:space="preserve">The horizontal axis is </w:t>
      </w:r>
      <w:r w:rsidR="005C65B4">
        <w:rPr>
          <w:rFonts w:eastAsia="Calibri"/>
          <w:kern w:val="0"/>
          <w:szCs w:val="24"/>
        </w:rPr>
        <w:t>the calendar month of</w:t>
      </w:r>
      <w:r w:rsidR="006770C3">
        <w:rPr>
          <w:rFonts w:eastAsia="Calibri"/>
          <w:kern w:val="0"/>
          <w:szCs w:val="24"/>
        </w:rPr>
        <w:t xml:space="preserve"> the year</w:t>
      </w:r>
      <w:r w:rsidR="009A421C">
        <w:rPr>
          <w:rFonts w:eastAsia="Calibri"/>
          <w:kern w:val="0"/>
          <w:szCs w:val="24"/>
        </w:rPr>
        <w:t>,</w:t>
      </w:r>
      <w:r w:rsidR="00477078">
        <w:rPr>
          <w:rFonts w:eastAsia="Calibri"/>
          <w:kern w:val="0"/>
          <w:szCs w:val="24"/>
        </w:rPr>
        <w:t xml:space="preserve"> the</w:t>
      </w:r>
      <w:r w:rsidR="006770C3">
        <w:rPr>
          <w:rFonts w:eastAsia="Calibri"/>
          <w:kern w:val="0"/>
          <w:szCs w:val="24"/>
        </w:rPr>
        <w:t xml:space="preserve"> left</w:t>
      </w:r>
      <w:r w:rsidR="00477078">
        <w:rPr>
          <w:rFonts w:eastAsia="Calibri"/>
          <w:kern w:val="0"/>
          <w:szCs w:val="24"/>
        </w:rPr>
        <w:t xml:space="preserve"> vertical axis is the </w:t>
      </w:r>
      <w:r w:rsidR="005C65B4">
        <w:rPr>
          <w:rFonts w:eastAsia="Calibri"/>
          <w:kern w:val="0"/>
          <w:szCs w:val="24"/>
        </w:rPr>
        <w:t>total monthly precipitation for a given month, and</w:t>
      </w:r>
      <w:r w:rsidR="006770C3">
        <w:rPr>
          <w:rFonts w:eastAsia="Calibri"/>
          <w:kern w:val="0"/>
          <w:szCs w:val="24"/>
        </w:rPr>
        <w:t xml:space="preserve"> the right vertical axis is the </w:t>
      </w:r>
      <w:r w:rsidR="00EC70CF">
        <w:rPr>
          <w:rFonts w:eastAsia="Calibri"/>
          <w:kern w:val="0"/>
          <w:szCs w:val="24"/>
        </w:rPr>
        <w:t>degree of frugivory</w:t>
      </w:r>
      <w:r w:rsidR="00BC1805">
        <w:rPr>
          <w:rFonts w:eastAsia="Calibri"/>
          <w:kern w:val="0"/>
          <w:szCs w:val="24"/>
        </w:rPr>
        <w:t>.</w:t>
      </w:r>
      <w:r w:rsidR="00E96890" w:rsidRPr="00E96890">
        <w:t xml:space="preserve"> </w:t>
      </w:r>
      <w:r w:rsidR="002C2F7A">
        <w:rPr>
          <w:noProof/>
        </w:rPr>
        <w:lastRenderedPageBreak/>
        <w:drawing>
          <wp:inline distT="0" distB="0" distL="0" distR="0" wp14:anchorId="48F2FF42" wp14:editId="006981CF">
            <wp:extent cx="5943600" cy="3443605"/>
            <wp:effectExtent l="0" t="0" r="0" b="444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43600" cy="3443605"/>
                    </a:xfrm>
                    <a:prstGeom prst="rect">
                      <a:avLst/>
                    </a:prstGeom>
                    <a:noFill/>
                    <a:ln>
                      <a:noFill/>
                    </a:ln>
                  </pic:spPr>
                </pic:pic>
              </a:graphicData>
            </a:graphic>
          </wp:inline>
        </w:drawing>
      </w:r>
    </w:p>
    <w:p w14:paraId="1C96486B" w14:textId="411326B6" w:rsidR="00A817B9" w:rsidRPr="00A817B9" w:rsidRDefault="003D021A" w:rsidP="00A817B9">
      <w:pPr>
        <w:spacing w:line="480" w:lineRule="auto"/>
        <w:mirrorIndents/>
      </w:pPr>
      <w:r>
        <w:rPr>
          <w:rFonts w:eastAsia="Calibri"/>
          <w:b/>
          <w:bCs/>
          <w:kern w:val="0"/>
          <w:szCs w:val="24"/>
        </w:rPr>
        <w:t>Figure 3.</w:t>
      </w:r>
      <w:r>
        <w:rPr>
          <w:rFonts w:eastAsia="Calibri"/>
          <w:kern w:val="0"/>
          <w:szCs w:val="24"/>
        </w:rPr>
        <w:t xml:space="preserve"> </w:t>
      </w:r>
      <w:r w:rsidRPr="003D021A">
        <w:rPr>
          <w:rFonts w:eastAsia="Calibri"/>
          <w:b/>
          <w:bCs/>
          <w:kern w:val="0"/>
          <w:szCs w:val="24"/>
        </w:rPr>
        <w:t>a)</w:t>
      </w:r>
      <w:r>
        <w:rPr>
          <w:rFonts w:eastAsia="Calibri"/>
          <w:kern w:val="0"/>
          <w:szCs w:val="24"/>
        </w:rPr>
        <w:t xml:space="preserve"> Cross correlation analysis illustrating the monthly lags backward (indicated by negative values) and forward (indicated by positive values) in time between total monthly precipitation and the mean frugivory exhibited in that month. The dashed red lines depict the </w:t>
      </w:r>
      <w:r w:rsidR="001E3869">
        <w:rPr>
          <w:rFonts w:eastAsia="Calibri"/>
          <w:kern w:val="0"/>
          <w:szCs w:val="24"/>
        </w:rPr>
        <w:t>95% confidence bands</w:t>
      </w:r>
      <w:r w:rsidR="005C0A39">
        <w:rPr>
          <w:rFonts w:eastAsia="Calibri"/>
          <w:kern w:val="0"/>
          <w:szCs w:val="24"/>
        </w:rPr>
        <w:t xml:space="preserve"> around a cross-correlation of 0.00, </w:t>
      </w:r>
      <w:r>
        <w:rPr>
          <w:rFonts w:eastAsia="Calibri"/>
          <w:kern w:val="0"/>
          <w:szCs w:val="24"/>
        </w:rPr>
        <w:t xml:space="preserve">with bars exceeding the range being statistically significant. The solid red lines pinpoint the value with the highest correlation coefficient, being the </w:t>
      </w:r>
      <w:r w:rsidR="00A44CFB">
        <w:rPr>
          <w:rFonts w:eastAsia="Calibri"/>
          <w:kern w:val="0"/>
          <w:szCs w:val="24"/>
        </w:rPr>
        <w:t xml:space="preserve">-3 </w:t>
      </w:r>
      <w:r>
        <w:rPr>
          <w:rFonts w:eastAsia="Calibri"/>
          <w:kern w:val="0"/>
          <w:szCs w:val="24"/>
        </w:rPr>
        <w:t xml:space="preserve">lag with a correlation coefficient of 0.65. </w:t>
      </w:r>
      <w:r w:rsidRPr="003D021A">
        <w:rPr>
          <w:rFonts w:eastAsia="Calibri"/>
          <w:b/>
          <w:bCs/>
          <w:kern w:val="0"/>
          <w:szCs w:val="24"/>
        </w:rPr>
        <w:t>b)</w:t>
      </w:r>
      <w:r>
        <w:rPr>
          <w:rFonts w:eastAsia="Calibri"/>
          <w:kern w:val="0"/>
          <w:szCs w:val="24"/>
        </w:rPr>
        <w:t xml:space="preserve"> Generalized Linear Model (GLM) regression </w:t>
      </w:r>
      <w:r w:rsidR="001F60CC">
        <w:rPr>
          <w:rFonts w:eastAsia="Calibri"/>
          <w:kern w:val="0"/>
          <w:szCs w:val="24"/>
        </w:rPr>
        <w:t>model</w:t>
      </w:r>
      <w:r>
        <w:rPr>
          <w:rFonts w:eastAsia="Calibri"/>
          <w:kern w:val="0"/>
          <w:szCs w:val="24"/>
        </w:rPr>
        <w:t xml:space="preserve"> depicting the relationship between three-month-lagged </w:t>
      </w:r>
      <w:r w:rsidR="005A0126">
        <w:rPr>
          <w:rFonts w:eastAsia="Calibri"/>
          <w:kern w:val="0"/>
          <w:szCs w:val="24"/>
        </w:rPr>
        <w:t>average</w:t>
      </w:r>
      <w:r>
        <w:rPr>
          <w:rFonts w:eastAsia="Calibri"/>
          <w:kern w:val="0"/>
          <w:szCs w:val="24"/>
        </w:rPr>
        <w:t xml:space="preserve"> monthly precipitation on the horizontal axis and the </w:t>
      </w:r>
      <w:r w:rsidR="007269BC">
        <w:rPr>
          <w:rFonts w:eastAsia="Calibri"/>
          <w:kern w:val="0"/>
          <w:szCs w:val="24"/>
        </w:rPr>
        <w:t>degree of frugivory</w:t>
      </w:r>
      <w:r>
        <w:rPr>
          <w:rFonts w:eastAsia="Calibri"/>
          <w:kern w:val="0"/>
          <w:szCs w:val="24"/>
        </w:rPr>
        <w:t xml:space="preserve"> on the vertical axis</w:t>
      </w:r>
      <w:r w:rsidR="007269BC">
        <w:rPr>
          <w:rFonts w:eastAsia="Calibri"/>
          <w:kern w:val="0"/>
          <w:szCs w:val="24"/>
        </w:rPr>
        <w:t>.</w:t>
      </w:r>
      <w:r w:rsidR="0086750B" w:rsidRPr="0086750B">
        <w:t xml:space="preserve"> </w:t>
      </w:r>
      <w:r w:rsidR="003D5D65" w:rsidRPr="003D5D65">
        <w:t xml:space="preserve"> </w:t>
      </w:r>
      <w:r w:rsidR="00D90689" w:rsidRPr="00D90689">
        <w:t xml:space="preserve"> </w:t>
      </w:r>
      <w:r w:rsidR="000A7476" w:rsidRPr="000A7476">
        <w:rPr>
          <w:kern w:val="0"/>
          <w:szCs w:val="24"/>
        </w:rPr>
        <w:t xml:space="preserve"> </w:t>
      </w:r>
      <w:r w:rsidR="00A817B9" w:rsidRPr="00A817B9">
        <w:rPr>
          <w:kern w:val="0"/>
          <w:szCs w:val="24"/>
        </w:rPr>
        <w:t xml:space="preserve"> </w:t>
      </w:r>
      <w:r w:rsidR="00136663" w:rsidRPr="00136663">
        <w:t xml:space="preserve"> </w:t>
      </w:r>
      <w:r w:rsidR="00136663">
        <w:rPr>
          <w:noProof/>
        </w:rPr>
        <w:lastRenderedPageBreak/>
        <w:drawing>
          <wp:inline distT="0" distB="0" distL="0" distR="0" wp14:anchorId="1244E1C2" wp14:editId="7FAAB9B5">
            <wp:extent cx="5372100" cy="5181600"/>
            <wp:effectExtent l="0" t="0" r="0" b="0"/>
            <wp:docPr id="1203624210" name="Picture 1" descr="A diagram of a number of numbe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3624210" name="Picture 1" descr="A diagram of a number of numbers&#10;&#10;Description automatically generated with medium confidence"/>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372100" cy="5181600"/>
                    </a:xfrm>
                    <a:prstGeom prst="rect">
                      <a:avLst/>
                    </a:prstGeom>
                    <a:noFill/>
                    <a:ln>
                      <a:noFill/>
                    </a:ln>
                  </pic:spPr>
                </pic:pic>
              </a:graphicData>
            </a:graphic>
          </wp:inline>
        </w:drawing>
      </w:r>
    </w:p>
    <w:p w14:paraId="03D0055B" w14:textId="693D0302" w:rsidR="00CB2B6F" w:rsidRPr="002916F0" w:rsidRDefault="000E0E7C" w:rsidP="002916F0">
      <w:pPr>
        <w:spacing w:before="100" w:beforeAutospacing="1" w:after="100" w:afterAutospacing="1" w:line="480" w:lineRule="auto"/>
        <w:mirrorIndents/>
        <w:rPr>
          <w:rFonts w:eastAsia="Calibri"/>
          <w:kern w:val="0"/>
          <w:szCs w:val="24"/>
        </w:rPr>
      </w:pPr>
      <w:r w:rsidRPr="000E0E7C">
        <w:rPr>
          <w:rFonts w:eastAsia="Calibri"/>
          <w:b/>
          <w:bCs/>
          <w:kern w:val="0"/>
          <w:szCs w:val="24"/>
        </w:rPr>
        <w:t>Fig 4.</w:t>
      </w:r>
      <w:r>
        <w:rPr>
          <w:rFonts w:eastAsia="Calibri"/>
          <w:kern w:val="0"/>
          <w:szCs w:val="24"/>
        </w:rPr>
        <w:t xml:space="preserve"> </w:t>
      </w:r>
      <w:r w:rsidR="0086750B">
        <w:rPr>
          <w:rFonts w:eastAsia="Calibri"/>
          <w:kern w:val="0"/>
          <w:szCs w:val="24"/>
        </w:rPr>
        <w:t>Correspondence Analysis (CA)</w:t>
      </w:r>
      <w:r>
        <w:rPr>
          <w:rFonts w:eastAsia="Calibri"/>
          <w:kern w:val="0"/>
          <w:szCs w:val="24"/>
        </w:rPr>
        <w:t xml:space="preserve"> </w:t>
      </w:r>
      <w:proofErr w:type="gramStart"/>
      <w:r>
        <w:rPr>
          <w:rFonts w:eastAsia="Calibri"/>
          <w:kern w:val="0"/>
          <w:szCs w:val="24"/>
        </w:rPr>
        <w:t>illustrating</w:t>
      </w:r>
      <w:proofErr w:type="gramEnd"/>
      <w:r>
        <w:rPr>
          <w:rFonts w:eastAsia="Calibri"/>
          <w:kern w:val="0"/>
          <w:szCs w:val="24"/>
        </w:rPr>
        <w:t xml:space="preserve"> the influence of frugivory on the plant syndromes dispersed by the gopher tortoise. </w:t>
      </w:r>
      <w:r w:rsidR="0086750B">
        <w:rPr>
          <w:rFonts w:eastAsia="Calibri"/>
          <w:kern w:val="0"/>
          <w:szCs w:val="24"/>
        </w:rPr>
        <w:t>T</w:t>
      </w:r>
      <w:r>
        <w:rPr>
          <w:rFonts w:eastAsia="Calibri"/>
          <w:kern w:val="0"/>
          <w:szCs w:val="24"/>
        </w:rPr>
        <w:t>he 9</w:t>
      </w:r>
      <w:r w:rsidR="003D5D65">
        <w:rPr>
          <w:rFonts w:eastAsia="Calibri"/>
          <w:kern w:val="0"/>
          <w:szCs w:val="24"/>
        </w:rPr>
        <w:t>9</w:t>
      </w:r>
      <w:r>
        <w:rPr>
          <w:rFonts w:eastAsia="Calibri"/>
          <w:kern w:val="0"/>
          <w:szCs w:val="24"/>
        </w:rPr>
        <w:t>% confidence intervals</w:t>
      </w:r>
      <w:r w:rsidR="0086750B">
        <w:rPr>
          <w:rFonts w:eastAsia="Calibri"/>
          <w:kern w:val="0"/>
          <w:szCs w:val="24"/>
        </w:rPr>
        <w:t xml:space="preserve"> are</w:t>
      </w:r>
      <w:r>
        <w:rPr>
          <w:rFonts w:eastAsia="Calibri"/>
          <w:kern w:val="0"/>
          <w:szCs w:val="24"/>
        </w:rPr>
        <w:t xml:space="preserve"> drawn around the “No” (green), “Low” (orange), and “High” (purple) frugivory levels. The red arrows depict the eigenvectors for each dispersal syndrome, indicating how they change in relation to frugivory.</w:t>
      </w:r>
      <w:r w:rsidR="0086750B">
        <w:rPr>
          <w:rFonts w:eastAsia="Calibri"/>
          <w:kern w:val="0"/>
          <w:szCs w:val="24"/>
        </w:rPr>
        <w:t xml:space="preserve"> The dispersal syndromes are labeled in the following fashion, “endo” = Endozoochory, “</w:t>
      </w:r>
      <w:proofErr w:type="spellStart"/>
      <w:r w:rsidR="0086750B">
        <w:rPr>
          <w:rFonts w:eastAsia="Calibri"/>
          <w:kern w:val="0"/>
          <w:szCs w:val="24"/>
        </w:rPr>
        <w:t>myrme</w:t>
      </w:r>
      <w:proofErr w:type="spellEnd"/>
      <w:r w:rsidR="0086750B">
        <w:rPr>
          <w:rFonts w:eastAsia="Calibri"/>
          <w:kern w:val="0"/>
          <w:szCs w:val="24"/>
        </w:rPr>
        <w:t>” = Myrmecochory</w:t>
      </w:r>
      <w:r w:rsidR="00BB3712">
        <w:rPr>
          <w:rFonts w:eastAsia="Calibri"/>
          <w:kern w:val="0"/>
          <w:szCs w:val="24"/>
        </w:rPr>
        <w:t>,</w:t>
      </w:r>
      <w:r w:rsidR="0086750B">
        <w:rPr>
          <w:rFonts w:eastAsia="Calibri"/>
          <w:kern w:val="0"/>
          <w:szCs w:val="24"/>
        </w:rPr>
        <w:t xml:space="preserve"> “foliage” = Foliage is the Fruit, “</w:t>
      </w:r>
      <w:proofErr w:type="spellStart"/>
      <w:r w:rsidR="0086750B">
        <w:rPr>
          <w:rFonts w:eastAsia="Calibri"/>
          <w:kern w:val="0"/>
          <w:szCs w:val="24"/>
        </w:rPr>
        <w:t>anemo</w:t>
      </w:r>
      <w:proofErr w:type="spellEnd"/>
      <w:r w:rsidR="0086750B">
        <w:rPr>
          <w:rFonts w:eastAsia="Calibri"/>
          <w:kern w:val="0"/>
          <w:szCs w:val="24"/>
        </w:rPr>
        <w:t>” = Anemochory, “</w:t>
      </w:r>
      <w:proofErr w:type="spellStart"/>
      <w:r w:rsidR="0086750B">
        <w:rPr>
          <w:rFonts w:eastAsia="Calibri"/>
          <w:kern w:val="0"/>
          <w:szCs w:val="24"/>
        </w:rPr>
        <w:t>epizoo</w:t>
      </w:r>
      <w:proofErr w:type="spellEnd"/>
      <w:r w:rsidR="0086750B">
        <w:rPr>
          <w:rFonts w:eastAsia="Calibri"/>
          <w:kern w:val="0"/>
          <w:szCs w:val="24"/>
        </w:rPr>
        <w:t>” = Epizoochory, “auto” = Autochory, “hydro” = Hydrochory.</w:t>
      </w:r>
      <w:r w:rsidR="00CB2B6F">
        <w:rPr>
          <w:rFonts w:eastAsia="Calibri"/>
          <w:b/>
          <w:bCs/>
          <w:shd w:val="clear" w:color="auto" w:fill="FFFFFF"/>
        </w:rPr>
        <w:br w:type="page"/>
      </w:r>
    </w:p>
    <w:tbl>
      <w:tblPr>
        <w:tblW w:w="0" w:type="auto"/>
        <w:tblLook w:val="04A0" w:firstRow="1" w:lastRow="0" w:firstColumn="1" w:lastColumn="0" w:noHBand="0" w:noVBand="1"/>
      </w:tblPr>
      <w:tblGrid>
        <w:gridCol w:w="1804"/>
        <w:gridCol w:w="2179"/>
        <w:gridCol w:w="2856"/>
        <w:gridCol w:w="2491"/>
      </w:tblGrid>
      <w:tr w:rsidR="00CB2B6F" w:rsidRPr="00CB2B6F" w14:paraId="61F40146" w14:textId="77777777" w:rsidTr="00CB2B6F">
        <w:trPr>
          <w:trHeight w:val="318"/>
        </w:trPr>
        <w:tc>
          <w:tcPr>
            <w:tcW w:w="0" w:type="auto"/>
            <w:gridSpan w:val="4"/>
            <w:tcBorders>
              <w:top w:val="single" w:sz="12" w:space="0" w:color="auto"/>
              <w:left w:val="single" w:sz="12" w:space="0" w:color="auto"/>
              <w:bottom w:val="single" w:sz="12" w:space="0" w:color="auto"/>
              <w:right w:val="single" w:sz="12" w:space="0" w:color="000000"/>
            </w:tcBorders>
            <w:shd w:val="clear" w:color="000000" w:fill="FFFFFF"/>
            <w:vAlign w:val="center"/>
            <w:hideMark/>
          </w:tcPr>
          <w:p w14:paraId="1327339E" w14:textId="77777777" w:rsidR="00CB2B6F" w:rsidRPr="00CB2B6F" w:rsidRDefault="00CB2B6F" w:rsidP="00CB2B6F">
            <w:pPr>
              <w:widowControl/>
              <w:overflowPunct/>
              <w:autoSpaceDE/>
              <w:autoSpaceDN/>
              <w:adjustRightInd/>
              <w:contextualSpacing w:val="0"/>
              <w:jc w:val="center"/>
              <w:rPr>
                <w:b/>
                <w:bCs/>
                <w:kern w:val="0"/>
                <w:szCs w:val="24"/>
              </w:rPr>
            </w:pPr>
            <w:r w:rsidRPr="00CB2B6F">
              <w:rPr>
                <w:b/>
                <w:bCs/>
                <w:kern w:val="0"/>
                <w:szCs w:val="24"/>
              </w:rPr>
              <w:lastRenderedPageBreak/>
              <w:t>Criteria for Classification of Plant Dispersal Syndromes</w:t>
            </w:r>
          </w:p>
        </w:tc>
      </w:tr>
      <w:tr w:rsidR="00CB2B6F" w:rsidRPr="00CB2B6F" w14:paraId="041CB8AB" w14:textId="77777777" w:rsidTr="00CB2B6F">
        <w:trPr>
          <w:trHeight w:val="612"/>
        </w:trPr>
        <w:tc>
          <w:tcPr>
            <w:tcW w:w="0" w:type="auto"/>
            <w:tcBorders>
              <w:top w:val="nil"/>
              <w:left w:val="single" w:sz="12" w:space="0" w:color="auto"/>
              <w:bottom w:val="single" w:sz="12" w:space="0" w:color="auto"/>
              <w:right w:val="single" w:sz="12" w:space="0" w:color="auto"/>
            </w:tcBorders>
            <w:shd w:val="clear" w:color="000000" w:fill="FFFFFF"/>
            <w:vAlign w:val="center"/>
            <w:hideMark/>
          </w:tcPr>
          <w:p w14:paraId="68E1C234" w14:textId="77777777" w:rsidR="00CB2B6F" w:rsidRPr="00CB2B6F" w:rsidRDefault="00CB2B6F" w:rsidP="00CB2B6F">
            <w:pPr>
              <w:widowControl/>
              <w:overflowPunct/>
              <w:autoSpaceDE/>
              <w:autoSpaceDN/>
              <w:adjustRightInd/>
              <w:contextualSpacing w:val="0"/>
              <w:jc w:val="center"/>
              <w:rPr>
                <w:b/>
                <w:bCs/>
                <w:kern w:val="0"/>
                <w:szCs w:val="24"/>
              </w:rPr>
            </w:pPr>
            <w:r w:rsidRPr="00CB2B6F">
              <w:rPr>
                <w:b/>
                <w:bCs/>
                <w:kern w:val="0"/>
                <w:szCs w:val="24"/>
              </w:rPr>
              <w:t>Syndrome</w:t>
            </w:r>
          </w:p>
        </w:tc>
        <w:tc>
          <w:tcPr>
            <w:tcW w:w="0" w:type="auto"/>
            <w:tcBorders>
              <w:top w:val="nil"/>
              <w:left w:val="nil"/>
              <w:bottom w:val="single" w:sz="12" w:space="0" w:color="auto"/>
              <w:right w:val="single" w:sz="12" w:space="0" w:color="auto"/>
            </w:tcBorders>
            <w:shd w:val="clear" w:color="000000" w:fill="FFFFFF"/>
            <w:vAlign w:val="center"/>
            <w:hideMark/>
          </w:tcPr>
          <w:p w14:paraId="37E434AF" w14:textId="77777777" w:rsidR="00CB2B6F" w:rsidRPr="00CB2B6F" w:rsidRDefault="00CB2B6F" w:rsidP="00CB2B6F">
            <w:pPr>
              <w:widowControl/>
              <w:overflowPunct/>
              <w:autoSpaceDE/>
              <w:autoSpaceDN/>
              <w:adjustRightInd/>
              <w:contextualSpacing w:val="0"/>
              <w:jc w:val="center"/>
              <w:rPr>
                <w:b/>
                <w:bCs/>
                <w:kern w:val="0"/>
                <w:szCs w:val="24"/>
              </w:rPr>
            </w:pPr>
            <w:r w:rsidRPr="00CB2B6F">
              <w:rPr>
                <w:b/>
                <w:bCs/>
                <w:kern w:val="0"/>
                <w:szCs w:val="24"/>
              </w:rPr>
              <w:t>Adapted Mechanism of Dispersal</w:t>
            </w:r>
          </w:p>
        </w:tc>
        <w:tc>
          <w:tcPr>
            <w:tcW w:w="0" w:type="auto"/>
            <w:tcBorders>
              <w:top w:val="nil"/>
              <w:left w:val="nil"/>
              <w:bottom w:val="single" w:sz="12" w:space="0" w:color="auto"/>
              <w:right w:val="single" w:sz="12" w:space="0" w:color="auto"/>
            </w:tcBorders>
            <w:shd w:val="clear" w:color="000000" w:fill="FFFFFF"/>
            <w:vAlign w:val="center"/>
            <w:hideMark/>
          </w:tcPr>
          <w:p w14:paraId="48C5F7B6" w14:textId="77777777" w:rsidR="00CB2B6F" w:rsidRPr="00CB2B6F" w:rsidRDefault="00CB2B6F" w:rsidP="00CB2B6F">
            <w:pPr>
              <w:widowControl/>
              <w:overflowPunct/>
              <w:autoSpaceDE/>
              <w:autoSpaceDN/>
              <w:adjustRightInd/>
              <w:contextualSpacing w:val="0"/>
              <w:jc w:val="center"/>
              <w:rPr>
                <w:b/>
                <w:bCs/>
                <w:kern w:val="0"/>
                <w:szCs w:val="24"/>
              </w:rPr>
            </w:pPr>
            <w:r w:rsidRPr="00CB2B6F">
              <w:rPr>
                <w:b/>
                <w:bCs/>
                <w:kern w:val="0"/>
                <w:szCs w:val="24"/>
              </w:rPr>
              <w:t>Indicative Structures (on fruit or seeds)</w:t>
            </w:r>
          </w:p>
        </w:tc>
        <w:tc>
          <w:tcPr>
            <w:tcW w:w="0" w:type="auto"/>
            <w:tcBorders>
              <w:top w:val="nil"/>
              <w:left w:val="nil"/>
              <w:bottom w:val="single" w:sz="12" w:space="0" w:color="auto"/>
              <w:right w:val="single" w:sz="12" w:space="0" w:color="auto"/>
            </w:tcBorders>
            <w:shd w:val="clear" w:color="000000" w:fill="FFFFFF"/>
            <w:vAlign w:val="center"/>
            <w:hideMark/>
          </w:tcPr>
          <w:p w14:paraId="6DBCEEA9" w14:textId="77777777" w:rsidR="00CB2B6F" w:rsidRPr="00CB2B6F" w:rsidRDefault="00CB2B6F" w:rsidP="00CB2B6F">
            <w:pPr>
              <w:widowControl/>
              <w:overflowPunct/>
              <w:autoSpaceDE/>
              <w:autoSpaceDN/>
              <w:adjustRightInd/>
              <w:contextualSpacing w:val="0"/>
              <w:jc w:val="center"/>
              <w:rPr>
                <w:b/>
                <w:bCs/>
                <w:kern w:val="0"/>
                <w:szCs w:val="24"/>
              </w:rPr>
            </w:pPr>
            <w:r w:rsidRPr="00CB2B6F">
              <w:rPr>
                <w:b/>
                <w:bCs/>
                <w:kern w:val="0"/>
                <w:szCs w:val="24"/>
              </w:rPr>
              <w:t>References</w:t>
            </w:r>
          </w:p>
        </w:tc>
      </w:tr>
      <w:tr w:rsidR="00CB2B6F" w:rsidRPr="00CB2B6F" w14:paraId="4B66BA2A" w14:textId="77777777" w:rsidTr="00CB2B6F">
        <w:trPr>
          <w:trHeight w:val="624"/>
        </w:trPr>
        <w:tc>
          <w:tcPr>
            <w:tcW w:w="0" w:type="auto"/>
            <w:tcBorders>
              <w:top w:val="nil"/>
              <w:left w:val="single" w:sz="12" w:space="0" w:color="auto"/>
              <w:bottom w:val="single" w:sz="8" w:space="0" w:color="auto"/>
              <w:right w:val="single" w:sz="12" w:space="0" w:color="auto"/>
            </w:tcBorders>
            <w:shd w:val="clear" w:color="000000" w:fill="FFFFFF"/>
            <w:vAlign w:val="center"/>
            <w:hideMark/>
          </w:tcPr>
          <w:p w14:paraId="5CE5218E" w14:textId="77777777" w:rsidR="00CB2B6F" w:rsidRPr="00CB2B6F" w:rsidRDefault="00CB2B6F" w:rsidP="00CB2B6F">
            <w:pPr>
              <w:widowControl/>
              <w:overflowPunct/>
              <w:autoSpaceDE/>
              <w:autoSpaceDN/>
              <w:adjustRightInd/>
              <w:contextualSpacing w:val="0"/>
              <w:jc w:val="center"/>
              <w:rPr>
                <w:kern w:val="0"/>
                <w:szCs w:val="24"/>
              </w:rPr>
            </w:pPr>
            <w:r w:rsidRPr="00CB2B6F">
              <w:rPr>
                <w:kern w:val="0"/>
                <w:szCs w:val="24"/>
              </w:rPr>
              <w:t xml:space="preserve">Anemochory </w:t>
            </w:r>
          </w:p>
        </w:tc>
        <w:tc>
          <w:tcPr>
            <w:tcW w:w="0" w:type="auto"/>
            <w:tcBorders>
              <w:top w:val="nil"/>
              <w:left w:val="nil"/>
              <w:bottom w:val="single" w:sz="8" w:space="0" w:color="auto"/>
              <w:right w:val="single" w:sz="12" w:space="0" w:color="auto"/>
            </w:tcBorders>
            <w:shd w:val="clear" w:color="000000" w:fill="FFFFFF"/>
            <w:vAlign w:val="center"/>
            <w:hideMark/>
          </w:tcPr>
          <w:p w14:paraId="5D452F95" w14:textId="77777777" w:rsidR="00CB2B6F" w:rsidRPr="00CB2B6F" w:rsidRDefault="00CB2B6F" w:rsidP="00CB2B6F">
            <w:pPr>
              <w:widowControl/>
              <w:overflowPunct/>
              <w:autoSpaceDE/>
              <w:autoSpaceDN/>
              <w:adjustRightInd/>
              <w:contextualSpacing w:val="0"/>
              <w:jc w:val="center"/>
              <w:rPr>
                <w:kern w:val="0"/>
                <w:szCs w:val="24"/>
              </w:rPr>
            </w:pPr>
            <w:r w:rsidRPr="00CB2B6F">
              <w:rPr>
                <w:kern w:val="0"/>
                <w:szCs w:val="24"/>
              </w:rPr>
              <w:t>Wind-dispersal</w:t>
            </w:r>
          </w:p>
        </w:tc>
        <w:tc>
          <w:tcPr>
            <w:tcW w:w="0" w:type="auto"/>
            <w:tcBorders>
              <w:top w:val="nil"/>
              <w:left w:val="nil"/>
              <w:bottom w:val="single" w:sz="8" w:space="0" w:color="auto"/>
              <w:right w:val="single" w:sz="12" w:space="0" w:color="auto"/>
            </w:tcBorders>
            <w:shd w:val="clear" w:color="000000" w:fill="FFFFFF"/>
            <w:vAlign w:val="center"/>
            <w:hideMark/>
          </w:tcPr>
          <w:p w14:paraId="423F4FA7" w14:textId="77777777" w:rsidR="00CB2B6F" w:rsidRPr="00CB2B6F" w:rsidRDefault="00CB2B6F" w:rsidP="00CB2B6F">
            <w:pPr>
              <w:widowControl/>
              <w:overflowPunct/>
              <w:autoSpaceDE/>
              <w:autoSpaceDN/>
              <w:adjustRightInd/>
              <w:contextualSpacing w:val="0"/>
              <w:jc w:val="center"/>
              <w:rPr>
                <w:kern w:val="0"/>
                <w:szCs w:val="24"/>
              </w:rPr>
            </w:pPr>
            <w:r w:rsidRPr="00CB2B6F">
              <w:rPr>
                <w:kern w:val="0"/>
                <w:szCs w:val="24"/>
              </w:rPr>
              <w:t>Plumes or wings</w:t>
            </w:r>
          </w:p>
        </w:tc>
        <w:tc>
          <w:tcPr>
            <w:tcW w:w="0" w:type="auto"/>
            <w:tcBorders>
              <w:top w:val="nil"/>
              <w:left w:val="nil"/>
              <w:bottom w:val="single" w:sz="8" w:space="0" w:color="auto"/>
              <w:right w:val="single" w:sz="12" w:space="0" w:color="auto"/>
            </w:tcBorders>
            <w:shd w:val="clear" w:color="000000" w:fill="FFFFFF"/>
            <w:vAlign w:val="center"/>
            <w:hideMark/>
          </w:tcPr>
          <w:p w14:paraId="11DFA26C" w14:textId="77777777" w:rsidR="00CB2B6F" w:rsidRPr="00CB2B6F" w:rsidRDefault="00CB2B6F" w:rsidP="00CB2B6F">
            <w:pPr>
              <w:widowControl/>
              <w:overflowPunct/>
              <w:autoSpaceDE/>
              <w:autoSpaceDN/>
              <w:adjustRightInd/>
              <w:contextualSpacing w:val="0"/>
              <w:jc w:val="center"/>
              <w:rPr>
                <w:kern w:val="0"/>
                <w:szCs w:val="24"/>
              </w:rPr>
            </w:pPr>
            <w:r w:rsidRPr="00CB2B6F">
              <w:rPr>
                <w:kern w:val="0"/>
                <w:szCs w:val="24"/>
              </w:rPr>
              <w:t xml:space="preserve">Howe and Smallwood (1982); van der </w:t>
            </w:r>
            <w:proofErr w:type="spellStart"/>
            <w:r w:rsidRPr="00CB2B6F">
              <w:rPr>
                <w:kern w:val="0"/>
                <w:szCs w:val="24"/>
              </w:rPr>
              <w:t>Pijl</w:t>
            </w:r>
            <w:proofErr w:type="spellEnd"/>
            <w:r w:rsidRPr="00CB2B6F">
              <w:rPr>
                <w:kern w:val="0"/>
                <w:szCs w:val="24"/>
              </w:rPr>
              <w:t xml:space="preserve"> (1982)</w:t>
            </w:r>
          </w:p>
        </w:tc>
      </w:tr>
      <w:tr w:rsidR="00CB2B6F" w:rsidRPr="00CB2B6F" w14:paraId="7A2D6EAD" w14:textId="77777777" w:rsidTr="00CB2B6F">
        <w:trPr>
          <w:trHeight w:val="618"/>
        </w:trPr>
        <w:tc>
          <w:tcPr>
            <w:tcW w:w="0" w:type="auto"/>
            <w:tcBorders>
              <w:top w:val="nil"/>
              <w:left w:val="single" w:sz="12" w:space="0" w:color="auto"/>
              <w:bottom w:val="single" w:sz="8" w:space="0" w:color="auto"/>
              <w:right w:val="single" w:sz="12" w:space="0" w:color="auto"/>
            </w:tcBorders>
            <w:shd w:val="clear" w:color="000000" w:fill="FFFFFF"/>
            <w:vAlign w:val="center"/>
            <w:hideMark/>
          </w:tcPr>
          <w:p w14:paraId="3F00A830" w14:textId="77777777" w:rsidR="00CB2B6F" w:rsidRPr="00CB2B6F" w:rsidRDefault="00CB2B6F" w:rsidP="00CB2B6F">
            <w:pPr>
              <w:widowControl/>
              <w:overflowPunct/>
              <w:autoSpaceDE/>
              <w:autoSpaceDN/>
              <w:adjustRightInd/>
              <w:contextualSpacing w:val="0"/>
              <w:jc w:val="center"/>
              <w:rPr>
                <w:kern w:val="0"/>
                <w:szCs w:val="24"/>
              </w:rPr>
            </w:pPr>
            <w:r w:rsidRPr="00CB2B6F">
              <w:rPr>
                <w:kern w:val="0"/>
                <w:szCs w:val="24"/>
              </w:rPr>
              <w:t>Autochory</w:t>
            </w:r>
          </w:p>
        </w:tc>
        <w:tc>
          <w:tcPr>
            <w:tcW w:w="0" w:type="auto"/>
            <w:tcBorders>
              <w:top w:val="nil"/>
              <w:left w:val="nil"/>
              <w:bottom w:val="single" w:sz="8" w:space="0" w:color="auto"/>
              <w:right w:val="single" w:sz="12" w:space="0" w:color="auto"/>
            </w:tcBorders>
            <w:shd w:val="clear" w:color="000000" w:fill="FFFFFF"/>
            <w:vAlign w:val="center"/>
            <w:hideMark/>
          </w:tcPr>
          <w:p w14:paraId="1741057E" w14:textId="77777777" w:rsidR="00CB2B6F" w:rsidRPr="00CB2B6F" w:rsidRDefault="00CB2B6F" w:rsidP="00CB2B6F">
            <w:pPr>
              <w:widowControl/>
              <w:overflowPunct/>
              <w:autoSpaceDE/>
              <w:autoSpaceDN/>
              <w:adjustRightInd/>
              <w:contextualSpacing w:val="0"/>
              <w:jc w:val="center"/>
              <w:rPr>
                <w:kern w:val="0"/>
                <w:szCs w:val="24"/>
              </w:rPr>
            </w:pPr>
            <w:r w:rsidRPr="00CB2B6F">
              <w:rPr>
                <w:kern w:val="0"/>
                <w:szCs w:val="24"/>
              </w:rPr>
              <w:t>Self-dispersal</w:t>
            </w:r>
          </w:p>
        </w:tc>
        <w:tc>
          <w:tcPr>
            <w:tcW w:w="0" w:type="auto"/>
            <w:tcBorders>
              <w:top w:val="nil"/>
              <w:left w:val="nil"/>
              <w:bottom w:val="single" w:sz="8" w:space="0" w:color="auto"/>
              <w:right w:val="single" w:sz="12" w:space="0" w:color="auto"/>
            </w:tcBorders>
            <w:shd w:val="clear" w:color="000000" w:fill="FFFFFF"/>
            <w:vAlign w:val="center"/>
            <w:hideMark/>
          </w:tcPr>
          <w:p w14:paraId="347C7443" w14:textId="77777777" w:rsidR="00CB2B6F" w:rsidRPr="00CB2B6F" w:rsidRDefault="00CB2B6F" w:rsidP="00CB2B6F">
            <w:pPr>
              <w:widowControl/>
              <w:overflowPunct/>
              <w:autoSpaceDE/>
              <w:autoSpaceDN/>
              <w:adjustRightInd/>
              <w:contextualSpacing w:val="0"/>
              <w:jc w:val="center"/>
              <w:rPr>
                <w:kern w:val="0"/>
                <w:szCs w:val="24"/>
              </w:rPr>
            </w:pPr>
            <w:r w:rsidRPr="00CB2B6F">
              <w:rPr>
                <w:kern w:val="0"/>
                <w:szCs w:val="24"/>
              </w:rPr>
              <w:t>Dehiscing or exploding fruits/seed pods</w:t>
            </w:r>
          </w:p>
        </w:tc>
        <w:tc>
          <w:tcPr>
            <w:tcW w:w="0" w:type="auto"/>
            <w:tcBorders>
              <w:top w:val="nil"/>
              <w:left w:val="nil"/>
              <w:bottom w:val="single" w:sz="8" w:space="0" w:color="auto"/>
              <w:right w:val="single" w:sz="12" w:space="0" w:color="auto"/>
            </w:tcBorders>
            <w:shd w:val="clear" w:color="000000" w:fill="FFFFFF"/>
            <w:vAlign w:val="center"/>
            <w:hideMark/>
          </w:tcPr>
          <w:p w14:paraId="2584FEBD" w14:textId="77777777" w:rsidR="00CB2B6F" w:rsidRPr="00CB2B6F" w:rsidRDefault="00CB2B6F" w:rsidP="00CB2B6F">
            <w:pPr>
              <w:widowControl/>
              <w:overflowPunct/>
              <w:autoSpaceDE/>
              <w:autoSpaceDN/>
              <w:adjustRightInd/>
              <w:contextualSpacing w:val="0"/>
              <w:jc w:val="center"/>
              <w:rPr>
                <w:kern w:val="0"/>
                <w:szCs w:val="24"/>
              </w:rPr>
            </w:pPr>
            <w:r w:rsidRPr="00CB2B6F">
              <w:rPr>
                <w:kern w:val="0"/>
                <w:szCs w:val="24"/>
              </w:rPr>
              <w:t xml:space="preserve">van der </w:t>
            </w:r>
            <w:proofErr w:type="spellStart"/>
            <w:r w:rsidRPr="00CB2B6F">
              <w:rPr>
                <w:kern w:val="0"/>
                <w:szCs w:val="24"/>
              </w:rPr>
              <w:t>Pijl</w:t>
            </w:r>
            <w:proofErr w:type="spellEnd"/>
            <w:r w:rsidRPr="00CB2B6F">
              <w:rPr>
                <w:kern w:val="0"/>
                <w:szCs w:val="24"/>
              </w:rPr>
              <w:t xml:space="preserve"> (1982)</w:t>
            </w:r>
          </w:p>
        </w:tc>
      </w:tr>
      <w:tr w:rsidR="00CB2B6F" w:rsidRPr="00CB2B6F" w14:paraId="4371F18E" w14:textId="77777777" w:rsidTr="00CB2B6F">
        <w:trPr>
          <w:trHeight w:val="618"/>
        </w:trPr>
        <w:tc>
          <w:tcPr>
            <w:tcW w:w="0" w:type="auto"/>
            <w:tcBorders>
              <w:top w:val="nil"/>
              <w:left w:val="single" w:sz="12" w:space="0" w:color="auto"/>
              <w:bottom w:val="single" w:sz="8" w:space="0" w:color="auto"/>
              <w:right w:val="single" w:sz="12" w:space="0" w:color="auto"/>
            </w:tcBorders>
            <w:shd w:val="clear" w:color="000000" w:fill="FFFFFF"/>
            <w:vAlign w:val="center"/>
            <w:hideMark/>
          </w:tcPr>
          <w:p w14:paraId="3BFBD0C5" w14:textId="77777777" w:rsidR="00CB2B6F" w:rsidRPr="00CB2B6F" w:rsidRDefault="00CB2B6F" w:rsidP="00CB2B6F">
            <w:pPr>
              <w:widowControl/>
              <w:overflowPunct/>
              <w:autoSpaceDE/>
              <w:autoSpaceDN/>
              <w:adjustRightInd/>
              <w:contextualSpacing w:val="0"/>
              <w:jc w:val="center"/>
              <w:rPr>
                <w:kern w:val="0"/>
                <w:szCs w:val="24"/>
              </w:rPr>
            </w:pPr>
            <w:r w:rsidRPr="00CB2B6F">
              <w:rPr>
                <w:kern w:val="0"/>
                <w:szCs w:val="24"/>
              </w:rPr>
              <w:t>Endozoochory</w:t>
            </w:r>
          </w:p>
        </w:tc>
        <w:tc>
          <w:tcPr>
            <w:tcW w:w="0" w:type="auto"/>
            <w:tcBorders>
              <w:top w:val="nil"/>
              <w:left w:val="nil"/>
              <w:bottom w:val="single" w:sz="8" w:space="0" w:color="auto"/>
              <w:right w:val="single" w:sz="12" w:space="0" w:color="auto"/>
            </w:tcBorders>
            <w:shd w:val="clear" w:color="000000" w:fill="FFFFFF"/>
            <w:vAlign w:val="center"/>
            <w:hideMark/>
          </w:tcPr>
          <w:p w14:paraId="4684DB06" w14:textId="77777777" w:rsidR="00CB2B6F" w:rsidRPr="00CB2B6F" w:rsidRDefault="00CB2B6F" w:rsidP="00CB2B6F">
            <w:pPr>
              <w:widowControl/>
              <w:overflowPunct/>
              <w:autoSpaceDE/>
              <w:autoSpaceDN/>
              <w:adjustRightInd/>
              <w:contextualSpacing w:val="0"/>
              <w:jc w:val="center"/>
              <w:rPr>
                <w:kern w:val="0"/>
                <w:szCs w:val="24"/>
              </w:rPr>
            </w:pPr>
            <w:r w:rsidRPr="00CB2B6F">
              <w:rPr>
                <w:kern w:val="0"/>
                <w:szCs w:val="24"/>
              </w:rPr>
              <w:t>Ingestion by animals</w:t>
            </w:r>
          </w:p>
        </w:tc>
        <w:tc>
          <w:tcPr>
            <w:tcW w:w="0" w:type="auto"/>
            <w:tcBorders>
              <w:top w:val="nil"/>
              <w:left w:val="nil"/>
              <w:bottom w:val="single" w:sz="8" w:space="0" w:color="auto"/>
              <w:right w:val="single" w:sz="12" w:space="0" w:color="auto"/>
            </w:tcBorders>
            <w:shd w:val="clear" w:color="000000" w:fill="FFFFFF"/>
            <w:vAlign w:val="center"/>
            <w:hideMark/>
          </w:tcPr>
          <w:p w14:paraId="71D35DA1" w14:textId="77777777" w:rsidR="00CB2B6F" w:rsidRPr="00CB2B6F" w:rsidRDefault="00CB2B6F" w:rsidP="00CB2B6F">
            <w:pPr>
              <w:widowControl/>
              <w:overflowPunct/>
              <w:autoSpaceDE/>
              <w:autoSpaceDN/>
              <w:adjustRightInd/>
              <w:contextualSpacing w:val="0"/>
              <w:jc w:val="center"/>
              <w:rPr>
                <w:kern w:val="0"/>
                <w:szCs w:val="24"/>
              </w:rPr>
            </w:pPr>
            <w:r w:rsidRPr="00CB2B6F">
              <w:rPr>
                <w:kern w:val="0"/>
                <w:szCs w:val="24"/>
              </w:rPr>
              <w:t xml:space="preserve">Fleshy structures in the form of an </w:t>
            </w:r>
            <w:proofErr w:type="gramStart"/>
            <w:r w:rsidRPr="00CB2B6F">
              <w:rPr>
                <w:kern w:val="0"/>
                <w:szCs w:val="24"/>
              </w:rPr>
              <w:t>aril</w:t>
            </w:r>
            <w:proofErr w:type="gramEnd"/>
            <w:r w:rsidRPr="00CB2B6F">
              <w:rPr>
                <w:kern w:val="0"/>
                <w:szCs w:val="24"/>
              </w:rPr>
              <w:t>, pericarp, or pulp.</w:t>
            </w:r>
          </w:p>
        </w:tc>
        <w:tc>
          <w:tcPr>
            <w:tcW w:w="0" w:type="auto"/>
            <w:tcBorders>
              <w:top w:val="nil"/>
              <w:left w:val="nil"/>
              <w:bottom w:val="single" w:sz="8" w:space="0" w:color="auto"/>
              <w:right w:val="single" w:sz="12" w:space="0" w:color="auto"/>
            </w:tcBorders>
            <w:shd w:val="clear" w:color="000000" w:fill="FFFFFF"/>
            <w:vAlign w:val="center"/>
            <w:hideMark/>
          </w:tcPr>
          <w:p w14:paraId="54BBCB45" w14:textId="77777777" w:rsidR="00CB2B6F" w:rsidRPr="00CB2B6F" w:rsidRDefault="00CB2B6F" w:rsidP="00CB2B6F">
            <w:pPr>
              <w:widowControl/>
              <w:overflowPunct/>
              <w:autoSpaceDE/>
              <w:autoSpaceDN/>
              <w:adjustRightInd/>
              <w:contextualSpacing w:val="0"/>
              <w:jc w:val="center"/>
              <w:rPr>
                <w:kern w:val="0"/>
                <w:szCs w:val="24"/>
              </w:rPr>
            </w:pPr>
            <w:r w:rsidRPr="00CB2B6F">
              <w:rPr>
                <w:kern w:val="0"/>
                <w:szCs w:val="24"/>
              </w:rPr>
              <w:t xml:space="preserve">Howe and Smallwood (1982); van der </w:t>
            </w:r>
            <w:proofErr w:type="spellStart"/>
            <w:r w:rsidRPr="00CB2B6F">
              <w:rPr>
                <w:kern w:val="0"/>
                <w:szCs w:val="24"/>
              </w:rPr>
              <w:t>Pijl</w:t>
            </w:r>
            <w:proofErr w:type="spellEnd"/>
            <w:r w:rsidRPr="00CB2B6F">
              <w:rPr>
                <w:kern w:val="0"/>
                <w:szCs w:val="24"/>
              </w:rPr>
              <w:t xml:space="preserve"> (1982)</w:t>
            </w:r>
          </w:p>
        </w:tc>
      </w:tr>
      <w:tr w:rsidR="00CB2B6F" w:rsidRPr="00CB2B6F" w14:paraId="2A7F2EBB" w14:textId="77777777" w:rsidTr="00CB2B6F">
        <w:trPr>
          <w:trHeight w:val="618"/>
        </w:trPr>
        <w:tc>
          <w:tcPr>
            <w:tcW w:w="0" w:type="auto"/>
            <w:tcBorders>
              <w:top w:val="nil"/>
              <w:left w:val="single" w:sz="12" w:space="0" w:color="auto"/>
              <w:bottom w:val="single" w:sz="8" w:space="0" w:color="auto"/>
              <w:right w:val="single" w:sz="12" w:space="0" w:color="auto"/>
            </w:tcBorders>
            <w:shd w:val="clear" w:color="000000" w:fill="FFFFFF"/>
            <w:vAlign w:val="center"/>
            <w:hideMark/>
          </w:tcPr>
          <w:p w14:paraId="054CA61D" w14:textId="77777777" w:rsidR="00CB2B6F" w:rsidRPr="00CB2B6F" w:rsidRDefault="00CB2B6F" w:rsidP="00CB2B6F">
            <w:pPr>
              <w:widowControl/>
              <w:overflowPunct/>
              <w:autoSpaceDE/>
              <w:autoSpaceDN/>
              <w:adjustRightInd/>
              <w:contextualSpacing w:val="0"/>
              <w:jc w:val="center"/>
              <w:rPr>
                <w:kern w:val="0"/>
                <w:szCs w:val="24"/>
              </w:rPr>
            </w:pPr>
            <w:r w:rsidRPr="00CB2B6F">
              <w:rPr>
                <w:kern w:val="0"/>
                <w:szCs w:val="24"/>
              </w:rPr>
              <w:t>Epizoochory</w:t>
            </w:r>
          </w:p>
        </w:tc>
        <w:tc>
          <w:tcPr>
            <w:tcW w:w="0" w:type="auto"/>
            <w:tcBorders>
              <w:top w:val="nil"/>
              <w:left w:val="nil"/>
              <w:bottom w:val="single" w:sz="8" w:space="0" w:color="auto"/>
              <w:right w:val="single" w:sz="12" w:space="0" w:color="auto"/>
            </w:tcBorders>
            <w:shd w:val="clear" w:color="000000" w:fill="FFFFFF"/>
            <w:vAlign w:val="center"/>
            <w:hideMark/>
          </w:tcPr>
          <w:p w14:paraId="688D4B9F" w14:textId="77777777" w:rsidR="00CB2B6F" w:rsidRPr="00CB2B6F" w:rsidRDefault="00CB2B6F" w:rsidP="00CB2B6F">
            <w:pPr>
              <w:widowControl/>
              <w:overflowPunct/>
              <w:autoSpaceDE/>
              <w:autoSpaceDN/>
              <w:adjustRightInd/>
              <w:contextualSpacing w:val="0"/>
              <w:jc w:val="center"/>
              <w:rPr>
                <w:kern w:val="0"/>
                <w:szCs w:val="24"/>
              </w:rPr>
            </w:pPr>
            <w:r w:rsidRPr="00CB2B6F">
              <w:rPr>
                <w:kern w:val="0"/>
                <w:szCs w:val="24"/>
              </w:rPr>
              <w:t>Adhesion to animal hairs/feathers</w:t>
            </w:r>
          </w:p>
        </w:tc>
        <w:tc>
          <w:tcPr>
            <w:tcW w:w="0" w:type="auto"/>
            <w:tcBorders>
              <w:top w:val="nil"/>
              <w:left w:val="nil"/>
              <w:bottom w:val="single" w:sz="8" w:space="0" w:color="auto"/>
              <w:right w:val="single" w:sz="12" w:space="0" w:color="auto"/>
            </w:tcBorders>
            <w:shd w:val="clear" w:color="000000" w:fill="FFFFFF"/>
            <w:vAlign w:val="center"/>
            <w:hideMark/>
          </w:tcPr>
          <w:p w14:paraId="0F9B0F98" w14:textId="77777777" w:rsidR="00CB2B6F" w:rsidRPr="00CB2B6F" w:rsidRDefault="00CB2B6F" w:rsidP="00CB2B6F">
            <w:pPr>
              <w:widowControl/>
              <w:overflowPunct/>
              <w:autoSpaceDE/>
              <w:autoSpaceDN/>
              <w:adjustRightInd/>
              <w:contextualSpacing w:val="0"/>
              <w:jc w:val="center"/>
              <w:rPr>
                <w:kern w:val="0"/>
                <w:szCs w:val="24"/>
              </w:rPr>
            </w:pPr>
            <w:r w:rsidRPr="00CB2B6F">
              <w:rPr>
                <w:kern w:val="0"/>
                <w:szCs w:val="24"/>
              </w:rPr>
              <w:t>Hooks, barbs, or other clingy appendages</w:t>
            </w:r>
          </w:p>
        </w:tc>
        <w:tc>
          <w:tcPr>
            <w:tcW w:w="0" w:type="auto"/>
            <w:tcBorders>
              <w:top w:val="nil"/>
              <w:left w:val="nil"/>
              <w:bottom w:val="single" w:sz="8" w:space="0" w:color="auto"/>
              <w:right w:val="single" w:sz="12" w:space="0" w:color="auto"/>
            </w:tcBorders>
            <w:shd w:val="clear" w:color="000000" w:fill="FFFFFF"/>
            <w:vAlign w:val="center"/>
            <w:hideMark/>
          </w:tcPr>
          <w:p w14:paraId="4AB20539" w14:textId="77777777" w:rsidR="00CB2B6F" w:rsidRPr="00CB2B6F" w:rsidRDefault="00CB2B6F" w:rsidP="00CB2B6F">
            <w:pPr>
              <w:widowControl/>
              <w:overflowPunct/>
              <w:autoSpaceDE/>
              <w:autoSpaceDN/>
              <w:adjustRightInd/>
              <w:contextualSpacing w:val="0"/>
              <w:jc w:val="center"/>
              <w:rPr>
                <w:kern w:val="0"/>
                <w:szCs w:val="24"/>
              </w:rPr>
            </w:pPr>
            <w:r w:rsidRPr="00CB2B6F">
              <w:rPr>
                <w:kern w:val="0"/>
                <w:szCs w:val="24"/>
              </w:rPr>
              <w:t xml:space="preserve">Howe and Smallwood (1982); van der </w:t>
            </w:r>
            <w:proofErr w:type="spellStart"/>
            <w:r w:rsidRPr="00CB2B6F">
              <w:rPr>
                <w:kern w:val="0"/>
                <w:szCs w:val="24"/>
              </w:rPr>
              <w:t>Pijl</w:t>
            </w:r>
            <w:proofErr w:type="spellEnd"/>
            <w:r w:rsidRPr="00CB2B6F">
              <w:rPr>
                <w:kern w:val="0"/>
                <w:szCs w:val="24"/>
              </w:rPr>
              <w:t xml:space="preserve"> (1982)</w:t>
            </w:r>
          </w:p>
        </w:tc>
      </w:tr>
      <w:tr w:rsidR="00CB2B6F" w:rsidRPr="00CB2B6F" w14:paraId="31CE62E9" w14:textId="77777777" w:rsidTr="00CB2B6F">
        <w:trPr>
          <w:trHeight w:val="618"/>
        </w:trPr>
        <w:tc>
          <w:tcPr>
            <w:tcW w:w="0" w:type="auto"/>
            <w:tcBorders>
              <w:top w:val="nil"/>
              <w:left w:val="single" w:sz="12" w:space="0" w:color="auto"/>
              <w:bottom w:val="single" w:sz="8" w:space="0" w:color="auto"/>
              <w:right w:val="single" w:sz="12" w:space="0" w:color="auto"/>
            </w:tcBorders>
            <w:shd w:val="clear" w:color="000000" w:fill="FFFFFF"/>
            <w:vAlign w:val="center"/>
            <w:hideMark/>
          </w:tcPr>
          <w:p w14:paraId="6C30794C" w14:textId="77777777" w:rsidR="00CB2B6F" w:rsidRPr="00CB2B6F" w:rsidRDefault="00CB2B6F" w:rsidP="00CB2B6F">
            <w:pPr>
              <w:widowControl/>
              <w:overflowPunct/>
              <w:autoSpaceDE/>
              <w:autoSpaceDN/>
              <w:adjustRightInd/>
              <w:contextualSpacing w:val="0"/>
              <w:jc w:val="center"/>
              <w:rPr>
                <w:kern w:val="0"/>
                <w:szCs w:val="24"/>
              </w:rPr>
            </w:pPr>
            <w:r w:rsidRPr="00CB2B6F">
              <w:rPr>
                <w:kern w:val="0"/>
                <w:szCs w:val="24"/>
              </w:rPr>
              <w:t>Foliage is the Fruit</w:t>
            </w:r>
          </w:p>
        </w:tc>
        <w:tc>
          <w:tcPr>
            <w:tcW w:w="0" w:type="auto"/>
            <w:tcBorders>
              <w:top w:val="nil"/>
              <w:left w:val="nil"/>
              <w:bottom w:val="single" w:sz="8" w:space="0" w:color="auto"/>
              <w:right w:val="single" w:sz="12" w:space="0" w:color="auto"/>
            </w:tcBorders>
            <w:shd w:val="clear" w:color="000000" w:fill="FFFFFF"/>
            <w:vAlign w:val="center"/>
            <w:hideMark/>
          </w:tcPr>
          <w:p w14:paraId="1AAA4FBF" w14:textId="77777777" w:rsidR="00CB2B6F" w:rsidRPr="00CB2B6F" w:rsidRDefault="00CB2B6F" w:rsidP="00CB2B6F">
            <w:pPr>
              <w:widowControl/>
              <w:overflowPunct/>
              <w:autoSpaceDE/>
              <w:autoSpaceDN/>
              <w:adjustRightInd/>
              <w:contextualSpacing w:val="0"/>
              <w:jc w:val="center"/>
              <w:rPr>
                <w:kern w:val="0"/>
                <w:szCs w:val="24"/>
              </w:rPr>
            </w:pPr>
            <w:r w:rsidRPr="00CB2B6F">
              <w:rPr>
                <w:kern w:val="0"/>
                <w:szCs w:val="24"/>
              </w:rPr>
              <w:t>Ingestion by herbivores</w:t>
            </w:r>
          </w:p>
        </w:tc>
        <w:tc>
          <w:tcPr>
            <w:tcW w:w="0" w:type="auto"/>
            <w:tcBorders>
              <w:top w:val="nil"/>
              <w:left w:val="nil"/>
              <w:bottom w:val="single" w:sz="8" w:space="0" w:color="auto"/>
              <w:right w:val="single" w:sz="12" w:space="0" w:color="auto"/>
            </w:tcBorders>
            <w:shd w:val="clear" w:color="000000" w:fill="FFFFFF"/>
            <w:vAlign w:val="center"/>
            <w:hideMark/>
          </w:tcPr>
          <w:p w14:paraId="12C22509" w14:textId="77777777" w:rsidR="00CB2B6F" w:rsidRPr="00CB2B6F" w:rsidRDefault="00CB2B6F" w:rsidP="00CB2B6F">
            <w:pPr>
              <w:widowControl/>
              <w:overflowPunct/>
              <w:autoSpaceDE/>
              <w:autoSpaceDN/>
              <w:adjustRightInd/>
              <w:contextualSpacing w:val="0"/>
              <w:jc w:val="center"/>
              <w:rPr>
                <w:kern w:val="0"/>
                <w:szCs w:val="24"/>
              </w:rPr>
            </w:pPr>
            <w:r w:rsidRPr="00CB2B6F">
              <w:rPr>
                <w:kern w:val="0"/>
                <w:szCs w:val="24"/>
              </w:rPr>
              <w:t>Seeds enveloped in nutritive leaves/foliage</w:t>
            </w:r>
          </w:p>
        </w:tc>
        <w:tc>
          <w:tcPr>
            <w:tcW w:w="0" w:type="auto"/>
            <w:tcBorders>
              <w:top w:val="nil"/>
              <w:left w:val="nil"/>
              <w:bottom w:val="single" w:sz="8" w:space="0" w:color="auto"/>
              <w:right w:val="single" w:sz="12" w:space="0" w:color="auto"/>
            </w:tcBorders>
            <w:shd w:val="clear" w:color="000000" w:fill="FFFFFF"/>
            <w:vAlign w:val="center"/>
            <w:hideMark/>
          </w:tcPr>
          <w:p w14:paraId="3D138B28" w14:textId="77777777" w:rsidR="00CB2B6F" w:rsidRPr="00CB2B6F" w:rsidRDefault="00CB2B6F" w:rsidP="00CB2B6F">
            <w:pPr>
              <w:widowControl/>
              <w:overflowPunct/>
              <w:autoSpaceDE/>
              <w:autoSpaceDN/>
              <w:adjustRightInd/>
              <w:contextualSpacing w:val="0"/>
              <w:jc w:val="center"/>
              <w:rPr>
                <w:kern w:val="0"/>
                <w:szCs w:val="24"/>
              </w:rPr>
            </w:pPr>
            <w:r w:rsidRPr="00CB2B6F">
              <w:rPr>
                <w:kern w:val="0"/>
                <w:szCs w:val="24"/>
              </w:rPr>
              <w:t>Janzen (1984)</w:t>
            </w:r>
          </w:p>
        </w:tc>
      </w:tr>
      <w:tr w:rsidR="00CB2B6F" w:rsidRPr="00CB2B6F" w14:paraId="10A2DBA0" w14:textId="77777777" w:rsidTr="00CB2B6F">
        <w:trPr>
          <w:trHeight w:val="618"/>
        </w:trPr>
        <w:tc>
          <w:tcPr>
            <w:tcW w:w="0" w:type="auto"/>
            <w:tcBorders>
              <w:top w:val="nil"/>
              <w:left w:val="single" w:sz="12" w:space="0" w:color="auto"/>
              <w:bottom w:val="single" w:sz="8" w:space="0" w:color="auto"/>
              <w:right w:val="single" w:sz="12" w:space="0" w:color="auto"/>
            </w:tcBorders>
            <w:shd w:val="clear" w:color="000000" w:fill="FFFFFF"/>
            <w:vAlign w:val="center"/>
            <w:hideMark/>
          </w:tcPr>
          <w:p w14:paraId="55B55544" w14:textId="77777777" w:rsidR="00CB2B6F" w:rsidRPr="00CB2B6F" w:rsidRDefault="00CB2B6F" w:rsidP="00CB2B6F">
            <w:pPr>
              <w:widowControl/>
              <w:overflowPunct/>
              <w:autoSpaceDE/>
              <w:autoSpaceDN/>
              <w:adjustRightInd/>
              <w:contextualSpacing w:val="0"/>
              <w:jc w:val="center"/>
              <w:rPr>
                <w:kern w:val="0"/>
                <w:szCs w:val="24"/>
              </w:rPr>
            </w:pPr>
            <w:r w:rsidRPr="00CB2B6F">
              <w:rPr>
                <w:kern w:val="0"/>
                <w:szCs w:val="24"/>
              </w:rPr>
              <w:t>Hydrochory</w:t>
            </w:r>
          </w:p>
        </w:tc>
        <w:tc>
          <w:tcPr>
            <w:tcW w:w="0" w:type="auto"/>
            <w:tcBorders>
              <w:top w:val="nil"/>
              <w:left w:val="nil"/>
              <w:bottom w:val="single" w:sz="8" w:space="0" w:color="auto"/>
              <w:right w:val="single" w:sz="12" w:space="0" w:color="auto"/>
            </w:tcBorders>
            <w:shd w:val="clear" w:color="000000" w:fill="FFFFFF"/>
            <w:vAlign w:val="center"/>
            <w:hideMark/>
          </w:tcPr>
          <w:p w14:paraId="2894FCA1" w14:textId="77777777" w:rsidR="00CB2B6F" w:rsidRPr="00CB2B6F" w:rsidRDefault="00CB2B6F" w:rsidP="00CB2B6F">
            <w:pPr>
              <w:widowControl/>
              <w:overflowPunct/>
              <w:autoSpaceDE/>
              <w:autoSpaceDN/>
              <w:adjustRightInd/>
              <w:contextualSpacing w:val="0"/>
              <w:jc w:val="center"/>
              <w:rPr>
                <w:kern w:val="0"/>
                <w:szCs w:val="24"/>
              </w:rPr>
            </w:pPr>
            <w:r w:rsidRPr="00CB2B6F">
              <w:rPr>
                <w:kern w:val="0"/>
                <w:szCs w:val="24"/>
              </w:rPr>
              <w:t>Water-dispersal</w:t>
            </w:r>
          </w:p>
        </w:tc>
        <w:tc>
          <w:tcPr>
            <w:tcW w:w="0" w:type="auto"/>
            <w:tcBorders>
              <w:top w:val="nil"/>
              <w:left w:val="nil"/>
              <w:bottom w:val="single" w:sz="8" w:space="0" w:color="auto"/>
              <w:right w:val="single" w:sz="12" w:space="0" w:color="auto"/>
            </w:tcBorders>
            <w:shd w:val="clear" w:color="000000" w:fill="FFFFFF"/>
            <w:vAlign w:val="center"/>
            <w:hideMark/>
          </w:tcPr>
          <w:p w14:paraId="76AC67AE" w14:textId="77777777" w:rsidR="00CB2B6F" w:rsidRPr="00CB2B6F" w:rsidRDefault="00CB2B6F" w:rsidP="00CB2B6F">
            <w:pPr>
              <w:widowControl/>
              <w:overflowPunct/>
              <w:autoSpaceDE/>
              <w:autoSpaceDN/>
              <w:adjustRightInd/>
              <w:contextualSpacing w:val="0"/>
              <w:jc w:val="center"/>
              <w:rPr>
                <w:kern w:val="0"/>
                <w:szCs w:val="24"/>
              </w:rPr>
            </w:pPr>
            <w:proofErr w:type="spellStart"/>
            <w:proofErr w:type="gramStart"/>
            <w:r w:rsidRPr="00CB2B6F">
              <w:rPr>
                <w:kern w:val="0"/>
                <w:szCs w:val="24"/>
              </w:rPr>
              <w:t>Small,light</w:t>
            </w:r>
            <w:proofErr w:type="spellEnd"/>
            <w:proofErr w:type="gramEnd"/>
            <w:r w:rsidRPr="00CB2B6F">
              <w:rPr>
                <w:kern w:val="0"/>
                <w:szCs w:val="24"/>
              </w:rPr>
              <w:t xml:space="preserve"> seeds capable of </w:t>
            </w:r>
            <w:proofErr w:type="gramStart"/>
            <w:r w:rsidRPr="00CB2B6F">
              <w:rPr>
                <w:kern w:val="0"/>
                <w:szCs w:val="24"/>
              </w:rPr>
              <w:t>floatation</w:t>
            </w:r>
            <w:proofErr w:type="gramEnd"/>
            <w:r w:rsidRPr="00CB2B6F">
              <w:rPr>
                <w:kern w:val="0"/>
                <w:szCs w:val="24"/>
              </w:rPr>
              <w:t xml:space="preserve"> and/or unwettable</w:t>
            </w:r>
          </w:p>
        </w:tc>
        <w:tc>
          <w:tcPr>
            <w:tcW w:w="0" w:type="auto"/>
            <w:tcBorders>
              <w:top w:val="nil"/>
              <w:left w:val="nil"/>
              <w:bottom w:val="single" w:sz="8" w:space="0" w:color="auto"/>
              <w:right w:val="single" w:sz="12" w:space="0" w:color="auto"/>
            </w:tcBorders>
            <w:shd w:val="clear" w:color="000000" w:fill="FFFFFF"/>
            <w:vAlign w:val="center"/>
            <w:hideMark/>
          </w:tcPr>
          <w:p w14:paraId="4F126B15" w14:textId="77777777" w:rsidR="00CB2B6F" w:rsidRPr="00CB2B6F" w:rsidRDefault="00CB2B6F" w:rsidP="00CB2B6F">
            <w:pPr>
              <w:widowControl/>
              <w:overflowPunct/>
              <w:autoSpaceDE/>
              <w:autoSpaceDN/>
              <w:adjustRightInd/>
              <w:contextualSpacing w:val="0"/>
              <w:jc w:val="center"/>
              <w:rPr>
                <w:kern w:val="0"/>
                <w:szCs w:val="24"/>
              </w:rPr>
            </w:pPr>
            <w:r w:rsidRPr="00CB2B6F">
              <w:rPr>
                <w:kern w:val="0"/>
                <w:szCs w:val="24"/>
              </w:rPr>
              <w:t xml:space="preserve">Howe and Smallwood (1982); van der </w:t>
            </w:r>
            <w:proofErr w:type="spellStart"/>
            <w:r w:rsidRPr="00CB2B6F">
              <w:rPr>
                <w:kern w:val="0"/>
                <w:szCs w:val="24"/>
              </w:rPr>
              <w:t>Pijl</w:t>
            </w:r>
            <w:proofErr w:type="spellEnd"/>
            <w:r w:rsidRPr="00CB2B6F">
              <w:rPr>
                <w:kern w:val="0"/>
                <w:szCs w:val="24"/>
              </w:rPr>
              <w:t xml:space="preserve"> (1982)</w:t>
            </w:r>
          </w:p>
        </w:tc>
      </w:tr>
      <w:tr w:rsidR="00CB2B6F" w:rsidRPr="00CB2B6F" w14:paraId="4DE61BA7" w14:textId="77777777" w:rsidTr="00CB2B6F">
        <w:trPr>
          <w:trHeight w:val="618"/>
        </w:trPr>
        <w:tc>
          <w:tcPr>
            <w:tcW w:w="0" w:type="auto"/>
            <w:tcBorders>
              <w:top w:val="nil"/>
              <w:left w:val="single" w:sz="12" w:space="0" w:color="auto"/>
              <w:bottom w:val="single" w:sz="8" w:space="0" w:color="auto"/>
              <w:right w:val="single" w:sz="12" w:space="0" w:color="auto"/>
            </w:tcBorders>
            <w:shd w:val="clear" w:color="000000" w:fill="FFFFFF"/>
            <w:vAlign w:val="center"/>
            <w:hideMark/>
          </w:tcPr>
          <w:p w14:paraId="52D0382E" w14:textId="77777777" w:rsidR="00CB2B6F" w:rsidRPr="00CB2B6F" w:rsidRDefault="00CB2B6F" w:rsidP="00CB2B6F">
            <w:pPr>
              <w:widowControl/>
              <w:overflowPunct/>
              <w:autoSpaceDE/>
              <w:autoSpaceDN/>
              <w:adjustRightInd/>
              <w:contextualSpacing w:val="0"/>
              <w:jc w:val="center"/>
              <w:rPr>
                <w:kern w:val="0"/>
                <w:szCs w:val="24"/>
              </w:rPr>
            </w:pPr>
            <w:r w:rsidRPr="00CB2B6F">
              <w:rPr>
                <w:kern w:val="0"/>
                <w:szCs w:val="24"/>
              </w:rPr>
              <w:t>Myrmecochory</w:t>
            </w:r>
          </w:p>
        </w:tc>
        <w:tc>
          <w:tcPr>
            <w:tcW w:w="0" w:type="auto"/>
            <w:tcBorders>
              <w:top w:val="nil"/>
              <w:left w:val="nil"/>
              <w:bottom w:val="single" w:sz="8" w:space="0" w:color="auto"/>
              <w:right w:val="single" w:sz="12" w:space="0" w:color="auto"/>
            </w:tcBorders>
            <w:shd w:val="clear" w:color="000000" w:fill="FFFFFF"/>
            <w:vAlign w:val="center"/>
            <w:hideMark/>
          </w:tcPr>
          <w:p w14:paraId="19081940" w14:textId="77777777" w:rsidR="00CB2B6F" w:rsidRPr="00CB2B6F" w:rsidRDefault="00CB2B6F" w:rsidP="00CB2B6F">
            <w:pPr>
              <w:widowControl/>
              <w:overflowPunct/>
              <w:autoSpaceDE/>
              <w:autoSpaceDN/>
              <w:adjustRightInd/>
              <w:contextualSpacing w:val="0"/>
              <w:jc w:val="center"/>
              <w:rPr>
                <w:kern w:val="0"/>
                <w:szCs w:val="24"/>
              </w:rPr>
            </w:pPr>
            <w:r w:rsidRPr="00CB2B6F">
              <w:rPr>
                <w:kern w:val="0"/>
                <w:szCs w:val="24"/>
              </w:rPr>
              <w:t>Ant-dispersal</w:t>
            </w:r>
          </w:p>
        </w:tc>
        <w:tc>
          <w:tcPr>
            <w:tcW w:w="0" w:type="auto"/>
            <w:tcBorders>
              <w:top w:val="nil"/>
              <w:left w:val="nil"/>
              <w:bottom w:val="single" w:sz="8" w:space="0" w:color="auto"/>
              <w:right w:val="single" w:sz="12" w:space="0" w:color="auto"/>
            </w:tcBorders>
            <w:shd w:val="clear" w:color="000000" w:fill="FFFFFF"/>
            <w:vAlign w:val="center"/>
            <w:hideMark/>
          </w:tcPr>
          <w:p w14:paraId="66BD6C3D" w14:textId="77777777" w:rsidR="00CB2B6F" w:rsidRPr="00CB2B6F" w:rsidRDefault="00CB2B6F" w:rsidP="00CB2B6F">
            <w:pPr>
              <w:widowControl/>
              <w:overflowPunct/>
              <w:autoSpaceDE/>
              <w:autoSpaceDN/>
              <w:adjustRightInd/>
              <w:contextualSpacing w:val="0"/>
              <w:jc w:val="center"/>
              <w:rPr>
                <w:kern w:val="0"/>
                <w:szCs w:val="24"/>
              </w:rPr>
            </w:pPr>
            <w:r w:rsidRPr="00CB2B6F">
              <w:rPr>
                <w:kern w:val="0"/>
                <w:szCs w:val="24"/>
              </w:rPr>
              <w:t>Fatty appendages known as elaiosomes</w:t>
            </w:r>
          </w:p>
        </w:tc>
        <w:tc>
          <w:tcPr>
            <w:tcW w:w="0" w:type="auto"/>
            <w:tcBorders>
              <w:top w:val="nil"/>
              <w:left w:val="nil"/>
              <w:bottom w:val="single" w:sz="8" w:space="0" w:color="auto"/>
              <w:right w:val="single" w:sz="12" w:space="0" w:color="auto"/>
            </w:tcBorders>
            <w:shd w:val="clear" w:color="000000" w:fill="FFFFFF"/>
            <w:vAlign w:val="center"/>
            <w:hideMark/>
          </w:tcPr>
          <w:p w14:paraId="0BEE3EA6" w14:textId="77777777" w:rsidR="00CB2B6F" w:rsidRPr="00CB2B6F" w:rsidRDefault="00CB2B6F" w:rsidP="00CB2B6F">
            <w:pPr>
              <w:widowControl/>
              <w:overflowPunct/>
              <w:autoSpaceDE/>
              <w:autoSpaceDN/>
              <w:adjustRightInd/>
              <w:contextualSpacing w:val="0"/>
              <w:jc w:val="center"/>
              <w:rPr>
                <w:kern w:val="0"/>
                <w:szCs w:val="24"/>
              </w:rPr>
            </w:pPr>
            <w:r w:rsidRPr="00CB2B6F">
              <w:rPr>
                <w:kern w:val="0"/>
                <w:szCs w:val="24"/>
              </w:rPr>
              <w:t xml:space="preserve">Howe and Smallwood (1982); van der </w:t>
            </w:r>
            <w:proofErr w:type="spellStart"/>
            <w:r w:rsidRPr="00CB2B6F">
              <w:rPr>
                <w:kern w:val="0"/>
                <w:szCs w:val="24"/>
              </w:rPr>
              <w:t>Pijl</w:t>
            </w:r>
            <w:proofErr w:type="spellEnd"/>
            <w:r w:rsidRPr="00CB2B6F">
              <w:rPr>
                <w:kern w:val="0"/>
                <w:szCs w:val="24"/>
              </w:rPr>
              <w:t xml:space="preserve"> (1982)</w:t>
            </w:r>
          </w:p>
        </w:tc>
      </w:tr>
      <w:tr w:rsidR="00CB2B6F" w:rsidRPr="00CB2B6F" w14:paraId="563D3BD2" w14:textId="77777777" w:rsidTr="00CB2B6F">
        <w:trPr>
          <w:trHeight w:val="618"/>
        </w:trPr>
        <w:tc>
          <w:tcPr>
            <w:tcW w:w="0" w:type="auto"/>
            <w:tcBorders>
              <w:top w:val="nil"/>
              <w:left w:val="single" w:sz="12" w:space="0" w:color="auto"/>
              <w:bottom w:val="single" w:sz="12" w:space="0" w:color="auto"/>
              <w:right w:val="single" w:sz="12" w:space="0" w:color="auto"/>
            </w:tcBorders>
            <w:shd w:val="clear" w:color="000000" w:fill="FFFFFF"/>
            <w:vAlign w:val="center"/>
            <w:hideMark/>
          </w:tcPr>
          <w:p w14:paraId="0FBFBC19" w14:textId="77777777" w:rsidR="00CB2B6F" w:rsidRPr="00CB2B6F" w:rsidRDefault="00CB2B6F" w:rsidP="00CB2B6F">
            <w:pPr>
              <w:widowControl/>
              <w:overflowPunct/>
              <w:autoSpaceDE/>
              <w:autoSpaceDN/>
              <w:adjustRightInd/>
              <w:contextualSpacing w:val="0"/>
              <w:jc w:val="center"/>
              <w:rPr>
                <w:kern w:val="0"/>
                <w:szCs w:val="24"/>
              </w:rPr>
            </w:pPr>
            <w:r w:rsidRPr="00CB2B6F">
              <w:rPr>
                <w:kern w:val="0"/>
                <w:szCs w:val="24"/>
              </w:rPr>
              <w:t>Synzoochory</w:t>
            </w:r>
          </w:p>
        </w:tc>
        <w:tc>
          <w:tcPr>
            <w:tcW w:w="0" w:type="auto"/>
            <w:tcBorders>
              <w:top w:val="nil"/>
              <w:left w:val="nil"/>
              <w:bottom w:val="single" w:sz="12" w:space="0" w:color="auto"/>
              <w:right w:val="single" w:sz="12" w:space="0" w:color="auto"/>
            </w:tcBorders>
            <w:shd w:val="clear" w:color="000000" w:fill="FFFFFF"/>
            <w:vAlign w:val="center"/>
            <w:hideMark/>
          </w:tcPr>
          <w:p w14:paraId="499FCA2C" w14:textId="77777777" w:rsidR="00CB2B6F" w:rsidRPr="00CB2B6F" w:rsidRDefault="00CB2B6F" w:rsidP="00CB2B6F">
            <w:pPr>
              <w:widowControl/>
              <w:overflowPunct/>
              <w:autoSpaceDE/>
              <w:autoSpaceDN/>
              <w:adjustRightInd/>
              <w:contextualSpacing w:val="0"/>
              <w:jc w:val="center"/>
              <w:rPr>
                <w:kern w:val="0"/>
                <w:szCs w:val="24"/>
              </w:rPr>
            </w:pPr>
            <w:r w:rsidRPr="00CB2B6F">
              <w:rPr>
                <w:kern w:val="0"/>
                <w:szCs w:val="24"/>
              </w:rPr>
              <w:t>Scatter-hoarding</w:t>
            </w:r>
          </w:p>
        </w:tc>
        <w:tc>
          <w:tcPr>
            <w:tcW w:w="0" w:type="auto"/>
            <w:tcBorders>
              <w:top w:val="nil"/>
              <w:left w:val="nil"/>
              <w:bottom w:val="single" w:sz="12" w:space="0" w:color="auto"/>
              <w:right w:val="single" w:sz="12" w:space="0" w:color="auto"/>
            </w:tcBorders>
            <w:shd w:val="clear" w:color="000000" w:fill="FFFFFF"/>
            <w:vAlign w:val="center"/>
            <w:hideMark/>
          </w:tcPr>
          <w:p w14:paraId="121BD194" w14:textId="77777777" w:rsidR="00CB2B6F" w:rsidRPr="00CB2B6F" w:rsidRDefault="00CB2B6F" w:rsidP="00CB2B6F">
            <w:pPr>
              <w:widowControl/>
              <w:overflowPunct/>
              <w:autoSpaceDE/>
              <w:autoSpaceDN/>
              <w:adjustRightInd/>
              <w:contextualSpacing w:val="0"/>
              <w:jc w:val="center"/>
              <w:rPr>
                <w:kern w:val="0"/>
                <w:szCs w:val="24"/>
              </w:rPr>
            </w:pPr>
            <w:r w:rsidRPr="00CB2B6F">
              <w:rPr>
                <w:kern w:val="0"/>
                <w:szCs w:val="24"/>
              </w:rPr>
              <w:t>Cacheable fruits/nuts typically in the Fagaceae</w:t>
            </w:r>
          </w:p>
        </w:tc>
        <w:tc>
          <w:tcPr>
            <w:tcW w:w="0" w:type="auto"/>
            <w:tcBorders>
              <w:top w:val="nil"/>
              <w:left w:val="nil"/>
              <w:bottom w:val="single" w:sz="12" w:space="0" w:color="auto"/>
              <w:right w:val="single" w:sz="12" w:space="0" w:color="auto"/>
            </w:tcBorders>
            <w:shd w:val="clear" w:color="000000" w:fill="FFFFFF"/>
            <w:vAlign w:val="center"/>
            <w:hideMark/>
          </w:tcPr>
          <w:p w14:paraId="5043DB34" w14:textId="77777777" w:rsidR="00CB2B6F" w:rsidRPr="00CB2B6F" w:rsidRDefault="00CB2B6F" w:rsidP="00CB2B6F">
            <w:pPr>
              <w:widowControl/>
              <w:overflowPunct/>
              <w:autoSpaceDE/>
              <w:autoSpaceDN/>
              <w:adjustRightInd/>
              <w:contextualSpacing w:val="0"/>
              <w:jc w:val="center"/>
              <w:rPr>
                <w:kern w:val="0"/>
                <w:szCs w:val="24"/>
              </w:rPr>
            </w:pPr>
            <w:r w:rsidRPr="00CB2B6F">
              <w:rPr>
                <w:kern w:val="0"/>
                <w:szCs w:val="24"/>
              </w:rPr>
              <w:t xml:space="preserve">van der </w:t>
            </w:r>
            <w:proofErr w:type="spellStart"/>
            <w:r w:rsidRPr="00CB2B6F">
              <w:rPr>
                <w:kern w:val="0"/>
                <w:szCs w:val="24"/>
              </w:rPr>
              <w:t>Pijl</w:t>
            </w:r>
            <w:proofErr w:type="spellEnd"/>
            <w:r w:rsidRPr="00CB2B6F">
              <w:rPr>
                <w:kern w:val="0"/>
                <w:szCs w:val="24"/>
              </w:rPr>
              <w:t xml:space="preserve"> (1982)</w:t>
            </w:r>
          </w:p>
        </w:tc>
      </w:tr>
    </w:tbl>
    <w:p w14:paraId="789D19A6" w14:textId="5CE622C0" w:rsidR="00A361F9" w:rsidRDefault="00A361F9" w:rsidP="00134BA0">
      <w:pPr>
        <w:spacing w:before="100" w:beforeAutospacing="1" w:after="100" w:afterAutospacing="1" w:line="480" w:lineRule="auto"/>
        <w:mirrorIndents/>
        <w:rPr>
          <w:rFonts w:eastAsia="Calibri"/>
          <w:b/>
          <w:bCs/>
          <w:shd w:val="clear" w:color="auto" w:fill="FFFFFF"/>
        </w:rPr>
      </w:pPr>
    </w:p>
    <w:p w14:paraId="1F814C60" w14:textId="1C26E880" w:rsidR="00F5379B" w:rsidRDefault="00134BA0" w:rsidP="00F5379B">
      <w:pPr>
        <w:spacing w:before="100" w:beforeAutospacing="1" w:after="100" w:afterAutospacing="1" w:line="480" w:lineRule="auto"/>
        <w:mirrorIndents/>
        <w:rPr>
          <w:rFonts w:eastAsia="Calibri"/>
          <w:shd w:val="clear" w:color="auto" w:fill="FFFFFF"/>
        </w:rPr>
      </w:pPr>
      <w:r w:rsidRPr="00433014">
        <w:rPr>
          <w:rFonts w:eastAsia="Calibri"/>
          <w:b/>
          <w:bCs/>
          <w:shd w:val="clear" w:color="auto" w:fill="FFFFFF"/>
        </w:rPr>
        <w:t>Table 1.</w:t>
      </w:r>
      <w:r>
        <w:rPr>
          <w:rFonts w:eastAsia="Calibri"/>
          <w:b/>
          <w:bCs/>
          <w:shd w:val="clear" w:color="auto" w:fill="FFFFFF"/>
        </w:rPr>
        <w:t xml:space="preserve"> </w:t>
      </w:r>
      <w:r w:rsidRPr="00010209">
        <w:rPr>
          <w:rFonts w:eastAsia="Calibri"/>
          <w:shd w:val="clear" w:color="auto" w:fill="FFFFFF"/>
        </w:rPr>
        <w:t xml:space="preserve">Criteria for </w:t>
      </w:r>
      <w:r>
        <w:rPr>
          <w:rFonts w:eastAsia="Calibri"/>
          <w:shd w:val="clear" w:color="auto" w:fill="FFFFFF"/>
        </w:rPr>
        <w:t>classifying the</w:t>
      </w:r>
      <w:r w:rsidRPr="00010209">
        <w:rPr>
          <w:rFonts w:eastAsia="Calibri"/>
          <w:shd w:val="clear" w:color="auto" w:fill="FFFFFF"/>
        </w:rPr>
        <w:t xml:space="preserve"> plant dispersal syndromes</w:t>
      </w:r>
      <w:r>
        <w:rPr>
          <w:rFonts w:eastAsia="Calibri"/>
          <w:shd w:val="clear" w:color="auto" w:fill="FFFFFF"/>
        </w:rPr>
        <w:t xml:space="preserve"> using </w:t>
      </w:r>
      <w:r w:rsidR="0022219D">
        <w:rPr>
          <w:rFonts w:eastAsia="Calibri"/>
          <w:shd w:val="clear" w:color="auto" w:fill="FFFFFF"/>
        </w:rPr>
        <w:t>guidance</w:t>
      </w:r>
      <w:r>
        <w:rPr>
          <w:rFonts w:eastAsia="Calibri"/>
          <w:shd w:val="clear" w:color="auto" w:fill="FFFFFF"/>
        </w:rPr>
        <w:t xml:space="preserve"> from Howe and Smallwood (1982), van der </w:t>
      </w:r>
      <w:proofErr w:type="spellStart"/>
      <w:r>
        <w:rPr>
          <w:rFonts w:eastAsia="Calibri"/>
          <w:shd w:val="clear" w:color="auto" w:fill="FFFFFF"/>
        </w:rPr>
        <w:t>Pijl</w:t>
      </w:r>
      <w:proofErr w:type="spellEnd"/>
      <w:r>
        <w:rPr>
          <w:rFonts w:eastAsia="Calibri"/>
          <w:shd w:val="clear" w:color="auto" w:fill="FFFFFF"/>
        </w:rPr>
        <w:t xml:space="preserve"> (1982), and Janzen (1984)</w:t>
      </w:r>
      <w:r w:rsidRPr="00010209">
        <w:rPr>
          <w:rFonts w:eastAsia="Calibri"/>
          <w:shd w:val="clear" w:color="auto" w:fill="FFFFFF"/>
        </w:rPr>
        <w:t>.</w:t>
      </w:r>
      <w:r w:rsidR="00F5379B">
        <w:rPr>
          <w:rFonts w:eastAsia="Calibri"/>
          <w:shd w:val="clear" w:color="auto" w:fill="FFFFFF"/>
        </w:rPr>
        <w:br w:type="page"/>
      </w:r>
    </w:p>
    <w:p w14:paraId="2743AAA4" w14:textId="77777777" w:rsidR="003344C4" w:rsidRDefault="003344C4" w:rsidP="003344C4">
      <w:pPr>
        <w:widowControl/>
        <w:overflowPunct/>
        <w:autoSpaceDE/>
        <w:autoSpaceDN/>
        <w:adjustRightInd/>
        <w:contextualSpacing w:val="0"/>
        <w:jc w:val="center"/>
        <w:rPr>
          <w:b/>
          <w:bCs/>
          <w:color w:val="000000"/>
          <w:kern w:val="0"/>
          <w:szCs w:val="24"/>
        </w:rPr>
        <w:sectPr w:rsidR="003344C4" w:rsidSect="0044638C">
          <w:footerReference w:type="default" r:id="rId16"/>
          <w:pgSz w:w="12240" w:h="15840"/>
          <w:pgMar w:top="1440" w:right="1440" w:bottom="1440" w:left="1440" w:header="720" w:footer="720" w:gutter="0"/>
          <w:lnNumType w:countBy="1" w:restart="continuous"/>
          <w:cols w:space="720"/>
          <w:docGrid w:linePitch="360"/>
        </w:sectPr>
      </w:pPr>
    </w:p>
    <w:tbl>
      <w:tblPr>
        <w:tblW w:w="0" w:type="auto"/>
        <w:tblLayout w:type="fixed"/>
        <w:tblLook w:val="04A0" w:firstRow="1" w:lastRow="0" w:firstColumn="1" w:lastColumn="0" w:noHBand="0" w:noVBand="1"/>
      </w:tblPr>
      <w:tblGrid>
        <w:gridCol w:w="2834"/>
        <w:gridCol w:w="2191"/>
        <w:gridCol w:w="1620"/>
        <w:gridCol w:w="1620"/>
        <w:gridCol w:w="2006"/>
        <w:gridCol w:w="2659"/>
      </w:tblGrid>
      <w:tr w:rsidR="003344C4" w:rsidRPr="003344C4" w14:paraId="7EDFF18C" w14:textId="77777777" w:rsidTr="00A26290">
        <w:trPr>
          <w:trHeight w:val="318"/>
        </w:trPr>
        <w:tc>
          <w:tcPr>
            <w:tcW w:w="12930" w:type="dxa"/>
            <w:gridSpan w:val="6"/>
            <w:tcBorders>
              <w:top w:val="single" w:sz="12" w:space="0" w:color="auto"/>
              <w:left w:val="single" w:sz="12" w:space="0" w:color="auto"/>
              <w:bottom w:val="single" w:sz="12" w:space="0" w:color="auto"/>
              <w:right w:val="single" w:sz="12" w:space="0" w:color="000000"/>
            </w:tcBorders>
            <w:shd w:val="clear" w:color="D9E1F2" w:fill="FFFFFF"/>
            <w:noWrap/>
            <w:vAlign w:val="center"/>
            <w:hideMark/>
          </w:tcPr>
          <w:p w14:paraId="1085FA4C" w14:textId="24201A05" w:rsidR="003344C4" w:rsidRPr="003344C4" w:rsidRDefault="003344C4" w:rsidP="00A26290">
            <w:pPr>
              <w:widowControl/>
              <w:overflowPunct/>
              <w:autoSpaceDE/>
              <w:autoSpaceDN/>
              <w:adjustRightInd/>
              <w:contextualSpacing w:val="0"/>
              <w:jc w:val="center"/>
              <w:rPr>
                <w:b/>
                <w:bCs/>
                <w:color w:val="000000"/>
                <w:kern w:val="0"/>
                <w:szCs w:val="24"/>
              </w:rPr>
            </w:pPr>
            <w:r w:rsidRPr="003344C4">
              <w:rPr>
                <w:b/>
                <w:bCs/>
                <w:color w:val="000000"/>
                <w:kern w:val="0"/>
                <w:szCs w:val="24"/>
              </w:rPr>
              <w:lastRenderedPageBreak/>
              <w:t>Seed Species Dispersed Summary Table</w:t>
            </w:r>
          </w:p>
        </w:tc>
      </w:tr>
      <w:tr w:rsidR="004219A7" w:rsidRPr="003344C4" w14:paraId="5D2E84CC" w14:textId="77777777" w:rsidTr="00A26290">
        <w:trPr>
          <w:trHeight w:val="318"/>
        </w:trPr>
        <w:tc>
          <w:tcPr>
            <w:tcW w:w="2834" w:type="dxa"/>
            <w:tcBorders>
              <w:top w:val="nil"/>
              <w:left w:val="single" w:sz="12" w:space="0" w:color="auto"/>
              <w:bottom w:val="single" w:sz="12" w:space="0" w:color="auto"/>
              <w:right w:val="single" w:sz="12" w:space="0" w:color="auto"/>
            </w:tcBorders>
            <w:shd w:val="clear" w:color="D9E1F2" w:fill="FFFFFF"/>
            <w:noWrap/>
            <w:vAlign w:val="center"/>
            <w:hideMark/>
          </w:tcPr>
          <w:p w14:paraId="7042940C" w14:textId="77777777" w:rsidR="003344C4" w:rsidRPr="003344C4" w:rsidRDefault="003344C4" w:rsidP="00A26290">
            <w:pPr>
              <w:widowControl/>
              <w:overflowPunct/>
              <w:autoSpaceDE/>
              <w:autoSpaceDN/>
              <w:adjustRightInd/>
              <w:contextualSpacing w:val="0"/>
              <w:jc w:val="center"/>
              <w:rPr>
                <w:b/>
                <w:bCs/>
                <w:color w:val="000000"/>
                <w:kern w:val="0"/>
                <w:szCs w:val="24"/>
              </w:rPr>
            </w:pPr>
            <w:r w:rsidRPr="003344C4">
              <w:rPr>
                <w:b/>
                <w:bCs/>
                <w:color w:val="000000"/>
                <w:kern w:val="0"/>
                <w:szCs w:val="24"/>
              </w:rPr>
              <w:t>Syndromes and Species</w:t>
            </w:r>
          </w:p>
        </w:tc>
        <w:tc>
          <w:tcPr>
            <w:tcW w:w="2191" w:type="dxa"/>
            <w:tcBorders>
              <w:top w:val="nil"/>
              <w:left w:val="nil"/>
              <w:bottom w:val="single" w:sz="12" w:space="0" w:color="auto"/>
              <w:right w:val="single" w:sz="12" w:space="0" w:color="auto"/>
            </w:tcBorders>
            <w:shd w:val="clear" w:color="D9E1F2" w:fill="FFFFFF"/>
            <w:noWrap/>
            <w:vAlign w:val="center"/>
            <w:hideMark/>
          </w:tcPr>
          <w:p w14:paraId="45368ADE" w14:textId="77777777" w:rsidR="003344C4" w:rsidRPr="003344C4" w:rsidRDefault="003344C4" w:rsidP="00A26290">
            <w:pPr>
              <w:widowControl/>
              <w:overflowPunct/>
              <w:autoSpaceDE/>
              <w:autoSpaceDN/>
              <w:adjustRightInd/>
              <w:contextualSpacing w:val="0"/>
              <w:jc w:val="center"/>
              <w:rPr>
                <w:b/>
                <w:bCs/>
                <w:color w:val="000000"/>
                <w:kern w:val="0"/>
                <w:szCs w:val="24"/>
              </w:rPr>
            </w:pPr>
            <w:r w:rsidRPr="003344C4">
              <w:rPr>
                <w:b/>
                <w:bCs/>
                <w:color w:val="000000"/>
                <w:kern w:val="0"/>
                <w:szCs w:val="24"/>
              </w:rPr>
              <w:t>Taxonomic Family</w:t>
            </w:r>
          </w:p>
        </w:tc>
        <w:tc>
          <w:tcPr>
            <w:tcW w:w="1620" w:type="dxa"/>
            <w:tcBorders>
              <w:top w:val="nil"/>
              <w:left w:val="nil"/>
              <w:bottom w:val="single" w:sz="12" w:space="0" w:color="auto"/>
              <w:right w:val="single" w:sz="12" w:space="0" w:color="auto"/>
            </w:tcBorders>
            <w:shd w:val="clear" w:color="D9E1F2" w:fill="FFFFFF"/>
            <w:noWrap/>
            <w:vAlign w:val="center"/>
            <w:hideMark/>
          </w:tcPr>
          <w:p w14:paraId="0A2D0E69" w14:textId="77777777" w:rsidR="00A26290" w:rsidRDefault="003344C4" w:rsidP="00A26290">
            <w:pPr>
              <w:widowControl/>
              <w:overflowPunct/>
              <w:autoSpaceDE/>
              <w:autoSpaceDN/>
              <w:adjustRightInd/>
              <w:contextualSpacing w:val="0"/>
              <w:jc w:val="center"/>
              <w:rPr>
                <w:b/>
                <w:bCs/>
                <w:color w:val="000000"/>
                <w:kern w:val="0"/>
                <w:szCs w:val="24"/>
              </w:rPr>
            </w:pPr>
            <w:r w:rsidRPr="003344C4">
              <w:rPr>
                <w:b/>
                <w:bCs/>
                <w:color w:val="000000"/>
                <w:kern w:val="0"/>
                <w:szCs w:val="24"/>
              </w:rPr>
              <w:t xml:space="preserve">Number of </w:t>
            </w:r>
          </w:p>
          <w:p w14:paraId="587A3FE3" w14:textId="029ABC51" w:rsidR="003344C4" w:rsidRPr="003344C4" w:rsidRDefault="003344C4" w:rsidP="00A26290">
            <w:pPr>
              <w:widowControl/>
              <w:overflowPunct/>
              <w:autoSpaceDE/>
              <w:autoSpaceDN/>
              <w:adjustRightInd/>
              <w:contextualSpacing w:val="0"/>
              <w:jc w:val="center"/>
              <w:rPr>
                <w:b/>
                <w:bCs/>
                <w:color w:val="000000"/>
                <w:kern w:val="0"/>
                <w:szCs w:val="24"/>
              </w:rPr>
            </w:pPr>
            <w:r w:rsidRPr="003344C4">
              <w:rPr>
                <w:b/>
                <w:bCs/>
                <w:color w:val="000000"/>
                <w:kern w:val="0"/>
                <w:szCs w:val="24"/>
              </w:rPr>
              <w:t>Samples</w:t>
            </w:r>
            <w:r w:rsidR="00A26290">
              <w:rPr>
                <w:b/>
                <w:bCs/>
                <w:color w:val="000000"/>
                <w:kern w:val="0"/>
                <w:szCs w:val="24"/>
              </w:rPr>
              <w:t xml:space="preserve"> </w:t>
            </w:r>
            <w:r w:rsidRPr="003344C4">
              <w:rPr>
                <w:b/>
                <w:bCs/>
                <w:color w:val="000000"/>
                <w:kern w:val="0"/>
                <w:szCs w:val="24"/>
              </w:rPr>
              <w:t>Present In</w:t>
            </w:r>
          </w:p>
        </w:tc>
        <w:tc>
          <w:tcPr>
            <w:tcW w:w="1620" w:type="dxa"/>
            <w:tcBorders>
              <w:top w:val="nil"/>
              <w:left w:val="nil"/>
              <w:bottom w:val="single" w:sz="12" w:space="0" w:color="auto"/>
              <w:right w:val="single" w:sz="12" w:space="0" w:color="auto"/>
            </w:tcBorders>
            <w:shd w:val="clear" w:color="D9E1F2" w:fill="FFFFFF"/>
            <w:noWrap/>
            <w:vAlign w:val="center"/>
            <w:hideMark/>
          </w:tcPr>
          <w:p w14:paraId="64F1CE1D" w14:textId="77777777" w:rsidR="003344C4" w:rsidRPr="003344C4" w:rsidRDefault="003344C4" w:rsidP="00A26290">
            <w:pPr>
              <w:widowControl/>
              <w:overflowPunct/>
              <w:autoSpaceDE/>
              <w:autoSpaceDN/>
              <w:adjustRightInd/>
              <w:contextualSpacing w:val="0"/>
              <w:jc w:val="center"/>
              <w:rPr>
                <w:b/>
                <w:bCs/>
                <w:color w:val="000000"/>
                <w:kern w:val="0"/>
                <w:szCs w:val="24"/>
              </w:rPr>
            </w:pPr>
            <w:r w:rsidRPr="003344C4">
              <w:rPr>
                <w:b/>
                <w:bCs/>
                <w:color w:val="000000"/>
                <w:kern w:val="0"/>
                <w:szCs w:val="24"/>
              </w:rPr>
              <w:t>Frequency of Occurrence</w:t>
            </w:r>
          </w:p>
        </w:tc>
        <w:tc>
          <w:tcPr>
            <w:tcW w:w="2006" w:type="dxa"/>
            <w:tcBorders>
              <w:top w:val="nil"/>
              <w:left w:val="nil"/>
              <w:bottom w:val="single" w:sz="12" w:space="0" w:color="auto"/>
              <w:right w:val="single" w:sz="12" w:space="0" w:color="auto"/>
            </w:tcBorders>
            <w:shd w:val="clear" w:color="D9E1F2" w:fill="FFFFFF"/>
            <w:noWrap/>
            <w:vAlign w:val="center"/>
            <w:hideMark/>
          </w:tcPr>
          <w:p w14:paraId="2B7D28E5" w14:textId="77777777" w:rsidR="003344C4" w:rsidRPr="003344C4" w:rsidRDefault="003344C4" w:rsidP="00A26290">
            <w:pPr>
              <w:widowControl/>
              <w:overflowPunct/>
              <w:autoSpaceDE/>
              <w:autoSpaceDN/>
              <w:adjustRightInd/>
              <w:contextualSpacing w:val="0"/>
              <w:jc w:val="center"/>
              <w:rPr>
                <w:b/>
                <w:bCs/>
                <w:color w:val="000000"/>
                <w:kern w:val="0"/>
                <w:szCs w:val="24"/>
              </w:rPr>
            </w:pPr>
            <w:r w:rsidRPr="003344C4">
              <w:rPr>
                <w:b/>
                <w:bCs/>
                <w:color w:val="000000"/>
                <w:kern w:val="0"/>
                <w:szCs w:val="24"/>
              </w:rPr>
              <w:t>Number of Intact Seeds Dispersed</w:t>
            </w:r>
          </w:p>
        </w:tc>
        <w:tc>
          <w:tcPr>
            <w:tcW w:w="2659" w:type="dxa"/>
            <w:tcBorders>
              <w:top w:val="nil"/>
              <w:left w:val="nil"/>
              <w:bottom w:val="single" w:sz="12" w:space="0" w:color="auto"/>
              <w:right w:val="single" w:sz="12" w:space="0" w:color="auto"/>
            </w:tcBorders>
            <w:shd w:val="clear" w:color="D9E1F2" w:fill="FFFFFF"/>
            <w:noWrap/>
            <w:vAlign w:val="center"/>
            <w:hideMark/>
          </w:tcPr>
          <w:p w14:paraId="7B96A46B" w14:textId="77777777" w:rsidR="003344C4" w:rsidRPr="003344C4" w:rsidRDefault="003344C4" w:rsidP="00A26290">
            <w:pPr>
              <w:widowControl/>
              <w:overflowPunct/>
              <w:autoSpaceDE/>
              <w:autoSpaceDN/>
              <w:adjustRightInd/>
              <w:contextualSpacing w:val="0"/>
              <w:jc w:val="center"/>
              <w:rPr>
                <w:b/>
                <w:bCs/>
                <w:color w:val="000000"/>
                <w:kern w:val="0"/>
                <w:szCs w:val="24"/>
              </w:rPr>
            </w:pPr>
            <w:r w:rsidRPr="003344C4">
              <w:rPr>
                <w:b/>
                <w:bCs/>
                <w:color w:val="000000"/>
                <w:kern w:val="0"/>
                <w:szCs w:val="24"/>
              </w:rPr>
              <w:t>Percent of all Intact Seeds Dispersed</w:t>
            </w:r>
          </w:p>
        </w:tc>
      </w:tr>
      <w:tr w:rsidR="004219A7" w:rsidRPr="003344C4" w14:paraId="70F9D208" w14:textId="77777777" w:rsidTr="00A26290">
        <w:trPr>
          <w:trHeight w:val="318"/>
        </w:trPr>
        <w:tc>
          <w:tcPr>
            <w:tcW w:w="2834" w:type="dxa"/>
            <w:tcBorders>
              <w:top w:val="nil"/>
              <w:left w:val="single" w:sz="12" w:space="0" w:color="auto"/>
              <w:bottom w:val="single" w:sz="8" w:space="0" w:color="auto"/>
              <w:right w:val="single" w:sz="12" w:space="0" w:color="auto"/>
            </w:tcBorders>
            <w:shd w:val="clear" w:color="000000" w:fill="D9D9D9"/>
            <w:noWrap/>
            <w:vAlign w:val="center"/>
            <w:hideMark/>
          </w:tcPr>
          <w:p w14:paraId="5CA95D8D" w14:textId="77777777" w:rsidR="003344C4" w:rsidRPr="003344C4" w:rsidRDefault="003344C4" w:rsidP="00A26290">
            <w:pPr>
              <w:widowControl/>
              <w:overflowPunct/>
              <w:autoSpaceDE/>
              <w:autoSpaceDN/>
              <w:adjustRightInd/>
              <w:contextualSpacing w:val="0"/>
              <w:jc w:val="center"/>
              <w:rPr>
                <w:b/>
                <w:bCs/>
                <w:color w:val="000000"/>
                <w:kern w:val="0"/>
                <w:szCs w:val="24"/>
              </w:rPr>
            </w:pPr>
            <w:r w:rsidRPr="003344C4">
              <w:rPr>
                <w:b/>
                <w:bCs/>
                <w:color w:val="000000"/>
                <w:kern w:val="0"/>
                <w:szCs w:val="24"/>
              </w:rPr>
              <w:t>Anemochory</w:t>
            </w:r>
          </w:p>
        </w:tc>
        <w:tc>
          <w:tcPr>
            <w:tcW w:w="2191" w:type="dxa"/>
            <w:tcBorders>
              <w:top w:val="nil"/>
              <w:left w:val="nil"/>
              <w:bottom w:val="single" w:sz="8" w:space="0" w:color="auto"/>
              <w:right w:val="single" w:sz="12" w:space="0" w:color="auto"/>
            </w:tcBorders>
            <w:shd w:val="clear" w:color="000000" w:fill="D9D9D9"/>
            <w:noWrap/>
            <w:vAlign w:val="center"/>
            <w:hideMark/>
          </w:tcPr>
          <w:p w14:paraId="6876C316"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w:t>
            </w:r>
          </w:p>
        </w:tc>
        <w:tc>
          <w:tcPr>
            <w:tcW w:w="1620" w:type="dxa"/>
            <w:tcBorders>
              <w:top w:val="nil"/>
              <w:left w:val="nil"/>
              <w:bottom w:val="single" w:sz="8" w:space="0" w:color="auto"/>
              <w:right w:val="single" w:sz="12" w:space="0" w:color="auto"/>
            </w:tcBorders>
            <w:shd w:val="clear" w:color="000000" w:fill="D9D9D9"/>
            <w:noWrap/>
            <w:vAlign w:val="center"/>
            <w:hideMark/>
          </w:tcPr>
          <w:p w14:paraId="2F270D2B" w14:textId="77777777" w:rsidR="003344C4" w:rsidRPr="003344C4" w:rsidRDefault="003344C4" w:rsidP="00A26290">
            <w:pPr>
              <w:widowControl/>
              <w:overflowPunct/>
              <w:autoSpaceDE/>
              <w:autoSpaceDN/>
              <w:adjustRightInd/>
              <w:contextualSpacing w:val="0"/>
              <w:jc w:val="center"/>
              <w:rPr>
                <w:b/>
                <w:bCs/>
                <w:color w:val="000000"/>
                <w:kern w:val="0"/>
                <w:szCs w:val="24"/>
              </w:rPr>
            </w:pPr>
            <w:r w:rsidRPr="003344C4">
              <w:rPr>
                <w:b/>
                <w:bCs/>
                <w:color w:val="000000"/>
                <w:kern w:val="0"/>
                <w:szCs w:val="24"/>
              </w:rPr>
              <w:t>4</w:t>
            </w:r>
          </w:p>
        </w:tc>
        <w:tc>
          <w:tcPr>
            <w:tcW w:w="1620" w:type="dxa"/>
            <w:tcBorders>
              <w:top w:val="nil"/>
              <w:left w:val="nil"/>
              <w:bottom w:val="single" w:sz="8" w:space="0" w:color="auto"/>
              <w:right w:val="single" w:sz="12" w:space="0" w:color="auto"/>
            </w:tcBorders>
            <w:shd w:val="clear" w:color="000000" w:fill="D9D9D9"/>
            <w:noWrap/>
            <w:vAlign w:val="center"/>
            <w:hideMark/>
          </w:tcPr>
          <w:p w14:paraId="0830ECDD" w14:textId="77777777" w:rsidR="003344C4" w:rsidRPr="003344C4" w:rsidRDefault="003344C4" w:rsidP="00A26290">
            <w:pPr>
              <w:widowControl/>
              <w:overflowPunct/>
              <w:autoSpaceDE/>
              <w:autoSpaceDN/>
              <w:adjustRightInd/>
              <w:contextualSpacing w:val="0"/>
              <w:jc w:val="center"/>
              <w:rPr>
                <w:b/>
                <w:bCs/>
                <w:color w:val="000000"/>
                <w:kern w:val="0"/>
                <w:szCs w:val="24"/>
              </w:rPr>
            </w:pPr>
            <w:r w:rsidRPr="003344C4">
              <w:rPr>
                <w:b/>
                <w:bCs/>
                <w:color w:val="000000"/>
                <w:kern w:val="0"/>
                <w:szCs w:val="24"/>
              </w:rPr>
              <w:t>1.93%</w:t>
            </w:r>
          </w:p>
        </w:tc>
        <w:tc>
          <w:tcPr>
            <w:tcW w:w="2006" w:type="dxa"/>
            <w:tcBorders>
              <w:top w:val="nil"/>
              <w:left w:val="nil"/>
              <w:bottom w:val="single" w:sz="8" w:space="0" w:color="auto"/>
              <w:right w:val="single" w:sz="12" w:space="0" w:color="auto"/>
            </w:tcBorders>
            <w:shd w:val="clear" w:color="000000" w:fill="D9D9D9"/>
            <w:noWrap/>
            <w:vAlign w:val="center"/>
            <w:hideMark/>
          </w:tcPr>
          <w:p w14:paraId="57FB7D47" w14:textId="77777777" w:rsidR="003344C4" w:rsidRPr="003344C4" w:rsidRDefault="003344C4" w:rsidP="00A26290">
            <w:pPr>
              <w:widowControl/>
              <w:overflowPunct/>
              <w:autoSpaceDE/>
              <w:autoSpaceDN/>
              <w:adjustRightInd/>
              <w:contextualSpacing w:val="0"/>
              <w:jc w:val="center"/>
              <w:rPr>
                <w:b/>
                <w:bCs/>
                <w:color w:val="000000"/>
                <w:kern w:val="0"/>
                <w:szCs w:val="24"/>
              </w:rPr>
            </w:pPr>
            <w:r w:rsidRPr="003344C4">
              <w:rPr>
                <w:b/>
                <w:bCs/>
                <w:color w:val="000000"/>
                <w:kern w:val="0"/>
                <w:szCs w:val="24"/>
              </w:rPr>
              <w:t>33</w:t>
            </w:r>
          </w:p>
        </w:tc>
        <w:tc>
          <w:tcPr>
            <w:tcW w:w="2659" w:type="dxa"/>
            <w:tcBorders>
              <w:top w:val="nil"/>
              <w:left w:val="nil"/>
              <w:bottom w:val="single" w:sz="8" w:space="0" w:color="auto"/>
              <w:right w:val="single" w:sz="12" w:space="0" w:color="auto"/>
            </w:tcBorders>
            <w:shd w:val="clear" w:color="000000" w:fill="D9D9D9"/>
            <w:noWrap/>
            <w:vAlign w:val="center"/>
            <w:hideMark/>
          </w:tcPr>
          <w:p w14:paraId="6601DFF6" w14:textId="77777777" w:rsidR="003344C4" w:rsidRPr="003344C4" w:rsidRDefault="003344C4" w:rsidP="00A26290">
            <w:pPr>
              <w:widowControl/>
              <w:overflowPunct/>
              <w:autoSpaceDE/>
              <w:autoSpaceDN/>
              <w:adjustRightInd/>
              <w:contextualSpacing w:val="0"/>
              <w:jc w:val="center"/>
              <w:rPr>
                <w:b/>
                <w:bCs/>
                <w:color w:val="000000"/>
                <w:kern w:val="0"/>
                <w:szCs w:val="24"/>
              </w:rPr>
            </w:pPr>
            <w:r w:rsidRPr="003344C4">
              <w:rPr>
                <w:b/>
                <w:bCs/>
                <w:color w:val="000000"/>
                <w:kern w:val="0"/>
                <w:szCs w:val="24"/>
              </w:rPr>
              <w:t>0.24%</w:t>
            </w:r>
          </w:p>
        </w:tc>
      </w:tr>
      <w:tr w:rsidR="004219A7" w:rsidRPr="003344C4" w14:paraId="03DB9C4E" w14:textId="77777777" w:rsidTr="00A26290">
        <w:trPr>
          <w:trHeight w:val="306"/>
        </w:trPr>
        <w:tc>
          <w:tcPr>
            <w:tcW w:w="2834" w:type="dxa"/>
            <w:tcBorders>
              <w:top w:val="nil"/>
              <w:left w:val="single" w:sz="12" w:space="0" w:color="auto"/>
              <w:bottom w:val="nil"/>
              <w:right w:val="single" w:sz="12" w:space="0" w:color="auto"/>
            </w:tcBorders>
            <w:shd w:val="clear" w:color="000000" w:fill="FFFFFF"/>
            <w:noWrap/>
            <w:vAlign w:val="center"/>
            <w:hideMark/>
          </w:tcPr>
          <w:p w14:paraId="3AFB6BCD"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r w:rsidRPr="003344C4">
              <w:rPr>
                <w:i/>
                <w:iCs/>
                <w:color w:val="000000"/>
                <w:kern w:val="0"/>
                <w:szCs w:val="24"/>
              </w:rPr>
              <w:t xml:space="preserve">Andropogon </w:t>
            </w:r>
            <w:proofErr w:type="spellStart"/>
            <w:r w:rsidRPr="003344C4">
              <w:rPr>
                <w:i/>
                <w:iCs/>
                <w:color w:val="000000"/>
                <w:kern w:val="0"/>
                <w:szCs w:val="24"/>
              </w:rPr>
              <w:t>glomeratus</w:t>
            </w:r>
            <w:proofErr w:type="spellEnd"/>
          </w:p>
        </w:tc>
        <w:tc>
          <w:tcPr>
            <w:tcW w:w="2191" w:type="dxa"/>
            <w:tcBorders>
              <w:top w:val="nil"/>
              <w:left w:val="nil"/>
              <w:bottom w:val="nil"/>
              <w:right w:val="single" w:sz="12" w:space="0" w:color="auto"/>
            </w:tcBorders>
            <w:shd w:val="clear" w:color="000000" w:fill="FFFFFF"/>
            <w:noWrap/>
            <w:vAlign w:val="center"/>
            <w:hideMark/>
          </w:tcPr>
          <w:p w14:paraId="5A636AB7"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proofErr w:type="spellStart"/>
            <w:r w:rsidRPr="003344C4">
              <w:rPr>
                <w:color w:val="000000"/>
                <w:kern w:val="0"/>
                <w:szCs w:val="24"/>
              </w:rPr>
              <w:t>Poaceae</w:t>
            </w:r>
            <w:proofErr w:type="spellEnd"/>
          </w:p>
        </w:tc>
        <w:tc>
          <w:tcPr>
            <w:tcW w:w="1620" w:type="dxa"/>
            <w:tcBorders>
              <w:top w:val="nil"/>
              <w:left w:val="nil"/>
              <w:bottom w:val="nil"/>
              <w:right w:val="single" w:sz="12" w:space="0" w:color="auto"/>
            </w:tcBorders>
            <w:shd w:val="clear" w:color="000000" w:fill="FFFFFF"/>
            <w:noWrap/>
            <w:vAlign w:val="center"/>
            <w:hideMark/>
          </w:tcPr>
          <w:p w14:paraId="3301E71E"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2</w:t>
            </w:r>
          </w:p>
        </w:tc>
        <w:tc>
          <w:tcPr>
            <w:tcW w:w="1620" w:type="dxa"/>
            <w:tcBorders>
              <w:top w:val="nil"/>
              <w:left w:val="nil"/>
              <w:bottom w:val="nil"/>
              <w:right w:val="single" w:sz="12" w:space="0" w:color="auto"/>
            </w:tcBorders>
            <w:shd w:val="clear" w:color="000000" w:fill="FFFFFF"/>
            <w:noWrap/>
            <w:vAlign w:val="center"/>
            <w:hideMark/>
          </w:tcPr>
          <w:p w14:paraId="6B0C2E4E"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0.97%</w:t>
            </w:r>
          </w:p>
        </w:tc>
        <w:tc>
          <w:tcPr>
            <w:tcW w:w="2006" w:type="dxa"/>
            <w:tcBorders>
              <w:top w:val="nil"/>
              <w:left w:val="nil"/>
              <w:bottom w:val="nil"/>
              <w:right w:val="single" w:sz="12" w:space="0" w:color="auto"/>
            </w:tcBorders>
            <w:shd w:val="clear" w:color="000000" w:fill="FFFFFF"/>
            <w:noWrap/>
            <w:vAlign w:val="center"/>
            <w:hideMark/>
          </w:tcPr>
          <w:p w14:paraId="4D596052"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2</w:t>
            </w:r>
          </w:p>
        </w:tc>
        <w:tc>
          <w:tcPr>
            <w:tcW w:w="2659" w:type="dxa"/>
            <w:tcBorders>
              <w:top w:val="nil"/>
              <w:left w:val="nil"/>
              <w:bottom w:val="nil"/>
              <w:right w:val="single" w:sz="12" w:space="0" w:color="auto"/>
            </w:tcBorders>
            <w:shd w:val="clear" w:color="000000" w:fill="FFFFFF"/>
            <w:noWrap/>
            <w:vAlign w:val="center"/>
            <w:hideMark/>
          </w:tcPr>
          <w:p w14:paraId="78D0F889"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0.01%</w:t>
            </w:r>
          </w:p>
        </w:tc>
      </w:tr>
      <w:tr w:rsidR="004219A7" w:rsidRPr="003344C4" w14:paraId="66FB8AE8" w14:textId="77777777" w:rsidTr="00A26290">
        <w:trPr>
          <w:trHeight w:val="306"/>
        </w:trPr>
        <w:tc>
          <w:tcPr>
            <w:tcW w:w="2834" w:type="dxa"/>
            <w:tcBorders>
              <w:top w:val="nil"/>
              <w:left w:val="single" w:sz="12" w:space="0" w:color="auto"/>
              <w:bottom w:val="nil"/>
              <w:right w:val="single" w:sz="12" w:space="0" w:color="auto"/>
            </w:tcBorders>
            <w:shd w:val="clear" w:color="000000" w:fill="FFFFFF"/>
            <w:noWrap/>
            <w:vAlign w:val="center"/>
            <w:hideMark/>
          </w:tcPr>
          <w:p w14:paraId="1B080B9E"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r w:rsidRPr="003344C4">
              <w:rPr>
                <w:i/>
                <w:iCs/>
                <w:color w:val="000000"/>
                <w:kern w:val="0"/>
                <w:szCs w:val="24"/>
              </w:rPr>
              <w:t xml:space="preserve">Casuarina </w:t>
            </w:r>
            <w:proofErr w:type="spellStart"/>
            <w:r w:rsidRPr="003344C4">
              <w:rPr>
                <w:i/>
                <w:iCs/>
                <w:color w:val="000000"/>
                <w:kern w:val="0"/>
                <w:szCs w:val="24"/>
              </w:rPr>
              <w:t>equesitifolia</w:t>
            </w:r>
            <w:proofErr w:type="spellEnd"/>
          </w:p>
        </w:tc>
        <w:tc>
          <w:tcPr>
            <w:tcW w:w="2191" w:type="dxa"/>
            <w:tcBorders>
              <w:top w:val="nil"/>
              <w:left w:val="nil"/>
              <w:bottom w:val="nil"/>
              <w:right w:val="single" w:sz="12" w:space="0" w:color="auto"/>
            </w:tcBorders>
            <w:shd w:val="clear" w:color="000000" w:fill="FFFFFF"/>
            <w:noWrap/>
            <w:vAlign w:val="center"/>
            <w:hideMark/>
          </w:tcPr>
          <w:p w14:paraId="1EB2777B"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proofErr w:type="spellStart"/>
            <w:r w:rsidRPr="003344C4">
              <w:rPr>
                <w:color w:val="000000"/>
                <w:kern w:val="0"/>
                <w:szCs w:val="24"/>
              </w:rPr>
              <w:t>Casuarinaceae</w:t>
            </w:r>
            <w:proofErr w:type="spellEnd"/>
          </w:p>
        </w:tc>
        <w:tc>
          <w:tcPr>
            <w:tcW w:w="1620" w:type="dxa"/>
            <w:tcBorders>
              <w:top w:val="nil"/>
              <w:left w:val="nil"/>
              <w:bottom w:val="nil"/>
              <w:right w:val="single" w:sz="12" w:space="0" w:color="auto"/>
            </w:tcBorders>
            <w:shd w:val="clear" w:color="000000" w:fill="FFFFFF"/>
            <w:noWrap/>
            <w:vAlign w:val="center"/>
            <w:hideMark/>
          </w:tcPr>
          <w:p w14:paraId="3F9E5D4F"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1</w:t>
            </w:r>
          </w:p>
        </w:tc>
        <w:tc>
          <w:tcPr>
            <w:tcW w:w="1620" w:type="dxa"/>
            <w:tcBorders>
              <w:top w:val="nil"/>
              <w:left w:val="nil"/>
              <w:bottom w:val="nil"/>
              <w:right w:val="single" w:sz="12" w:space="0" w:color="auto"/>
            </w:tcBorders>
            <w:shd w:val="clear" w:color="000000" w:fill="FFFFFF"/>
            <w:noWrap/>
            <w:vAlign w:val="center"/>
            <w:hideMark/>
          </w:tcPr>
          <w:p w14:paraId="396E7F4F"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0.48%</w:t>
            </w:r>
          </w:p>
        </w:tc>
        <w:tc>
          <w:tcPr>
            <w:tcW w:w="2006" w:type="dxa"/>
            <w:tcBorders>
              <w:top w:val="nil"/>
              <w:left w:val="nil"/>
              <w:bottom w:val="nil"/>
              <w:right w:val="single" w:sz="12" w:space="0" w:color="auto"/>
            </w:tcBorders>
            <w:shd w:val="clear" w:color="000000" w:fill="FFFFFF"/>
            <w:noWrap/>
            <w:vAlign w:val="center"/>
            <w:hideMark/>
          </w:tcPr>
          <w:p w14:paraId="5F16CAD8"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30</w:t>
            </w:r>
          </w:p>
        </w:tc>
        <w:tc>
          <w:tcPr>
            <w:tcW w:w="2659" w:type="dxa"/>
            <w:tcBorders>
              <w:top w:val="nil"/>
              <w:left w:val="nil"/>
              <w:bottom w:val="nil"/>
              <w:right w:val="single" w:sz="12" w:space="0" w:color="auto"/>
            </w:tcBorders>
            <w:shd w:val="clear" w:color="000000" w:fill="FFFFFF"/>
            <w:noWrap/>
            <w:vAlign w:val="center"/>
            <w:hideMark/>
          </w:tcPr>
          <w:p w14:paraId="0870B5CF"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0.22%</w:t>
            </w:r>
          </w:p>
        </w:tc>
      </w:tr>
      <w:tr w:rsidR="004219A7" w:rsidRPr="003344C4" w14:paraId="62B2E7E9" w14:textId="77777777" w:rsidTr="00A26290">
        <w:trPr>
          <w:trHeight w:val="312"/>
        </w:trPr>
        <w:tc>
          <w:tcPr>
            <w:tcW w:w="2834" w:type="dxa"/>
            <w:tcBorders>
              <w:top w:val="nil"/>
              <w:left w:val="single" w:sz="12" w:space="0" w:color="auto"/>
              <w:bottom w:val="nil"/>
              <w:right w:val="single" w:sz="12" w:space="0" w:color="auto"/>
            </w:tcBorders>
            <w:shd w:val="clear" w:color="000000" w:fill="FFFFFF"/>
            <w:noWrap/>
            <w:vAlign w:val="center"/>
            <w:hideMark/>
          </w:tcPr>
          <w:p w14:paraId="5B0CD5C6"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proofErr w:type="spellStart"/>
            <w:r w:rsidRPr="003344C4">
              <w:rPr>
                <w:i/>
                <w:iCs/>
                <w:color w:val="000000"/>
                <w:kern w:val="0"/>
                <w:szCs w:val="24"/>
              </w:rPr>
              <w:t>Schizachyrium</w:t>
            </w:r>
            <w:proofErr w:type="spellEnd"/>
            <w:r w:rsidRPr="003344C4">
              <w:rPr>
                <w:i/>
                <w:iCs/>
                <w:color w:val="000000"/>
                <w:kern w:val="0"/>
                <w:szCs w:val="24"/>
              </w:rPr>
              <w:t xml:space="preserve"> gracile</w:t>
            </w:r>
          </w:p>
        </w:tc>
        <w:tc>
          <w:tcPr>
            <w:tcW w:w="2191" w:type="dxa"/>
            <w:tcBorders>
              <w:top w:val="nil"/>
              <w:left w:val="nil"/>
              <w:bottom w:val="nil"/>
              <w:right w:val="single" w:sz="12" w:space="0" w:color="auto"/>
            </w:tcBorders>
            <w:shd w:val="clear" w:color="000000" w:fill="FFFFFF"/>
            <w:noWrap/>
            <w:vAlign w:val="center"/>
            <w:hideMark/>
          </w:tcPr>
          <w:p w14:paraId="1671F190"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proofErr w:type="spellStart"/>
            <w:r w:rsidRPr="003344C4">
              <w:rPr>
                <w:color w:val="000000"/>
                <w:kern w:val="0"/>
                <w:szCs w:val="24"/>
              </w:rPr>
              <w:t>Poaceae</w:t>
            </w:r>
            <w:proofErr w:type="spellEnd"/>
          </w:p>
        </w:tc>
        <w:tc>
          <w:tcPr>
            <w:tcW w:w="1620" w:type="dxa"/>
            <w:tcBorders>
              <w:top w:val="nil"/>
              <w:left w:val="nil"/>
              <w:bottom w:val="nil"/>
              <w:right w:val="single" w:sz="12" w:space="0" w:color="auto"/>
            </w:tcBorders>
            <w:shd w:val="clear" w:color="000000" w:fill="FFFFFF"/>
            <w:noWrap/>
            <w:vAlign w:val="center"/>
            <w:hideMark/>
          </w:tcPr>
          <w:p w14:paraId="2C4CD29E"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1</w:t>
            </w:r>
          </w:p>
        </w:tc>
        <w:tc>
          <w:tcPr>
            <w:tcW w:w="1620" w:type="dxa"/>
            <w:tcBorders>
              <w:top w:val="nil"/>
              <w:left w:val="nil"/>
              <w:bottom w:val="nil"/>
              <w:right w:val="single" w:sz="12" w:space="0" w:color="auto"/>
            </w:tcBorders>
            <w:shd w:val="clear" w:color="000000" w:fill="FFFFFF"/>
            <w:noWrap/>
            <w:vAlign w:val="center"/>
            <w:hideMark/>
          </w:tcPr>
          <w:p w14:paraId="1A38BECF"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0.48%</w:t>
            </w:r>
          </w:p>
        </w:tc>
        <w:tc>
          <w:tcPr>
            <w:tcW w:w="2006" w:type="dxa"/>
            <w:tcBorders>
              <w:top w:val="nil"/>
              <w:left w:val="nil"/>
              <w:bottom w:val="nil"/>
              <w:right w:val="single" w:sz="12" w:space="0" w:color="auto"/>
            </w:tcBorders>
            <w:shd w:val="clear" w:color="000000" w:fill="FFFFFF"/>
            <w:noWrap/>
            <w:vAlign w:val="center"/>
            <w:hideMark/>
          </w:tcPr>
          <w:p w14:paraId="0DFCC2A6"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1</w:t>
            </w:r>
          </w:p>
        </w:tc>
        <w:tc>
          <w:tcPr>
            <w:tcW w:w="2659" w:type="dxa"/>
            <w:tcBorders>
              <w:top w:val="nil"/>
              <w:left w:val="nil"/>
              <w:bottom w:val="nil"/>
              <w:right w:val="single" w:sz="12" w:space="0" w:color="auto"/>
            </w:tcBorders>
            <w:shd w:val="clear" w:color="000000" w:fill="FFFFFF"/>
            <w:noWrap/>
            <w:vAlign w:val="center"/>
            <w:hideMark/>
          </w:tcPr>
          <w:p w14:paraId="34C41DAB"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0.01%</w:t>
            </w:r>
          </w:p>
        </w:tc>
      </w:tr>
      <w:tr w:rsidR="004219A7" w:rsidRPr="003344C4" w14:paraId="2A013671" w14:textId="77777777" w:rsidTr="00A26290">
        <w:trPr>
          <w:trHeight w:val="312"/>
        </w:trPr>
        <w:tc>
          <w:tcPr>
            <w:tcW w:w="2834" w:type="dxa"/>
            <w:tcBorders>
              <w:top w:val="single" w:sz="8" w:space="0" w:color="auto"/>
              <w:left w:val="single" w:sz="12" w:space="0" w:color="auto"/>
              <w:bottom w:val="single" w:sz="8" w:space="0" w:color="auto"/>
              <w:right w:val="single" w:sz="12" w:space="0" w:color="auto"/>
            </w:tcBorders>
            <w:shd w:val="clear" w:color="000000" w:fill="D9D9D9"/>
            <w:noWrap/>
            <w:vAlign w:val="center"/>
            <w:hideMark/>
          </w:tcPr>
          <w:p w14:paraId="0477B7BB" w14:textId="77777777" w:rsidR="003344C4" w:rsidRPr="003344C4" w:rsidRDefault="003344C4" w:rsidP="00A26290">
            <w:pPr>
              <w:widowControl/>
              <w:overflowPunct/>
              <w:autoSpaceDE/>
              <w:autoSpaceDN/>
              <w:adjustRightInd/>
              <w:contextualSpacing w:val="0"/>
              <w:jc w:val="center"/>
              <w:rPr>
                <w:b/>
                <w:bCs/>
                <w:color w:val="000000"/>
                <w:kern w:val="0"/>
                <w:szCs w:val="24"/>
              </w:rPr>
            </w:pPr>
            <w:r w:rsidRPr="003344C4">
              <w:rPr>
                <w:b/>
                <w:bCs/>
                <w:color w:val="000000"/>
                <w:kern w:val="0"/>
                <w:szCs w:val="24"/>
              </w:rPr>
              <w:t>Autochory</w:t>
            </w:r>
          </w:p>
        </w:tc>
        <w:tc>
          <w:tcPr>
            <w:tcW w:w="2191" w:type="dxa"/>
            <w:tcBorders>
              <w:top w:val="single" w:sz="8" w:space="0" w:color="auto"/>
              <w:left w:val="nil"/>
              <w:bottom w:val="single" w:sz="8" w:space="0" w:color="auto"/>
              <w:right w:val="single" w:sz="12" w:space="0" w:color="auto"/>
            </w:tcBorders>
            <w:shd w:val="clear" w:color="000000" w:fill="D9D9D9"/>
            <w:noWrap/>
            <w:vAlign w:val="center"/>
            <w:hideMark/>
          </w:tcPr>
          <w:p w14:paraId="7FD02B7D"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w:t>
            </w:r>
          </w:p>
        </w:tc>
        <w:tc>
          <w:tcPr>
            <w:tcW w:w="1620" w:type="dxa"/>
            <w:tcBorders>
              <w:top w:val="single" w:sz="8" w:space="0" w:color="auto"/>
              <w:left w:val="nil"/>
              <w:bottom w:val="single" w:sz="8" w:space="0" w:color="auto"/>
              <w:right w:val="single" w:sz="12" w:space="0" w:color="auto"/>
            </w:tcBorders>
            <w:shd w:val="clear" w:color="000000" w:fill="D9D9D9"/>
            <w:noWrap/>
            <w:vAlign w:val="center"/>
            <w:hideMark/>
          </w:tcPr>
          <w:p w14:paraId="70216134" w14:textId="77777777" w:rsidR="003344C4" w:rsidRPr="003344C4" w:rsidRDefault="003344C4" w:rsidP="00A26290">
            <w:pPr>
              <w:widowControl/>
              <w:overflowPunct/>
              <w:autoSpaceDE/>
              <w:autoSpaceDN/>
              <w:adjustRightInd/>
              <w:contextualSpacing w:val="0"/>
              <w:jc w:val="center"/>
              <w:rPr>
                <w:b/>
                <w:bCs/>
                <w:color w:val="000000"/>
                <w:kern w:val="0"/>
                <w:szCs w:val="24"/>
              </w:rPr>
            </w:pPr>
            <w:r w:rsidRPr="003344C4">
              <w:rPr>
                <w:b/>
                <w:bCs/>
                <w:color w:val="000000"/>
                <w:kern w:val="0"/>
                <w:szCs w:val="24"/>
              </w:rPr>
              <w:t>159</w:t>
            </w:r>
          </w:p>
        </w:tc>
        <w:tc>
          <w:tcPr>
            <w:tcW w:w="1620" w:type="dxa"/>
            <w:tcBorders>
              <w:top w:val="single" w:sz="8" w:space="0" w:color="auto"/>
              <w:left w:val="nil"/>
              <w:bottom w:val="single" w:sz="8" w:space="0" w:color="auto"/>
              <w:right w:val="single" w:sz="12" w:space="0" w:color="auto"/>
            </w:tcBorders>
            <w:shd w:val="clear" w:color="000000" w:fill="D9D9D9"/>
            <w:noWrap/>
            <w:vAlign w:val="center"/>
            <w:hideMark/>
          </w:tcPr>
          <w:p w14:paraId="4B9AFF67" w14:textId="77777777" w:rsidR="003344C4" w:rsidRPr="003344C4" w:rsidRDefault="003344C4" w:rsidP="00A26290">
            <w:pPr>
              <w:widowControl/>
              <w:overflowPunct/>
              <w:autoSpaceDE/>
              <w:autoSpaceDN/>
              <w:adjustRightInd/>
              <w:contextualSpacing w:val="0"/>
              <w:jc w:val="center"/>
              <w:rPr>
                <w:b/>
                <w:bCs/>
                <w:color w:val="000000"/>
                <w:kern w:val="0"/>
                <w:szCs w:val="24"/>
              </w:rPr>
            </w:pPr>
            <w:r w:rsidRPr="003344C4">
              <w:rPr>
                <w:b/>
                <w:bCs/>
                <w:color w:val="000000"/>
                <w:kern w:val="0"/>
                <w:szCs w:val="24"/>
              </w:rPr>
              <w:t>76.81%</w:t>
            </w:r>
          </w:p>
        </w:tc>
        <w:tc>
          <w:tcPr>
            <w:tcW w:w="2006" w:type="dxa"/>
            <w:tcBorders>
              <w:top w:val="single" w:sz="8" w:space="0" w:color="auto"/>
              <w:left w:val="nil"/>
              <w:bottom w:val="single" w:sz="8" w:space="0" w:color="auto"/>
              <w:right w:val="single" w:sz="12" w:space="0" w:color="auto"/>
            </w:tcBorders>
            <w:shd w:val="clear" w:color="000000" w:fill="D9D9D9"/>
            <w:noWrap/>
            <w:vAlign w:val="center"/>
            <w:hideMark/>
          </w:tcPr>
          <w:p w14:paraId="1444E178" w14:textId="77777777" w:rsidR="003344C4" w:rsidRPr="003344C4" w:rsidRDefault="003344C4" w:rsidP="00A26290">
            <w:pPr>
              <w:widowControl/>
              <w:overflowPunct/>
              <w:autoSpaceDE/>
              <w:autoSpaceDN/>
              <w:adjustRightInd/>
              <w:contextualSpacing w:val="0"/>
              <w:jc w:val="center"/>
              <w:rPr>
                <w:b/>
                <w:bCs/>
                <w:color w:val="000000"/>
                <w:kern w:val="0"/>
                <w:szCs w:val="24"/>
              </w:rPr>
            </w:pPr>
            <w:r w:rsidRPr="003344C4">
              <w:rPr>
                <w:b/>
                <w:bCs/>
                <w:color w:val="000000"/>
                <w:kern w:val="0"/>
                <w:szCs w:val="24"/>
              </w:rPr>
              <w:t>6267</w:t>
            </w:r>
          </w:p>
        </w:tc>
        <w:tc>
          <w:tcPr>
            <w:tcW w:w="2659" w:type="dxa"/>
            <w:tcBorders>
              <w:top w:val="single" w:sz="8" w:space="0" w:color="auto"/>
              <w:left w:val="nil"/>
              <w:bottom w:val="single" w:sz="8" w:space="0" w:color="auto"/>
              <w:right w:val="single" w:sz="12" w:space="0" w:color="auto"/>
            </w:tcBorders>
            <w:shd w:val="clear" w:color="000000" w:fill="D9D9D9"/>
            <w:noWrap/>
            <w:vAlign w:val="center"/>
            <w:hideMark/>
          </w:tcPr>
          <w:p w14:paraId="318A8446" w14:textId="77777777" w:rsidR="003344C4" w:rsidRPr="003344C4" w:rsidRDefault="003344C4" w:rsidP="00A26290">
            <w:pPr>
              <w:widowControl/>
              <w:overflowPunct/>
              <w:autoSpaceDE/>
              <w:autoSpaceDN/>
              <w:adjustRightInd/>
              <w:contextualSpacing w:val="0"/>
              <w:jc w:val="center"/>
              <w:rPr>
                <w:b/>
                <w:bCs/>
                <w:color w:val="000000"/>
                <w:kern w:val="0"/>
                <w:szCs w:val="24"/>
              </w:rPr>
            </w:pPr>
            <w:r w:rsidRPr="003344C4">
              <w:rPr>
                <w:b/>
                <w:bCs/>
                <w:color w:val="000000"/>
                <w:kern w:val="0"/>
                <w:szCs w:val="24"/>
              </w:rPr>
              <w:t>46.13%</w:t>
            </w:r>
          </w:p>
        </w:tc>
      </w:tr>
      <w:tr w:rsidR="004219A7" w:rsidRPr="003344C4" w14:paraId="5EBFDC71" w14:textId="77777777" w:rsidTr="00A26290">
        <w:trPr>
          <w:trHeight w:val="306"/>
        </w:trPr>
        <w:tc>
          <w:tcPr>
            <w:tcW w:w="2834" w:type="dxa"/>
            <w:tcBorders>
              <w:top w:val="nil"/>
              <w:left w:val="single" w:sz="12" w:space="0" w:color="auto"/>
              <w:bottom w:val="nil"/>
              <w:right w:val="single" w:sz="12" w:space="0" w:color="auto"/>
            </w:tcBorders>
            <w:shd w:val="clear" w:color="000000" w:fill="FFFFFF"/>
            <w:noWrap/>
            <w:vAlign w:val="center"/>
            <w:hideMark/>
          </w:tcPr>
          <w:p w14:paraId="0B924BB2"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proofErr w:type="spellStart"/>
            <w:r w:rsidRPr="003344C4">
              <w:rPr>
                <w:i/>
                <w:iCs/>
                <w:color w:val="000000"/>
                <w:kern w:val="0"/>
                <w:szCs w:val="24"/>
              </w:rPr>
              <w:t>Buchnera</w:t>
            </w:r>
            <w:proofErr w:type="spellEnd"/>
            <w:r w:rsidRPr="003344C4">
              <w:rPr>
                <w:i/>
                <w:iCs/>
                <w:color w:val="000000"/>
                <w:kern w:val="0"/>
                <w:szCs w:val="24"/>
              </w:rPr>
              <w:t xml:space="preserve"> americana</w:t>
            </w:r>
          </w:p>
        </w:tc>
        <w:tc>
          <w:tcPr>
            <w:tcW w:w="2191" w:type="dxa"/>
            <w:tcBorders>
              <w:top w:val="nil"/>
              <w:left w:val="nil"/>
              <w:bottom w:val="nil"/>
              <w:right w:val="single" w:sz="12" w:space="0" w:color="auto"/>
            </w:tcBorders>
            <w:shd w:val="clear" w:color="000000" w:fill="FFFFFF"/>
            <w:noWrap/>
            <w:vAlign w:val="center"/>
            <w:hideMark/>
          </w:tcPr>
          <w:p w14:paraId="066E9973"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r w:rsidRPr="003344C4">
              <w:rPr>
                <w:color w:val="000000"/>
                <w:kern w:val="0"/>
                <w:szCs w:val="24"/>
              </w:rPr>
              <w:t>Orobanchaceae</w:t>
            </w:r>
          </w:p>
        </w:tc>
        <w:tc>
          <w:tcPr>
            <w:tcW w:w="1620" w:type="dxa"/>
            <w:tcBorders>
              <w:top w:val="nil"/>
              <w:left w:val="nil"/>
              <w:bottom w:val="nil"/>
              <w:right w:val="single" w:sz="12" w:space="0" w:color="auto"/>
            </w:tcBorders>
            <w:shd w:val="clear" w:color="000000" w:fill="FFFFFF"/>
            <w:noWrap/>
            <w:vAlign w:val="center"/>
            <w:hideMark/>
          </w:tcPr>
          <w:p w14:paraId="5C018394"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1</w:t>
            </w:r>
          </w:p>
        </w:tc>
        <w:tc>
          <w:tcPr>
            <w:tcW w:w="1620" w:type="dxa"/>
            <w:tcBorders>
              <w:top w:val="nil"/>
              <w:left w:val="nil"/>
              <w:bottom w:val="nil"/>
              <w:right w:val="single" w:sz="12" w:space="0" w:color="auto"/>
            </w:tcBorders>
            <w:shd w:val="clear" w:color="000000" w:fill="FFFFFF"/>
            <w:noWrap/>
            <w:vAlign w:val="center"/>
            <w:hideMark/>
          </w:tcPr>
          <w:p w14:paraId="4121A473"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0.48%</w:t>
            </w:r>
          </w:p>
        </w:tc>
        <w:tc>
          <w:tcPr>
            <w:tcW w:w="2006" w:type="dxa"/>
            <w:tcBorders>
              <w:top w:val="nil"/>
              <w:left w:val="nil"/>
              <w:bottom w:val="nil"/>
              <w:right w:val="single" w:sz="12" w:space="0" w:color="auto"/>
            </w:tcBorders>
            <w:shd w:val="clear" w:color="000000" w:fill="FFFFFF"/>
            <w:noWrap/>
            <w:vAlign w:val="center"/>
            <w:hideMark/>
          </w:tcPr>
          <w:p w14:paraId="42AEA7E5"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1000</w:t>
            </w:r>
          </w:p>
        </w:tc>
        <w:tc>
          <w:tcPr>
            <w:tcW w:w="2659" w:type="dxa"/>
            <w:tcBorders>
              <w:top w:val="nil"/>
              <w:left w:val="nil"/>
              <w:bottom w:val="nil"/>
              <w:right w:val="single" w:sz="12" w:space="0" w:color="auto"/>
            </w:tcBorders>
            <w:shd w:val="clear" w:color="000000" w:fill="FFFFFF"/>
            <w:noWrap/>
            <w:vAlign w:val="center"/>
            <w:hideMark/>
          </w:tcPr>
          <w:p w14:paraId="416BC70C"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7.36%</w:t>
            </w:r>
          </w:p>
        </w:tc>
      </w:tr>
      <w:tr w:rsidR="004219A7" w:rsidRPr="003344C4" w14:paraId="6AC67A11" w14:textId="77777777" w:rsidTr="00A26290">
        <w:trPr>
          <w:trHeight w:val="306"/>
        </w:trPr>
        <w:tc>
          <w:tcPr>
            <w:tcW w:w="2834" w:type="dxa"/>
            <w:tcBorders>
              <w:top w:val="nil"/>
              <w:left w:val="single" w:sz="12" w:space="0" w:color="auto"/>
              <w:bottom w:val="nil"/>
              <w:right w:val="single" w:sz="12" w:space="0" w:color="auto"/>
            </w:tcBorders>
            <w:shd w:val="clear" w:color="000000" w:fill="FFFFFF"/>
            <w:noWrap/>
            <w:vAlign w:val="center"/>
            <w:hideMark/>
          </w:tcPr>
          <w:p w14:paraId="0178C707"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proofErr w:type="spellStart"/>
            <w:r w:rsidRPr="003344C4">
              <w:rPr>
                <w:i/>
                <w:iCs/>
                <w:color w:val="000000"/>
                <w:kern w:val="0"/>
                <w:szCs w:val="24"/>
              </w:rPr>
              <w:t>Chamaecrista</w:t>
            </w:r>
            <w:proofErr w:type="spellEnd"/>
            <w:r w:rsidRPr="003344C4">
              <w:rPr>
                <w:i/>
                <w:iCs/>
                <w:color w:val="000000"/>
                <w:kern w:val="0"/>
                <w:szCs w:val="24"/>
              </w:rPr>
              <w:t xml:space="preserve"> deeringiana</w:t>
            </w:r>
          </w:p>
        </w:tc>
        <w:tc>
          <w:tcPr>
            <w:tcW w:w="2191" w:type="dxa"/>
            <w:tcBorders>
              <w:top w:val="nil"/>
              <w:left w:val="nil"/>
              <w:bottom w:val="nil"/>
              <w:right w:val="single" w:sz="12" w:space="0" w:color="auto"/>
            </w:tcBorders>
            <w:shd w:val="clear" w:color="000000" w:fill="FFFFFF"/>
            <w:noWrap/>
            <w:vAlign w:val="center"/>
            <w:hideMark/>
          </w:tcPr>
          <w:p w14:paraId="11780135"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r w:rsidRPr="003344C4">
              <w:rPr>
                <w:color w:val="000000"/>
                <w:kern w:val="0"/>
                <w:szCs w:val="24"/>
              </w:rPr>
              <w:t>Fabaceae</w:t>
            </w:r>
          </w:p>
        </w:tc>
        <w:tc>
          <w:tcPr>
            <w:tcW w:w="1620" w:type="dxa"/>
            <w:tcBorders>
              <w:top w:val="nil"/>
              <w:left w:val="nil"/>
              <w:bottom w:val="nil"/>
              <w:right w:val="single" w:sz="12" w:space="0" w:color="auto"/>
            </w:tcBorders>
            <w:shd w:val="clear" w:color="000000" w:fill="FFFFFF"/>
            <w:noWrap/>
            <w:vAlign w:val="center"/>
            <w:hideMark/>
          </w:tcPr>
          <w:p w14:paraId="43D3016E"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2</w:t>
            </w:r>
          </w:p>
        </w:tc>
        <w:tc>
          <w:tcPr>
            <w:tcW w:w="1620" w:type="dxa"/>
            <w:tcBorders>
              <w:top w:val="nil"/>
              <w:left w:val="nil"/>
              <w:bottom w:val="nil"/>
              <w:right w:val="single" w:sz="12" w:space="0" w:color="auto"/>
            </w:tcBorders>
            <w:shd w:val="clear" w:color="000000" w:fill="FFFFFF"/>
            <w:noWrap/>
            <w:vAlign w:val="center"/>
            <w:hideMark/>
          </w:tcPr>
          <w:p w14:paraId="10EAC0A1"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0.97%</w:t>
            </w:r>
          </w:p>
        </w:tc>
        <w:tc>
          <w:tcPr>
            <w:tcW w:w="2006" w:type="dxa"/>
            <w:tcBorders>
              <w:top w:val="nil"/>
              <w:left w:val="nil"/>
              <w:bottom w:val="nil"/>
              <w:right w:val="single" w:sz="12" w:space="0" w:color="auto"/>
            </w:tcBorders>
            <w:shd w:val="clear" w:color="000000" w:fill="FFFFFF"/>
            <w:noWrap/>
            <w:vAlign w:val="center"/>
            <w:hideMark/>
          </w:tcPr>
          <w:p w14:paraId="18EC8C40"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1</w:t>
            </w:r>
          </w:p>
        </w:tc>
        <w:tc>
          <w:tcPr>
            <w:tcW w:w="2659" w:type="dxa"/>
            <w:tcBorders>
              <w:top w:val="nil"/>
              <w:left w:val="nil"/>
              <w:bottom w:val="nil"/>
              <w:right w:val="single" w:sz="12" w:space="0" w:color="auto"/>
            </w:tcBorders>
            <w:shd w:val="clear" w:color="000000" w:fill="FFFFFF"/>
            <w:noWrap/>
            <w:vAlign w:val="center"/>
            <w:hideMark/>
          </w:tcPr>
          <w:p w14:paraId="45CD29B9"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0.01%</w:t>
            </w:r>
          </w:p>
        </w:tc>
      </w:tr>
      <w:tr w:rsidR="004219A7" w:rsidRPr="003344C4" w14:paraId="0056F9F7" w14:textId="77777777" w:rsidTr="00A26290">
        <w:trPr>
          <w:trHeight w:val="306"/>
        </w:trPr>
        <w:tc>
          <w:tcPr>
            <w:tcW w:w="2834" w:type="dxa"/>
            <w:tcBorders>
              <w:top w:val="nil"/>
              <w:left w:val="single" w:sz="12" w:space="0" w:color="auto"/>
              <w:bottom w:val="nil"/>
              <w:right w:val="single" w:sz="12" w:space="0" w:color="auto"/>
            </w:tcBorders>
            <w:shd w:val="clear" w:color="000000" w:fill="FFFFFF"/>
            <w:noWrap/>
            <w:vAlign w:val="center"/>
            <w:hideMark/>
          </w:tcPr>
          <w:p w14:paraId="5B45D28A"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proofErr w:type="spellStart"/>
            <w:r w:rsidRPr="003344C4">
              <w:rPr>
                <w:i/>
                <w:iCs/>
                <w:color w:val="000000"/>
                <w:kern w:val="0"/>
                <w:szCs w:val="24"/>
              </w:rPr>
              <w:t>Chamaecrista</w:t>
            </w:r>
            <w:proofErr w:type="spellEnd"/>
            <w:r w:rsidRPr="003344C4">
              <w:rPr>
                <w:i/>
                <w:iCs/>
                <w:color w:val="000000"/>
                <w:kern w:val="0"/>
                <w:szCs w:val="24"/>
              </w:rPr>
              <w:t xml:space="preserve"> </w:t>
            </w:r>
            <w:proofErr w:type="spellStart"/>
            <w:r w:rsidRPr="003344C4">
              <w:rPr>
                <w:i/>
                <w:iCs/>
                <w:color w:val="000000"/>
                <w:kern w:val="0"/>
                <w:szCs w:val="24"/>
              </w:rPr>
              <w:t>nictitans</w:t>
            </w:r>
            <w:proofErr w:type="spellEnd"/>
            <w:r w:rsidRPr="003344C4">
              <w:rPr>
                <w:i/>
                <w:iCs/>
                <w:color w:val="000000"/>
                <w:kern w:val="0"/>
                <w:szCs w:val="24"/>
              </w:rPr>
              <w:t xml:space="preserve"> var aspera</w:t>
            </w:r>
          </w:p>
        </w:tc>
        <w:tc>
          <w:tcPr>
            <w:tcW w:w="2191" w:type="dxa"/>
            <w:tcBorders>
              <w:top w:val="nil"/>
              <w:left w:val="nil"/>
              <w:bottom w:val="nil"/>
              <w:right w:val="single" w:sz="12" w:space="0" w:color="auto"/>
            </w:tcBorders>
            <w:shd w:val="clear" w:color="000000" w:fill="FFFFFF"/>
            <w:noWrap/>
            <w:vAlign w:val="center"/>
            <w:hideMark/>
          </w:tcPr>
          <w:p w14:paraId="20AAD56C"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r w:rsidRPr="003344C4">
              <w:rPr>
                <w:color w:val="000000"/>
                <w:kern w:val="0"/>
                <w:szCs w:val="24"/>
              </w:rPr>
              <w:t>Fabaceae</w:t>
            </w:r>
          </w:p>
        </w:tc>
        <w:tc>
          <w:tcPr>
            <w:tcW w:w="1620" w:type="dxa"/>
            <w:tcBorders>
              <w:top w:val="nil"/>
              <w:left w:val="nil"/>
              <w:bottom w:val="nil"/>
              <w:right w:val="single" w:sz="12" w:space="0" w:color="auto"/>
            </w:tcBorders>
            <w:shd w:val="clear" w:color="000000" w:fill="FFFFFF"/>
            <w:noWrap/>
            <w:vAlign w:val="center"/>
            <w:hideMark/>
          </w:tcPr>
          <w:p w14:paraId="54CA492E"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2</w:t>
            </w:r>
          </w:p>
        </w:tc>
        <w:tc>
          <w:tcPr>
            <w:tcW w:w="1620" w:type="dxa"/>
            <w:tcBorders>
              <w:top w:val="nil"/>
              <w:left w:val="nil"/>
              <w:bottom w:val="nil"/>
              <w:right w:val="single" w:sz="12" w:space="0" w:color="auto"/>
            </w:tcBorders>
            <w:shd w:val="clear" w:color="000000" w:fill="FFFFFF"/>
            <w:noWrap/>
            <w:vAlign w:val="center"/>
            <w:hideMark/>
          </w:tcPr>
          <w:p w14:paraId="6F664558"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0.97%</w:t>
            </w:r>
          </w:p>
        </w:tc>
        <w:tc>
          <w:tcPr>
            <w:tcW w:w="2006" w:type="dxa"/>
            <w:tcBorders>
              <w:top w:val="nil"/>
              <w:left w:val="nil"/>
              <w:bottom w:val="nil"/>
              <w:right w:val="single" w:sz="12" w:space="0" w:color="auto"/>
            </w:tcBorders>
            <w:shd w:val="clear" w:color="000000" w:fill="FFFFFF"/>
            <w:noWrap/>
            <w:vAlign w:val="center"/>
            <w:hideMark/>
          </w:tcPr>
          <w:p w14:paraId="417F46CA"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5</w:t>
            </w:r>
          </w:p>
        </w:tc>
        <w:tc>
          <w:tcPr>
            <w:tcW w:w="2659" w:type="dxa"/>
            <w:tcBorders>
              <w:top w:val="nil"/>
              <w:left w:val="nil"/>
              <w:bottom w:val="nil"/>
              <w:right w:val="single" w:sz="12" w:space="0" w:color="auto"/>
            </w:tcBorders>
            <w:shd w:val="clear" w:color="000000" w:fill="FFFFFF"/>
            <w:noWrap/>
            <w:vAlign w:val="center"/>
            <w:hideMark/>
          </w:tcPr>
          <w:p w14:paraId="4ACB9D1B"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0.04%</w:t>
            </w:r>
          </w:p>
        </w:tc>
      </w:tr>
      <w:tr w:rsidR="004219A7" w:rsidRPr="003344C4" w14:paraId="5C978142" w14:textId="77777777" w:rsidTr="00A26290">
        <w:trPr>
          <w:trHeight w:val="306"/>
        </w:trPr>
        <w:tc>
          <w:tcPr>
            <w:tcW w:w="2834" w:type="dxa"/>
            <w:tcBorders>
              <w:top w:val="nil"/>
              <w:left w:val="single" w:sz="12" w:space="0" w:color="auto"/>
              <w:bottom w:val="nil"/>
              <w:right w:val="single" w:sz="12" w:space="0" w:color="auto"/>
            </w:tcBorders>
            <w:shd w:val="clear" w:color="000000" w:fill="FFFFFF"/>
            <w:noWrap/>
            <w:vAlign w:val="center"/>
            <w:hideMark/>
          </w:tcPr>
          <w:p w14:paraId="23C03473"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r w:rsidRPr="003344C4">
              <w:rPr>
                <w:i/>
                <w:iCs/>
                <w:color w:val="000000"/>
                <w:kern w:val="0"/>
                <w:szCs w:val="24"/>
              </w:rPr>
              <w:t xml:space="preserve">Euphorbia </w:t>
            </w:r>
            <w:proofErr w:type="spellStart"/>
            <w:r w:rsidRPr="003344C4">
              <w:rPr>
                <w:i/>
                <w:iCs/>
                <w:color w:val="000000"/>
                <w:kern w:val="0"/>
                <w:szCs w:val="24"/>
              </w:rPr>
              <w:t>cyathophora</w:t>
            </w:r>
            <w:proofErr w:type="spellEnd"/>
          </w:p>
        </w:tc>
        <w:tc>
          <w:tcPr>
            <w:tcW w:w="2191" w:type="dxa"/>
            <w:tcBorders>
              <w:top w:val="nil"/>
              <w:left w:val="nil"/>
              <w:bottom w:val="nil"/>
              <w:right w:val="single" w:sz="12" w:space="0" w:color="auto"/>
            </w:tcBorders>
            <w:shd w:val="clear" w:color="000000" w:fill="FFFFFF"/>
            <w:noWrap/>
            <w:vAlign w:val="center"/>
            <w:hideMark/>
          </w:tcPr>
          <w:p w14:paraId="1FA8F0B4"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proofErr w:type="spellStart"/>
            <w:r w:rsidRPr="003344C4">
              <w:rPr>
                <w:color w:val="000000"/>
                <w:kern w:val="0"/>
                <w:szCs w:val="24"/>
              </w:rPr>
              <w:t>Euphorbiaceae</w:t>
            </w:r>
            <w:proofErr w:type="spellEnd"/>
          </w:p>
        </w:tc>
        <w:tc>
          <w:tcPr>
            <w:tcW w:w="1620" w:type="dxa"/>
            <w:tcBorders>
              <w:top w:val="nil"/>
              <w:left w:val="nil"/>
              <w:bottom w:val="nil"/>
              <w:right w:val="single" w:sz="12" w:space="0" w:color="auto"/>
            </w:tcBorders>
            <w:shd w:val="clear" w:color="000000" w:fill="FFFFFF"/>
            <w:noWrap/>
            <w:vAlign w:val="center"/>
            <w:hideMark/>
          </w:tcPr>
          <w:p w14:paraId="2F26F1D9"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8</w:t>
            </w:r>
          </w:p>
        </w:tc>
        <w:tc>
          <w:tcPr>
            <w:tcW w:w="1620" w:type="dxa"/>
            <w:tcBorders>
              <w:top w:val="nil"/>
              <w:left w:val="nil"/>
              <w:bottom w:val="nil"/>
              <w:right w:val="single" w:sz="12" w:space="0" w:color="auto"/>
            </w:tcBorders>
            <w:shd w:val="clear" w:color="000000" w:fill="FFFFFF"/>
            <w:noWrap/>
            <w:vAlign w:val="center"/>
            <w:hideMark/>
          </w:tcPr>
          <w:p w14:paraId="0418DE1D"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3.86%</w:t>
            </w:r>
          </w:p>
        </w:tc>
        <w:tc>
          <w:tcPr>
            <w:tcW w:w="2006" w:type="dxa"/>
            <w:tcBorders>
              <w:top w:val="nil"/>
              <w:left w:val="nil"/>
              <w:bottom w:val="nil"/>
              <w:right w:val="single" w:sz="12" w:space="0" w:color="auto"/>
            </w:tcBorders>
            <w:shd w:val="clear" w:color="000000" w:fill="FFFFFF"/>
            <w:noWrap/>
            <w:vAlign w:val="center"/>
            <w:hideMark/>
          </w:tcPr>
          <w:p w14:paraId="490DAE90"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68</w:t>
            </w:r>
          </w:p>
        </w:tc>
        <w:tc>
          <w:tcPr>
            <w:tcW w:w="2659" w:type="dxa"/>
            <w:tcBorders>
              <w:top w:val="nil"/>
              <w:left w:val="nil"/>
              <w:bottom w:val="nil"/>
              <w:right w:val="single" w:sz="12" w:space="0" w:color="auto"/>
            </w:tcBorders>
            <w:shd w:val="clear" w:color="000000" w:fill="FFFFFF"/>
            <w:noWrap/>
            <w:vAlign w:val="center"/>
            <w:hideMark/>
          </w:tcPr>
          <w:p w14:paraId="2CEEB4B6"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0.50%</w:t>
            </w:r>
          </w:p>
        </w:tc>
      </w:tr>
      <w:tr w:rsidR="004219A7" w:rsidRPr="003344C4" w14:paraId="5D624A45" w14:textId="77777777" w:rsidTr="00A26290">
        <w:trPr>
          <w:trHeight w:val="306"/>
        </w:trPr>
        <w:tc>
          <w:tcPr>
            <w:tcW w:w="2834" w:type="dxa"/>
            <w:tcBorders>
              <w:top w:val="nil"/>
              <w:left w:val="single" w:sz="12" w:space="0" w:color="auto"/>
              <w:bottom w:val="nil"/>
              <w:right w:val="single" w:sz="12" w:space="0" w:color="auto"/>
            </w:tcBorders>
            <w:shd w:val="clear" w:color="000000" w:fill="FFFFFF"/>
            <w:noWrap/>
            <w:vAlign w:val="center"/>
            <w:hideMark/>
          </w:tcPr>
          <w:p w14:paraId="3B46A455"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r w:rsidRPr="003344C4">
              <w:rPr>
                <w:i/>
                <w:iCs/>
                <w:color w:val="000000"/>
                <w:kern w:val="0"/>
                <w:szCs w:val="24"/>
              </w:rPr>
              <w:t>Euphorbia heterophylla</w:t>
            </w:r>
          </w:p>
        </w:tc>
        <w:tc>
          <w:tcPr>
            <w:tcW w:w="2191" w:type="dxa"/>
            <w:tcBorders>
              <w:top w:val="nil"/>
              <w:left w:val="nil"/>
              <w:bottom w:val="nil"/>
              <w:right w:val="single" w:sz="12" w:space="0" w:color="auto"/>
            </w:tcBorders>
            <w:shd w:val="clear" w:color="000000" w:fill="FFFFFF"/>
            <w:noWrap/>
            <w:vAlign w:val="center"/>
            <w:hideMark/>
          </w:tcPr>
          <w:p w14:paraId="201B252D"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proofErr w:type="spellStart"/>
            <w:r w:rsidRPr="003344C4">
              <w:rPr>
                <w:color w:val="000000"/>
                <w:kern w:val="0"/>
                <w:szCs w:val="24"/>
              </w:rPr>
              <w:t>Euphorbiaceae</w:t>
            </w:r>
            <w:proofErr w:type="spellEnd"/>
          </w:p>
        </w:tc>
        <w:tc>
          <w:tcPr>
            <w:tcW w:w="1620" w:type="dxa"/>
            <w:tcBorders>
              <w:top w:val="nil"/>
              <w:left w:val="nil"/>
              <w:bottom w:val="nil"/>
              <w:right w:val="single" w:sz="12" w:space="0" w:color="auto"/>
            </w:tcBorders>
            <w:shd w:val="clear" w:color="000000" w:fill="FFFFFF"/>
            <w:noWrap/>
            <w:vAlign w:val="center"/>
            <w:hideMark/>
          </w:tcPr>
          <w:p w14:paraId="4C6DF016"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1</w:t>
            </w:r>
          </w:p>
        </w:tc>
        <w:tc>
          <w:tcPr>
            <w:tcW w:w="1620" w:type="dxa"/>
            <w:tcBorders>
              <w:top w:val="nil"/>
              <w:left w:val="nil"/>
              <w:bottom w:val="nil"/>
              <w:right w:val="single" w:sz="12" w:space="0" w:color="auto"/>
            </w:tcBorders>
            <w:shd w:val="clear" w:color="000000" w:fill="FFFFFF"/>
            <w:noWrap/>
            <w:vAlign w:val="center"/>
            <w:hideMark/>
          </w:tcPr>
          <w:p w14:paraId="30A0536F"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0.48%</w:t>
            </w:r>
          </w:p>
        </w:tc>
        <w:tc>
          <w:tcPr>
            <w:tcW w:w="2006" w:type="dxa"/>
            <w:tcBorders>
              <w:top w:val="nil"/>
              <w:left w:val="nil"/>
              <w:bottom w:val="nil"/>
              <w:right w:val="single" w:sz="12" w:space="0" w:color="auto"/>
            </w:tcBorders>
            <w:shd w:val="clear" w:color="000000" w:fill="FFFFFF"/>
            <w:noWrap/>
            <w:vAlign w:val="center"/>
            <w:hideMark/>
          </w:tcPr>
          <w:p w14:paraId="11ADA231"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2</w:t>
            </w:r>
          </w:p>
        </w:tc>
        <w:tc>
          <w:tcPr>
            <w:tcW w:w="2659" w:type="dxa"/>
            <w:tcBorders>
              <w:top w:val="nil"/>
              <w:left w:val="nil"/>
              <w:bottom w:val="nil"/>
              <w:right w:val="single" w:sz="12" w:space="0" w:color="auto"/>
            </w:tcBorders>
            <w:shd w:val="clear" w:color="000000" w:fill="FFFFFF"/>
            <w:noWrap/>
            <w:vAlign w:val="center"/>
            <w:hideMark/>
          </w:tcPr>
          <w:p w14:paraId="4D33F59C"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0.01%</w:t>
            </w:r>
          </w:p>
        </w:tc>
      </w:tr>
      <w:tr w:rsidR="004219A7" w:rsidRPr="003344C4" w14:paraId="5638DE34" w14:textId="77777777" w:rsidTr="00A26290">
        <w:trPr>
          <w:trHeight w:val="306"/>
        </w:trPr>
        <w:tc>
          <w:tcPr>
            <w:tcW w:w="2834" w:type="dxa"/>
            <w:tcBorders>
              <w:top w:val="nil"/>
              <w:left w:val="single" w:sz="12" w:space="0" w:color="auto"/>
              <w:bottom w:val="nil"/>
              <w:right w:val="single" w:sz="12" w:space="0" w:color="auto"/>
            </w:tcBorders>
            <w:shd w:val="clear" w:color="000000" w:fill="FFFFFF"/>
            <w:noWrap/>
            <w:vAlign w:val="center"/>
            <w:hideMark/>
          </w:tcPr>
          <w:p w14:paraId="1EC828C9"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r w:rsidRPr="003344C4">
              <w:rPr>
                <w:i/>
                <w:iCs/>
                <w:color w:val="000000"/>
                <w:kern w:val="0"/>
                <w:szCs w:val="24"/>
              </w:rPr>
              <w:t xml:space="preserve">Euphorbia </w:t>
            </w:r>
            <w:proofErr w:type="spellStart"/>
            <w:r w:rsidRPr="003344C4">
              <w:rPr>
                <w:i/>
                <w:iCs/>
                <w:color w:val="000000"/>
                <w:kern w:val="0"/>
                <w:szCs w:val="24"/>
              </w:rPr>
              <w:t>hirta</w:t>
            </w:r>
            <w:proofErr w:type="spellEnd"/>
          </w:p>
        </w:tc>
        <w:tc>
          <w:tcPr>
            <w:tcW w:w="2191" w:type="dxa"/>
            <w:tcBorders>
              <w:top w:val="nil"/>
              <w:left w:val="nil"/>
              <w:bottom w:val="nil"/>
              <w:right w:val="single" w:sz="12" w:space="0" w:color="auto"/>
            </w:tcBorders>
            <w:shd w:val="clear" w:color="000000" w:fill="FFFFFF"/>
            <w:noWrap/>
            <w:vAlign w:val="center"/>
            <w:hideMark/>
          </w:tcPr>
          <w:p w14:paraId="7FD17A30"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proofErr w:type="spellStart"/>
            <w:r w:rsidRPr="003344C4">
              <w:rPr>
                <w:color w:val="000000"/>
                <w:kern w:val="0"/>
                <w:szCs w:val="24"/>
              </w:rPr>
              <w:t>Euphorbiaceae</w:t>
            </w:r>
            <w:proofErr w:type="spellEnd"/>
          </w:p>
        </w:tc>
        <w:tc>
          <w:tcPr>
            <w:tcW w:w="1620" w:type="dxa"/>
            <w:tcBorders>
              <w:top w:val="nil"/>
              <w:left w:val="nil"/>
              <w:bottom w:val="nil"/>
              <w:right w:val="single" w:sz="12" w:space="0" w:color="auto"/>
            </w:tcBorders>
            <w:shd w:val="clear" w:color="000000" w:fill="FFFFFF"/>
            <w:noWrap/>
            <w:vAlign w:val="center"/>
            <w:hideMark/>
          </w:tcPr>
          <w:p w14:paraId="2249751B"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60</w:t>
            </w:r>
          </w:p>
        </w:tc>
        <w:tc>
          <w:tcPr>
            <w:tcW w:w="1620" w:type="dxa"/>
            <w:tcBorders>
              <w:top w:val="nil"/>
              <w:left w:val="nil"/>
              <w:bottom w:val="nil"/>
              <w:right w:val="single" w:sz="12" w:space="0" w:color="auto"/>
            </w:tcBorders>
            <w:shd w:val="clear" w:color="000000" w:fill="FFFFFF"/>
            <w:noWrap/>
            <w:vAlign w:val="center"/>
            <w:hideMark/>
          </w:tcPr>
          <w:p w14:paraId="771E5569"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28.99%</w:t>
            </w:r>
          </w:p>
        </w:tc>
        <w:tc>
          <w:tcPr>
            <w:tcW w:w="2006" w:type="dxa"/>
            <w:tcBorders>
              <w:top w:val="nil"/>
              <w:left w:val="nil"/>
              <w:bottom w:val="nil"/>
              <w:right w:val="single" w:sz="12" w:space="0" w:color="auto"/>
            </w:tcBorders>
            <w:shd w:val="clear" w:color="000000" w:fill="FFFFFF"/>
            <w:noWrap/>
            <w:vAlign w:val="center"/>
            <w:hideMark/>
          </w:tcPr>
          <w:p w14:paraId="61BF9DB8"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3373</w:t>
            </w:r>
          </w:p>
        </w:tc>
        <w:tc>
          <w:tcPr>
            <w:tcW w:w="2659" w:type="dxa"/>
            <w:tcBorders>
              <w:top w:val="nil"/>
              <w:left w:val="nil"/>
              <w:bottom w:val="nil"/>
              <w:right w:val="single" w:sz="12" w:space="0" w:color="auto"/>
            </w:tcBorders>
            <w:shd w:val="clear" w:color="000000" w:fill="FFFFFF"/>
            <w:noWrap/>
            <w:vAlign w:val="center"/>
            <w:hideMark/>
          </w:tcPr>
          <w:p w14:paraId="0F12905C"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24.83%</w:t>
            </w:r>
          </w:p>
        </w:tc>
      </w:tr>
      <w:tr w:rsidR="004219A7" w:rsidRPr="003344C4" w14:paraId="77FBDF61" w14:textId="77777777" w:rsidTr="00A26290">
        <w:trPr>
          <w:trHeight w:val="306"/>
        </w:trPr>
        <w:tc>
          <w:tcPr>
            <w:tcW w:w="2834" w:type="dxa"/>
            <w:tcBorders>
              <w:top w:val="nil"/>
              <w:left w:val="single" w:sz="12" w:space="0" w:color="auto"/>
              <w:bottom w:val="nil"/>
              <w:right w:val="single" w:sz="12" w:space="0" w:color="auto"/>
            </w:tcBorders>
            <w:shd w:val="clear" w:color="000000" w:fill="FFFFFF"/>
            <w:noWrap/>
            <w:vAlign w:val="center"/>
            <w:hideMark/>
          </w:tcPr>
          <w:p w14:paraId="5EB1675A"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r w:rsidRPr="003344C4">
              <w:rPr>
                <w:i/>
                <w:iCs/>
                <w:color w:val="000000"/>
                <w:kern w:val="0"/>
                <w:szCs w:val="24"/>
              </w:rPr>
              <w:t xml:space="preserve">Euphorbia </w:t>
            </w:r>
            <w:proofErr w:type="spellStart"/>
            <w:r w:rsidRPr="003344C4">
              <w:rPr>
                <w:i/>
                <w:iCs/>
                <w:color w:val="000000"/>
                <w:kern w:val="0"/>
                <w:szCs w:val="24"/>
              </w:rPr>
              <w:t>hypericifolia</w:t>
            </w:r>
            <w:proofErr w:type="spellEnd"/>
          </w:p>
        </w:tc>
        <w:tc>
          <w:tcPr>
            <w:tcW w:w="2191" w:type="dxa"/>
            <w:tcBorders>
              <w:top w:val="nil"/>
              <w:left w:val="nil"/>
              <w:bottom w:val="nil"/>
              <w:right w:val="single" w:sz="12" w:space="0" w:color="auto"/>
            </w:tcBorders>
            <w:shd w:val="clear" w:color="000000" w:fill="FFFFFF"/>
            <w:noWrap/>
            <w:vAlign w:val="center"/>
            <w:hideMark/>
          </w:tcPr>
          <w:p w14:paraId="56D6C834"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proofErr w:type="spellStart"/>
            <w:r w:rsidRPr="003344C4">
              <w:rPr>
                <w:color w:val="000000"/>
                <w:kern w:val="0"/>
                <w:szCs w:val="24"/>
              </w:rPr>
              <w:t>Euphorbiaceae</w:t>
            </w:r>
            <w:proofErr w:type="spellEnd"/>
          </w:p>
        </w:tc>
        <w:tc>
          <w:tcPr>
            <w:tcW w:w="1620" w:type="dxa"/>
            <w:tcBorders>
              <w:top w:val="nil"/>
              <w:left w:val="nil"/>
              <w:bottom w:val="nil"/>
              <w:right w:val="single" w:sz="12" w:space="0" w:color="auto"/>
            </w:tcBorders>
            <w:shd w:val="clear" w:color="000000" w:fill="FFFFFF"/>
            <w:noWrap/>
            <w:vAlign w:val="center"/>
            <w:hideMark/>
          </w:tcPr>
          <w:p w14:paraId="08CB4AEF"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29</w:t>
            </w:r>
          </w:p>
        </w:tc>
        <w:tc>
          <w:tcPr>
            <w:tcW w:w="1620" w:type="dxa"/>
            <w:tcBorders>
              <w:top w:val="nil"/>
              <w:left w:val="nil"/>
              <w:bottom w:val="nil"/>
              <w:right w:val="single" w:sz="12" w:space="0" w:color="auto"/>
            </w:tcBorders>
            <w:shd w:val="clear" w:color="000000" w:fill="FFFFFF"/>
            <w:noWrap/>
            <w:vAlign w:val="center"/>
            <w:hideMark/>
          </w:tcPr>
          <w:p w14:paraId="7A0676B5"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14.01%</w:t>
            </w:r>
          </w:p>
        </w:tc>
        <w:tc>
          <w:tcPr>
            <w:tcW w:w="2006" w:type="dxa"/>
            <w:tcBorders>
              <w:top w:val="nil"/>
              <w:left w:val="nil"/>
              <w:bottom w:val="nil"/>
              <w:right w:val="single" w:sz="12" w:space="0" w:color="auto"/>
            </w:tcBorders>
            <w:shd w:val="clear" w:color="000000" w:fill="FFFFFF"/>
            <w:noWrap/>
            <w:vAlign w:val="center"/>
            <w:hideMark/>
          </w:tcPr>
          <w:p w14:paraId="6504ED52"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1407</w:t>
            </w:r>
          </w:p>
        </w:tc>
        <w:tc>
          <w:tcPr>
            <w:tcW w:w="2659" w:type="dxa"/>
            <w:tcBorders>
              <w:top w:val="nil"/>
              <w:left w:val="nil"/>
              <w:bottom w:val="nil"/>
              <w:right w:val="single" w:sz="12" w:space="0" w:color="auto"/>
            </w:tcBorders>
            <w:shd w:val="clear" w:color="000000" w:fill="FFFFFF"/>
            <w:noWrap/>
            <w:vAlign w:val="center"/>
            <w:hideMark/>
          </w:tcPr>
          <w:p w14:paraId="09114E77"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10.36%</w:t>
            </w:r>
          </w:p>
        </w:tc>
      </w:tr>
      <w:tr w:rsidR="004219A7" w:rsidRPr="003344C4" w14:paraId="2EC6A478" w14:textId="77777777" w:rsidTr="00A26290">
        <w:trPr>
          <w:trHeight w:val="306"/>
        </w:trPr>
        <w:tc>
          <w:tcPr>
            <w:tcW w:w="2834" w:type="dxa"/>
            <w:tcBorders>
              <w:top w:val="nil"/>
              <w:left w:val="single" w:sz="12" w:space="0" w:color="auto"/>
              <w:bottom w:val="nil"/>
              <w:right w:val="single" w:sz="12" w:space="0" w:color="auto"/>
            </w:tcBorders>
            <w:shd w:val="clear" w:color="000000" w:fill="FFFFFF"/>
            <w:noWrap/>
            <w:vAlign w:val="center"/>
            <w:hideMark/>
          </w:tcPr>
          <w:p w14:paraId="14B57644"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r w:rsidRPr="003344C4">
              <w:rPr>
                <w:i/>
                <w:iCs/>
                <w:color w:val="000000"/>
                <w:kern w:val="0"/>
                <w:szCs w:val="24"/>
              </w:rPr>
              <w:t>Indigofera spicata</w:t>
            </w:r>
          </w:p>
        </w:tc>
        <w:tc>
          <w:tcPr>
            <w:tcW w:w="2191" w:type="dxa"/>
            <w:tcBorders>
              <w:top w:val="nil"/>
              <w:left w:val="nil"/>
              <w:bottom w:val="nil"/>
              <w:right w:val="single" w:sz="12" w:space="0" w:color="auto"/>
            </w:tcBorders>
            <w:shd w:val="clear" w:color="000000" w:fill="FFFFFF"/>
            <w:noWrap/>
            <w:vAlign w:val="center"/>
            <w:hideMark/>
          </w:tcPr>
          <w:p w14:paraId="1086C315"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r w:rsidRPr="003344C4">
              <w:rPr>
                <w:color w:val="000000"/>
                <w:kern w:val="0"/>
                <w:szCs w:val="24"/>
              </w:rPr>
              <w:t>Fabaceae</w:t>
            </w:r>
          </w:p>
        </w:tc>
        <w:tc>
          <w:tcPr>
            <w:tcW w:w="1620" w:type="dxa"/>
            <w:tcBorders>
              <w:top w:val="nil"/>
              <w:left w:val="nil"/>
              <w:bottom w:val="nil"/>
              <w:right w:val="single" w:sz="12" w:space="0" w:color="auto"/>
            </w:tcBorders>
            <w:shd w:val="clear" w:color="000000" w:fill="FFFFFF"/>
            <w:noWrap/>
            <w:vAlign w:val="center"/>
            <w:hideMark/>
          </w:tcPr>
          <w:p w14:paraId="1CF6AED5"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17</w:t>
            </w:r>
          </w:p>
        </w:tc>
        <w:tc>
          <w:tcPr>
            <w:tcW w:w="1620" w:type="dxa"/>
            <w:tcBorders>
              <w:top w:val="nil"/>
              <w:left w:val="nil"/>
              <w:bottom w:val="nil"/>
              <w:right w:val="single" w:sz="12" w:space="0" w:color="auto"/>
            </w:tcBorders>
            <w:shd w:val="clear" w:color="000000" w:fill="FFFFFF"/>
            <w:noWrap/>
            <w:vAlign w:val="center"/>
            <w:hideMark/>
          </w:tcPr>
          <w:p w14:paraId="3E9DEFAE"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8.21%</w:t>
            </w:r>
          </w:p>
        </w:tc>
        <w:tc>
          <w:tcPr>
            <w:tcW w:w="2006" w:type="dxa"/>
            <w:tcBorders>
              <w:top w:val="nil"/>
              <w:left w:val="nil"/>
              <w:bottom w:val="nil"/>
              <w:right w:val="single" w:sz="12" w:space="0" w:color="auto"/>
            </w:tcBorders>
            <w:shd w:val="clear" w:color="000000" w:fill="FFFFFF"/>
            <w:noWrap/>
            <w:vAlign w:val="center"/>
            <w:hideMark/>
          </w:tcPr>
          <w:p w14:paraId="4C00B8EE"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65</w:t>
            </w:r>
          </w:p>
        </w:tc>
        <w:tc>
          <w:tcPr>
            <w:tcW w:w="2659" w:type="dxa"/>
            <w:tcBorders>
              <w:top w:val="nil"/>
              <w:left w:val="nil"/>
              <w:bottom w:val="nil"/>
              <w:right w:val="single" w:sz="12" w:space="0" w:color="auto"/>
            </w:tcBorders>
            <w:shd w:val="clear" w:color="000000" w:fill="FFFFFF"/>
            <w:noWrap/>
            <w:vAlign w:val="center"/>
            <w:hideMark/>
          </w:tcPr>
          <w:p w14:paraId="52C370AE"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0.48%</w:t>
            </w:r>
          </w:p>
        </w:tc>
      </w:tr>
      <w:tr w:rsidR="004219A7" w:rsidRPr="003344C4" w14:paraId="1D41F1DD" w14:textId="77777777" w:rsidTr="00A26290">
        <w:trPr>
          <w:trHeight w:val="306"/>
        </w:trPr>
        <w:tc>
          <w:tcPr>
            <w:tcW w:w="2834" w:type="dxa"/>
            <w:tcBorders>
              <w:top w:val="nil"/>
              <w:left w:val="single" w:sz="12" w:space="0" w:color="auto"/>
              <w:bottom w:val="nil"/>
              <w:right w:val="single" w:sz="12" w:space="0" w:color="auto"/>
            </w:tcBorders>
            <w:shd w:val="clear" w:color="000000" w:fill="FFFFFF"/>
            <w:noWrap/>
            <w:vAlign w:val="center"/>
            <w:hideMark/>
          </w:tcPr>
          <w:p w14:paraId="15A06098"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r w:rsidRPr="003344C4">
              <w:rPr>
                <w:i/>
                <w:iCs/>
                <w:color w:val="000000"/>
                <w:kern w:val="0"/>
                <w:szCs w:val="24"/>
              </w:rPr>
              <w:t>Indigofera suffruticosa</w:t>
            </w:r>
          </w:p>
        </w:tc>
        <w:tc>
          <w:tcPr>
            <w:tcW w:w="2191" w:type="dxa"/>
            <w:tcBorders>
              <w:top w:val="nil"/>
              <w:left w:val="nil"/>
              <w:bottom w:val="nil"/>
              <w:right w:val="single" w:sz="12" w:space="0" w:color="auto"/>
            </w:tcBorders>
            <w:shd w:val="clear" w:color="000000" w:fill="FFFFFF"/>
            <w:noWrap/>
            <w:vAlign w:val="center"/>
            <w:hideMark/>
          </w:tcPr>
          <w:p w14:paraId="44A66842"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r w:rsidRPr="003344C4">
              <w:rPr>
                <w:color w:val="000000"/>
                <w:kern w:val="0"/>
                <w:szCs w:val="24"/>
              </w:rPr>
              <w:t>Fabaceae</w:t>
            </w:r>
          </w:p>
        </w:tc>
        <w:tc>
          <w:tcPr>
            <w:tcW w:w="1620" w:type="dxa"/>
            <w:tcBorders>
              <w:top w:val="nil"/>
              <w:left w:val="nil"/>
              <w:bottom w:val="nil"/>
              <w:right w:val="single" w:sz="12" w:space="0" w:color="auto"/>
            </w:tcBorders>
            <w:shd w:val="clear" w:color="000000" w:fill="FFFFFF"/>
            <w:noWrap/>
            <w:vAlign w:val="center"/>
            <w:hideMark/>
          </w:tcPr>
          <w:p w14:paraId="3EFA78EE"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1</w:t>
            </w:r>
          </w:p>
        </w:tc>
        <w:tc>
          <w:tcPr>
            <w:tcW w:w="1620" w:type="dxa"/>
            <w:tcBorders>
              <w:top w:val="nil"/>
              <w:left w:val="nil"/>
              <w:bottom w:val="nil"/>
              <w:right w:val="single" w:sz="12" w:space="0" w:color="auto"/>
            </w:tcBorders>
            <w:shd w:val="clear" w:color="000000" w:fill="FFFFFF"/>
            <w:noWrap/>
            <w:vAlign w:val="center"/>
            <w:hideMark/>
          </w:tcPr>
          <w:p w14:paraId="29FE0AD8"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0.48%</w:t>
            </w:r>
          </w:p>
        </w:tc>
        <w:tc>
          <w:tcPr>
            <w:tcW w:w="2006" w:type="dxa"/>
            <w:tcBorders>
              <w:top w:val="nil"/>
              <w:left w:val="nil"/>
              <w:bottom w:val="nil"/>
              <w:right w:val="single" w:sz="12" w:space="0" w:color="auto"/>
            </w:tcBorders>
            <w:shd w:val="clear" w:color="000000" w:fill="FFFFFF"/>
            <w:noWrap/>
            <w:vAlign w:val="center"/>
            <w:hideMark/>
          </w:tcPr>
          <w:p w14:paraId="11F2C5C8"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5</w:t>
            </w:r>
          </w:p>
        </w:tc>
        <w:tc>
          <w:tcPr>
            <w:tcW w:w="2659" w:type="dxa"/>
            <w:tcBorders>
              <w:top w:val="nil"/>
              <w:left w:val="nil"/>
              <w:bottom w:val="nil"/>
              <w:right w:val="single" w:sz="12" w:space="0" w:color="auto"/>
            </w:tcBorders>
            <w:shd w:val="clear" w:color="000000" w:fill="FFFFFF"/>
            <w:noWrap/>
            <w:vAlign w:val="center"/>
            <w:hideMark/>
          </w:tcPr>
          <w:p w14:paraId="299A3DCF"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0.04%</w:t>
            </w:r>
          </w:p>
        </w:tc>
      </w:tr>
      <w:tr w:rsidR="004219A7" w:rsidRPr="003344C4" w14:paraId="75B5FAFC" w14:textId="77777777" w:rsidTr="00A26290">
        <w:trPr>
          <w:trHeight w:val="306"/>
        </w:trPr>
        <w:tc>
          <w:tcPr>
            <w:tcW w:w="2834" w:type="dxa"/>
            <w:tcBorders>
              <w:top w:val="nil"/>
              <w:left w:val="single" w:sz="12" w:space="0" w:color="auto"/>
              <w:bottom w:val="nil"/>
              <w:right w:val="single" w:sz="12" w:space="0" w:color="auto"/>
            </w:tcBorders>
            <w:shd w:val="clear" w:color="000000" w:fill="FFFFFF"/>
            <w:noWrap/>
            <w:vAlign w:val="center"/>
            <w:hideMark/>
          </w:tcPr>
          <w:p w14:paraId="05E85F97"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r w:rsidRPr="003344C4">
              <w:rPr>
                <w:i/>
                <w:iCs/>
                <w:color w:val="000000"/>
                <w:kern w:val="0"/>
                <w:szCs w:val="24"/>
              </w:rPr>
              <w:t xml:space="preserve">Leucaena </w:t>
            </w:r>
            <w:proofErr w:type="spellStart"/>
            <w:r w:rsidRPr="003344C4">
              <w:rPr>
                <w:i/>
                <w:iCs/>
                <w:color w:val="000000"/>
                <w:kern w:val="0"/>
                <w:szCs w:val="24"/>
              </w:rPr>
              <w:t>leucocephala</w:t>
            </w:r>
            <w:proofErr w:type="spellEnd"/>
          </w:p>
        </w:tc>
        <w:tc>
          <w:tcPr>
            <w:tcW w:w="2191" w:type="dxa"/>
            <w:tcBorders>
              <w:top w:val="nil"/>
              <w:left w:val="nil"/>
              <w:bottom w:val="nil"/>
              <w:right w:val="single" w:sz="12" w:space="0" w:color="auto"/>
            </w:tcBorders>
            <w:shd w:val="clear" w:color="000000" w:fill="FFFFFF"/>
            <w:noWrap/>
            <w:vAlign w:val="center"/>
            <w:hideMark/>
          </w:tcPr>
          <w:p w14:paraId="3EA7CF17"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r w:rsidRPr="003344C4">
              <w:rPr>
                <w:color w:val="000000"/>
                <w:kern w:val="0"/>
                <w:szCs w:val="24"/>
              </w:rPr>
              <w:t>Fabaceae</w:t>
            </w:r>
          </w:p>
        </w:tc>
        <w:tc>
          <w:tcPr>
            <w:tcW w:w="1620" w:type="dxa"/>
            <w:tcBorders>
              <w:top w:val="nil"/>
              <w:left w:val="nil"/>
              <w:bottom w:val="nil"/>
              <w:right w:val="single" w:sz="12" w:space="0" w:color="auto"/>
            </w:tcBorders>
            <w:shd w:val="clear" w:color="000000" w:fill="FFFFFF"/>
            <w:noWrap/>
            <w:vAlign w:val="center"/>
            <w:hideMark/>
          </w:tcPr>
          <w:p w14:paraId="46C077C7"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1</w:t>
            </w:r>
          </w:p>
        </w:tc>
        <w:tc>
          <w:tcPr>
            <w:tcW w:w="1620" w:type="dxa"/>
            <w:tcBorders>
              <w:top w:val="nil"/>
              <w:left w:val="nil"/>
              <w:bottom w:val="nil"/>
              <w:right w:val="single" w:sz="12" w:space="0" w:color="auto"/>
            </w:tcBorders>
            <w:shd w:val="clear" w:color="000000" w:fill="FFFFFF"/>
            <w:noWrap/>
            <w:vAlign w:val="center"/>
            <w:hideMark/>
          </w:tcPr>
          <w:p w14:paraId="60BFDFA3"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0.48%</w:t>
            </w:r>
          </w:p>
        </w:tc>
        <w:tc>
          <w:tcPr>
            <w:tcW w:w="2006" w:type="dxa"/>
            <w:tcBorders>
              <w:top w:val="nil"/>
              <w:left w:val="nil"/>
              <w:bottom w:val="nil"/>
              <w:right w:val="single" w:sz="12" w:space="0" w:color="auto"/>
            </w:tcBorders>
            <w:shd w:val="clear" w:color="000000" w:fill="FFFFFF"/>
            <w:noWrap/>
            <w:vAlign w:val="center"/>
            <w:hideMark/>
          </w:tcPr>
          <w:p w14:paraId="3BF361F5"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1</w:t>
            </w:r>
          </w:p>
        </w:tc>
        <w:tc>
          <w:tcPr>
            <w:tcW w:w="2659" w:type="dxa"/>
            <w:tcBorders>
              <w:top w:val="nil"/>
              <w:left w:val="nil"/>
              <w:bottom w:val="nil"/>
              <w:right w:val="single" w:sz="12" w:space="0" w:color="auto"/>
            </w:tcBorders>
            <w:shd w:val="clear" w:color="000000" w:fill="FFFFFF"/>
            <w:noWrap/>
            <w:vAlign w:val="center"/>
            <w:hideMark/>
          </w:tcPr>
          <w:p w14:paraId="0301C382"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0.01%</w:t>
            </w:r>
          </w:p>
        </w:tc>
      </w:tr>
      <w:tr w:rsidR="004219A7" w:rsidRPr="003344C4" w14:paraId="40879530" w14:textId="77777777" w:rsidTr="00A26290">
        <w:trPr>
          <w:trHeight w:val="306"/>
        </w:trPr>
        <w:tc>
          <w:tcPr>
            <w:tcW w:w="2834" w:type="dxa"/>
            <w:tcBorders>
              <w:top w:val="nil"/>
              <w:left w:val="single" w:sz="12" w:space="0" w:color="auto"/>
              <w:bottom w:val="nil"/>
              <w:right w:val="single" w:sz="12" w:space="0" w:color="auto"/>
            </w:tcBorders>
            <w:shd w:val="clear" w:color="000000" w:fill="FFFFFF"/>
            <w:noWrap/>
            <w:vAlign w:val="center"/>
            <w:hideMark/>
          </w:tcPr>
          <w:p w14:paraId="616A8E8F"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proofErr w:type="spellStart"/>
            <w:r w:rsidRPr="003344C4">
              <w:rPr>
                <w:i/>
                <w:iCs/>
                <w:color w:val="000000"/>
                <w:kern w:val="0"/>
                <w:szCs w:val="24"/>
              </w:rPr>
              <w:t>Malvastrum</w:t>
            </w:r>
            <w:proofErr w:type="spellEnd"/>
            <w:r w:rsidRPr="003344C4">
              <w:rPr>
                <w:i/>
                <w:iCs/>
                <w:color w:val="000000"/>
                <w:kern w:val="0"/>
                <w:szCs w:val="24"/>
              </w:rPr>
              <w:t xml:space="preserve"> </w:t>
            </w:r>
            <w:proofErr w:type="spellStart"/>
            <w:r w:rsidRPr="003344C4">
              <w:rPr>
                <w:i/>
                <w:iCs/>
                <w:color w:val="000000"/>
                <w:kern w:val="0"/>
                <w:szCs w:val="24"/>
              </w:rPr>
              <w:t>coromandelianum</w:t>
            </w:r>
            <w:proofErr w:type="spellEnd"/>
          </w:p>
        </w:tc>
        <w:tc>
          <w:tcPr>
            <w:tcW w:w="2191" w:type="dxa"/>
            <w:tcBorders>
              <w:top w:val="nil"/>
              <w:left w:val="nil"/>
              <w:bottom w:val="nil"/>
              <w:right w:val="single" w:sz="12" w:space="0" w:color="auto"/>
            </w:tcBorders>
            <w:shd w:val="clear" w:color="000000" w:fill="FFFFFF"/>
            <w:noWrap/>
            <w:vAlign w:val="center"/>
            <w:hideMark/>
          </w:tcPr>
          <w:p w14:paraId="4FEBDBD7"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proofErr w:type="spellStart"/>
            <w:r w:rsidRPr="003344C4">
              <w:rPr>
                <w:color w:val="000000"/>
                <w:kern w:val="0"/>
                <w:szCs w:val="24"/>
              </w:rPr>
              <w:t>Malvaceae</w:t>
            </w:r>
            <w:proofErr w:type="spellEnd"/>
          </w:p>
        </w:tc>
        <w:tc>
          <w:tcPr>
            <w:tcW w:w="1620" w:type="dxa"/>
            <w:tcBorders>
              <w:top w:val="nil"/>
              <w:left w:val="nil"/>
              <w:bottom w:val="nil"/>
              <w:right w:val="single" w:sz="12" w:space="0" w:color="auto"/>
            </w:tcBorders>
            <w:shd w:val="clear" w:color="000000" w:fill="FFFFFF"/>
            <w:noWrap/>
            <w:vAlign w:val="center"/>
            <w:hideMark/>
          </w:tcPr>
          <w:p w14:paraId="265DA36B"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6</w:t>
            </w:r>
          </w:p>
        </w:tc>
        <w:tc>
          <w:tcPr>
            <w:tcW w:w="1620" w:type="dxa"/>
            <w:tcBorders>
              <w:top w:val="nil"/>
              <w:left w:val="nil"/>
              <w:bottom w:val="nil"/>
              <w:right w:val="single" w:sz="12" w:space="0" w:color="auto"/>
            </w:tcBorders>
            <w:shd w:val="clear" w:color="000000" w:fill="FFFFFF"/>
            <w:noWrap/>
            <w:vAlign w:val="center"/>
            <w:hideMark/>
          </w:tcPr>
          <w:p w14:paraId="71531151"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2.90%</w:t>
            </w:r>
          </w:p>
        </w:tc>
        <w:tc>
          <w:tcPr>
            <w:tcW w:w="2006" w:type="dxa"/>
            <w:tcBorders>
              <w:top w:val="nil"/>
              <w:left w:val="nil"/>
              <w:bottom w:val="nil"/>
              <w:right w:val="single" w:sz="12" w:space="0" w:color="auto"/>
            </w:tcBorders>
            <w:shd w:val="clear" w:color="000000" w:fill="FFFFFF"/>
            <w:noWrap/>
            <w:vAlign w:val="center"/>
            <w:hideMark/>
          </w:tcPr>
          <w:p w14:paraId="1ACC3B47"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12</w:t>
            </w:r>
          </w:p>
        </w:tc>
        <w:tc>
          <w:tcPr>
            <w:tcW w:w="2659" w:type="dxa"/>
            <w:tcBorders>
              <w:top w:val="nil"/>
              <w:left w:val="nil"/>
              <w:bottom w:val="nil"/>
              <w:right w:val="single" w:sz="12" w:space="0" w:color="auto"/>
            </w:tcBorders>
            <w:shd w:val="clear" w:color="000000" w:fill="FFFFFF"/>
            <w:noWrap/>
            <w:vAlign w:val="center"/>
            <w:hideMark/>
          </w:tcPr>
          <w:p w14:paraId="280AC72B"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0.09%</w:t>
            </w:r>
          </w:p>
        </w:tc>
      </w:tr>
      <w:tr w:rsidR="004219A7" w:rsidRPr="003344C4" w14:paraId="21737365" w14:textId="77777777" w:rsidTr="00A26290">
        <w:trPr>
          <w:trHeight w:val="306"/>
        </w:trPr>
        <w:tc>
          <w:tcPr>
            <w:tcW w:w="2834" w:type="dxa"/>
            <w:tcBorders>
              <w:top w:val="nil"/>
              <w:left w:val="single" w:sz="12" w:space="0" w:color="auto"/>
              <w:bottom w:val="nil"/>
              <w:right w:val="single" w:sz="12" w:space="0" w:color="auto"/>
            </w:tcBorders>
            <w:shd w:val="clear" w:color="000000" w:fill="FFFFFF"/>
            <w:noWrap/>
            <w:vAlign w:val="center"/>
            <w:hideMark/>
          </w:tcPr>
          <w:p w14:paraId="2C7320BD"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proofErr w:type="spellStart"/>
            <w:r w:rsidRPr="003344C4">
              <w:rPr>
                <w:i/>
                <w:iCs/>
                <w:color w:val="000000"/>
                <w:kern w:val="0"/>
                <w:szCs w:val="24"/>
              </w:rPr>
              <w:t>Melanthera</w:t>
            </w:r>
            <w:proofErr w:type="spellEnd"/>
            <w:r w:rsidRPr="003344C4">
              <w:rPr>
                <w:i/>
                <w:iCs/>
                <w:color w:val="000000"/>
                <w:kern w:val="0"/>
                <w:szCs w:val="24"/>
              </w:rPr>
              <w:t xml:space="preserve"> </w:t>
            </w:r>
            <w:proofErr w:type="spellStart"/>
            <w:r w:rsidRPr="003344C4">
              <w:rPr>
                <w:i/>
                <w:iCs/>
                <w:color w:val="000000"/>
                <w:kern w:val="0"/>
                <w:szCs w:val="24"/>
              </w:rPr>
              <w:t>parvifolia</w:t>
            </w:r>
            <w:proofErr w:type="spellEnd"/>
          </w:p>
        </w:tc>
        <w:tc>
          <w:tcPr>
            <w:tcW w:w="2191" w:type="dxa"/>
            <w:tcBorders>
              <w:top w:val="nil"/>
              <w:left w:val="nil"/>
              <w:bottom w:val="nil"/>
              <w:right w:val="single" w:sz="12" w:space="0" w:color="auto"/>
            </w:tcBorders>
            <w:shd w:val="clear" w:color="000000" w:fill="FFFFFF"/>
            <w:noWrap/>
            <w:vAlign w:val="center"/>
            <w:hideMark/>
          </w:tcPr>
          <w:p w14:paraId="57BBC561"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r w:rsidRPr="003344C4">
              <w:rPr>
                <w:color w:val="000000"/>
                <w:kern w:val="0"/>
                <w:szCs w:val="24"/>
              </w:rPr>
              <w:t>Asteraceae</w:t>
            </w:r>
          </w:p>
        </w:tc>
        <w:tc>
          <w:tcPr>
            <w:tcW w:w="1620" w:type="dxa"/>
            <w:tcBorders>
              <w:top w:val="nil"/>
              <w:left w:val="nil"/>
              <w:bottom w:val="nil"/>
              <w:right w:val="single" w:sz="12" w:space="0" w:color="auto"/>
            </w:tcBorders>
            <w:shd w:val="clear" w:color="000000" w:fill="FFFFFF"/>
            <w:noWrap/>
            <w:vAlign w:val="center"/>
            <w:hideMark/>
          </w:tcPr>
          <w:p w14:paraId="59900875"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4</w:t>
            </w:r>
          </w:p>
        </w:tc>
        <w:tc>
          <w:tcPr>
            <w:tcW w:w="1620" w:type="dxa"/>
            <w:tcBorders>
              <w:top w:val="nil"/>
              <w:left w:val="nil"/>
              <w:bottom w:val="nil"/>
              <w:right w:val="single" w:sz="12" w:space="0" w:color="auto"/>
            </w:tcBorders>
            <w:shd w:val="clear" w:color="000000" w:fill="FFFFFF"/>
            <w:noWrap/>
            <w:vAlign w:val="center"/>
            <w:hideMark/>
          </w:tcPr>
          <w:p w14:paraId="05A151C4"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1.93%</w:t>
            </w:r>
          </w:p>
        </w:tc>
        <w:tc>
          <w:tcPr>
            <w:tcW w:w="2006" w:type="dxa"/>
            <w:tcBorders>
              <w:top w:val="nil"/>
              <w:left w:val="nil"/>
              <w:bottom w:val="nil"/>
              <w:right w:val="single" w:sz="12" w:space="0" w:color="auto"/>
            </w:tcBorders>
            <w:shd w:val="clear" w:color="000000" w:fill="FFFFFF"/>
            <w:noWrap/>
            <w:vAlign w:val="center"/>
            <w:hideMark/>
          </w:tcPr>
          <w:p w14:paraId="18CA76D7"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13</w:t>
            </w:r>
          </w:p>
        </w:tc>
        <w:tc>
          <w:tcPr>
            <w:tcW w:w="2659" w:type="dxa"/>
            <w:tcBorders>
              <w:top w:val="nil"/>
              <w:left w:val="nil"/>
              <w:bottom w:val="nil"/>
              <w:right w:val="single" w:sz="12" w:space="0" w:color="auto"/>
            </w:tcBorders>
            <w:shd w:val="clear" w:color="000000" w:fill="FFFFFF"/>
            <w:noWrap/>
            <w:vAlign w:val="center"/>
            <w:hideMark/>
          </w:tcPr>
          <w:p w14:paraId="2A3DD725"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0.10%</w:t>
            </w:r>
          </w:p>
        </w:tc>
      </w:tr>
      <w:tr w:rsidR="004219A7" w:rsidRPr="003344C4" w14:paraId="7A77BC9C" w14:textId="77777777" w:rsidTr="00A26290">
        <w:trPr>
          <w:trHeight w:val="306"/>
        </w:trPr>
        <w:tc>
          <w:tcPr>
            <w:tcW w:w="2834" w:type="dxa"/>
            <w:tcBorders>
              <w:top w:val="nil"/>
              <w:left w:val="single" w:sz="12" w:space="0" w:color="auto"/>
              <w:bottom w:val="nil"/>
              <w:right w:val="single" w:sz="12" w:space="0" w:color="auto"/>
            </w:tcBorders>
            <w:shd w:val="clear" w:color="000000" w:fill="FFFFFF"/>
            <w:noWrap/>
            <w:vAlign w:val="center"/>
            <w:hideMark/>
          </w:tcPr>
          <w:p w14:paraId="651EB212"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proofErr w:type="spellStart"/>
            <w:r w:rsidRPr="003344C4">
              <w:rPr>
                <w:i/>
                <w:iCs/>
                <w:color w:val="000000"/>
                <w:kern w:val="0"/>
                <w:szCs w:val="24"/>
              </w:rPr>
              <w:t>Piloblephis</w:t>
            </w:r>
            <w:proofErr w:type="spellEnd"/>
            <w:r w:rsidRPr="003344C4">
              <w:rPr>
                <w:i/>
                <w:iCs/>
                <w:color w:val="000000"/>
                <w:kern w:val="0"/>
                <w:szCs w:val="24"/>
              </w:rPr>
              <w:t xml:space="preserve"> rigida</w:t>
            </w:r>
          </w:p>
        </w:tc>
        <w:tc>
          <w:tcPr>
            <w:tcW w:w="2191" w:type="dxa"/>
            <w:tcBorders>
              <w:top w:val="nil"/>
              <w:left w:val="nil"/>
              <w:bottom w:val="nil"/>
              <w:right w:val="single" w:sz="12" w:space="0" w:color="auto"/>
            </w:tcBorders>
            <w:shd w:val="clear" w:color="000000" w:fill="FFFFFF"/>
            <w:noWrap/>
            <w:vAlign w:val="center"/>
            <w:hideMark/>
          </w:tcPr>
          <w:p w14:paraId="65A24836"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proofErr w:type="spellStart"/>
            <w:r w:rsidRPr="003344C4">
              <w:rPr>
                <w:color w:val="000000"/>
                <w:kern w:val="0"/>
                <w:szCs w:val="24"/>
              </w:rPr>
              <w:t>Lamiaceae</w:t>
            </w:r>
            <w:proofErr w:type="spellEnd"/>
          </w:p>
        </w:tc>
        <w:tc>
          <w:tcPr>
            <w:tcW w:w="1620" w:type="dxa"/>
            <w:tcBorders>
              <w:top w:val="nil"/>
              <w:left w:val="nil"/>
              <w:bottom w:val="nil"/>
              <w:right w:val="single" w:sz="12" w:space="0" w:color="auto"/>
            </w:tcBorders>
            <w:shd w:val="clear" w:color="000000" w:fill="FFFFFF"/>
            <w:noWrap/>
            <w:vAlign w:val="center"/>
            <w:hideMark/>
          </w:tcPr>
          <w:p w14:paraId="1DB91A22"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1</w:t>
            </w:r>
          </w:p>
        </w:tc>
        <w:tc>
          <w:tcPr>
            <w:tcW w:w="1620" w:type="dxa"/>
            <w:tcBorders>
              <w:top w:val="nil"/>
              <w:left w:val="nil"/>
              <w:bottom w:val="nil"/>
              <w:right w:val="single" w:sz="12" w:space="0" w:color="auto"/>
            </w:tcBorders>
            <w:shd w:val="clear" w:color="000000" w:fill="FFFFFF"/>
            <w:noWrap/>
            <w:vAlign w:val="center"/>
            <w:hideMark/>
          </w:tcPr>
          <w:p w14:paraId="612C4E03"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0.48%</w:t>
            </w:r>
          </w:p>
        </w:tc>
        <w:tc>
          <w:tcPr>
            <w:tcW w:w="2006" w:type="dxa"/>
            <w:tcBorders>
              <w:top w:val="nil"/>
              <w:left w:val="nil"/>
              <w:bottom w:val="nil"/>
              <w:right w:val="single" w:sz="12" w:space="0" w:color="auto"/>
            </w:tcBorders>
            <w:shd w:val="clear" w:color="000000" w:fill="FFFFFF"/>
            <w:noWrap/>
            <w:vAlign w:val="center"/>
            <w:hideMark/>
          </w:tcPr>
          <w:p w14:paraId="7BB9A3C0"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1</w:t>
            </w:r>
          </w:p>
        </w:tc>
        <w:tc>
          <w:tcPr>
            <w:tcW w:w="2659" w:type="dxa"/>
            <w:tcBorders>
              <w:top w:val="nil"/>
              <w:left w:val="nil"/>
              <w:bottom w:val="nil"/>
              <w:right w:val="single" w:sz="12" w:space="0" w:color="auto"/>
            </w:tcBorders>
            <w:shd w:val="clear" w:color="000000" w:fill="FFFFFF"/>
            <w:noWrap/>
            <w:vAlign w:val="center"/>
            <w:hideMark/>
          </w:tcPr>
          <w:p w14:paraId="1BCBF4B6"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0.01%</w:t>
            </w:r>
          </w:p>
        </w:tc>
      </w:tr>
      <w:tr w:rsidR="004219A7" w:rsidRPr="003344C4" w14:paraId="56BBA90A" w14:textId="77777777" w:rsidTr="00A26290">
        <w:trPr>
          <w:trHeight w:val="306"/>
        </w:trPr>
        <w:tc>
          <w:tcPr>
            <w:tcW w:w="2834" w:type="dxa"/>
            <w:tcBorders>
              <w:top w:val="nil"/>
              <w:left w:val="single" w:sz="12" w:space="0" w:color="auto"/>
              <w:bottom w:val="nil"/>
              <w:right w:val="single" w:sz="12" w:space="0" w:color="auto"/>
            </w:tcBorders>
            <w:shd w:val="clear" w:color="000000" w:fill="FFFFFF"/>
            <w:noWrap/>
            <w:vAlign w:val="center"/>
            <w:hideMark/>
          </w:tcPr>
          <w:p w14:paraId="5E8BAC59"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r w:rsidRPr="003344C4">
              <w:rPr>
                <w:i/>
                <w:iCs/>
                <w:color w:val="000000"/>
                <w:kern w:val="0"/>
                <w:szCs w:val="24"/>
              </w:rPr>
              <w:t>Richardia grandiflora</w:t>
            </w:r>
          </w:p>
        </w:tc>
        <w:tc>
          <w:tcPr>
            <w:tcW w:w="2191" w:type="dxa"/>
            <w:tcBorders>
              <w:top w:val="nil"/>
              <w:left w:val="nil"/>
              <w:bottom w:val="nil"/>
              <w:right w:val="single" w:sz="12" w:space="0" w:color="auto"/>
            </w:tcBorders>
            <w:shd w:val="clear" w:color="000000" w:fill="FFFFFF"/>
            <w:noWrap/>
            <w:vAlign w:val="center"/>
            <w:hideMark/>
          </w:tcPr>
          <w:p w14:paraId="2F5FBFF4"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proofErr w:type="spellStart"/>
            <w:r w:rsidRPr="003344C4">
              <w:rPr>
                <w:color w:val="000000"/>
                <w:kern w:val="0"/>
                <w:szCs w:val="24"/>
              </w:rPr>
              <w:t>Rubiaceae</w:t>
            </w:r>
            <w:proofErr w:type="spellEnd"/>
          </w:p>
        </w:tc>
        <w:tc>
          <w:tcPr>
            <w:tcW w:w="1620" w:type="dxa"/>
            <w:tcBorders>
              <w:top w:val="nil"/>
              <w:left w:val="nil"/>
              <w:bottom w:val="nil"/>
              <w:right w:val="single" w:sz="12" w:space="0" w:color="auto"/>
            </w:tcBorders>
            <w:shd w:val="clear" w:color="000000" w:fill="FFFFFF"/>
            <w:noWrap/>
            <w:vAlign w:val="center"/>
            <w:hideMark/>
          </w:tcPr>
          <w:p w14:paraId="0753C385"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19</w:t>
            </w:r>
          </w:p>
        </w:tc>
        <w:tc>
          <w:tcPr>
            <w:tcW w:w="1620" w:type="dxa"/>
            <w:tcBorders>
              <w:top w:val="nil"/>
              <w:left w:val="nil"/>
              <w:bottom w:val="nil"/>
              <w:right w:val="single" w:sz="12" w:space="0" w:color="auto"/>
            </w:tcBorders>
            <w:shd w:val="clear" w:color="000000" w:fill="FFFFFF"/>
            <w:noWrap/>
            <w:vAlign w:val="center"/>
            <w:hideMark/>
          </w:tcPr>
          <w:p w14:paraId="33806A8F"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9.18%</w:t>
            </w:r>
          </w:p>
        </w:tc>
        <w:tc>
          <w:tcPr>
            <w:tcW w:w="2006" w:type="dxa"/>
            <w:tcBorders>
              <w:top w:val="nil"/>
              <w:left w:val="nil"/>
              <w:bottom w:val="nil"/>
              <w:right w:val="single" w:sz="12" w:space="0" w:color="auto"/>
            </w:tcBorders>
            <w:shd w:val="clear" w:color="000000" w:fill="FFFFFF"/>
            <w:noWrap/>
            <w:vAlign w:val="center"/>
            <w:hideMark/>
          </w:tcPr>
          <w:p w14:paraId="6084ADFD"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240</w:t>
            </w:r>
          </w:p>
        </w:tc>
        <w:tc>
          <w:tcPr>
            <w:tcW w:w="2659" w:type="dxa"/>
            <w:tcBorders>
              <w:top w:val="nil"/>
              <w:left w:val="nil"/>
              <w:bottom w:val="nil"/>
              <w:right w:val="single" w:sz="12" w:space="0" w:color="auto"/>
            </w:tcBorders>
            <w:shd w:val="clear" w:color="000000" w:fill="FFFFFF"/>
            <w:noWrap/>
            <w:vAlign w:val="center"/>
            <w:hideMark/>
          </w:tcPr>
          <w:p w14:paraId="5D13AC08"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1.77%</w:t>
            </w:r>
          </w:p>
        </w:tc>
      </w:tr>
      <w:tr w:rsidR="004219A7" w:rsidRPr="003344C4" w14:paraId="2C6C57CE" w14:textId="77777777" w:rsidTr="00A26290">
        <w:trPr>
          <w:trHeight w:val="306"/>
        </w:trPr>
        <w:tc>
          <w:tcPr>
            <w:tcW w:w="2834" w:type="dxa"/>
            <w:tcBorders>
              <w:top w:val="nil"/>
              <w:left w:val="single" w:sz="12" w:space="0" w:color="auto"/>
              <w:bottom w:val="nil"/>
              <w:right w:val="single" w:sz="12" w:space="0" w:color="auto"/>
            </w:tcBorders>
            <w:shd w:val="clear" w:color="000000" w:fill="FFFFFF"/>
            <w:noWrap/>
            <w:vAlign w:val="center"/>
            <w:hideMark/>
          </w:tcPr>
          <w:p w14:paraId="7850C151"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r w:rsidRPr="003344C4">
              <w:rPr>
                <w:i/>
                <w:iCs/>
                <w:color w:val="000000"/>
                <w:kern w:val="0"/>
                <w:szCs w:val="24"/>
              </w:rPr>
              <w:t>Richardia scabra</w:t>
            </w:r>
          </w:p>
        </w:tc>
        <w:tc>
          <w:tcPr>
            <w:tcW w:w="2191" w:type="dxa"/>
            <w:tcBorders>
              <w:top w:val="nil"/>
              <w:left w:val="nil"/>
              <w:bottom w:val="nil"/>
              <w:right w:val="single" w:sz="12" w:space="0" w:color="auto"/>
            </w:tcBorders>
            <w:shd w:val="clear" w:color="000000" w:fill="FFFFFF"/>
            <w:noWrap/>
            <w:vAlign w:val="center"/>
            <w:hideMark/>
          </w:tcPr>
          <w:p w14:paraId="4D1534B7"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proofErr w:type="spellStart"/>
            <w:r w:rsidRPr="003344C4">
              <w:rPr>
                <w:color w:val="000000"/>
                <w:kern w:val="0"/>
                <w:szCs w:val="24"/>
              </w:rPr>
              <w:t>Rubiaceae</w:t>
            </w:r>
            <w:proofErr w:type="spellEnd"/>
          </w:p>
        </w:tc>
        <w:tc>
          <w:tcPr>
            <w:tcW w:w="1620" w:type="dxa"/>
            <w:tcBorders>
              <w:top w:val="nil"/>
              <w:left w:val="nil"/>
              <w:bottom w:val="nil"/>
              <w:right w:val="single" w:sz="12" w:space="0" w:color="auto"/>
            </w:tcBorders>
            <w:shd w:val="clear" w:color="000000" w:fill="FFFFFF"/>
            <w:noWrap/>
            <w:vAlign w:val="center"/>
            <w:hideMark/>
          </w:tcPr>
          <w:p w14:paraId="419426B9"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1</w:t>
            </w:r>
          </w:p>
        </w:tc>
        <w:tc>
          <w:tcPr>
            <w:tcW w:w="1620" w:type="dxa"/>
            <w:tcBorders>
              <w:top w:val="nil"/>
              <w:left w:val="nil"/>
              <w:bottom w:val="nil"/>
              <w:right w:val="single" w:sz="12" w:space="0" w:color="auto"/>
            </w:tcBorders>
            <w:shd w:val="clear" w:color="000000" w:fill="FFFFFF"/>
            <w:noWrap/>
            <w:vAlign w:val="center"/>
            <w:hideMark/>
          </w:tcPr>
          <w:p w14:paraId="6B9E63AB"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0.48%</w:t>
            </w:r>
          </w:p>
        </w:tc>
        <w:tc>
          <w:tcPr>
            <w:tcW w:w="2006" w:type="dxa"/>
            <w:tcBorders>
              <w:top w:val="nil"/>
              <w:left w:val="nil"/>
              <w:bottom w:val="nil"/>
              <w:right w:val="single" w:sz="12" w:space="0" w:color="auto"/>
            </w:tcBorders>
            <w:shd w:val="clear" w:color="000000" w:fill="FFFFFF"/>
            <w:noWrap/>
            <w:vAlign w:val="center"/>
            <w:hideMark/>
          </w:tcPr>
          <w:p w14:paraId="36627681"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4</w:t>
            </w:r>
          </w:p>
        </w:tc>
        <w:tc>
          <w:tcPr>
            <w:tcW w:w="2659" w:type="dxa"/>
            <w:tcBorders>
              <w:top w:val="nil"/>
              <w:left w:val="nil"/>
              <w:bottom w:val="nil"/>
              <w:right w:val="single" w:sz="12" w:space="0" w:color="auto"/>
            </w:tcBorders>
            <w:shd w:val="clear" w:color="000000" w:fill="FFFFFF"/>
            <w:noWrap/>
            <w:vAlign w:val="center"/>
            <w:hideMark/>
          </w:tcPr>
          <w:p w14:paraId="7A69158A"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0.03%</w:t>
            </w:r>
          </w:p>
        </w:tc>
      </w:tr>
      <w:tr w:rsidR="004219A7" w:rsidRPr="003344C4" w14:paraId="7E398DC5" w14:textId="77777777" w:rsidTr="00A26290">
        <w:trPr>
          <w:trHeight w:val="306"/>
        </w:trPr>
        <w:tc>
          <w:tcPr>
            <w:tcW w:w="2834" w:type="dxa"/>
            <w:tcBorders>
              <w:top w:val="nil"/>
              <w:left w:val="single" w:sz="12" w:space="0" w:color="auto"/>
              <w:bottom w:val="nil"/>
              <w:right w:val="single" w:sz="12" w:space="0" w:color="auto"/>
            </w:tcBorders>
            <w:shd w:val="clear" w:color="000000" w:fill="FFFFFF"/>
            <w:noWrap/>
            <w:vAlign w:val="center"/>
            <w:hideMark/>
          </w:tcPr>
          <w:p w14:paraId="5371394D"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r w:rsidRPr="003344C4">
              <w:rPr>
                <w:i/>
                <w:iCs/>
                <w:color w:val="000000"/>
                <w:kern w:val="0"/>
                <w:szCs w:val="24"/>
              </w:rPr>
              <w:t xml:space="preserve">Vachellia </w:t>
            </w:r>
            <w:proofErr w:type="spellStart"/>
            <w:r w:rsidRPr="003344C4">
              <w:rPr>
                <w:i/>
                <w:iCs/>
                <w:color w:val="000000"/>
                <w:kern w:val="0"/>
                <w:szCs w:val="24"/>
              </w:rPr>
              <w:t>farnesiana</w:t>
            </w:r>
            <w:proofErr w:type="spellEnd"/>
          </w:p>
        </w:tc>
        <w:tc>
          <w:tcPr>
            <w:tcW w:w="2191" w:type="dxa"/>
            <w:tcBorders>
              <w:top w:val="nil"/>
              <w:left w:val="nil"/>
              <w:bottom w:val="nil"/>
              <w:right w:val="single" w:sz="12" w:space="0" w:color="auto"/>
            </w:tcBorders>
            <w:shd w:val="clear" w:color="000000" w:fill="FFFFFF"/>
            <w:noWrap/>
            <w:vAlign w:val="center"/>
            <w:hideMark/>
          </w:tcPr>
          <w:p w14:paraId="39B0130B"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r w:rsidRPr="003344C4">
              <w:rPr>
                <w:color w:val="000000"/>
                <w:kern w:val="0"/>
                <w:szCs w:val="24"/>
              </w:rPr>
              <w:t>Fabaceae</w:t>
            </w:r>
          </w:p>
        </w:tc>
        <w:tc>
          <w:tcPr>
            <w:tcW w:w="1620" w:type="dxa"/>
            <w:tcBorders>
              <w:top w:val="nil"/>
              <w:left w:val="nil"/>
              <w:bottom w:val="nil"/>
              <w:right w:val="single" w:sz="12" w:space="0" w:color="auto"/>
            </w:tcBorders>
            <w:shd w:val="clear" w:color="000000" w:fill="FFFFFF"/>
            <w:noWrap/>
            <w:vAlign w:val="center"/>
            <w:hideMark/>
          </w:tcPr>
          <w:p w14:paraId="32D75F32"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1</w:t>
            </w:r>
          </w:p>
        </w:tc>
        <w:tc>
          <w:tcPr>
            <w:tcW w:w="1620" w:type="dxa"/>
            <w:tcBorders>
              <w:top w:val="nil"/>
              <w:left w:val="nil"/>
              <w:bottom w:val="nil"/>
              <w:right w:val="single" w:sz="12" w:space="0" w:color="auto"/>
            </w:tcBorders>
            <w:shd w:val="clear" w:color="000000" w:fill="FFFFFF"/>
            <w:noWrap/>
            <w:vAlign w:val="center"/>
            <w:hideMark/>
          </w:tcPr>
          <w:p w14:paraId="0B6BBE9C"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0.48%</w:t>
            </w:r>
          </w:p>
        </w:tc>
        <w:tc>
          <w:tcPr>
            <w:tcW w:w="2006" w:type="dxa"/>
            <w:tcBorders>
              <w:top w:val="nil"/>
              <w:left w:val="nil"/>
              <w:bottom w:val="nil"/>
              <w:right w:val="single" w:sz="12" w:space="0" w:color="auto"/>
            </w:tcBorders>
            <w:shd w:val="clear" w:color="000000" w:fill="FFFFFF"/>
            <w:noWrap/>
            <w:vAlign w:val="center"/>
            <w:hideMark/>
          </w:tcPr>
          <w:p w14:paraId="3F7C180D"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2</w:t>
            </w:r>
          </w:p>
        </w:tc>
        <w:tc>
          <w:tcPr>
            <w:tcW w:w="2659" w:type="dxa"/>
            <w:tcBorders>
              <w:top w:val="nil"/>
              <w:left w:val="nil"/>
              <w:bottom w:val="nil"/>
              <w:right w:val="single" w:sz="12" w:space="0" w:color="auto"/>
            </w:tcBorders>
            <w:shd w:val="clear" w:color="000000" w:fill="FFFFFF"/>
            <w:noWrap/>
            <w:vAlign w:val="center"/>
            <w:hideMark/>
          </w:tcPr>
          <w:p w14:paraId="16B3791A"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0.01%</w:t>
            </w:r>
          </w:p>
        </w:tc>
      </w:tr>
      <w:tr w:rsidR="004219A7" w:rsidRPr="003344C4" w14:paraId="14BA97FE" w14:textId="77777777" w:rsidTr="00A26290">
        <w:trPr>
          <w:trHeight w:val="312"/>
        </w:trPr>
        <w:tc>
          <w:tcPr>
            <w:tcW w:w="2834" w:type="dxa"/>
            <w:tcBorders>
              <w:top w:val="nil"/>
              <w:left w:val="single" w:sz="12" w:space="0" w:color="auto"/>
              <w:bottom w:val="nil"/>
              <w:right w:val="single" w:sz="12" w:space="0" w:color="auto"/>
            </w:tcBorders>
            <w:shd w:val="clear" w:color="000000" w:fill="FFFFFF"/>
            <w:noWrap/>
            <w:vAlign w:val="center"/>
            <w:hideMark/>
          </w:tcPr>
          <w:p w14:paraId="0100A8AB"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proofErr w:type="spellStart"/>
            <w:r w:rsidRPr="003344C4">
              <w:rPr>
                <w:i/>
                <w:iCs/>
                <w:color w:val="000000"/>
                <w:kern w:val="0"/>
                <w:szCs w:val="24"/>
              </w:rPr>
              <w:t>Waltheria</w:t>
            </w:r>
            <w:proofErr w:type="spellEnd"/>
            <w:r w:rsidRPr="003344C4">
              <w:rPr>
                <w:i/>
                <w:iCs/>
                <w:color w:val="000000"/>
                <w:kern w:val="0"/>
                <w:szCs w:val="24"/>
              </w:rPr>
              <w:t xml:space="preserve"> indica</w:t>
            </w:r>
          </w:p>
        </w:tc>
        <w:tc>
          <w:tcPr>
            <w:tcW w:w="2191" w:type="dxa"/>
            <w:tcBorders>
              <w:top w:val="nil"/>
              <w:left w:val="nil"/>
              <w:bottom w:val="nil"/>
              <w:right w:val="single" w:sz="12" w:space="0" w:color="auto"/>
            </w:tcBorders>
            <w:shd w:val="clear" w:color="000000" w:fill="FFFFFF"/>
            <w:noWrap/>
            <w:vAlign w:val="center"/>
            <w:hideMark/>
          </w:tcPr>
          <w:p w14:paraId="11536364"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proofErr w:type="spellStart"/>
            <w:r w:rsidRPr="003344C4">
              <w:rPr>
                <w:color w:val="000000"/>
                <w:kern w:val="0"/>
                <w:szCs w:val="24"/>
              </w:rPr>
              <w:t>Malvaceae</w:t>
            </w:r>
            <w:proofErr w:type="spellEnd"/>
          </w:p>
        </w:tc>
        <w:tc>
          <w:tcPr>
            <w:tcW w:w="1620" w:type="dxa"/>
            <w:tcBorders>
              <w:top w:val="nil"/>
              <w:left w:val="nil"/>
              <w:bottom w:val="nil"/>
              <w:right w:val="single" w:sz="12" w:space="0" w:color="auto"/>
            </w:tcBorders>
            <w:shd w:val="clear" w:color="000000" w:fill="FFFFFF"/>
            <w:noWrap/>
            <w:vAlign w:val="center"/>
            <w:hideMark/>
          </w:tcPr>
          <w:p w14:paraId="4718C0CE"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5</w:t>
            </w:r>
          </w:p>
        </w:tc>
        <w:tc>
          <w:tcPr>
            <w:tcW w:w="1620" w:type="dxa"/>
            <w:tcBorders>
              <w:top w:val="nil"/>
              <w:left w:val="nil"/>
              <w:bottom w:val="nil"/>
              <w:right w:val="single" w:sz="12" w:space="0" w:color="auto"/>
            </w:tcBorders>
            <w:shd w:val="clear" w:color="000000" w:fill="FFFFFF"/>
            <w:noWrap/>
            <w:vAlign w:val="center"/>
            <w:hideMark/>
          </w:tcPr>
          <w:p w14:paraId="1BA97D23"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2.42%</w:t>
            </w:r>
          </w:p>
        </w:tc>
        <w:tc>
          <w:tcPr>
            <w:tcW w:w="2006" w:type="dxa"/>
            <w:tcBorders>
              <w:top w:val="nil"/>
              <w:left w:val="nil"/>
              <w:bottom w:val="nil"/>
              <w:right w:val="single" w:sz="12" w:space="0" w:color="auto"/>
            </w:tcBorders>
            <w:shd w:val="clear" w:color="000000" w:fill="FFFFFF"/>
            <w:noWrap/>
            <w:vAlign w:val="center"/>
            <w:hideMark/>
          </w:tcPr>
          <w:p w14:paraId="50325EDD"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68</w:t>
            </w:r>
          </w:p>
        </w:tc>
        <w:tc>
          <w:tcPr>
            <w:tcW w:w="2659" w:type="dxa"/>
            <w:tcBorders>
              <w:top w:val="nil"/>
              <w:left w:val="nil"/>
              <w:bottom w:val="nil"/>
              <w:right w:val="single" w:sz="12" w:space="0" w:color="auto"/>
            </w:tcBorders>
            <w:shd w:val="clear" w:color="000000" w:fill="FFFFFF"/>
            <w:noWrap/>
            <w:vAlign w:val="center"/>
            <w:hideMark/>
          </w:tcPr>
          <w:p w14:paraId="376E1223"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0.50%</w:t>
            </w:r>
          </w:p>
        </w:tc>
      </w:tr>
      <w:tr w:rsidR="004219A7" w:rsidRPr="003344C4" w14:paraId="52C716E5" w14:textId="77777777" w:rsidTr="00A26290">
        <w:trPr>
          <w:trHeight w:val="312"/>
        </w:trPr>
        <w:tc>
          <w:tcPr>
            <w:tcW w:w="2834" w:type="dxa"/>
            <w:tcBorders>
              <w:top w:val="single" w:sz="8" w:space="0" w:color="auto"/>
              <w:left w:val="single" w:sz="12" w:space="0" w:color="auto"/>
              <w:bottom w:val="single" w:sz="8" w:space="0" w:color="auto"/>
              <w:right w:val="single" w:sz="12" w:space="0" w:color="auto"/>
            </w:tcBorders>
            <w:shd w:val="clear" w:color="000000" w:fill="D9D9D9"/>
            <w:noWrap/>
            <w:vAlign w:val="center"/>
            <w:hideMark/>
          </w:tcPr>
          <w:p w14:paraId="5565A57E" w14:textId="77777777" w:rsidR="003344C4" w:rsidRPr="003344C4" w:rsidRDefault="003344C4" w:rsidP="00A26290">
            <w:pPr>
              <w:widowControl/>
              <w:overflowPunct/>
              <w:autoSpaceDE/>
              <w:autoSpaceDN/>
              <w:adjustRightInd/>
              <w:contextualSpacing w:val="0"/>
              <w:jc w:val="center"/>
              <w:rPr>
                <w:b/>
                <w:bCs/>
                <w:color w:val="000000"/>
                <w:kern w:val="0"/>
                <w:szCs w:val="24"/>
              </w:rPr>
            </w:pPr>
            <w:r w:rsidRPr="003344C4">
              <w:rPr>
                <w:b/>
                <w:bCs/>
                <w:color w:val="000000"/>
                <w:kern w:val="0"/>
                <w:szCs w:val="24"/>
              </w:rPr>
              <w:t>Endozoochory</w:t>
            </w:r>
          </w:p>
        </w:tc>
        <w:tc>
          <w:tcPr>
            <w:tcW w:w="2191" w:type="dxa"/>
            <w:tcBorders>
              <w:top w:val="single" w:sz="8" w:space="0" w:color="auto"/>
              <w:left w:val="nil"/>
              <w:bottom w:val="single" w:sz="8" w:space="0" w:color="auto"/>
              <w:right w:val="single" w:sz="12" w:space="0" w:color="auto"/>
            </w:tcBorders>
            <w:shd w:val="clear" w:color="000000" w:fill="D9D9D9"/>
            <w:noWrap/>
            <w:vAlign w:val="center"/>
            <w:hideMark/>
          </w:tcPr>
          <w:p w14:paraId="378AB1C9"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w:t>
            </w:r>
          </w:p>
        </w:tc>
        <w:tc>
          <w:tcPr>
            <w:tcW w:w="1620" w:type="dxa"/>
            <w:tcBorders>
              <w:top w:val="single" w:sz="8" w:space="0" w:color="auto"/>
              <w:left w:val="nil"/>
              <w:bottom w:val="single" w:sz="8" w:space="0" w:color="auto"/>
              <w:right w:val="single" w:sz="12" w:space="0" w:color="auto"/>
            </w:tcBorders>
            <w:shd w:val="clear" w:color="000000" w:fill="D9D9D9"/>
            <w:noWrap/>
            <w:vAlign w:val="center"/>
            <w:hideMark/>
          </w:tcPr>
          <w:p w14:paraId="5ED32BC8" w14:textId="77777777" w:rsidR="003344C4" w:rsidRPr="003344C4" w:rsidRDefault="003344C4" w:rsidP="00A26290">
            <w:pPr>
              <w:widowControl/>
              <w:overflowPunct/>
              <w:autoSpaceDE/>
              <w:autoSpaceDN/>
              <w:adjustRightInd/>
              <w:contextualSpacing w:val="0"/>
              <w:jc w:val="center"/>
              <w:rPr>
                <w:b/>
                <w:bCs/>
                <w:color w:val="000000"/>
                <w:kern w:val="0"/>
                <w:szCs w:val="24"/>
              </w:rPr>
            </w:pPr>
            <w:r w:rsidRPr="003344C4">
              <w:rPr>
                <w:b/>
                <w:bCs/>
                <w:color w:val="000000"/>
                <w:kern w:val="0"/>
                <w:szCs w:val="24"/>
              </w:rPr>
              <w:t>105</w:t>
            </w:r>
          </w:p>
        </w:tc>
        <w:tc>
          <w:tcPr>
            <w:tcW w:w="1620" w:type="dxa"/>
            <w:tcBorders>
              <w:top w:val="single" w:sz="8" w:space="0" w:color="auto"/>
              <w:left w:val="nil"/>
              <w:bottom w:val="single" w:sz="8" w:space="0" w:color="auto"/>
              <w:right w:val="single" w:sz="12" w:space="0" w:color="auto"/>
            </w:tcBorders>
            <w:shd w:val="clear" w:color="000000" w:fill="D9D9D9"/>
            <w:noWrap/>
            <w:vAlign w:val="center"/>
            <w:hideMark/>
          </w:tcPr>
          <w:p w14:paraId="66438799" w14:textId="77777777" w:rsidR="003344C4" w:rsidRPr="003344C4" w:rsidRDefault="003344C4" w:rsidP="00A26290">
            <w:pPr>
              <w:widowControl/>
              <w:overflowPunct/>
              <w:autoSpaceDE/>
              <w:autoSpaceDN/>
              <w:adjustRightInd/>
              <w:contextualSpacing w:val="0"/>
              <w:jc w:val="center"/>
              <w:rPr>
                <w:b/>
                <w:bCs/>
                <w:color w:val="000000"/>
                <w:kern w:val="0"/>
                <w:szCs w:val="24"/>
              </w:rPr>
            </w:pPr>
            <w:r w:rsidRPr="003344C4">
              <w:rPr>
                <w:b/>
                <w:bCs/>
                <w:color w:val="000000"/>
                <w:kern w:val="0"/>
                <w:szCs w:val="24"/>
              </w:rPr>
              <w:t>50.72%</w:t>
            </w:r>
          </w:p>
        </w:tc>
        <w:tc>
          <w:tcPr>
            <w:tcW w:w="2006" w:type="dxa"/>
            <w:tcBorders>
              <w:top w:val="single" w:sz="8" w:space="0" w:color="auto"/>
              <w:left w:val="nil"/>
              <w:bottom w:val="single" w:sz="8" w:space="0" w:color="auto"/>
              <w:right w:val="single" w:sz="12" w:space="0" w:color="auto"/>
            </w:tcBorders>
            <w:shd w:val="clear" w:color="000000" w:fill="D9D9D9"/>
            <w:noWrap/>
            <w:vAlign w:val="center"/>
            <w:hideMark/>
          </w:tcPr>
          <w:p w14:paraId="47B5E0A8" w14:textId="77777777" w:rsidR="003344C4" w:rsidRPr="003344C4" w:rsidRDefault="003344C4" w:rsidP="00A26290">
            <w:pPr>
              <w:widowControl/>
              <w:overflowPunct/>
              <w:autoSpaceDE/>
              <w:autoSpaceDN/>
              <w:adjustRightInd/>
              <w:contextualSpacing w:val="0"/>
              <w:jc w:val="center"/>
              <w:rPr>
                <w:b/>
                <w:bCs/>
                <w:color w:val="000000"/>
                <w:kern w:val="0"/>
                <w:szCs w:val="24"/>
              </w:rPr>
            </w:pPr>
            <w:r w:rsidRPr="003344C4">
              <w:rPr>
                <w:b/>
                <w:bCs/>
                <w:color w:val="000000"/>
                <w:kern w:val="0"/>
                <w:szCs w:val="24"/>
              </w:rPr>
              <w:t>3709</w:t>
            </w:r>
          </w:p>
        </w:tc>
        <w:tc>
          <w:tcPr>
            <w:tcW w:w="2659" w:type="dxa"/>
            <w:tcBorders>
              <w:top w:val="single" w:sz="8" w:space="0" w:color="auto"/>
              <w:left w:val="nil"/>
              <w:bottom w:val="single" w:sz="8" w:space="0" w:color="auto"/>
              <w:right w:val="single" w:sz="12" w:space="0" w:color="auto"/>
            </w:tcBorders>
            <w:shd w:val="clear" w:color="000000" w:fill="D9D9D9"/>
            <w:noWrap/>
            <w:vAlign w:val="center"/>
            <w:hideMark/>
          </w:tcPr>
          <w:p w14:paraId="27787256" w14:textId="77777777" w:rsidR="003344C4" w:rsidRPr="003344C4" w:rsidRDefault="003344C4" w:rsidP="00A26290">
            <w:pPr>
              <w:widowControl/>
              <w:overflowPunct/>
              <w:autoSpaceDE/>
              <w:autoSpaceDN/>
              <w:adjustRightInd/>
              <w:contextualSpacing w:val="0"/>
              <w:jc w:val="center"/>
              <w:rPr>
                <w:b/>
                <w:bCs/>
                <w:color w:val="000000"/>
                <w:kern w:val="0"/>
                <w:szCs w:val="24"/>
              </w:rPr>
            </w:pPr>
            <w:r w:rsidRPr="003344C4">
              <w:rPr>
                <w:b/>
                <w:bCs/>
                <w:color w:val="000000"/>
                <w:kern w:val="0"/>
                <w:szCs w:val="24"/>
              </w:rPr>
              <w:t>27.30%</w:t>
            </w:r>
          </w:p>
        </w:tc>
      </w:tr>
      <w:tr w:rsidR="004219A7" w:rsidRPr="003344C4" w14:paraId="19E25FA2" w14:textId="77777777" w:rsidTr="00A26290">
        <w:trPr>
          <w:trHeight w:val="306"/>
        </w:trPr>
        <w:tc>
          <w:tcPr>
            <w:tcW w:w="2834" w:type="dxa"/>
            <w:tcBorders>
              <w:top w:val="nil"/>
              <w:left w:val="single" w:sz="12" w:space="0" w:color="auto"/>
              <w:bottom w:val="nil"/>
              <w:right w:val="single" w:sz="12" w:space="0" w:color="auto"/>
            </w:tcBorders>
            <w:shd w:val="clear" w:color="000000" w:fill="FFFFFF"/>
            <w:noWrap/>
            <w:vAlign w:val="center"/>
            <w:hideMark/>
          </w:tcPr>
          <w:p w14:paraId="3AC63E3C"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proofErr w:type="spellStart"/>
            <w:r w:rsidRPr="003344C4">
              <w:rPr>
                <w:i/>
                <w:iCs/>
                <w:color w:val="000000"/>
                <w:kern w:val="0"/>
                <w:szCs w:val="24"/>
              </w:rPr>
              <w:lastRenderedPageBreak/>
              <w:t>Byrsonima</w:t>
            </w:r>
            <w:proofErr w:type="spellEnd"/>
            <w:r w:rsidRPr="003344C4">
              <w:rPr>
                <w:i/>
                <w:iCs/>
                <w:color w:val="000000"/>
                <w:kern w:val="0"/>
                <w:szCs w:val="24"/>
              </w:rPr>
              <w:t xml:space="preserve"> lucida</w:t>
            </w:r>
          </w:p>
        </w:tc>
        <w:tc>
          <w:tcPr>
            <w:tcW w:w="2191" w:type="dxa"/>
            <w:tcBorders>
              <w:top w:val="nil"/>
              <w:left w:val="nil"/>
              <w:bottom w:val="nil"/>
              <w:right w:val="single" w:sz="12" w:space="0" w:color="auto"/>
            </w:tcBorders>
            <w:shd w:val="clear" w:color="000000" w:fill="FFFFFF"/>
            <w:noWrap/>
            <w:vAlign w:val="center"/>
            <w:hideMark/>
          </w:tcPr>
          <w:p w14:paraId="624E64FA"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proofErr w:type="spellStart"/>
            <w:r w:rsidRPr="003344C4">
              <w:rPr>
                <w:color w:val="000000"/>
                <w:kern w:val="0"/>
                <w:szCs w:val="24"/>
              </w:rPr>
              <w:t>Malpighiaceae</w:t>
            </w:r>
            <w:proofErr w:type="spellEnd"/>
          </w:p>
        </w:tc>
        <w:tc>
          <w:tcPr>
            <w:tcW w:w="1620" w:type="dxa"/>
            <w:tcBorders>
              <w:top w:val="nil"/>
              <w:left w:val="nil"/>
              <w:bottom w:val="nil"/>
              <w:right w:val="single" w:sz="12" w:space="0" w:color="auto"/>
            </w:tcBorders>
            <w:shd w:val="clear" w:color="000000" w:fill="FFFFFF"/>
            <w:noWrap/>
            <w:vAlign w:val="center"/>
            <w:hideMark/>
          </w:tcPr>
          <w:p w14:paraId="7484BB36"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7</w:t>
            </w:r>
          </w:p>
        </w:tc>
        <w:tc>
          <w:tcPr>
            <w:tcW w:w="1620" w:type="dxa"/>
            <w:tcBorders>
              <w:top w:val="nil"/>
              <w:left w:val="nil"/>
              <w:bottom w:val="nil"/>
              <w:right w:val="single" w:sz="12" w:space="0" w:color="auto"/>
            </w:tcBorders>
            <w:shd w:val="clear" w:color="000000" w:fill="FFFFFF"/>
            <w:noWrap/>
            <w:vAlign w:val="center"/>
            <w:hideMark/>
          </w:tcPr>
          <w:p w14:paraId="230EF224"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3.38%</w:t>
            </w:r>
          </w:p>
        </w:tc>
        <w:tc>
          <w:tcPr>
            <w:tcW w:w="2006" w:type="dxa"/>
            <w:tcBorders>
              <w:top w:val="nil"/>
              <w:left w:val="nil"/>
              <w:bottom w:val="nil"/>
              <w:right w:val="single" w:sz="12" w:space="0" w:color="auto"/>
            </w:tcBorders>
            <w:shd w:val="clear" w:color="000000" w:fill="FFFFFF"/>
            <w:noWrap/>
            <w:vAlign w:val="center"/>
            <w:hideMark/>
          </w:tcPr>
          <w:p w14:paraId="0F6C1BBC"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563</w:t>
            </w:r>
          </w:p>
        </w:tc>
        <w:tc>
          <w:tcPr>
            <w:tcW w:w="2659" w:type="dxa"/>
            <w:tcBorders>
              <w:top w:val="nil"/>
              <w:left w:val="nil"/>
              <w:bottom w:val="nil"/>
              <w:right w:val="single" w:sz="12" w:space="0" w:color="auto"/>
            </w:tcBorders>
            <w:shd w:val="clear" w:color="000000" w:fill="FFFFFF"/>
            <w:noWrap/>
            <w:vAlign w:val="center"/>
            <w:hideMark/>
          </w:tcPr>
          <w:p w14:paraId="4170A7CE"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4.14%</w:t>
            </w:r>
          </w:p>
        </w:tc>
      </w:tr>
      <w:tr w:rsidR="004219A7" w:rsidRPr="003344C4" w14:paraId="0C7643D4" w14:textId="77777777" w:rsidTr="00A26290">
        <w:trPr>
          <w:trHeight w:val="306"/>
        </w:trPr>
        <w:tc>
          <w:tcPr>
            <w:tcW w:w="2834" w:type="dxa"/>
            <w:tcBorders>
              <w:top w:val="nil"/>
              <w:left w:val="single" w:sz="12" w:space="0" w:color="auto"/>
              <w:bottom w:val="nil"/>
              <w:right w:val="single" w:sz="12" w:space="0" w:color="auto"/>
            </w:tcBorders>
            <w:shd w:val="clear" w:color="000000" w:fill="FFFFFF"/>
            <w:noWrap/>
            <w:vAlign w:val="center"/>
            <w:hideMark/>
          </w:tcPr>
          <w:p w14:paraId="1C7B7C81"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r w:rsidRPr="003344C4">
              <w:rPr>
                <w:i/>
                <w:iCs/>
                <w:color w:val="000000"/>
                <w:kern w:val="0"/>
                <w:szCs w:val="24"/>
              </w:rPr>
              <w:t xml:space="preserve">Cassytha </w:t>
            </w:r>
            <w:proofErr w:type="spellStart"/>
            <w:r w:rsidRPr="003344C4">
              <w:rPr>
                <w:i/>
                <w:iCs/>
                <w:color w:val="000000"/>
                <w:kern w:val="0"/>
                <w:szCs w:val="24"/>
              </w:rPr>
              <w:t>filiformis</w:t>
            </w:r>
            <w:proofErr w:type="spellEnd"/>
          </w:p>
        </w:tc>
        <w:tc>
          <w:tcPr>
            <w:tcW w:w="2191" w:type="dxa"/>
            <w:tcBorders>
              <w:top w:val="nil"/>
              <w:left w:val="nil"/>
              <w:bottom w:val="nil"/>
              <w:right w:val="single" w:sz="12" w:space="0" w:color="auto"/>
            </w:tcBorders>
            <w:shd w:val="clear" w:color="000000" w:fill="FFFFFF"/>
            <w:noWrap/>
            <w:vAlign w:val="center"/>
            <w:hideMark/>
          </w:tcPr>
          <w:p w14:paraId="4864329C"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proofErr w:type="spellStart"/>
            <w:r w:rsidRPr="003344C4">
              <w:rPr>
                <w:color w:val="000000"/>
                <w:kern w:val="0"/>
                <w:szCs w:val="24"/>
              </w:rPr>
              <w:t>Lauraceae</w:t>
            </w:r>
            <w:proofErr w:type="spellEnd"/>
          </w:p>
        </w:tc>
        <w:tc>
          <w:tcPr>
            <w:tcW w:w="1620" w:type="dxa"/>
            <w:tcBorders>
              <w:top w:val="nil"/>
              <w:left w:val="nil"/>
              <w:bottom w:val="nil"/>
              <w:right w:val="single" w:sz="12" w:space="0" w:color="auto"/>
            </w:tcBorders>
            <w:shd w:val="clear" w:color="000000" w:fill="FFFFFF"/>
            <w:noWrap/>
            <w:vAlign w:val="center"/>
            <w:hideMark/>
          </w:tcPr>
          <w:p w14:paraId="46F66B08"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3</w:t>
            </w:r>
          </w:p>
        </w:tc>
        <w:tc>
          <w:tcPr>
            <w:tcW w:w="1620" w:type="dxa"/>
            <w:tcBorders>
              <w:top w:val="nil"/>
              <w:left w:val="nil"/>
              <w:bottom w:val="nil"/>
              <w:right w:val="single" w:sz="12" w:space="0" w:color="auto"/>
            </w:tcBorders>
            <w:shd w:val="clear" w:color="000000" w:fill="FFFFFF"/>
            <w:noWrap/>
            <w:vAlign w:val="center"/>
            <w:hideMark/>
          </w:tcPr>
          <w:p w14:paraId="7674DC02"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1.45%</w:t>
            </w:r>
          </w:p>
        </w:tc>
        <w:tc>
          <w:tcPr>
            <w:tcW w:w="2006" w:type="dxa"/>
            <w:tcBorders>
              <w:top w:val="nil"/>
              <w:left w:val="nil"/>
              <w:bottom w:val="nil"/>
              <w:right w:val="single" w:sz="12" w:space="0" w:color="auto"/>
            </w:tcBorders>
            <w:shd w:val="clear" w:color="000000" w:fill="FFFFFF"/>
            <w:noWrap/>
            <w:vAlign w:val="center"/>
            <w:hideMark/>
          </w:tcPr>
          <w:p w14:paraId="7C292B37"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3</w:t>
            </w:r>
          </w:p>
        </w:tc>
        <w:tc>
          <w:tcPr>
            <w:tcW w:w="2659" w:type="dxa"/>
            <w:tcBorders>
              <w:top w:val="nil"/>
              <w:left w:val="nil"/>
              <w:bottom w:val="nil"/>
              <w:right w:val="single" w:sz="12" w:space="0" w:color="auto"/>
            </w:tcBorders>
            <w:shd w:val="clear" w:color="000000" w:fill="FFFFFF"/>
            <w:noWrap/>
            <w:vAlign w:val="center"/>
            <w:hideMark/>
          </w:tcPr>
          <w:p w14:paraId="526BCBCC"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0.02%</w:t>
            </w:r>
          </w:p>
        </w:tc>
      </w:tr>
      <w:tr w:rsidR="004219A7" w:rsidRPr="003344C4" w14:paraId="01FD5CDB" w14:textId="77777777" w:rsidTr="00A26290">
        <w:trPr>
          <w:trHeight w:val="306"/>
        </w:trPr>
        <w:tc>
          <w:tcPr>
            <w:tcW w:w="2834" w:type="dxa"/>
            <w:tcBorders>
              <w:top w:val="nil"/>
              <w:left w:val="single" w:sz="12" w:space="0" w:color="auto"/>
              <w:bottom w:val="nil"/>
              <w:right w:val="single" w:sz="12" w:space="0" w:color="auto"/>
            </w:tcBorders>
            <w:shd w:val="clear" w:color="000000" w:fill="FFFFFF"/>
            <w:noWrap/>
            <w:vAlign w:val="center"/>
            <w:hideMark/>
          </w:tcPr>
          <w:p w14:paraId="3014D304"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proofErr w:type="spellStart"/>
            <w:r w:rsidRPr="003344C4">
              <w:rPr>
                <w:i/>
                <w:iCs/>
                <w:color w:val="000000"/>
                <w:kern w:val="0"/>
                <w:szCs w:val="24"/>
              </w:rPr>
              <w:t>Coccothrinax</w:t>
            </w:r>
            <w:proofErr w:type="spellEnd"/>
            <w:r w:rsidRPr="003344C4">
              <w:rPr>
                <w:i/>
                <w:iCs/>
                <w:color w:val="000000"/>
                <w:kern w:val="0"/>
                <w:szCs w:val="24"/>
              </w:rPr>
              <w:t xml:space="preserve"> </w:t>
            </w:r>
            <w:proofErr w:type="spellStart"/>
            <w:r w:rsidRPr="003344C4">
              <w:rPr>
                <w:i/>
                <w:iCs/>
                <w:color w:val="000000"/>
                <w:kern w:val="0"/>
                <w:szCs w:val="24"/>
              </w:rPr>
              <w:t>argentata</w:t>
            </w:r>
            <w:proofErr w:type="spellEnd"/>
          </w:p>
        </w:tc>
        <w:tc>
          <w:tcPr>
            <w:tcW w:w="2191" w:type="dxa"/>
            <w:tcBorders>
              <w:top w:val="nil"/>
              <w:left w:val="nil"/>
              <w:bottom w:val="nil"/>
              <w:right w:val="single" w:sz="12" w:space="0" w:color="auto"/>
            </w:tcBorders>
            <w:shd w:val="clear" w:color="000000" w:fill="FFFFFF"/>
            <w:noWrap/>
            <w:vAlign w:val="center"/>
            <w:hideMark/>
          </w:tcPr>
          <w:p w14:paraId="29F0005E"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proofErr w:type="spellStart"/>
            <w:r w:rsidRPr="003344C4">
              <w:rPr>
                <w:color w:val="000000"/>
                <w:kern w:val="0"/>
                <w:szCs w:val="24"/>
              </w:rPr>
              <w:t>Arecaceae</w:t>
            </w:r>
            <w:proofErr w:type="spellEnd"/>
          </w:p>
        </w:tc>
        <w:tc>
          <w:tcPr>
            <w:tcW w:w="1620" w:type="dxa"/>
            <w:tcBorders>
              <w:top w:val="nil"/>
              <w:left w:val="nil"/>
              <w:bottom w:val="nil"/>
              <w:right w:val="single" w:sz="12" w:space="0" w:color="auto"/>
            </w:tcBorders>
            <w:shd w:val="clear" w:color="000000" w:fill="FFFFFF"/>
            <w:noWrap/>
            <w:vAlign w:val="center"/>
            <w:hideMark/>
          </w:tcPr>
          <w:p w14:paraId="774AEDA9"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3</w:t>
            </w:r>
          </w:p>
        </w:tc>
        <w:tc>
          <w:tcPr>
            <w:tcW w:w="1620" w:type="dxa"/>
            <w:tcBorders>
              <w:top w:val="nil"/>
              <w:left w:val="nil"/>
              <w:bottom w:val="nil"/>
              <w:right w:val="single" w:sz="12" w:space="0" w:color="auto"/>
            </w:tcBorders>
            <w:shd w:val="clear" w:color="000000" w:fill="FFFFFF"/>
            <w:noWrap/>
            <w:vAlign w:val="center"/>
            <w:hideMark/>
          </w:tcPr>
          <w:p w14:paraId="108C7298"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1.45%</w:t>
            </w:r>
          </w:p>
        </w:tc>
        <w:tc>
          <w:tcPr>
            <w:tcW w:w="2006" w:type="dxa"/>
            <w:tcBorders>
              <w:top w:val="nil"/>
              <w:left w:val="nil"/>
              <w:bottom w:val="nil"/>
              <w:right w:val="single" w:sz="12" w:space="0" w:color="auto"/>
            </w:tcBorders>
            <w:shd w:val="clear" w:color="000000" w:fill="FFFFFF"/>
            <w:noWrap/>
            <w:vAlign w:val="center"/>
            <w:hideMark/>
          </w:tcPr>
          <w:p w14:paraId="7714F0FB"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41</w:t>
            </w:r>
          </w:p>
        </w:tc>
        <w:tc>
          <w:tcPr>
            <w:tcW w:w="2659" w:type="dxa"/>
            <w:tcBorders>
              <w:top w:val="nil"/>
              <w:left w:val="nil"/>
              <w:bottom w:val="nil"/>
              <w:right w:val="single" w:sz="12" w:space="0" w:color="auto"/>
            </w:tcBorders>
            <w:shd w:val="clear" w:color="000000" w:fill="FFFFFF"/>
            <w:noWrap/>
            <w:vAlign w:val="center"/>
            <w:hideMark/>
          </w:tcPr>
          <w:p w14:paraId="796DBD20"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0.30%</w:t>
            </w:r>
          </w:p>
        </w:tc>
      </w:tr>
      <w:tr w:rsidR="004219A7" w:rsidRPr="003344C4" w14:paraId="2B5A9F4E" w14:textId="77777777" w:rsidTr="00A26290">
        <w:trPr>
          <w:trHeight w:val="306"/>
        </w:trPr>
        <w:tc>
          <w:tcPr>
            <w:tcW w:w="2834" w:type="dxa"/>
            <w:tcBorders>
              <w:top w:val="nil"/>
              <w:left w:val="single" w:sz="12" w:space="0" w:color="auto"/>
              <w:bottom w:val="nil"/>
              <w:right w:val="single" w:sz="12" w:space="0" w:color="auto"/>
            </w:tcBorders>
            <w:shd w:val="clear" w:color="000000" w:fill="FFFFFF"/>
            <w:noWrap/>
            <w:vAlign w:val="center"/>
            <w:hideMark/>
          </w:tcPr>
          <w:p w14:paraId="6FDFE425"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proofErr w:type="spellStart"/>
            <w:r w:rsidRPr="003344C4">
              <w:rPr>
                <w:i/>
                <w:iCs/>
                <w:color w:val="000000"/>
                <w:kern w:val="0"/>
                <w:szCs w:val="24"/>
              </w:rPr>
              <w:t>Guettarda</w:t>
            </w:r>
            <w:proofErr w:type="spellEnd"/>
            <w:r w:rsidRPr="003344C4">
              <w:rPr>
                <w:i/>
                <w:iCs/>
                <w:color w:val="000000"/>
                <w:kern w:val="0"/>
                <w:szCs w:val="24"/>
              </w:rPr>
              <w:t xml:space="preserve"> scabra</w:t>
            </w:r>
          </w:p>
        </w:tc>
        <w:tc>
          <w:tcPr>
            <w:tcW w:w="2191" w:type="dxa"/>
            <w:tcBorders>
              <w:top w:val="nil"/>
              <w:left w:val="nil"/>
              <w:bottom w:val="nil"/>
              <w:right w:val="single" w:sz="12" w:space="0" w:color="auto"/>
            </w:tcBorders>
            <w:shd w:val="clear" w:color="000000" w:fill="FFFFFF"/>
            <w:noWrap/>
            <w:vAlign w:val="center"/>
            <w:hideMark/>
          </w:tcPr>
          <w:p w14:paraId="7B404E2F"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proofErr w:type="spellStart"/>
            <w:r w:rsidRPr="003344C4">
              <w:rPr>
                <w:color w:val="000000"/>
                <w:kern w:val="0"/>
                <w:szCs w:val="24"/>
              </w:rPr>
              <w:t>Rubiaceae</w:t>
            </w:r>
            <w:proofErr w:type="spellEnd"/>
          </w:p>
        </w:tc>
        <w:tc>
          <w:tcPr>
            <w:tcW w:w="1620" w:type="dxa"/>
            <w:tcBorders>
              <w:top w:val="nil"/>
              <w:left w:val="nil"/>
              <w:bottom w:val="nil"/>
              <w:right w:val="single" w:sz="12" w:space="0" w:color="auto"/>
            </w:tcBorders>
            <w:shd w:val="clear" w:color="000000" w:fill="FFFFFF"/>
            <w:noWrap/>
            <w:vAlign w:val="center"/>
            <w:hideMark/>
          </w:tcPr>
          <w:p w14:paraId="6D0463D2"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3</w:t>
            </w:r>
          </w:p>
        </w:tc>
        <w:tc>
          <w:tcPr>
            <w:tcW w:w="1620" w:type="dxa"/>
            <w:tcBorders>
              <w:top w:val="nil"/>
              <w:left w:val="nil"/>
              <w:bottom w:val="nil"/>
              <w:right w:val="single" w:sz="12" w:space="0" w:color="auto"/>
            </w:tcBorders>
            <w:shd w:val="clear" w:color="000000" w:fill="FFFFFF"/>
            <w:noWrap/>
            <w:vAlign w:val="center"/>
            <w:hideMark/>
          </w:tcPr>
          <w:p w14:paraId="5C766E24"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1.45%</w:t>
            </w:r>
          </w:p>
        </w:tc>
        <w:tc>
          <w:tcPr>
            <w:tcW w:w="2006" w:type="dxa"/>
            <w:tcBorders>
              <w:top w:val="nil"/>
              <w:left w:val="nil"/>
              <w:bottom w:val="nil"/>
              <w:right w:val="single" w:sz="12" w:space="0" w:color="auto"/>
            </w:tcBorders>
            <w:shd w:val="clear" w:color="000000" w:fill="FFFFFF"/>
            <w:noWrap/>
            <w:vAlign w:val="center"/>
            <w:hideMark/>
          </w:tcPr>
          <w:p w14:paraId="466C48D9"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63</w:t>
            </w:r>
          </w:p>
        </w:tc>
        <w:tc>
          <w:tcPr>
            <w:tcW w:w="2659" w:type="dxa"/>
            <w:tcBorders>
              <w:top w:val="nil"/>
              <w:left w:val="nil"/>
              <w:bottom w:val="nil"/>
              <w:right w:val="single" w:sz="12" w:space="0" w:color="auto"/>
            </w:tcBorders>
            <w:shd w:val="clear" w:color="000000" w:fill="FFFFFF"/>
            <w:noWrap/>
            <w:vAlign w:val="center"/>
            <w:hideMark/>
          </w:tcPr>
          <w:p w14:paraId="43338AA4"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0.46%</w:t>
            </w:r>
          </w:p>
        </w:tc>
      </w:tr>
      <w:tr w:rsidR="004219A7" w:rsidRPr="003344C4" w14:paraId="5C1B29E1" w14:textId="77777777" w:rsidTr="00A26290">
        <w:trPr>
          <w:trHeight w:val="306"/>
        </w:trPr>
        <w:tc>
          <w:tcPr>
            <w:tcW w:w="2834" w:type="dxa"/>
            <w:tcBorders>
              <w:top w:val="nil"/>
              <w:left w:val="single" w:sz="12" w:space="0" w:color="auto"/>
              <w:bottom w:val="nil"/>
              <w:right w:val="single" w:sz="12" w:space="0" w:color="auto"/>
            </w:tcBorders>
            <w:shd w:val="clear" w:color="000000" w:fill="FFFFFF"/>
            <w:noWrap/>
            <w:vAlign w:val="center"/>
            <w:hideMark/>
          </w:tcPr>
          <w:p w14:paraId="4E9E3220"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r w:rsidRPr="003344C4">
              <w:rPr>
                <w:i/>
                <w:iCs/>
                <w:color w:val="000000"/>
                <w:kern w:val="0"/>
                <w:szCs w:val="24"/>
              </w:rPr>
              <w:t>Lantana camara</w:t>
            </w:r>
          </w:p>
        </w:tc>
        <w:tc>
          <w:tcPr>
            <w:tcW w:w="2191" w:type="dxa"/>
            <w:tcBorders>
              <w:top w:val="nil"/>
              <w:left w:val="nil"/>
              <w:bottom w:val="nil"/>
              <w:right w:val="single" w:sz="12" w:space="0" w:color="auto"/>
            </w:tcBorders>
            <w:shd w:val="clear" w:color="000000" w:fill="FFFFFF"/>
            <w:noWrap/>
            <w:vAlign w:val="center"/>
            <w:hideMark/>
          </w:tcPr>
          <w:p w14:paraId="25F5D7B5"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r w:rsidRPr="003344C4">
              <w:rPr>
                <w:color w:val="000000"/>
                <w:kern w:val="0"/>
                <w:szCs w:val="24"/>
              </w:rPr>
              <w:t>Verbenaceae</w:t>
            </w:r>
          </w:p>
        </w:tc>
        <w:tc>
          <w:tcPr>
            <w:tcW w:w="1620" w:type="dxa"/>
            <w:tcBorders>
              <w:top w:val="nil"/>
              <w:left w:val="nil"/>
              <w:bottom w:val="nil"/>
              <w:right w:val="single" w:sz="12" w:space="0" w:color="auto"/>
            </w:tcBorders>
            <w:shd w:val="clear" w:color="000000" w:fill="FFFFFF"/>
            <w:noWrap/>
            <w:vAlign w:val="center"/>
            <w:hideMark/>
          </w:tcPr>
          <w:p w14:paraId="63610BAD"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9</w:t>
            </w:r>
          </w:p>
        </w:tc>
        <w:tc>
          <w:tcPr>
            <w:tcW w:w="1620" w:type="dxa"/>
            <w:tcBorders>
              <w:top w:val="nil"/>
              <w:left w:val="nil"/>
              <w:bottom w:val="nil"/>
              <w:right w:val="single" w:sz="12" w:space="0" w:color="auto"/>
            </w:tcBorders>
            <w:shd w:val="clear" w:color="000000" w:fill="FFFFFF"/>
            <w:noWrap/>
            <w:vAlign w:val="center"/>
            <w:hideMark/>
          </w:tcPr>
          <w:p w14:paraId="1D09CC48"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4.35%</w:t>
            </w:r>
          </w:p>
        </w:tc>
        <w:tc>
          <w:tcPr>
            <w:tcW w:w="2006" w:type="dxa"/>
            <w:tcBorders>
              <w:top w:val="nil"/>
              <w:left w:val="nil"/>
              <w:bottom w:val="nil"/>
              <w:right w:val="single" w:sz="12" w:space="0" w:color="auto"/>
            </w:tcBorders>
            <w:shd w:val="clear" w:color="000000" w:fill="FFFFFF"/>
            <w:noWrap/>
            <w:vAlign w:val="center"/>
            <w:hideMark/>
          </w:tcPr>
          <w:p w14:paraId="1BEEB73B"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60</w:t>
            </w:r>
          </w:p>
        </w:tc>
        <w:tc>
          <w:tcPr>
            <w:tcW w:w="2659" w:type="dxa"/>
            <w:tcBorders>
              <w:top w:val="nil"/>
              <w:left w:val="nil"/>
              <w:bottom w:val="nil"/>
              <w:right w:val="single" w:sz="12" w:space="0" w:color="auto"/>
            </w:tcBorders>
            <w:shd w:val="clear" w:color="000000" w:fill="FFFFFF"/>
            <w:noWrap/>
            <w:vAlign w:val="center"/>
            <w:hideMark/>
          </w:tcPr>
          <w:p w14:paraId="2FF81A71"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0.44%</w:t>
            </w:r>
          </w:p>
        </w:tc>
      </w:tr>
      <w:tr w:rsidR="004219A7" w:rsidRPr="003344C4" w14:paraId="36720891" w14:textId="77777777" w:rsidTr="00A26290">
        <w:trPr>
          <w:trHeight w:val="306"/>
        </w:trPr>
        <w:tc>
          <w:tcPr>
            <w:tcW w:w="2834" w:type="dxa"/>
            <w:tcBorders>
              <w:top w:val="nil"/>
              <w:left w:val="single" w:sz="12" w:space="0" w:color="auto"/>
              <w:bottom w:val="nil"/>
              <w:right w:val="single" w:sz="12" w:space="0" w:color="auto"/>
            </w:tcBorders>
            <w:shd w:val="clear" w:color="000000" w:fill="FFFFFF"/>
            <w:noWrap/>
            <w:vAlign w:val="center"/>
            <w:hideMark/>
          </w:tcPr>
          <w:p w14:paraId="19228BDC"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proofErr w:type="spellStart"/>
            <w:r w:rsidRPr="003344C4">
              <w:rPr>
                <w:i/>
                <w:iCs/>
                <w:color w:val="000000"/>
                <w:kern w:val="0"/>
                <w:szCs w:val="24"/>
              </w:rPr>
              <w:t>Metopium</w:t>
            </w:r>
            <w:proofErr w:type="spellEnd"/>
            <w:r w:rsidRPr="003344C4">
              <w:rPr>
                <w:i/>
                <w:iCs/>
                <w:color w:val="000000"/>
                <w:kern w:val="0"/>
                <w:szCs w:val="24"/>
              </w:rPr>
              <w:t xml:space="preserve"> </w:t>
            </w:r>
            <w:proofErr w:type="spellStart"/>
            <w:r w:rsidRPr="003344C4">
              <w:rPr>
                <w:i/>
                <w:iCs/>
                <w:color w:val="000000"/>
                <w:kern w:val="0"/>
                <w:szCs w:val="24"/>
              </w:rPr>
              <w:t>toxiferum</w:t>
            </w:r>
            <w:proofErr w:type="spellEnd"/>
          </w:p>
        </w:tc>
        <w:tc>
          <w:tcPr>
            <w:tcW w:w="2191" w:type="dxa"/>
            <w:tcBorders>
              <w:top w:val="nil"/>
              <w:left w:val="nil"/>
              <w:bottom w:val="nil"/>
              <w:right w:val="single" w:sz="12" w:space="0" w:color="auto"/>
            </w:tcBorders>
            <w:shd w:val="clear" w:color="000000" w:fill="FFFFFF"/>
            <w:noWrap/>
            <w:vAlign w:val="center"/>
            <w:hideMark/>
          </w:tcPr>
          <w:p w14:paraId="5D5C38B5"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proofErr w:type="spellStart"/>
            <w:r w:rsidRPr="003344C4">
              <w:rPr>
                <w:color w:val="000000"/>
                <w:kern w:val="0"/>
                <w:szCs w:val="24"/>
              </w:rPr>
              <w:t>Anacardiaceae</w:t>
            </w:r>
            <w:proofErr w:type="spellEnd"/>
          </w:p>
        </w:tc>
        <w:tc>
          <w:tcPr>
            <w:tcW w:w="1620" w:type="dxa"/>
            <w:tcBorders>
              <w:top w:val="nil"/>
              <w:left w:val="nil"/>
              <w:bottom w:val="nil"/>
              <w:right w:val="single" w:sz="12" w:space="0" w:color="auto"/>
            </w:tcBorders>
            <w:shd w:val="clear" w:color="000000" w:fill="FFFFFF"/>
            <w:noWrap/>
            <w:vAlign w:val="center"/>
            <w:hideMark/>
          </w:tcPr>
          <w:p w14:paraId="35F86407"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1</w:t>
            </w:r>
          </w:p>
        </w:tc>
        <w:tc>
          <w:tcPr>
            <w:tcW w:w="1620" w:type="dxa"/>
            <w:tcBorders>
              <w:top w:val="nil"/>
              <w:left w:val="nil"/>
              <w:bottom w:val="nil"/>
              <w:right w:val="single" w:sz="12" w:space="0" w:color="auto"/>
            </w:tcBorders>
            <w:shd w:val="clear" w:color="000000" w:fill="FFFFFF"/>
            <w:noWrap/>
            <w:vAlign w:val="center"/>
            <w:hideMark/>
          </w:tcPr>
          <w:p w14:paraId="15222614"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0.48%</w:t>
            </w:r>
          </w:p>
        </w:tc>
        <w:tc>
          <w:tcPr>
            <w:tcW w:w="2006" w:type="dxa"/>
            <w:tcBorders>
              <w:top w:val="nil"/>
              <w:left w:val="nil"/>
              <w:bottom w:val="nil"/>
              <w:right w:val="single" w:sz="12" w:space="0" w:color="auto"/>
            </w:tcBorders>
            <w:shd w:val="clear" w:color="000000" w:fill="FFFFFF"/>
            <w:noWrap/>
            <w:vAlign w:val="center"/>
            <w:hideMark/>
          </w:tcPr>
          <w:p w14:paraId="5A1B9652"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w:t>
            </w:r>
          </w:p>
        </w:tc>
        <w:tc>
          <w:tcPr>
            <w:tcW w:w="2659" w:type="dxa"/>
            <w:tcBorders>
              <w:top w:val="nil"/>
              <w:left w:val="nil"/>
              <w:bottom w:val="nil"/>
              <w:right w:val="single" w:sz="12" w:space="0" w:color="auto"/>
            </w:tcBorders>
            <w:shd w:val="clear" w:color="000000" w:fill="FFFFFF"/>
            <w:noWrap/>
            <w:vAlign w:val="center"/>
            <w:hideMark/>
          </w:tcPr>
          <w:p w14:paraId="6F62A572"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0.00%</w:t>
            </w:r>
          </w:p>
        </w:tc>
      </w:tr>
      <w:tr w:rsidR="004219A7" w:rsidRPr="003344C4" w14:paraId="3C4E1ABA" w14:textId="77777777" w:rsidTr="00A26290">
        <w:trPr>
          <w:trHeight w:val="306"/>
        </w:trPr>
        <w:tc>
          <w:tcPr>
            <w:tcW w:w="2834" w:type="dxa"/>
            <w:tcBorders>
              <w:top w:val="nil"/>
              <w:left w:val="single" w:sz="12" w:space="0" w:color="auto"/>
              <w:bottom w:val="nil"/>
              <w:right w:val="single" w:sz="12" w:space="0" w:color="auto"/>
            </w:tcBorders>
            <w:shd w:val="clear" w:color="000000" w:fill="FFFFFF"/>
            <w:noWrap/>
            <w:vAlign w:val="center"/>
            <w:hideMark/>
          </w:tcPr>
          <w:p w14:paraId="4FBF69C8"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proofErr w:type="spellStart"/>
            <w:r w:rsidRPr="003344C4">
              <w:rPr>
                <w:i/>
                <w:iCs/>
                <w:color w:val="000000"/>
                <w:kern w:val="0"/>
                <w:szCs w:val="24"/>
              </w:rPr>
              <w:t>Miconia</w:t>
            </w:r>
            <w:proofErr w:type="spellEnd"/>
            <w:r w:rsidRPr="003344C4">
              <w:rPr>
                <w:i/>
                <w:iCs/>
                <w:color w:val="000000"/>
                <w:kern w:val="0"/>
                <w:szCs w:val="24"/>
              </w:rPr>
              <w:t xml:space="preserve"> bicolor</w:t>
            </w:r>
          </w:p>
        </w:tc>
        <w:tc>
          <w:tcPr>
            <w:tcW w:w="2191" w:type="dxa"/>
            <w:tcBorders>
              <w:top w:val="nil"/>
              <w:left w:val="nil"/>
              <w:bottom w:val="nil"/>
              <w:right w:val="single" w:sz="12" w:space="0" w:color="auto"/>
            </w:tcBorders>
            <w:shd w:val="clear" w:color="000000" w:fill="FFFFFF"/>
            <w:noWrap/>
            <w:vAlign w:val="center"/>
            <w:hideMark/>
          </w:tcPr>
          <w:p w14:paraId="7D4A05F4"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proofErr w:type="spellStart"/>
            <w:r w:rsidRPr="003344C4">
              <w:rPr>
                <w:color w:val="000000"/>
                <w:kern w:val="0"/>
                <w:szCs w:val="24"/>
              </w:rPr>
              <w:t>Melastomataceae</w:t>
            </w:r>
            <w:proofErr w:type="spellEnd"/>
          </w:p>
        </w:tc>
        <w:tc>
          <w:tcPr>
            <w:tcW w:w="1620" w:type="dxa"/>
            <w:tcBorders>
              <w:top w:val="nil"/>
              <w:left w:val="nil"/>
              <w:bottom w:val="nil"/>
              <w:right w:val="single" w:sz="12" w:space="0" w:color="auto"/>
            </w:tcBorders>
            <w:shd w:val="clear" w:color="000000" w:fill="FFFFFF"/>
            <w:noWrap/>
            <w:vAlign w:val="center"/>
            <w:hideMark/>
          </w:tcPr>
          <w:p w14:paraId="1BD35BDA"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5</w:t>
            </w:r>
          </w:p>
        </w:tc>
        <w:tc>
          <w:tcPr>
            <w:tcW w:w="1620" w:type="dxa"/>
            <w:tcBorders>
              <w:top w:val="nil"/>
              <w:left w:val="nil"/>
              <w:bottom w:val="nil"/>
              <w:right w:val="single" w:sz="12" w:space="0" w:color="auto"/>
            </w:tcBorders>
            <w:shd w:val="clear" w:color="000000" w:fill="FFFFFF"/>
            <w:noWrap/>
            <w:vAlign w:val="center"/>
            <w:hideMark/>
          </w:tcPr>
          <w:p w14:paraId="16777790"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2.42%</w:t>
            </w:r>
          </w:p>
        </w:tc>
        <w:tc>
          <w:tcPr>
            <w:tcW w:w="2006" w:type="dxa"/>
            <w:tcBorders>
              <w:top w:val="nil"/>
              <w:left w:val="nil"/>
              <w:bottom w:val="nil"/>
              <w:right w:val="single" w:sz="12" w:space="0" w:color="auto"/>
            </w:tcBorders>
            <w:shd w:val="clear" w:color="000000" w:fill="FFFFFF"/>
            <w:noWrap/>
            <w:vAlign w:val="center"/>
            <w:hideMark/>
          </w:tcPr>
          <w:p w14:paraId="0032A017"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1129</w:t>
            </w:r>
          </w:p>
        </w:tc>
        <w:tc>
          <w:tcPr>
            <w:tcW w:w="2659" w:type="dxa"/>
            <w:tcBorders>
              <w:top w:val="nil"/>
              <w:left w:val="nil"/>
              <w:bottom w:val="nil"/>
              <w:right w:val="single" w:sz="12" w:space="0" w:color="auto"/>
            </w:tcBorders>
            <w:shd w:val="clear" w:color="000000" w:fill="FFFFFF"/>
            <w:noWrap/>
            <w:vAlign w:val="center"/>
            <w:hideMark/>
          </w:tcPr>
          <w:p w14:paraId="31343E7D"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8.31%</w:t>
            </w:r>
          </w:p>
        </w:tc>
      </w:tr>
      <w:tr w:rsidR="004219A7" w:rsidRPr="003344C4" w14:paraId="0C2FDD0E" w14:textId="77777777" w:rsidTr="00A26290">
        <w:trPr>
          <w:trHeight w:val="306"/>
        </w:trPr>
        <w:tc>
          <w:tcPr>
            <w:tcW w:w="2834" w:type="dxa"/>
            <w:tcBorders>
              <w:top w:val="nil"/>
              <w:left w:val="single" w:sz="12" w:space="0" w:color="auto"/>
              <w:bottom w:val="nil"/>
              <w:right w:val="single" w:sz="12" w:space="0" w:color="auto"/>
            </w:tcBorders>
            <w:shd w:val="clear" w:color="000000" w:fill="FFFFFF"/>
            <w:noWrap/>
            <w:vAlign w:val="center"/>
            <w:hideMark/>
          </w:tcPr>
          <w:p w14:paraId="1B642737"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r w:rsidRPr="003344C4">
              <w:rPr>
                <w:i/>
                <w:iCs/>
                <w:color w:val="000000"/>
                <w:kern w:val="0"/>
                <w:szCs w:val="24"/>
              </w:rPr>
              <w:t xml:space="preserve">Momordica </w:t>
            </w:r>
            <w:proofErr w:type="spellStart"/>
            <w:r w:rsidRPr="003344C4">
              <w:rPr>
                <w:i/>
                <w:iCs/>
                <w:color w:val="000000"/>
                <w:kern w:val="0"/>
                <w:szCs w:val="24"/>
              </w:rPr>
              <w:t>charantia</w:t>
            </w:r>
            <w:proofErr w:type="spellEnd"/>
          </w:p>
        </w:tc>
        <w:tc>
          <w:tcPr>
            <w:tcW w:w="2191" w:type="dxa"/>
            <w:tcBorders>
              <w:top w:val="nil"/>
              <w:left w:val="nil"/>
              <w:bottom w:val="nil"/>
              <w:right w:val="single" w:sz="12" w:space="0" w:color="auto"/>
            </w:tcBorders>
            <w:shd w:val="clear" w:color="000000" w:fill="FFFFFF"/>
            <w:noWrap/>
            <w:vAlign w:val="center"/>
            <w:hideMark/>
          </w:tcPr>
          <w:p w14:paraId="6C41340E"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r w:rsidRPr="003344C4">
              <w:rPr>
                <w:color w:val="000000"/>
                <w:kern w:val="0"/>
                <w:szCs w:val="24"/>
              </w:rPr>
              <w:t>Cucurbitaceae</w:t>
            </w:r>
          </w:p>
        </w:tc>
        <w:tc>
          <w:tcPr>
            <w:tcW w:w="1620" w:type="dxa"/>
            <w:tcBorders>
              <w:top w:val="nil"/>
              <w:left w:val="nil"/>
              <w:bottom w:val="nil"/>
              <w:right w:val="single" w:sz="12" w:space="0" w:color="auto"/>
            </w:tcBorders>
            <w:shd w:val="clear" w:color="000000" w:fill="FFFFFF"/>
            <w:noWrap/>
            <w:vAlign w:val="center"/>
            <w:hideMark/>
          </w:tcPr>
          <w:p w14:paraId="1C76FD71"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3</w:t>
            </w:r>
          </w:p>
        </w:tc>
        <w:tc>
          <w:tcPr>
            <w:tcW w:w="1620" w:type="dxa"/>
            <w:tcBorders>
              <w:top w:val="nil"/>
              <w:left w:val="nil"/>
              <w:bottom w:val="nil"/>
              <w:right w:val="single" w:sz="12" w:space="0" w:color="auto"/>
            </w:tcBorders>
            <w:shd w:val="clear" w:color="000000" w:fill="FFFFFF"/>
            <w:noWrap/>
            <w:vAlign w:val="center"/>
            <w:hideMark/>
          </w:tcPr>
          <w:p w14:paraId="1BE59160"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1.45%</w:t>
            </w:r>
          </w:p>
        </w:tc>
        <w:tc>
          <w:tcPr>
            <w:tcW w:w="2006" w:type="dxa"/>
            <w:tcBorders>
              <w:top w:val="nil"/>
              <w:left w:val="nil"/>
              <w:bottom w:val="nil"/>
              <w:right w:val="single" w:sz="12" w:space="0" w:color="auto"/>
            </w:tcBorders>
            <w:shd w:val="clear" w:color="000000" w:fill="FFFFFF"/>
            <w:noWrap/>
            <w:vAlign w:val="center"/>
            <w:hideMark/>
          </w:tcPr>
          <w:p w14:paraId="5106C1A0"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24</w:t>
            </w:r>
          </w:p>
        </w:tc>
        <w:tc>
          <w:tcPr>
            <w:tcW w:w="2659" w:type="dxa"/>
            <w:tcBorders>
              <w:top w:val="nil"/>
              <w:left w:val="nil"/>
              <w:bottom w:val="nil"/>
              <w:right w:val="single" w:sz="12" w:space="0" w:color="auto"/>
            </w:tcBorders>
            <w:shd w:val="clear" w:color="000000" w:fill="FFFFFF"/>
            <w:noWrap/>
            <w:vAlign w:val="center"/>
            <w:hideMark/>
          </w:tcPr>
          <w:p w14:paraId="0B3F0858"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0.18%</w:t>
            </w:r>
          </w:p>
        </w:tc>
      </w:tr>
      <w:tr w:rsidR="004219A7" w:rsidRPr="003344C4" w14:paraId="6D9A82ED" w14:textId="77777777" w:rsidTr="00A26290">
        <w:trPr>
          <w:trHeight w:val="306"/>
        </w:trPr>
        <w:tc>
          <w:tcPr>
            <w:tcW w:w="2834" w:type="dxa"/>
            <w:tcBorders>
              <w:top w:val="nil"/>
              <w:left w:val="single" w:sz="12" w:space="0" w:color="auto"/>
              <w:bottom w:val="nil"/>
              <w:right w:val="single" w:sz="12" w:space="0" w:color="auto"/>
            </w:tcBorders>
            <w:shd w:val="clear" w:color="000000" w:fill="FFFFFF"/>
            <w:noWrap/>
            <w:vAlign w:val="center"/>
            <w:hideMark/>
          </w:tcPr>
          <w:p w14:paraId="234027B2"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proofErr w:type="spellStart"/>
            <w:r w:rsidRPr="003344C4">
              <w:rPr>
                <w:i/>
                <w:iCs/>
                <w:color w:val="000000"/>
                <w:kern w:val="0"/>
                <w:szCs w:val="24"/>
              </w:rPr>
              <w:t>Morinda</w:t>
            </w:r>
            <w:proofErr w:type="spellEnd"/>
            <w:r w:rsidRPr="003344C4">
              <w:rPr>
                <w:i/>
                <w:iCs/>
                <w:color w:val="000000"/>
                <w:kern w:val="0"/>
                <w:szCs w:val="24"/>
              </w:rPr>
              <w:t xml:space="preserve"> </w:t>
            </w:r>
            <w:proofErr w:type="spellStart"/>
            <w:r w:rsidRPr="003344C4">
              <w:rPr>
                <w:i/>
                <w:iCs/>
                <w:color w:val="000000"/>
                <w:kern w:val="0"/>
                <w:szCs w:val="24"/>
              </w:rPr>
              <w:t>royoc</w:t>
            </w:r>
            <w:proofErr w:type="spellEnd"/>
          </w:p>
        </w:tc>
        <w:tc>
          <w:tcPr>
            <w:tcW w:w="2191" w:type="dxa"/>
            <w:tcBorders>
              <w:top w:val="nil"/>
              <w:left w:val="nil"/>
              <w:bottom w:val="nil"/>
              <w:right w:val="single" w:sz="12" w:space="0" w:color="auto"/>
            </w:tcBorders>
            <w:shd w:val="clear" w:color="000000" w:fill="FFFFFF"/>
            <w:noWrap/>
            <w:vAlign w:val="center"/>
            <w:hideMark/>
          </w:tcPr>
          <w:p w14:paraId="6F3FA7AF"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proofErr w:type="spellStart"/>
            <w:r w:rsidRPr="003344C4">
              <w:rPr>
                <w:color w:val="000000"/>
                <w:kern w:val="0"/>
                <w:szCs w:val="24"/>
              </w:rPr>
              <w:t>Rubiaceae</w:t>
            </w:r>
            <w:proofErr w:type="spellEnd"/>
          </w:p>
        </w:tc>
        <w:tc>
          <w:tcPr>
            <w:tcW w:w="1620" w:type="dxa"/>
            <w:tcBorders>
              <w:top w:val="nil"/>
              <w:left w:val="nil"/>
              <w:bottom w:val="nil"/>
              <w:right w:val="single" w:sz="12" w:space="0" w:color="auto"/>
            </w:tcBorders>
            <w:shd w:val="clear" w:color="000000" w:fill="FFFFFF"/>
            <w:noWrap/>
            <w:vAlign w:val="center"/>
            <w:hideMark/>
          </w:tcPr>
          <w:p w14:paraId="7810E479"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1</w:t>
            </w:r>
          </w:p>
        </w:tc>
        <w:tc>
          <w:tcPr>
            <w:tcW w:w="1620" w:type="dxa"/>
            <w:tcBorders>
              <w:top w:val="nil"/>
              <w:left w:val="nil"/>
              <w:bottom w:val="nil"/>
              <w:right w:val="single" w:sz="12" w:space="0" w:color="auto"/>
            </w:tcBorders>
            <w:shd w:val="clear" w:color="000000" w:fill="FFFFFF"/>
            <w:noWrap/>
            <w:vAlign w:val="center"/>
            <w:hideMark/>
          </w:tcPr>
          <w:p w14:paraId="3B19F88F"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0.48%</w:t>
            </w:r>
          </w:p>
        </w:tc>
        <w:tc>
          <w:tcPr>
            <w:tcW w:w="2006" w:type="dxa"/>
            <w:tcBorders>
              <w:top w:val="nil"/>
              <w:left w:val="nil"/>
              <w:bottom w:val="nil"/>
              <w:right w:val="single" w:sz="12" w:space="0" w:color="auto"/>
            </w:tcBorders>
            <w:shd w:val="clear" w:color="000000" w:fill="FFFFFF"/>
            <w:noWrap/>
            <w:vAlign w:val="center"/>
            <w:hideMark/>
          </w:tcPr>
          <w:p w14:paraId="6E615080"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1</w:t>
            </w:r>
          </w:p>
        </w:tc>
        <w:tc>
          <w:tcPr>
            <w:tcW w:w="2659" w:type="dxa"/>
            <w:tcBorders>
              <w:top w:val="nil"/>
              <w:left w:val="nil"/>
              <w:bottom w:val="nil"/>
              <w:right w:val="single" w:sz="12" w:space="0" w:color="auto"/>
            </w:tcBorders>
            <w:shd w:val="clear" w:color="000000" w:fill="FFFFFF"/>
            <w:noWrap/>
            <w:vAlign w:val="center"/>
            <w:hideMark/>
          </w:tcPr>
          <w:p w14:paraId="265A3470"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0.01%</w:t>
            </w:r>
          </w:p>
        </w:tc>
      </w:tr>
      <w:tr w:rsidR="004219A7" w:rsidRPr="003344C4" w14:paraId="677CF90F" w14:textId="77777777" w:rsidTr="00A26290">
        <w:trPr>
          <w:trHeight w:val="306"/>
        </w:trPr>
        <w:tc>
          <w:tcPr>
            <w:tcW w:w="2834" w:type="dxa"/>
            <w:tcBorders>
              <w:top w:val="nil"/>
              <w:left w:val="single" w:sz="12" w:space="0" w:color="auto"/>
              <w:bottom w:val="nil"/>
              <w:right w:val="single" w:sz="12" w:space="0" w:color="auto"/>
            </w:tcBorders>
            <w:shd w:val="clear" w:color="000000" w:fill="FFFFFF"/>
            <w:noWrap/>
            <w:vAlign w:val="center"/>
            <w:hideMark/>
          </w:tcPr>
          <w:p w14:paraId="5B9DC0EC"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proofErr w:type="spellStart"/>
            <w:r w:rsidRPr="003344C4">
              <w:rPr>
                <w:i/>
                <w:iCs/>
                <w:color w:val="000000"/>
                <w:kern w:val="0"/>
                <w:szCs w:val="24"/>
              </w:rPr>
              <w:t>Mosiera</w:t>
            </w:r>
            <w:proofErr w:type="spellEnd"/>
            <w:r w:rsidRPr="003344C4">
              <w:rPr>
                <w:i/>
                <w:iCs/>
                <w:color w:val="000000"/>
                <w:kern w:val="0"/>
                <w:szCs w:val="24"/>
              </w:rPr>
              <w:t xml:space="preserve"> longipes</w:t>
            </w:r>
          </w:p>
        </w:tc>
        <w:tc>
          <w:tcPr>
            <w:tcW w:w="2191" w:type="dxa"/>
            <w:tcBorders>
              <w:top w:val="nil"/>
              <w:left w:val="nil"/>
              <w:bottom w:val="nil"/>
              <w:right w:val="single" w:sz="12" w:space="0" w:color="auto"/>
            </w:tcBorders>
            <w:shd w:val="clear" w:color="000000" w:fill="FFFFFF"/>
            <w:noWrap/>
            <w:vAlign w:val="center"/>
            <w:hideMark/>
          </w:tcPr>
          <w:p w14:paraId="4DFEFD44"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proofErr w:type="spellStart"/>
            <w:r w:rsidRPr="003344C4">
              <w:rPr>
                <w:color w:val="000000"/>
                <w:kern w:val="0"/>
                <w:szCs w:val="24"/>
              </w:rPr>
              <w:t>Myrtaceae</w:t>
            </w:r>
            <w:proofErr w:type="spellEnd"/>
          </w:p>
        </w:tc>
        <w:tc>
          <w:tcPr>
            <w:tcW w:w="1620" w:type="dxa"/>
            <w:tcBorders>
              <w:top w:val="nil"/>
              <w:left w:val="nil"/>
              <w:bottom w:val="nil"/>
              <w:right w:val="single" w:sz="12" w:space="0" w:color="auto"/>
            </w:tcBorders>
            <w:shd w:val="clear" w:color="000000" w:fill="FFFFFF"/>
            <w:noWrap/>
            <w:vAlign w:val="center"/>
            <w:hideMark/>
          </w:tcPr>
          <w:p w14:paraId="4A470A3F"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2</w:t>
            </w:r>
          </w:p>
        </w:tc>
        <w:tc>
          <w:tcPr>
            <w:tcW w:w="1620" w:type="dxa"/>
            <w:tcBorders>
              <w:top w:val="nil"/>
              <w:left w:val="nil"/>
              <w:bottom w:val="nil"/>
              <w:right w:val="single" w:sz="12" w:space="0" w:color="auto"/>
            </w:tcBorders>
            <w:shd w:val="clear" w:color="000000" w:fill="FFFFFF"/>
            <w:noWrap/>
            <w:vAlign w:val="center"/>
            <w:hideMark/>
          </w:tcPr>
          <w:p w14:paraId="2260E5FC"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0.97%</w:t>
            </w:r>
          </w:p>
        </w:tc>
        <w:tc>
          <w:tcPr>
            <w:tcW w:w="2006" w:type="dxa"/>
            <w:tcBorders>
              <w:top w:val="nil"/>
              <w:left w:val="nil"/>
              <w:bottom w:val="nil"/>
              <w:right w:val="single" w:sz="12" w:space="0" w:color="auto"/>
            </w:tcBorders>
            <w:shd w:val="clear" w:color="000000" w:fill="FFFFFF"/>
            <w:noWrap/>
            <w:vAlign w:val="center"/>
            <w:hideMark/>
          </w:tcPr>
          <w:p w14:paraId="7A63B8E1"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1000</w:t>
            </w:r>
          </w:p>
        </w:tc>
        <w:tc>
          <w:tcPr>
            <w:tcW w:w="2659" w:type="dxa"/>
            <w:tcBorders>
              <w:top w:val="nil"/>
              <w:left w:val="nil"/>
              <w:bottom w:val="nil"/>
              <w:right w:val="single" w:sz="12" w:space="0" w:color="auto"/>
            </w:tcBorders>
            <w:shd w:val="clear" w:color="000000" w:fill="FFFFFF"/>
            <w:noWrap/>
            <w:vAlign w:val="center"/>
            <w:hideMark/>
          </w:tcPr>
          <w:p w14:paraId="5EB882C0"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7.36%</w:t>
            </w:r>
          </w:p>
        </w:tc>
      </w:tr>
      <w:tr w:rsidR="004219A7" w:rsidRPr="003344C4" w14:paraId="7E8B537E" w14:textId="77777777" w:rsidTr="00A26290">
        <w:trPr>
          <w:trHeight w:val="306"/>
        </w:trPr>
        <w:tc>
          <w:tcPr>
            <w:tcW w:w="2834" w:type="dxa"/>
            <w:tcBorders>
              <w:top w:val="nil"/>
              <w:left w:val="single" w:sz="12" w:space="0" w:color="auto"/>
              <w:bottom w:val="nil"/>
              <w:right w:val="single" w:sz="12" w:space="0" w:color="auto"/>
            </w:tcBorders>
            <w:shd w:val="clear" w:color="000000" w:fill="FFFFFF"/>
            <w:noWrap/>
            <w:vAlign w:val="center"/>
            <w:hideMark/>
          </w:tcPr>
          <w:p w14:paraId="406B9136"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r w:rsidRPr="003344C4">
              <w:rPr>
                <w:i/>
                <w:iCs/>
                <w:color w:val="000000"/>
                <w:kern w:val="0"/>
                <w:szCs w:val="24"/>
              </w:rPr>
              <w:t xml:space="preserve">Opuntia </w:t>
            </w:r>
            <w:proofErr w:type="spellStart"/>
            <w:r w:rsidRPr="003344C4">
              <w:rPr>
                <w:i/>
                <w:iCs/>
                <w:color w:val="000000"/>
                <w:kern w:val="0"/>
                <w:szCs w:val="24"/>
              </w:rPr>
              <w:t>austrina</w:t>
            </w:r>
            <w:proofErr w:type="spellEnd"/>
          </w:p>
        </w:tc>
        <w:tc>
          <w:tcPr>
            <w:tcW w:w="2191" w:type="dxa"/>
            <w:tcBorders>
              <w:top w:val="nil"/>
              <w:left w:val="nil"/>
              <w:bottom w:val="nil"/>
              <w:right w:val="single" w:sz="12" w:space="0" w:color="auto"/>
            </w:tcBorders>
            <w:shd w:val="clear" w:color="000000" w:fill="FFFFFF"/>
            <w:noWrap/>
            <w:vAlign w:val="center"/>
            <w:hideMark/>
          </w:tcPr>
          <w:p w14:paraId="79AE9982"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r w:rsidRPr="003344C4">
              <w:rPr>
                <w:color w:val="000000"/>
                <w:kern w:val="0"/>
                <w:szCs w:val="24"/>
              </w:rPr>
              <w:t>Cactaceae</w:t>
            </w:r>
          </w:p>
        </w:tc>
        <w:tc>
          <w:tcPr>
            <w:tcW w:w="1620" w:type="dxa"/>
            <w:tcBorders>
              <w:top w:val="nil"/>
              <w:left w:val="nil"/>
              <w:bottom w:val="nil"/>
              <w:right w:val="single" w:sz="12" w:space="0" w:color="auto"/>
            </w:tcBorders>
            <w:shd w:val="clear" w:color="000000" w:fill="FFFFFF"/>
            <w:noWrap/>
            <w:vAlign w:val="center"/>
            <w:hideMark/>
          </w:tcPr>
          <w:p w14:paraId="3A4408B6"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12</w:t>
            </w:r>
          </w:p>
        </w:tc>
        <w:tc>
          <w:tcPr>
            <w:tcW w:w="1620" w:type="dxa"/>
            <w:tcBorders>
              <w:top w:val="nil"/>
              <w:left w:val="nil"/>
              <w:bottom w:val="nil"/>
              <w:right w:val="single" w:sz="12" w:space="0" w:color="auto"/>
            </w:tcBorders>
            <w:shd w:val="clear" w:color="000000" w:fill="FFFFFF"/>
            <w:noWrap/>
            <w:vAlign w:val="center"/>
            <w:hideMark/>
          </w:tcPr>
          <w:p w14:paraId="5F0F0AF4"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5.80%</w:t>
            </w:r>
          </w:p>
        </w:tc>
        <w:tc>
          <w:tcPr>
            <w:tcW w:w="2006" w:type="dxa"/>
            <w:tcBorders>
              <w:top w:val="nil"/>
              <w:left w:val="nil"/>
              <w:bottom w:val="nil"/>
              <w:right w:val="single" w:sz="12" w:space="0" w:color="auto"/>
            </w:tcBorders>
            <w:shd w:val="clear" w:color="000000" w:fill="FFFFFF"/>
            <w:noWrap/>
            <w:vAlign w:val="center"/>
            <w:hideMark/>
          </w:tcPr>
          <w:p w14:paraId="5F240E80"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272</w:t>
            </w:r>
          </w:p>
        </w:tc>
        <w:tc>
          <w:tcPr>
            <w:tcW w:w="2659" w:type="dxa"/>
            <w:tcBorders>
              <w:top w:val="nil"/>
              <w:left w:val="nil"/>
              <w:bottom w:val="nil"/>
              <w:right w:val="single" w:sz="12" w:space="0" w:color="auto"/>
            </w:tcBorders>
            <w:shd w:val="clear" w:color="000000" w:fill="FFFFFF"/>
            <w:noWrap/>
            <w:vAlign w:val="center"/>
            <w:hideMark/>
          </w:tcPr>
          <w:p w14:paraId="054D38DE"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2.00%</w:t>
            </w:r>
          </w:p>
        </w:tc>
      </w:tr>
      <w:tr w:rsidR="004219A7" w:rsidRPr="003344C4" w14:paraId="633F487A" w14:textId="77777777" w:rsidTr="00A26290">
        <w:trPr>
          <w:trHeight w:val="306"/>
        </w:trPr>
        <w:tc>
          <w:tcPr>
            <w:tcW w:w="2834" w:type="dxa"/>
            <w:tcBorders>
              <w:top w:val="nil"/>
              <w:left w:val="single" w:sz="12" w:space="0" w:color="auto"/>
              <w:bottom w:val="nil"/>
              <w:right w:val="single" w:sz="12" w:space="0" w:color="auto"/>
            </w:tcBorders>
            <w:shd w:val="clear" w:color="000000" w:fill="FFFFFF"/>
            <w:noWrap/>
            <w:vAlign w:val="center"/>
            <w:hideMark/>
          </w:tcPr>
          <w:p w14:paraId="420F077A"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r w:rsidRPr="003344C4">
              <w:rPr>
                <w:i/>
                <w:iCs/>
                <w:color w:val="000000"/>
                <w:kern w:val="0"/>
                <w:szCs w:val="24"/>
              </w:rPr>
              <w:t xml:space="preserve">Physalis </w:t>
            </w:r>
            <w:proofErr w:type="spellStart"/>
            <w:r w:rsidRPr="003344C4">
              <w:rPr>
                <w:i/>
                <w:iCs/>
                <w:color w:val="000000"/>
                <w:kern w:val="0"/>
                <w:szCs w:val="24"/>
              </w:rPr>
              <w:t>walterii</w:t>
            </w:r>
            <w:proofErr w:type="spellEnd"/>
          </w:p>
        </w:tc>
        <w:tc>
          <w:tcPr>
            <w:tcW w:w="2191" w:type="dxa"/>
            <w:tcBorders>
              <w:top w:val="nil"/>
              <w:left w:val="nil"/>
              <w:bottom w:val="nil"/>
              <w:right w:val="single" w:sz="12" w:space="0" w:color="auto"/>
            </w:tcBorders>
            <w:shd w:val="clear" w:color="000000" w:fill="FFFFFF"/>
            <w:noWrap/>
            <w:vAlign w:val="center"/>
            <w:hideMark/>
          </w:tcPr>
          <w:p w14:paraId="559EB327"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r w:rsidRPr="003344C4">
              <w:rPr>
                <w:color w:val="000000"/>
                <w:kern w:val="0"/>
                <w:szCs w:val="24"/>
              </w:rPr>
              <w:t>Solanaceae</w:t>
            </w:r>
          </w:p>
        </w:tc>
        <w:tc>
          <w:tcPr>
            <w:tcW w:w="1620" w:type="dxa"/>
            <w:tcBorders>
              <w:top w:val="nil"/>
              <w:left w:val="nil"/>
              <w:bottom w:val="nil"/>
              <w:right w:val="single" w:sz="12" w:space="0" w:color="auto"/>
            </w:tcBorders>
            <w:shd w:val="clear" w:color="000000" w:fill="FFFFFF"/>
            <w:noWrap/>
            <w:vAlign w:val="center"/>
            <w:hideMark/>
          </w:tcPr>
          <w:p w14:paraId="444BC538"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2</w:t>
            </w:r>
          </w:p>
        </w:tc>
        <w:tc>
          <w:tcPr>
            <w:tcW w:w="1620" w:type="dxa"/>
            <w:tcBorders>
              <w:top w:val="nil"/>
              <w:left w:val="nil"/>
              <w:bottom w:val="nil"/>
              <w:right w:val="single" w:sz="12" w:space="0" w:color="auto"/>
            </w:tcBorders>
            <w:shd w:val="clear" w:color="000000" w:fill="FFFFFF"/>
            <w:noWrap/>
            <w:vAlign w:val="center"/>
            <w:hideMark/>
          </w:tcPr>
          <w:p w14:paraId="29D9DE52"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0.97%</w:t>
            </w:r>
          </w:p>
        </w:tc>
        <w:tc>
          <w:tcPr>
            <w:tcW w:w="2006" w:type="dxa"/>
            <w:tcBorders>
              <w:top w:val="nil"/>
              <w:left w:val="nil"/>
              <w:bottom w:val="nil"/>
              <w:right w:val="single" w:sz="12" w:space="0" w:color="auto"/>
            </w:tcBorders>
            <w:shd w:val="clear" w:color="000000" w:fill="FFFFFF"/>
            <w:noWrap/>
            <w:vAlign w:val="center"/>
            <w:hideMark/>
          </w:tcPr>
          <w:p w14:paraId="2632B5A0"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10</w:t>
            </w:r>
          </w:p>
        </w:tc>
        <w:tc>
          <w:tcPr>
            <w:tcW w:w="2659" w:type="dxa"/>
            <w:tcBorders>
              <w:top w:val="nil"/>
              <w:left w:val="nil"/>
              <w:bottom w:val="nil"/>
              <w:right w:val="single" w:sz="12" w:space="0" w:color="auto"/>
            </w:tcBorders>
            <w:shd w:val="clear" w:color="000000" w:fill="FFFFFF"/>
            <w:noWrap/>
            <w:vAlign w:val="center"/>
            <w:hideMark/>
          </w:tcPr>
          <w:p w14:paraId="026E79B2"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0.07%</w:t>
            </w:r>
          </w:p>
        </w:tc>
      </w:tr>
      <w:tr w:rsidR="004219A7" w:rsidRPr="003344C4" w14:paraId="19906415" w14:textId="77777777" w:rsidTr="00A26290">
        <w:trPr>
          <w:trHeight w:val="306"/>
        </w:trPr>
        <w:tc>
          <w:tcPr>
            <w:tcW w:w="2834" w:type="dxa"/>
            <w:tcBorders>
              <w:top w:val="nil"/>
              <w:left w:val="single" w:sz="12" w:space="0" w:color="auto"/>
              <w:bottom w:val="nil"/>
              <w:right w:val="single" w:sz="12" w:space="0" w:color="auto"/>
            </w:tcBorders>
            <w:shd w:val="clear" w:color="000000" w:fill="FFFFFF"/>
            <w:noWrap/>
            <w:vAlign w:val="center"/>
            <w:hideMark/>
          </w:tcPr>
          <w:p w14:paraId="0DCC4D9D"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r w:rsidRPr="003344C4">
              <w:rPr>
                <w:i/>
                <w:iCs/>
                <w:color w:val="000000"/>
                <w:kern w:val="0"/>
                <w:szCs w:val="24"/>
              </w:rPr>
              <w:t>Sabal palmetto</w:t>
            </w:r>
          </w:p>
        </w:tc>
        <w:tc>
          <w:tcPr>
            <w:tcW w:w="2191" w:type="dxa"/>
            <w:tcBorders>
              <w:top w:val="nil"/>
              <w:left w:val="nil"/>
              <w:bottom w:val="nil"/>
              <w:right w:val="single" w:sz="12" w:space="0" w:color="auto"/>
            </w:tcBorders>
            <w:shd w:val="clear" w:color="000000" w:fill="FFFFFF"/>
            <w:noWrap/>
            <w:vAlign w:val="center"/>
            <w:hideMark/>
          </w:tcPr>
          <w:p w14:paraId="71CA299E"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proofErr w:type="spellStart"/>
            <w:r w:rsidRPr="003344C4">
              <w:rPr>
                <w:color w:val="000000"/>
                <w:kern w:val="0"/>
                <w:szCs w:val="24"/>
              </w:rPr>
              <w:t>Arecaceae</w:t>
            </w:r>
            <w:proofErr w:type="spellEnd"/>
          </w:p>
        </w:tc>
        <w:tc>
          <w:tcPr>
            <w:tcW w:w="1620" w:type="dxa"/>
            <w:tcBorders>
              <w:top w:val="nil"/>
              <w:left w:val="nil"/>
              <w:bottom w:val="nil"/>
              <w:right w:val="single" w:sz="12" w:space="0" w:color="auto"/>
            </w:tcBorders>
            <w:shd w:val="clear" w:color="000000" w:fill="FFFFFF"/>
            <w:noWrap/>
            <w:vAlign w:val="center"/>
            <w:hideMark/>
          </w:tcPr>
          <w:p w14:paraId="73AB8B54"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17</w:t>
            </w:r>
          </w:p>
        </w:tc>
        <w:tc>
          <w:tcPr>
            <w:tcW w:w="1620" w:type="dxa"/>
            <w:tcBorders>
              <w:top w:val="nil"/>
              <w:left w:val="nil"/>
              <w:bottom w:val="nil"/>
              <w:right w:val="single" w:sz="12" w:space="0" w:color="auto"/>
            </w:tcBorders>
            <w:shd w:val="clear" w:color="000000" w:fill="FFFFFF"/>
            <w:noWrap/>
            <w:vAlign w:val="center"/>
            <w:hideMark/>
          </w:tcPr>
          <w:p w14:paraId="170D1C50"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8.21%</w:t>
            </w:r>
          </w:p>
        </w:tc>
        <w:tc>
          <w:tcPr>
            <w:tcW w:w="2006" w:type="dxa"/>
            <w:tcBorders>
              <w:top w:val="nil"/>
              <w:left w:val="nil"/>
              <w:bottom w:val="nil"/>
              <w:right w:val="single" w:sz="12" w:space="0" w:color="auto"/>
            </w:tcBorders>
            <w:shd w:val="clear" w:color="000000" w:fill="FFFFFF"/>
            <w:noWrap/>
            <w:vAlign w:val="center"/>
            <w:hideMark/>
          </w:tcPr>
          <w:p w14:paraId="6D03FA35"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48</w:t>
            </w:r>
          </w:p>
        </w:tc>
        <w:tc>
          <w:tcPr>
            <w:tcW w:w="2659" w:type="dxa"/>
            <w:tcBorders>
              <w:top w:val="nil"/>
              <w:left w:val="nil"/>
              <w:bottom w:val="nil"/>
              <w:right w:val="single" w:sz="12" w:space="0" w:color="auto"/>
            </w:tcBorders>
            <w:shd w:val="clear" w:color="000000" w:fill="FFFFFF"/>
            <w:noWrap/>
            <w:vAlign w:val="center"/>
            <w:hideMark/>
          </w:tcPr>
          <w:p w14:paraId="4CA2B897"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0.35%</w:t>
            </w:r>
          </w:p>
        </w:tc>
      </w:tr>
      <w:tr w:rsidR="004219A7" w:rsidRPr="003344C4" w14:paraId="5D8659E8" w14:textId="77777777" w:rsidTr="00A26290">
        <w:trPr>
          <w:trHeight w:val="306"/>
        </w:trPr>
        <w:tc>
          <w:tcPr>
            <w:tcW w:w="2834" w:type="dxa"/>
            <w:tcBorders>
              <w:top w:val="nil"/>
              <w:left w:val="single" w:sz="12" w:space="0" w:color="auto"/>
              <w:bottom w:val="nil"/>
              <w:right w:val="single" w:sz="12" w:space="0" w:color="auto"/>
            </w:tcBorders>
            <w:shd w:val="clear" w:color="000000" w:fill="FFFFFF"/>
            <w:noWrap/>
            <w:vAlign w:val="center"/>
            <w:hideMark/>
          </w:tcPr>
          <w:p w14:paraId="535C2A55"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proofErr w:type="spellStart"/>
            <w:r w:rsidRPr="003344C4">
              <w:rPr>
                <w:i/>
                <w:iCs/>
                <w:color w:val="000000"/>
                <w:kern w:val="0"/>
                <w:szCs w:val="24"/>
              </w:rPr>
              <w:t>Serenoa</w:t>
            </w:r>
            <w:proofErr w:type="spellEnd"/>
            <w:r w:rsidRPr="003344C4">
              <w:rPr>
                <w:i/>
                <w:iCs/>
                <w:color w:val="000000"/>
                <w:kern w:val="0"/>
                <w:szCs w:val="24"/>
              </w:rPr>
              <w:t xml:space="preserve"> repens</w:t>
            </w:r>
          </w:p>
        </w:tc>
        <w:tc>
          <w:tcPr>
            <w:tcW w:w="2191" w:type="dxa"/>
            <w:tcBorders>
              <w:top w:val="nil"/>
              <w:left w:val="nil"/>
              <w:bottom w:val="nil"/>
              <w:right w:val="single" w:sz="12" w:space="0" w:color="auto"/>
            </w:tcBorders>
            <w:shd w:val="clear" w:color="000000" w:fill="FFFFFF"/>
            <w:noWrap/>
            <w:vAlign w:val="center"/>
            <w:hideMark/>
          </w:tcPr>
          <w:p w14:paraId="11D0DB45"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proofErr w:type="spellStart"/>
            <w:r w:rsidRPr="003344C4">
              <w:rPr>
                <w:color w:val="000000"/>
                <w:kern w:val="0"/>
                <w:szCs w:val="24"/>
              </w:rPr>
              <w:t>Arecaceae</w:t>
            </w:r>
            <w:proofErr w:type="spellEnd"/>
          </w:p>
        </w:tc>
        <w:tc>
          <w:tcPr>
            <w:tcW w:w="1620" w:type="dxa"/>
            <w:tcBorders>
              <w:top w:val="nil"/>
              <w:left w:val="nil"/>
              <w:bottom w:val="nil"/>
              <w:right w:val="single" w:sz="12" w:space="0" w:color="auto"/>
            </w:tcBorders>
            <w:shd w:val="clear" w:color="000000" w:fill="FFFFFF"/>
            <w:noWrap/>
            <w:vAlign w:val="center"/>
            <w:hideMark/>
          </w:tcPr>
          <w:p w14:paraId="1478981F"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35</w:t>
            </w:r>
          </w:p>
        </w:tc>
        <w:tc>
          <w:tcPr>
            <w:tcW w:w="1620" w:type="dxa"/>
            <w:tcBorders>
              <w:top w:val="nil"/>
              <w:left w:val="nil"/>
              <w:bottom w:val="nil"/>
              <w:right w:val="single" w:sz="12" w:space="0" w:color="auto"/>
            </w:tcBorders>
            <w:shd w:val="clear" w:color="000000" w:fill="FFFFFF"/>
            <w:noWrap/>
            <w:vAlign w:val="center"/>
            <w:hideMark/>
          </w:tcPr>
          <w:p w14:paraId="71709D9F"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16.91%</w:t>
            </w:r>
          </w:p>
        </w:tc>
        <w:tc>
          <w:tcPr>
            <w:tcW w:w="2006" w:type="dxa"/>
            <w:tcBorders>
              <w:top w:val="nil"/>
              <w:left w:val="nil"/>
              <w:bottom w:val="nil"/>
              <w:right w:val="single" w:sz="12" w:space="0" w:color="auto"/>
            </w:tcBorders>
            <w:shd w:val="clear" w:color="000000" w:fill="FFFFFF"/>
            <w:noWrap/>
            <w:vAlign w:val="center"/>
            <w:hideMark/>
          </w:tcPr>
          <w:p w14:paraId="085BDE17"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477</w:t>
            </w:r>
          </w:p>
        </w:tc>
        <w:tc>
          <w:tcPr>
            <w:tcW w:w="2659" w:type="dxa"/>
            <w:tcBorders>
              <w:top w:val="nil"/>
              <w:left w:val="nil"/>
              <w:bottom w:val="nil"/>
              <w:right w:val="single" w:sz="12" w:space="0" w:color="auto"/>
            </w:tcBorders>
            <w:shd w:val="clear" w:color="000000" w:fill="FFFFFF"/>
            <w:noWrap/>
            <w:vAlign w:val="center"/>
            <w:hideMark/>
          </w:tcPr>
          <w:p w14:paraId="4763DF9D"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3.51%</w:t>
            </w:r>
          </w:p>
        </w:tc>
      </w:tr>
      <w:tr w:rsidR="004219A7" w:rsidRPr="003344C4" w14:paraId="4FA3A802" w14:textId="77777777" w:rsidTr="00A26290">
        <w:trPr>
          <w:trHeight w:val="312"/>
        </w:trPr>
        <w:tc>
          <w:tcPr>
            <w:tcW w:w="2834" w:type="dxa"/>
            <w:tcBorders>
              <w:top w:val="nil"/>
              <w:left w:val="single" w:sz="12" w:space="0" w:color="auto"/>
              <w:bottom w:val="nil"/>
              <w:right w:val="single" w:sz="12" w:space="0" w:color="auto"/>
            </w:tcBorders>
            <w:shd w:val="clear" w:color="000000" w:fill="FFFFFF"/>
            <w:noWrap/>
            <w:vAlign w:val="center"/>
            <w:hideMark/>
          </w:tcPr>
          <w:p w14:paraId="06340B40"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r w:rsidRPr="003344C4">
              <w:rPr>
                <w:i/>
                <w:iCs/>
                <w:color w:val="000000"/>
                <w:kern w:val="0"/>
                <w:szCs w:val="24"/>
              </w:rPr>
              <w:t xml:space="preserve">Vaccinium </w:t>
            </w:r>
            <w:proofErr w:type="spellStart"/>
            <w:r w:rsidRPr="003344C4">
              <w:rPr>
                <w:i/>
                <w:iCs/>
                <w:color w:val="000000"/>
                <w:kern w:val="0"/>
                <w:szCs w:val="24"/>
              </w:rPr>
              <w:t>myrsinites</w:t>
            </w:r>
            <w:proofErr w:type="spellEnd"/>
          </w:p>
        </w:tc>
        <w:tc>
          <w:tcPr>
            <w:tcW w:w="2191" w:type="dxa"/>
            <w:tcBorders>
              <w:top w:val="nil"/>
              <w:left w:val="nil"/>
              <w:bottom w:val="nil"/>
              <w:right w:val="single" w:sz="12" w:space="0" w:color="auto"/>
            </w:tcBorders>
            <w:shd w:val="clear" w:color="000000" w:fill="FFFFFF"/>
            <w:noWrap/>
            <w:vAlign w:val="center"/>
            <w:hideMark/>
          </w:tcPr>
          <w:p w14:paraId="15A0544B"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r w:rsidRPr="003344C4">
              <w:rPr>
                <w:color w:val="000000"/>
                <w:kern w:val="0"/>
                <w:szCs w:val="24"/>
              </w:rPr>
              <w:t>Ericaceae</w:t>
            </w:r>
          </w:p>
        </w:tc>
        <w:tc>
          <w:tcPr>
            <w:tcW w:w="1620" w:type="dxa"/>
            <w:tcBorders>
              <w:top w:val="nil"/>
              <w:left w:val="nil"/>
              <w:bottom w:val="nil"/>
              <w:right w:val="single" w:sz="12" w:space="0" w:color="auto"/>
            </w:tcBorders>
            <w:shd w:val="clear" w:color="000000" w:fill="FFFFFF"/>
            <w:noWrap/>
            <w:vAlign w:val="center"/>
            <w:hideMark/>
          </w:tcPr>
          <w:p w14:paraId="42CE8402"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2</w:t>
            </w:r>
          </w:p>
        </w:tc>
        <w:tc>
          <w:tcPr>
            <w:tcW w:w="1620" w:type="dxa"/>
            <w:tcBorders>
              <w:top w:val="nil"/>
              <w:left w:val="nil"/>
              <w:bottom w:val="nil"/>
              <w:right w:val="single" w:sz="12" w:space="0" w:color="auto"/>
            </w:tcBorders>
            <w:shd w:val="clear" w:color="000000" w:fill="FFFFFF"/>
            <w:noWrap/>
            <w:vAlign w:val="center"/>
            <w:hideMark/>
          </w:tcPr>
          <w:p w14:paraId="07AB1480"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0.97%</w:t>
            </w:r>
          </w:p>
        </w:tc>
        <w:tc>
          <w:tcPr>
            <w:tcW w:w="2006" w:type="dxa"/>
            <w:tcBorders>
              <w:top w:val="nil"/>
              <w:left w:val="nil"/>
              <w:bottom w:val="nil"/>
              <w:right w:val="single" w:sz="12" w:space="0" w:color="auto"/>
            </w:tcBorders>
            <w:shd w:val="clear" w:color="000000" w:fill="FFFFFF"/>
            <w:noWrap/>
            <w:vAlign w:val="center"/>
            <w:hideMark/>
          </w:tcPr>
          <w:p w14:paraId="493E28D3"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18</w:t>
            </w:r>
          </w:p>
        </w:tc>
        <w:tc>
          <w:tcPr>
            <w:tcW w:w="2659" w:type="dxa"/>
            <w:tcBorders>
              <w:top w:val="nil"/>
              <w:left w:val="nil"/>
              <w:bottom w:val="nil"/>
              <w:right w:val="single" w:sz="12" w:space="0" w:color="auto"/>
            </w:tcBorders>
            <w:shd w:val="clear" w:color="000000" w:fill="FFFFFF"/>
            <w:noWrap/>
            <w:vAlign w:val="center"/>
            <w:hideMark/>
          </w:tcPr>
          <w:p w14:paraId="70B0F493"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0.13%</w:t>
            </w:r>
          </w:p>
        </w:tc>
      </w:tr>
      <w:tr w:rsidR="004219A7" w:rsidRPr="003344C4" w14:paraId="6CF669F7" w14:textId="77777777" w:rsidTr="00A26290">
        <w:trPr>
          <w:trHeight w:val="312"/>
        </w:trPr>
        <w:tc>
          <w:tcPr>
            <w:tcW w:w="2834" w:type="dxa"/>
            <w:tcBorders>
              <w:top w:val="single" w:sz="8" w:space="0" w:color="auto"/>
              <w:left w:val="single" w:sz="12" w:space="0" w:color="auto"/>
              <w:bottom w:val="single" w:sz="8" w:space="0" w:color="auto"/>
              <w:right w:val="single" w:sz="12" w:space="0" w:color="auto"/>
            </w:tcBorders>
            <w:shd w:val="clear" w:color="000000" w:fill="D9D9D9"/>
            <w:noWrap/>
            <w:vAlign w:val="center"/>
            <w:hideMark/>
          </w:tcPr>
          <w:p w14:paraId="54713143" w14:textId="77777777" w:rsidR="003344C4" w:rsidRPr="003344C4" w:rsidRDefault="003344C4" w:rsidP="00A26290">
            <w:pPr>
              <w:widowControl/>
              <w:overflowPunct/>
              <w:autoSpaceDE/>
              <w:autoSpaceDN/>
              <w:adjustRightInd/>
              <w:contextualSpacing w:val="0"/>
              <w:jc w:val="center"/>
              <w:rPr>
                <w:b/>
                <w:bCs/>
                <w:color w:val="000000"/>
                <w:kern w:val="0"/>
                <w:szCs w:val="24"/>
              </w:rPr>
            </w:pPr>
            <w:r w:rsidRPr="003344C4">
              <w:rPr>
                <w:b/>
                <w:bCs/>
                <w:color w:val="000000"/>
                <w:kern w:val="0"/>
                <w:szCs w:val="24"/>
              </w:rPr>
              <w:t>Epizoochory</w:t>
            </w:r>
          </w:p>
        </w:tc>
        <w:tc>
          <w:tcPr>
            <w:tcW w:w="2191" w:type="dxa"/>
            <w:tcBorders>
              <w:top w:val="single" w:sz="8" w:space="0" w:color="auto"/>
              <w:left w:val="nil"/>
              <w:bottom w:val="single" w:sz="8" w:space="0" w:color="auto"/>
              <w:right w:val="single" w:sz="12" w:space="0" w:color="auto"/>
            </w:tcBorders>
            <w:shd w:val="clear" w:color="000000" w:fill="D9D9D9"/>
            <w:noWrap/>
            <w:vAlign w:val="center"/>
            <w:hideMark/>
          </w:tcPr>
          <w:p w14:paraId="157BBDB2"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w:t>
            </w:r>
          </w:p>
        </w:tc>
        <w:tc>
          <w:tcPr>
            <w:tcW w:w="1620" w:type="dxa"/>
            <w:tcBorders>
              <w:top w:val="single" w:sz="8" w:space="0" w:color="auto"/>
              <w:left w:val="nil"/>
              <w:bottom w:val="single" w:sz="8" w:space="0" w:color="auto"/>
              <w:right w:val="single" w:sz="12" w:space="0" w:color="auto"/>
            </w:tcBorders>
            <w:shd w:val="clear" w:color="000000" w:fill="D9D9D9"/>
            <w:noWrap/>
            <w:vAlign w:val="center"/>
            <w:hideMark/>
          </w:tcPr>
          <w:p w14:paraId="47290DC9" w14:textId="77777777" w:rsidR="003344C4" w:rsidRPr="003344C4" w:rsidRDefault="003344C4" w:rsidP="00A26290">
            <w:pPr>
              <w:widowControl/>
              <w:overflowPunct/>
              <w:autoSpaceDE/>
              <w:autoSpaceDN/>
              <w:adjustRightInd/>
              <w:contextualSpacing w:val="0"/>
              <w:jc w:val="center"/>
              <w:rPr>
                <w:b/>
                <w:bCs/>
                <w:color w:val="000000"/>
                <w:kern w:val="0"/>
                <w:szCs w:val="24"/>
              </w:rPr>
            </w:pPr>
            <w:r w:rsidRPr="003344C4">
              <w:rPr>
                <w:b/>
                <w:bCs/>
                <w:color w:val="000000"/>
                <w:kern w:val="0"/>
                <w:szCs w:val="24"/>
              </w:rPr>
              <w:t>35</w:t>
            </w:r>
          </w:p>
        </w:tc>
        <w:tc>
          <w:tcPr>
            <w:tcW w:w="1620" w:type="dxa"/>
            <w:tcBorders>
              <w:top w:val="single" w:sz="8" w:space="0" w:color="auto"/>
              <w:left w:val="nil"/>
              <w:bottom w:val="single" w:sz="8" w:space="0" w:color="auto"/>
              <w:right w:val="single" w:sz="12" w:space="0" w:color="auto"/>
            </w:tcBorders>
            <w:shd w:val="clear" w:color="000000" w:fill="D9D9D9"/>
            <w:noWrap/>
            <w:vAlign w:val="center"/>
            <w:hideMark/>
          </w:tcPr>
          <w:p w14:paraId="0D02B3BC" w14:textId="77777777" w:rsidR="003344C4" w:rsidRPr="003344C4" w:rsidRDefault="003344C4" w:rsidP="00A26290">
            <w:pPr>
              <w:widowControl/>
              <w:overflowPunct/>
              <w:autoSpaceDE/>
              <w:autoSpaceDN/>
              <w:adjustRightInd/>
              <w:contextualSpacing w:val="0"/>
              <w:jc w:val="center"/>
              <w:rPr>
                <w:b/>
                <w:bCs/>
                <w:color w:val="000000"/>
                <w:kern w:val="0"/>
                <w:szCs w:val="24"/>
              </w:rPr>
            </w:pPr>
            <w:r w:rsidRPr="003344C4">
              <w:rPr>
                <w:b/>
                <w:bCs/>
                <w:color w:val="000000"/>
                <w:kern w:val="0"/>
                <w:szCs w:val="24"/>
              </w:rPr>
              <w:t>16.91%</w:t>
            </w:r>
          </w:p>
        </w:tc>
        <w:tc>
          <w:tcPr>
            <w:tcW w:w="2006" w:type="dxa"/>
            <w:tcBorders>
              <w:top w:val="single" w:sz="8" w:space="0" w:color="auto"/>
              <w:left w:val="nil"/>
              <w:bottom w:val="single" w:sz="8" w:space="0" w:color="auto"/>
              <w:right w:val="single" w:sz="12" w:space="0" w:color="auto"/>
            </w:tcBorders>
            <w:shd w:val="clear" w:color="000000" w:fill="D9D9D9"/>
            <w:noWrap/>
            <w:vAlign w:val="center"/>
            <w:hideMark/>
          </w:tcPr>
          <w:p w14:paraId="3BB5F35C" w14:textId="77777777" w:rsidR="003344C4" w:rsidRPr="003344C4" w:rsidRDefault="003344C4" w:rsidP="00A26290">
            <w:pPr>
              <w:widowControl/>
              <w:overflowPunct/>
              <w:autoSpaceDE/>
              <w:autoSpaceDN/>
              <w:adjustRightInd/>
              <w:contextualSpacing w:val="0"/>
              <w:jc w:val="center"/>
              <w:rPr>
                <w:b/>
                <w:bCs/>
                <w:color w:val="000000"/>
                <w:kern w:val="0"/>
                <w:szCs w:val="24"/>
              </w:rPr>
            </w:pPr>
            <w:r w:rsidRPr="003344C4">
              <w:rPr>
                <w:b/>
                <w:bCs/>
                <w:color w:val="000000"/>
                <w:kern w:val="0"/>
                <w:szCs w:val="24"/>
              </w:rPr>
              <w:t>240</w:t>
            </w:r>
          </w:p>
        </w:tc>
        <w:tc>
          <w:tcPr>
            <w:tcW w:w="2659" w:type="dxa"/>
            <w:tcBorders>
              <w:top w:val="single" w:sz="8" w:space="0" w:color="auto"/>
              <w:left w:val="nil"/>
              <w:bottom w:val="single" w:sz="8" w:space="0" w:color="auto"/>
              <w:right w:val="single" w:sz="12" w:space="0" w:color="auto"/>
            </w:tcBorders>
            <w:shd w:val="clear" w:color="000000" w:fill="D9D9D9"/>
            <w:noWrap/>
            <w:vAlign w:val="center"/>
            <w:hideMark/>
          </w:tcPr>
          <w:p w14:paraId="4E45F5E0" w14:textId="77777777" w:rsidR="003344C4" w:rsidRPr="003344C4" w:rsidRDefault="003344C4" w:rsidP="00A26290">
            <w:pPr>
              <w:widowControl/>
              <w:overflowPunct/>
              <w:autoSpaceDE/>
              <w:autoSpaceDN/>
              <w:adjustRightInd/>
              <w:contextualSpacing w:val="0"/>
              <w:jc w:val="center"/>
              <w:rPr>
                <w:b/>
                <w:bCs/>
                <w:color w:val="000000"/>
                <w:kern w:val="0"/>
                <w:szCs w:val="24"/>
              </w:rPr>
            </w:pPr>
            <w:r w:rsidRPr="003344C4">
              <w:rPr>
                <w:b/>
                <w:bCs/>
                <w:color w:val="000000"/>
                <w:kern w:val="0"/>
                <w:szCs w:val="24"/>
              </w:rPr>
              <w:t>1.77%</w:t>
            </w:r>
          </w:p>
        </w:tc>
      </w:tr>
      <w:tr w:rsidR="004219A7" w:rsidRPr="003344C4" w14:paraId="7435C339" w14:textId="77777777" w:rsidTr="00A26290">
        <w:trPr>
          <w:trHeight w:val="306"/>
        </w:trPr>
        <w:tc>
          <w:tcPr>
            <w:tcW w:w="2834" w:type="dxa"/>
            <w:tcBorders>
              <w:top w:val="nil"/>
              <w:left w:val="single" w:sz="12" w:space="0" w:color="auto"/>
              <w:bottom w:val="nil"/>
              <w:right w:val="single" w:sz="12" w:space="0" w:color="auto"/>
            </w:tcBorders>
            <w:shd w:val="clear" w:color="000000" w:fill="FFFFFF"/>
            <w:noWrap/>
            <w:vAlign w:val="center"/>
            <w:hideMark/>
          </w:tcPr>
          <w:p w14:paraId="444C0F88"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proofErr w:type="spellStart"/>
            <w:r w:rsidRPr="003344C4">
              <w:rPr>
                <w:i/>
                <w:iCs/>
                <w:color w:val="000000"/>
                <w:kern w:val="0"/>
                <w:szCs w:val="24"/>
              </w:rPr>
              <w:t>Desmodium</w:t>
            </w:r>
            <w:proofErr w:type="spellEnd"/>
            <w:r w:rsidRPr="003344C4">
              <w:rPr>
                <w:i/>
                <w:iCs/>
                <w:color w:val="000000"/>
                <w:kern w:val="0"/>
                <w:szCs w:val="24"/>
              </w:rPr>
              <w:t xml:space="preserve"> </w:t>
            </w:r>
            <w:proofErr w:type="spellStart"/>
            <w:r w:rsidRPr="003344C4">
              <w:rPr>
                <w:i/>
                <w:iCs/>
                <w:color w:val="000000"/>
                <w:kern w:val="0"/>
                <w:szCs w:val="24"/>
              </w:rPr>
              <w:t>incanum</w:t>
            </w:r>
            <w:proofErr w:type="spellEnd"/>
          </w:p>
        </w:tc>
        <w:tc>
          <w:tcPr>
            <w:tcW w:w="2191" w:type="dxa"/>
            <w:tcBorders>
              <w:top w:val="nil"/>
              <w:left w:val="nil"/>
              <w:bottom w:val="nil"/>
              <w:right w:val="single" w:sz="12" w:space="0" w:color="auto"/>
            </w:tcBorders>
            <w:shd w:val="clear" w:color="000000" w:fill="FFFFFF"/>
            <w:noWrap/>
            <w:vAlign w:val="center"/>
            <w:hideMark/>
          </w:tcPr>
          <w:p w14:paraId="34FCB657"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r w:rsidRPr="003344C4">
              <w:rPr>
                <w:color w:val="000000"/>
                <w:kern w:val="0"/>
                <w:szCs w:val="24"/>
              </w:rPr>
              <w:t>Fabaceae</w:t>
            </w:r>
          </w:p>
        </w:tc>
        <w:tc>
          <w:tcPr>
            <w:tcW w:w="1620" w:type="dxa"/>
            <w:tcBorders>
              <w:top w:val="nil"/>
              <w:left w:val="nil"/>
              <w:bottom w:val="nil"/>
              <w:right w:val="single" w:sz="12" w:space="0" w:color="auto"/>
            </w:tcBorders>
            <w:shd w:val="clear" w:color="000000" w:fill="FFFFFF"/>
            <w:noWrap/>
            <w:vAlign w:val="center"/>
            <w:hideMark/>
          </w:tcPr>
          <w:p w14:paraId="5DEBEA97"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8</w:t>
            </w:r>
          </w:p>
        </w:tc>
        <w:tc>
          <w:tcPr>
            <w:tcW w:w="1620" w:type="dxa"/>
            <w:tcBorders>
              <w:top w:val="nil"/>
              <w:left w:val="nil"/>
              <w:bottom w:val="nil"/>
              <w:right w:val="single" w:sz="12" w:space="0" w:color="auto"/>
            </w:tcBorders>
            <w:shd w:val="clear" w:color="000000" w:fill="FFFFFF"/>
            <w:noWrap/>
            <w:vAlign w:val="center"/>
            <w:hideMark/>
          </w:tcPr>
          <w:p w14:paraId="3E938B88"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3.86%</w:t>
            </w:r>
          </w:p>
        </w:tc>
        <w:tc>
          <w:tcPr>
            <w:tcW w:w="2006" w:type="dxa"/>
            <w:tcBorders>
              <w:top w:val="nil"/>
              <w:left w:val="nil"/>
              <w:bottom w:val="nil"/>
              <w:right w:val="single" w:sz="12" w:space="0" w:color="auto"/>
            </w:tcBorders>
            <w:shd w:val="clear" w:color="000000" w:fill="FFFFFF"/>
            <w:noWrap/>
            <w:vAlign w:val="center"/>
            <w:hideMark/>
          </w:tcPr>
          <w:p w14:paraId="3D5CB0BB"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55</w:t>
            </w:r>
          </w:p>
        </w:tc>
        <w:tc>
          <w:tcPr>
            <w:tcW w:w="2659" w:type="dxa"/>
            <w:tcBorders>
              <w:top w:val="nil"/>
              <w:left w:val="nil"/>
              <w:bottom w:val="nil"/>
              <w:right w:val="single" w:sz="12" w:space="0" w:color="auto"/>
            </w:tcBorders>
            <w:shd w:val="clear" w:color="000000" w:fill="FFFFFF"/>
            <w:noWrap/>
            <w:vAlign w:val="center"/>
            <w:hideMark/>
          </w:tcPr>
          <w:p w14:paraId="27F4C4FC"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0.40%</w:t>
            </w:r>
          </w:p>
        </w:tc>
      </w:tr>
      <w:tr w:rsidR="004219A7" w:rsidRPr="003344C4" w14:paraId="5691EA02" w14:textId="77777777" w:rsidTr="00A26290">
        <w:trPr>
          <w:trHeight w:val="306"/>
        </w:trPr>
        <w:tc>
          <w:tcPr>
            <w:tcW w:w="2834" w:type="dxa"/>
            <w:tcBorders>
              <w:top w:val="nil"/>
              <w:left w:val="single" w:sz="12" w:space="0" w:color="auto"/>
              <w:bottom w:val="nil"/>
              <w:right w:val="single" w:sz="12" w:space="0" w:color="auto"/>
            </w:tcBorders>
            <w:shd w:val="clear" w:color="000000" w:fill="FFFFFF"/>
            <w:noWrap/>
            <w:vAlign w:val="center"/>
            <w:hideMark/>
          </w:tcPr>
          <w:p w14:paraId="4D8F4D14"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proofErr w:type="spellStart"/>
            <w:r w:rsidRPr="003344C4">
              <w:rPr>
                <w:i/>
                <w:iCs/>
                <w:color w:val="000000"/>
                <w:kern w:val="0"/>
                <w:szCs w:val="24"/>
              </w:rPr>
              <w:t>Desmodium</w:t>
            </w:r>
            <w:proofErr w:type="spellEnd"/>
            <w:r w:rsidRPr="003344C4">
              <w:rPr>
                <w:i/>
                <w:iCs/>
                <w:color w:val="000000"/>
                <w:kern w:val="0"/>
                <w:szCs w:val="24"/>
              </w:rPr>
              <w:t xml:space="preserve"> </w:t>
            </w:r>
            <w:proofErr w:type="spellStart"/>
            <w:r w:rsidRPr="003344C4">
              <w:rPr>
                <w:i/>
                <w:iCs/>
                <w:color w:val="000000"/>
                <w:kern w:val="0"/>
                <w:szCs w:val="24"/>
              </w:rPr>
              <w:t>triflorum</w:t>
            </w:r>
            <w:proofErr w:type="spellEnd"/>
          </w:p>
        </w:tc>
        <w:tc>
          <w:tcPr>
            <w:tcW w:w="2191" w:type="dxa"/>
            <w:tcBorders>
              <w:top w:val="nil"/>
              <w:left w:val="nil"/>
              <w:bottom w:val="nil"/>
              <w:right w:val="single" w:sz="12" w:space="0" w:color="auto"/>
            </w:tcBorders>
            <w:shd w:val="clear" w:color="000000" w:fill="FFFFFF"/>
            <w:noWrap/>
            <w:vAlign w:val="center"/>
            <w:hideMark/>
          </w:tcPr>
          <w:p w14:paraId="0D8CDD59"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r w:rsidRPr="003344C4">
              <w:rPr>
                <w:color w:val="000000"/>
                <w:kern w:val="0"/>
                <w:szCs w:val="24"/>
              </w:rPr>
              <w:t>Fabaceae</w:t>
            </w:r>
          </w:p>
        </w:tc>
        <w:tc>
          <w:tcPr>
            <w:tcW w:w="1620" w:type="dxa"/>
            <w:tcBorders>
              <w:top w:val="nil"/>
              <w:left w:val="nil"/>
              <w:bottom w:val="nil"/>
              <w:right w:val="single" w:sz="12" w:space="0" w:color="auto"/>
            </w:tcBorders>
            <w:shd w:val="clear" w:color="000000" w:fill="FFFFFF"/>
            <w:noWrap/>
            <w:vAlign w:val="center"/>
            <w:hideMark/>
          </w:tcPr>
          <w:p w14:paraId="70145414"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1</w:t>
            </w:r>
          </w:p>
        </w:tc>
        <w:tc>
          <w:tcPr>
            <w:tcW w:w="1620" w:type="dxa"/>
            <w:tcBorders>
              <w:top w:val="nil"/>
              <w:left w:val="nil"/>
              <w:bottom w:val="nil"/>
              <w:right w:val="single" w:sz="12" w:space="0" w:color="auto"/>
            </w:tcBorders>
            <w:shd w:val="clear" w:color="000000" w:fill="FFFFFF"/>
            <w:noWrap/>
            <w:vAlign w:val="center"/>
            <w:hideMark/>
          </w:tcPr>
          <w:p w14:paraId="56EA7EAC"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0.48%</w:t>
            </w:r>
          </w:p>
        </w:tc>
        <w:tc>
          <w:tcPr>
            <w:tcW w:w="2006" w:type="dxa"/>
            <w:tcBorders>
              <w:top w:val="nil"/>
              <w:left w:val="nil"/>
              <w:bottom w:val="nil"/>
              <w:right w:val="single" w:sz="12" w:space="0" w:color="auto"/>
            </w:tcBorders>
            <w:shd w:val="clear" w:color="000000" w:fill="FFFFFF"/>
            <w:noWrap/>
            <w:vAlign w:val="center"/>
            <w:hideMark/>
          </w:tcPr>
          <w:p w14:paraId="7D0A6C9D"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6</w:t>
            </w:r>
          </w:p>
        </w:tc>
        <w:tc>
          <w:tcPr>
            <w:tcW w:w="2659" w:type="dxa"/>
            <w:tcBorders>
              <w:top w:val="nil"/>
              <w:left w:val="nil"/>
              <w:bottom w:val="nil"/>
              <w:right w:val="single" w:sz="12" w:space="0" w:color="auto"/>
            </w:tcBorders>
            <w:shd w:val="clear" w:color="000000" w:fill="FFFFFF"/>
            <w:noWrap/>
            <w:vAlign w:val="center"/>
            <w:hideMark/>
          </w:tcPr>
          <w:p w14:paraId="13F5C4F7"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0.04%</w:t>
            </w:r>
          </w:p>
        </w:tc>
      </w:tr>
      <w:tr w:rsidR="004219A7" w:rsidRPr="003344C4" w14:paraId="6203050F" w14:textId="77777777" w:rsidTr="00A26290">
        <w:trPr>
          <w:trHeight w:val="306"/>
        </w:trPr>
        <w:tc>
          <w:tcPr>
            <w:tcW w:w="2834" w:type="dxa"/>
            <w:tcBorders>
              <w:top w:val="nil"/>
              <w:left w:val="single" w:sz="12" w:space="0" w:color="auto"/>
              <w:bottom w:val="nil"/>
              <w:right w:val="single" w:sz="12" w:space="0" w:color="auto"/>
            </w:tcBorders>
            <w:shd w:val="clear" w:color="000000" w:fill="FFFFFF"/>
            <w:noWrap/>
            <w:vAlign w:val="center"/>
            <w:hideMark/>
          </w:tcPr>
          <w:p w14:paraId="36CB23FF"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proofErr w:type="spellStart"/>
            <w:r w:rsidRPr="003344C4">
              <w:rPr>
                <w:i/>
                <w:iCs/>
                <w:color w:val="000000"/>
                <w:kern w:val="0"/>
                <w:szCs w:val="24"/>
              </w:rPr>
              <w:t>Sida</w:t>
            </w:r>
            <w:proofErr w:type="spellEnd"/>
            <w:r w:rsidRPr="003344C4">
              <w:rPr>
                <w:i/>
                <w:iCs/>
                <w:color w:val="000000"/>
                <w:kern w:val="0"/>
                <w:szCs w:val="24"/>
              </w:rPr>
              <w:t xml:space="preserve"> acuta</w:t>
            </w:r>
          </w:p>
        </w:tc>
        <w:tc>
          <w:tcPr>
            <w:tcW w:w="2191" w:type="dxa"/>
            <w:tcBorders>
              <w:top w:val="nil"/>
              <w:left w:val="nil"/>
              <w:bottom w:val="nil"/>
              <w:right w:val="single" w:sz="12" w:space="0" w:color="auto"/>
            </w:tcBorders>
            <w:shd w:val="clear" w:color="000000" w:fill="FFFFFF"/>
            <w:noWrap/>
            <w:vAlign w:val="center"/>
            <w:hideMark/>
          </w:tcPr>
          <w:p w14:paraId="2A30BC3D"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proofErr w:type="spellStart"/>
            <w:r w:rsidRPr="003344C4">
              <w:rPr>
                <w:color w:val="000000"/>
                <w:kern w:val="0"/>
                <w:szCs w:val="24"/>
              </w:rPr>
              <w:t>Malvaceae</w:t>
            </w:r>
            <w:proofErr w:type="spellEnd"/>
          </w:p>
        </w:tc>
        <w:tc>
          <w:tcPr>
            <w:tcW w:w="1620" w:type="dxa"/>
            <w:tcBorders>
              <w:top w:val="nil"/>
              <w:left w:val="nil"/>
              <w:bottom w:val="nil"/>
              <w:right w:val="single" w:sz="12" w:space="0" w:color="auto"/>
            </w:tcBorders>
            <w:shd w:val="clear" w:color="000000" w:fill="FFFFFF"/>
            <w:noWrap/>
            <w:vAlign w:val="center"/>
            <w:hideMark/>
          </w:tcPr>
          <w:p w14:paraId="2AB23865"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1</w:t>
            </w:r>
          </w:p>
        </w:tc>
        <w:tc>
          <w:tcPr>
            <w:tcW w:w="1620" w:type="dxa"/>
            <w:tcBorders>
              <w:top w:val="nil"/>
              <w:left w:val="nil"/>
              <w:bottom w:val="nil"/>
              <w:right w:val="single" w:sz="12" w:space="0" w:color="auto"/>
            </w:tcBorders>
            <w:shd w:val="clear" w:color="000000" w:fill="FFFFFF"/>
            <w:noWrap/>
            <w:vAlign w:val="center"/>
            <w:hideMark/>
          </w:tcPr>
          <w:p w14:paraId="122A3211"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0.48%</w:t>
            </w:r>
          </w:p>
        </w:tc>
        <w:tc>
          <w:tcPr>
            <w:tcW w:w="2006" w:type="dxa"/>
            <w:tcBorders>
              <w:top w:val="nil"/>
              <w:left w:val="nil"/>
              <w:bottom w:val="nil"/>
              <w:right w:val="single" w:sz="12" w:space="0" w:color="auto"/>
            </w:tcBorders>
            <w:shd w:val="clear" w:color="000000" w:fill="FFFFFF"/>
            <w:noWrap/>
            <w:vAlign w:val="center"/>
            <w:hideMark/>
          </w:tcPr>
          <w:p w14:paraId="77CF7291"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7</w:t>
            </w:r>
          </w:p>
        </w:tc>
        <w:tc>
          <w:tcPr>
            <w:tcW w:w="2659" w:type="dxa"/>
            <w:tcBorders>
              <w:top w:val="nil"/>
              <w:left w:val="nil"/>
              <w:bottom w:val="nil"/>
              <w:right w:val="single" w:sz="12" w:space="0" w:color="auto"/>
            </w:tcBorders>
            <w:shd w:val="clear" w:color="000000" w:fill="FFFFFF"/>
            <w:noWrap/>
            <w:vAlign w:val="center"/>
            <w:hideMark/>
          </w:tcPr>
          <w:p w14:paraId="6C6B0DF3"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0.05%</w:t>
            </w:r>
          </w:p>
        </w:tc>
      </w:tr>
      <w:tr w:rsidR="004219A7" w:rsidRPr="003344C4" w14:paraId="3CDD8CDF" w14:textId="77777777" w:rsidTr="00A26290">
        <w:trPr>
          <w:trHeight w:val="306"/>
        </w:trPr>
        <w:tc>
          <w:tcPr>
            <w:tcW w:w="2834" w:type="dxa"/>
            <w:tcBorders>
              <w:top w:val="nil"/>
              <w:left w:val="single" w:sz="12" w:space="0" w:color="auto"/>
              <w:bottom w:val="nil"/>
              <w:right w:val="single" w:sz="12" w:space="0" w:color="auto"/>
            </w:tcBorders>
            <w:shd w:val="clear" w:color="000000" w:fill="FFFFFF"/>
            <w:noWrap/>
            <w:vAlign w:val="center"/>
            <w:hideMark/>
          </w:tcPr>
          <w:p w14:paraId="28E5EBF0"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proofErr w:type="spellStart"/>
            <w:r w:rsidRPr="003344C4">
              <w:rPr>
                <w:i/>
                <w:iCs/>
                <w:color w:val="000000"/>
                <w:kern w:val="0"/>
                <w:szCs w:val="24"/>
              </w:rPr>
              <w:t>Sida</w:t>
            </w:r>
            <w:proofErr w:type="spellEnd"/>
            <w:r w:rsidRPr="003344C4">
              <w:rPr>
                <w:i/>
                <w:iCs/>
                <w:color w:val="000000"/>
                <w:kern w:val="0"/>
                <w:szCs w:val="24"/>
              </w:rPr>
              <w:t xml:space="preserve"> </w:t>
            </w:r>
            <w:proofErr w:type="spellStart"/>
            <w:r w:rsidRPr="003344C4">
              <w:rPr>
                <w:i/>
                <w:iCs/>
                <w:color w:val="000000"/>
                <w:kern w:val="0"/>
                <w:szCs w:val="24"/>
              </w:rPr>
              <w:t>rhombifolia</w:t>
            </w:r>
            <w:proofErr w:type="spellEnd"/>
          </w:p>
        </w:tc>
        <w:tc>
          <w:tcPr>
            <w:tcW w:w="2191" w:type="dxa"/>
            <w:tcBorders>
              <w:top w:val="nil"/>
              <w:left w:val="nil"/>
              <w:bottom w:val="nil"/>
              <w:right w:val="single" w:sz="12" w:space="0" w:color="auto"/>
            </w:tcBorders>
            <w:shd w:val="clear" w:color="000000" w:fill="FFFFFF"/>
            <w:noWrap/>
            <w:vAlign w:val="center"/>
            <w:hideMark/>
          </w:tcPr>
          <w:p w14:paraId="179927B6"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proofErr w:type="spellStart"/>
            <w:r w:rsidRPr="003344C4">
              <w:rPr>
                <w:color w:val="000000"/>
                <w:kern w:val="0"/>
                <w:szCs w:val="24"/>
              </w:rPr>
              <w:t>Malvaceae</w:t>
            </w:r>
            <w:proofErr w:type="spellEnd"/>
          </w:p>
        </w:tc>
        <w:tc>
          <w:tcPr>
            <w:tcW w:w="1620" w:type="dxa"/>
            <w:tcBorders>
              <w:top w:val="nil"/>
              <w:left w:val="nil"/>
              <w:bottom w:val="nil"/>
              <w:right w:val="single" w:sz="12" w:space="0" w:color="auto"/>
            </w:tcBorders>
            <w:shd w:val="clear" w:color="000000" w:fill="FFFFFF"/>
            <w:noWrap/>
            <w:vAlign w:val="center"/>
            <w:hideMark/>
          </w:tcPr>
          <w:p w14:paraId="69953C91"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8</w:t>
            </w:r>
          </w:p>
        </w:tc>
        <w:tc>
          <w:tcPr>
            <w:tcW w:w="1620" w:type="dxa"/>
            <w:tcBorders>
              <w:top w:val="nil"/>
              <w:left w:val="nil"/>
              <w:bottom w:val="nil"/>
              <w:right w:val="single" w:sz="12" w:space="0" w:color="auto"/>
            </w:tcBorders>
            <w:shd w:val="clear" w:color="000000" w:fill="FFFFFF"/>
            <w:noWrap/>
            <w:vAlign w:val="center"/>
            <w:hideMark/>
          </w:tcPr>
          <w:p w14:paraId="1D418382"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3.86%</w:t>
            </w:r>
          </w:p>
        </w:tc>
        <w:tc>
          <w:tcPr>
            <w:tcW w:w="2006" w:type="dxa"/>
            <w:tcBorders>
              <w:top w:val="nil"/>
              <w:left w:val="nil"/>
              <w:bottom w:val="nil"/>
              <w:right w:val="single" w:sz="12" w:space="0" w:color="auto"/>
            </w:tcBorders>
            <w:shd w:val="clear" w:color="000000" w:fill="FFFFFF"/>
            <w:noWrap/>
            <w:vAlign w:val="center"/>
            <w:hideMark/>
          </w:tcPr>
          <w:p w14:paraId="755EDD3A"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51</w:t>
            </w:r>
          </w:p>
        </w:tc>
        <w:tc>
          <w:tcPr>
            <w:tcW w:w="2659" w:type="dxa"/>
            <w:tcBorders>
              <w:top w:val="nil"/>
              <w:left w:val="nil"/>
              <w:bottom w:val="nil"/>
              <w:right w:val="single" w:sz="12" w:space="0" w:color="auto"/>
            </w:tcBorders>
            <w:shd w:val="clear" w:color="000000" w:fill="FFFFFF"/>
            <w:noWrap/>
            <w:vAlign w:val="center"/>
            <w:hideMark/>
          </w:tcPr>
          <w:p w14:paraId="5359F374"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0.38%</w:t>
            </w:r>
          </w:p>
        </w:tc>
      </w:tr>
      <w:tr w:rsidR="004219A7" w:rsidRPr="003344C4" w14:paraId="19D45736" w14:textId="77777777" w:rsidTr="00A26290">
        <w:trPr>
          <w:trHeight w:val="306"/>
        </w:trPr>
        <w:tc>
          <w:tcPr>
            <w:tcW w:w="2834" w:type="dxa"/>
            <w:tcBorders>
              <w:top w:val="nil"/>
              <w:left w:val="single" w:sz="12" w:space="0" w:color="auto"/>
              <w:bottom w:val="nil"/>
              <w:right w:val="single" w:sz="12" w:space="0" w:color="auto"/>
            </w:tcBorders>
            <w:shd w:val="clear" w:color="000000" w:fill="FFFFFF"/>
            <w:noWrap/>
            <w:vAlign w:val="center"/>
            <w:hideMark/>
          </w:tcPr>
          <w:p w14:paraId="1A7217C9"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proofErr w:type="spellStart"/>
            <w:r w:rsidRPr="003344C4">
              <w:rPr>
                <w:i/>
                <w:iCs/>
                <w:color w:val="000000"/>
                <w:kern w:val="0"/>
                <w:szCs w:val="24"/>
              </w:rPr>
              <w:t>Sida</w:t>
            </w:r>
            <w:proofErr w:type="spellEnd"/>
            <w:r w:rsidRPr="003344C4">
              <w:rPr>
                <w:i/>
                <w:iCs/>
                <w:color w:val="000000"/>
                <w:kern w:val="0"/>
                <w:szCs w:val="24"/>
              </w:rPr>
              <w:t xml:space="preserve"> </w:t>
            </w:r>
            <w:proofErr w:type="spellStart"/>
            <w:r w:rsidRPr="003344C4">
              <w:rPr>
                <w:i/>
                <w:iCs/>
                <w:color w:val="000000"/>
                <w:kern w:val="0"/>
                <w:szCs w:val="24"/>
              </w:rPr>
              <w:t>ulmifolia</w:t>
            </w:r>
            <w:proofErr w:type="spellEnd"/>
          </w:p>
        </w:tc>
        <w:tc>
          <w:tcPr>
            <w:tcW w:w="2191" w:type="dxa"/>
            <w:tcBorders>
              <w:top w:val="nil"/>
              <w:left w:val="nil"/>
              <w:bottom w:val="nil"/>
              <w:right w:val="single" w:sz="12" w:space="0" w:color="auto"/>
            </w:tcBorders>
            <w:shd w:val="clear" w:color="000000" w:fill="FFFFFF"/>
            <w:noWrap/>
            <w:vAlign w:val="center"/>
            <w:hideMark/>
          </w:tcPr>
          <w:p w14:paraId="26074C84"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proofErr w:type="spellStart"/>
            <w:r w:rsidRPr="003344C4">
              <w:rPr>
                <w:color w:val="000000"/>
                <w:kern w:val="0"/>
                <w:szCs w:val="24"/>
              </w:rPr>
              <w:t>Malvaceae</w:t>
            </w:r>
            <w:proofErr w:type="spellEnd"/>
          </w:p>
        </w:tc>
        <w:tc>
          <w:tcPr>
            <w:tcW w:w="1620" w:type="dxa"/>
            <w:tcBorders>
              <w:top w:val="nil"/>
              <w:left w:val="nil"/>
              <w:bottom w:val="nil"/>
              <w:right w:val="single" w:sz="12" w:space="0" w:color="auto"/>
            </w:tcBorders>
            <w:shd w:val="clear" w:color="000000" w:fill="FFFFFF"/>
            <w:noWrap/>
            <w:vAlign w:val="center"/>
            <w:hideMark/>
          </w:tcPr>
          <w:p w14:paraId="010F3D46"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9</w:t>
            </w:r>
          </w:p>
        </w:tc>
        <w:tc>
          <w:tcPr>
            <w:tcW w:w="1620" w:type="dxa"/>
            <w:tcBorders>
              <w:top w:val="nil"/>
              <w:left w:val="nil"/>
              <w:bottom w:val="nil"/>
              <w:right w:val="single" w:sz="12" w:space="0" w:color="auto"/>
            </w:tcBorders>
            <w:shd w:val="clear" w:color="000000" w:fill="FFFFFF"/>
            <w:noWrap/>
            <w:vAlign w:val="center"/>
            <w:hideMark/>
          </w:tcPr>
          <w:p w14:paraId="40AE4753"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4.35%</w:t>
            </w:r>
          </w:p>
        </w:tc>
        <w:tc>
          <w:tcPr>
            <w:tcW w:w="2006" w:type="dxa"/>
            <w:tcBorders>
              <w:top w:val="nil"/>
              <w:left w:val="nil"/>
              <w:bottom w:val="nil"/>
              <w:right w:val="single" w:sz="12" w:space="0" w:color="auto"/>
            </w:tcBorders>
            <w:shd w:val="clear" w:color="000000" w:fill="FFFFFF"/>
            <w:noWrap/>
            <w:vAlign w:val="center"/>
            <w:hideMark/>
          </w:tcPr>
          <w:p w14:paraId="78F30B06"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49</w:t>
            </w:r>
          </w:p>
        </w:tc>
        <w:tc>
          <w:tcPr>
            <w:tcW w:w="2659" w:type="dxa"/>
            <w:tcBorders>
              <w:top w:val="nil"/>
              <w:left w:val="nil"/>
              <w:bottom w:val="nil"/>
              <w:right w:val="single" w:sz="12" w:space="0" w:color="auto"/>
            </w:tcBorders>
            <w:shd w:val="clear" w:color="000000" w:fill="FFFFFF"/>
            <w:noWrap/>
            <w:vAlign w:val="center"/>
            <w:hideMark/>
          </w:tcPr>
          <w:p w14:paraId="1EFAE29D"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0.36%</w:t>
            </w:r>
          </w:p>
        </w:tc>
      </w:tr>
      <w:tr w:rsidR="004219A7" w:rsidRPr="003344C4" w14:paraId="2F3AC2BA" w14:textId="77777777" w:rsidTr="00A26290">
        <w:trPr>
          <w:trHeight w:val="312"/>
        </w:trPr>
        <w:tc>
          <w:tcPr>
            <w:tcW w:w="2834" w:type="dxa"/>
            <w:tcBorders>
              <w:top w:val="nil"/>
              <w:left w:val="single" w:sz="12" w:space="0" w:color="auto"/>
              <w:bottom w:val="nil"/>
              <w:right w:val="single" w:sz="12" w:space="0" w:color="auto"/>
            </w:tcBorders>
            <w:shd w:val="clear" w:color="000000" w:fill="FFFFFF"/>
            <w:noWrap/>
            <w:vAlign w:val="center"/>
            <w:hideMark/>
          </w:tcPr>
          <w:p w14:paraId="0222729C"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proofErr w:type="spellStart"/>
            <w:r w:rsidRPr="003344C4">
              <w:rPr>
                <w:i/>
                <w:iCs/>
                <w:color w:val="000000"/>
                <w:kern w:val="0"/>
                <w:szCs w:val="24"/>
              </w:rPr>
              <w:t>Stylosanthes</w:t>
            </w:r>
            <w:proofErr w:type="spellEnd"/>
            <w:r w:rsidRPr="003344C4">
              <w:rPr>
                <w:i/>
                <w:iCs/>
                <w:color w:val="000000"/>
                <w:kern w:val="0"/>
                <w:szCs w:val="24"/>
              </w:rPr>
              <w:t xml:space="preserve"> </w:t>
            </w:r>
            <w:proofErr w:type="spellStart"/>
            <w:r w:rsidRPr="003344C4">
              <w:rPr>
                <w:i/>
                <w:iCs/>
                <w:color w:val="000000"/>
                <w:kern w:val="0"/>
                <w:szCs w:val="24"/>
              </w:rPr>
              <w:t>hamata</w:t>
            </w:r>
            <w:proofErr w:type="spellEnd"/>
          </w:p>
        </w:tc>
        <w:tc>
          <w:tcPr>
            <w:tcW w:w="2191" w:type="dxa"/>
            <w:tcBorders>
              <w:top w:val="nil"/>
              <w:left w:val="nil"/>
              <w:bottom w:val="nil"/>
              <w:right w:val="single" w:sz="12" w:space="0" w:color="auto"/>
            </w:tcBorders>
            <w:shd w:val="clear" w:color="000000" w:fill="FFFFFF"/>
            <w:noWrap/>
            <w:vAlign w:val="center"/>
            <w:hideMark/>
          </w:tcPr>
          <w:p w14:paraId="7E9382CA"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r w:rsidRPr="003344C4">
              <w:rPr>
                <w:color w:val="000000"/>
                <w:kern w:val="0"/>
                <w:szCs w:val="24"/>
              </w:rPr>
              <w:t>Fabaceae</w:t>
            </w:r>
          </w:p>
        </w:tc>
        <w:tc>
          <w:tcPr>
            <w:tcW w:w="1620" w:type="dxa"/>
            <w:tcBorders>
              <w:top w:val="nil"/>
              <w:left w:val="nil"/>
              <w:bottom w:val="nil"/>
              <w:right w:val="single" w:sz="12" w:space="0" w:color="auto"/>
            </w:tcBorders>
            <w:shd w:val="clear" w:color="000000" w:fill="FFFFFF"/>
            <w:noWrap/>
            <w:vAlign w:val="center"/>
            <w:hideMark/>
          </w:tcPr>
          <w:p w14:paraId="7C0D8175"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8</w:t>
            </w:r>
          </w:p>
        </w:tc>
        <w:tc>
          <w:tcPr>
            <w:tcW w:w="1620" w:type="dxa"/>
            <w:tcBorders>
              <w:top w:val="nil"/>
              <w:left w:val="nil"/>
              <w:bottom w:val="nil"/>
              <w:right w:val="single" w:sz="12" w:space="0" w:color="auto"/>
            </w:tcBorders>
            <w:shd w:val="clear" w:color="000000" w:fill="FFFFFF"/>
            <w:noWrap/>
            <w:vAlign w:val="center"/>
            <w:hideMark/>
          </w:tcPr>
          <w:p w14:paraId="2D2C6303"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3.86%</w:t>
            </w:r>
          </w:p>
        </w:tc>
        <w:tc>
          <w:tcPr>
            <w:tcW w:w="2006" w:type="dxa"/>
            <w:tcBorders>
              <w:top w:val="nil"/>
              <w:left w:val="nil"/>
              <w:bottom w:val="nil"/>
              <w:right w:val="single" w:sz="12" w:space="0" w:color="auto"/>
            </w:tcBorders>
            <w:shd w:val="clear" w:color="000000" w:fill="FFFFFF"/>
            <w:noWrap/>
            <w:vAlign w:val="center"/>
            <w:hideMark/>
          </w:tcPr>
          <w:p w14:paraId="1ADF2729"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72</w:t>
            </w:r>
          </w:p>
        </w:tc>
        <w:tc>
          <w:tcPr>
            <w:tcW w:w="2659" w:type="dxa"/>
            <w:tcBorders>
              <w:top w:val="nil"/>
              <w:left w:val="nil"/>
              <w:bottom w:val="nil"/>
              <w:right w:val="single" w:sz="12" w:space="0" w:color="auto"/>
            </w:tcBorders>
            <w:shd w:val="clear" w:color="000000" w:fill="FFFFFF"/>
            <w:noWrap/>
            <w:vAlign w:val="center"/>
            <w:hideMark/>
          </w:tcPr>
          <w:p w14:paraId="7DEE04CA"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0.53%</w:t>
            </w:r>
          </w:p>
        </w:tc>
      </w:tr>
      <w:tr w:rsidR="004219A7" w:rsidRPr="003344C4" w14:paraId="6A93D97B" w14:textId="77777777" w:rsidTr="00A26290">
        <w:trPr>
          <w:trHeight w:val="312"/>
        </w:trPr>
        <w:tc>
          <w:tcPr>
            <w:tcW w:w="2834" w:type="dxa"/>
            <w:tcBorders>
              <w:top w:val="single" w:sz="8" w:space="0" w:color="auto"/>
              <w:left w:val="single" w:sz="12" w:space="0" w:color="auto"/>
              <w:bottom w:val="single" w:sz="8" w:space="0" w:color="auto"/>
              <w:right w:val="single" w:sz="12" w:space="0" w:color="auto"/>
            </w:tcBorders>
            <w:shd w:val="clear" w:color="000000" w:fill="D9D9D9"/>
            <w:noWrap/>
            <w:vAlign w:val="center"/>
            <w:hideMark/>
          </w:tcPr>
          <w:p w14:paraId="7C4D3175" w14:textId="77777777" w:rsidR="003344C4" w:rsidRPr="003344C4" w:rsidRDefault="003344C4" w:rsidP="00A26290">
            <w:pPr>
              <w:widowControl/>
              <w:overflowPunct/>
              <w:autoSpaceDE/>
              <w:autoSpaceDN/>
              <w:adjustRightInd/>
              <w:contextualSpacing w:val="0"/>
              <w:jc w:val="center"/>
              <w:rPr>
                <w:b/>
                <w:bCs/>
                <w:color w:val="000000"/>
                <w:kern w:val="0"/>
                <w:szCs w:val="24"/>
              </w:rPr>
            </w:pPr>
            <w:r w:rsidRPr="003344C4">
              <w:rPr>
                <w:b/>
                <w:bCs/>
                <w:color w:val="000000"/>
                <w:kern w:val="0"/>
                <w:szCs w:val="24"/>
              </w:rPr>
              <w:t>Foliage is the Fruit</w:t>
            </w:r>
          </w:p>
        </w:tc>
        <w:tc>
          <w:tcPr>
            <w:tcW w:w="2191" w:type="dxa"/>
            <w:tcBorders>
              <w:top w:val="single" w:sz="8" w:space="0" w:color="auto"/>
              <w:left w:val="nil"/>
              <w:bottom w:val="single" w:sz="8" w:space="0" w:color="auto"/>
              <w:right w:val="single" w:sz="12" w:space="0" w:color="auto"/>
            </w:tcBorders>
            <w:shd w:val="clear" w:color="000000" w:fill="D9D9D9"/>
            <w:noWrap/>
            <w:vAlign w:val="center"/>
            <w:hideMark/>
          </w:tcPr>
          <w:p w14:paraId="386F582E"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w:t>
            </w:r>
          </w:p>
        </w:tc>
        <w:tc>
          <w:tcPr>
            <w:tcW w:w="1620" w:type="dxa"/>
            <w:tcBorders>
              <w:top w:val="single" w:sz="8" w:space="0" w:color="auto"/>
              <w:left w:val="nil"/>
              <w:bottom w:val="single" w:sz="8" w:space="0" w:color="auto"/>
              <w:right w:val="single" w:sz="12" w:space="0" w:color="auto"/>
            </w:tcBorders>
            <w:shd w:val="clear" w:color="000000" w:fill="D9D9D9"/>
            <w:noWrap/>
            <w:vAlign w:val="center"/>
            <w:hideMark/>
          </w:tcPr>
          <w:p w14:paraId="2296AE29" w14:textId="77777777" w:rsidR="003344C4" w:rsidRPr="003344C4" w:rsidRDefault="003344C4" w:rsidP="00A26290">
            <w:pPr>
              <w:widowControl/>
              <w:overflowPunct/>
              <w:autoSpaceDE/>
              <w:autoSpaceDN/>
              <w:adjustRightInd/>
              <w:contextualSpacing w:val="0"/>
              <w:jc w:val="center"/>
              <w:rPr>
                <w:b/>
                <w:bCs/>
                <w:color w:val="000000"/>
                <w:kern w:val="0"/>
                <w:szCs w:val="24"/>
              </w:rPr>
            </w:pPr>
            <w:r w:rsidRPr="003344C4">
              <w:rPr>
                <w:b/>
                <w:bCs/>
                <w:color w:val="000000"/>
                <w:kern w:val="0"/>
                <w:szCs w:val="24"/>
              </w:rPr>
              <w:t>203</w:t>
            </w:r>
          </w:p>
        </w:tc>
        <w:tc>
          <w:tcPr>
            <w:tcW w:w="1620" w:type="dxa"/>
            <w:tcBorders>
              <w:top w:val="single" w:sz="8" w:space="0" w:color="auto"/>
              <w:left w:val="nil"/>
              <w:bottom w:val="single" w:sz="8" w:space="0" w:color="auto"/>
              <w:right w:val="single" w:sz="12" w:space="0" w:color="auto"/>
            </w:tcBorders>
            <w:shd w:val="clear" w:color="000000" w:fill="D9D9D9"/>
            <w:noWrap/>
            <w:vAlign w:val="center"/>
            <w:hideMark/>
          </w:tcPr>
          <w:p w14:paraId="09A41F62" w14:textId="77777777" w:rsidR="003344C4" w:rsidRPr="003344C4" w:rsidRDefault="003344C4" w:rsidP="00A26290">
            <w:pPr>
              <w:widowControl/>
              <w:overflowPunct/>
              <w:autoSpaceDE/>
              <w:autoSpaceDN/>
              <w:adjustRightInd/>
              <w:contextualSpacing w:val="0"/>
              <w:jc w:val="center"/>
              <w:rPr>
                <w:b/>
                <w:bCs/>
                <w:color w:val="000000"/>
                <w:kern w:val="0"/>
                <w:szCs w:val="24"/>
              </w:rPr>
            </w:pPr>
            <w:r w:rsidRPr="003344C4">
              <w:rPr>
                <w:b/>
                <w:bCs/>
                <w:color w:val="000000"/>
                <w:kern w:val="0"/>
                <w:szCs w:val="24"/>
              </w:rPr>
              <w:t>98.07%</w:t>
            </w:r>
          </w:p>
        </w:tc>
        <w:tc>
          <w:tcPr>
            <w:tcW w:w="2006" w:type="dxa"/>
            <w:tcBorders>
              <w:top w:val="single" w:sz="8" w:space="0" w:color="auto"/>
              <w:left w:val="nil"/>
              <w:bottom w:val="single" w:sz="8" w:space="0" w:color="auto"/>
              <w:right w:val="single" w:sz="12" w:space="0" w:color="auto"/>
            </w:tcBorders>
            <w:shd w:val="clear" w:color="000000" w:fill="D9D9D9"/>
            <w:noWrap/>
            <w:vAlign w:val="center"/>
            <w:hideMark/>
          </w:tcPr>
          <w:p w14:paraId="7854A6D3" w14:textId="77777777" w:rsidR="003344C4" w:rsidRPr="003344C4" w:rsidRDefault="003344C4" w:rsidP="00A26290">
            <w:pPr>
              <w:widowControl/>
              <w:overflowPunct/>
              <w:autoSpaceDE/>
              <w:autoSpaceDN/>
              <w:adjustRightInd/>
              <w:contextualSpacing w:val="0"/>
              <w:jc w:val="center"/>
              <w:rPr>
                <w:b/>
                <w:bCs/>
                <w:color w:val="000000"/>
                <w:kern w:val="0"/>
                <w:szCs w:val="24"/>
              </w:rPr>
            </w:pPr>
            <w:r w:rsidRPr="003344C4">
              <w:rPr>
                <w:b/>
                <w:bCs/>
                <w:color w:val="000000"/>
                <w:kern w:val="0"/>
                <w:szCs w:val="24"/>
              </w:rPr>
              <w:t>3037</w:t>
            </w:r>
          </w:p>
        </w:tc>
        <w:tc>
          <w:tcPr>
            <w:tcW w:w="2659" w:type="dxa"/>
            <w:tcBorders>
              <w:top w:val="single" w:sz="8" w:space="0" w:color="auto"/>
              <w:left w:val="nil"/>
              <w:bottom w:val="single" w:sz="8" w:space="0" w:color="auto"/>
              <w:right w:val="single" w:sz="12" w:space="0" w:color="auto"/>
            </w:tcBorders>
            <w:shd w:val="clear" w:color="000000" w:fill="D9D9D9"/>
            <w:noWrap/>
            <w:vAlign w:val="center"/>
            <w:hideMark/>
          </w:tcPr>
          <w:p w14:paraId="6290DDA4" w14:textId="77777777" w:rsidR="003344C4" w:rsidRPr="003344C4" w:rsidRDefault="003344C4" w:rsidP="00A26290">
            <w:pPr>
              <w:widowControl/>
              <w:overflowPunct/>
              <w:autoSpaceDE/>
              <w:autoSpaceDN/>
              <w:adjustRightInd/>
              <w:contextualSpacing w:val="0"/>
              <w:jc w:val="center"/>
              <w:rPr>
                <w:b/>
                <w:bCs/>
                <w:color w:val="000000"/>
                <w:kern w:val="0"/>
                <w:szCs w:val="24"/>
              </w:rPr>
            </w:pPr>
            <w:r w:rsidRPr="003344C4">
              <w:rPr>
                <w:b/>
                <w:bCs/>
                <w:color w:val="000000"/>
                <w:kern w:val="0"/>
                <w:szCs w:val="24"/>
              </w:rPr>
              <w:t>22.35%</w:t>
            </w:r>
          </w:p>
        </w:tc>
      </w:tr>
      <w:tr w:rsidR="004219A7" w:rsidRPr="003344C4" w14:paraId="3E814932" w14:textId="77777777" w:rsidTr="00A26290">
        <w:trPr>
          <w:trHeight w:val="306"/>
        </w:trPr>
        <w:tc>
          <w:tcPr>
            <w:tcW w:w="2834" w:type="dxa"/>
            <w:tcBorders>
              <w:top w:val="nil"/>
              <w:left w:val="single" w:sz="12" w:space="0" w:color="auto"/>
              <w:bottom w:val="nil"/>
              <w:right w:val="single" w:sz="12" w:space="0" w:color="auto"/>
            </w:tcBorders>
            <w:shd w:val="clear" w:color="000000" w:fill="FFFFFF"/>
            <w:noWrap/>
            <w:vAlign w:val="center"/>
            <w:hideMark/>
          </w:tcPr>
          <w:p w14:paraId="450B3C05"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proofErr w:type="spellStart"/>
            <w:r w:rsidRPr="003344C4">
              <w:rPr>
                <w:i/>
                <w:iCs/>
                <w:color w:val="000000"/>
                <w:kern w:val="0"/>
                <w:szCs w:val="24"/>
              </w:rPr>
              <w:t>Alysicarpus</w:t>
            </w:r>
            <w:proofErr w:type="spellEnd"/>
            <w:r w:rsidRPr="003344C4">
              <w:rPr>
                <w:i/>
                <w:iCs/>
                <w:color w:val="000000"/>
                <w:kern w:val="0"/>
                <w:szCs w:val="24"/>
              </w:rPr>
              <w:t xml:space="preserve"> vaginalis</w:t>
            </w:r>
          </w:p>
        </w:tc>
        <w:tc>
          <w:tcPr>
            <w:tcW w:w="2191" w:type="dxa"/>
            <w:tcBorders>
              <w:top w:val="nil"/>
              <w:left w:val="nil"/>
              <w:bottom w:val="nil"/>
              <w:right w:val="single" w:sz="12" w:space="0" w:color="auto"/>
            </w:tcBorders>
            <w:shd w:val="clear" w:color="000000" w:fill="FFFFFF"/>
            <w:noWrap/>
            <w:vAlign w:val="center"/>
            <w:hideMark/>
          </w:tcPr>
          <w:p w14:paraId="5B0A5AB7"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r w:rsidRPr="003344C4">
              <w:rPr>
                <w:color w:val="000000"/>
                <w:kern w:val="0"/>
                <w:szCs w:val="24"/>
              </w:rPr>
              <w:t>Fabaceae</w:t>
            </w:r>
          </w:p>
        </w:tc>
        <w:tc>
          <w:tcPr>
            <w:tcW w:w="1620" w:type="dxa"/>
            <w:tcBorders>
              <w:top w:val="nil"/>
              <w:left w:val="nil"/>
              <w:bottom w:val="nil"/>
              <w:right w:val="single" w:sz="12" w:space="0" w:color="auto"/>
            </w:tcBorders>
            <w:shd w:val="clear" w:color="000000" w:fill="FFFFFF"/>
            <w:noWrap/>
            <w:vAlign w:val="center"/>
            <w:hideMark/>
          </w:tcPr>
          <w:p w14:paraId="37470296"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43</w:t>
            </w:r>
          </w:p>
        </w:tc>
        <w:tc>
          <w:tcPr>
            <w:tcW w:w="1620" w:type="dxa"/>
            <w:tcBorders>
              <w:top w:val="nil"/>
              <w:left w:val="nil"/>
              <w:bottom w:val="nil"/>
              <w:right w:val="single" w:sz="12" w:space="0" w:color="auto"/>
            </w:tcBorders>
            <w:shd w:val="clear" w:color="000000" w:fill="FFFFFF"/>
            <w:noWrap/>
            <w:vAlign w:val="center"/>
            <w:hideMark/>
          </w:tcPr>
          <w:p w14:paraId="3A3B01BE"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20.77%</w:t>
            </w:r>
          </w:p>
        </w:tc>
        <w:tc>
          <w:tcPr>
            <w:tcW w:w="2006" w:type="dxa"/>
            <w:tcBorders>
              <w:top w:val="nil"/>
              <w:left w:val="nil"/>
              <w:bottom w:val="nil"/>
              <w:right w:val="single" w:sz="12" w:space="0" w:color="auto"/>
            </w:tcBorders>
            <w:shd w:val="clear" w:color="000000" w:fill="FFFFFF"/>
            <w:noWrap/>
            <w:vAlign w:val="center"/>
            <w:hideMark/>
          </w:tcPr>
          <w:p w14:paraId="04BEBA48"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791</w:t>
            </w:r>
          </w:p>
        </w:tc>
        <w:tc>
          <w:tcPr>
            <w:tcW w:w="2659" w:type="dxa"/>
            <w:tcBorders>
              <w:top w:val="nil"/>
              <w:left w:val="nil"/>
              <w:bottom w:val="nil"/>
              <w:right w:val="single" w:sz="12" w:space="0" w:color="auto"/>
            </w:tcBorders>
            <w:shd w:val="clear" w:color="000000" w:fill="FFFFFF"/>
            <w:noWrap/>
            <w:vAlign w:val="center"/>
            <w:hideMark/>
          </w:tcPr>
          <w:p w14:paraId="23FD10FC"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5.82%</w:t>
            </w:r>
          </w:p>
        </w:tc>
      </w:tr>
      <w:tr w:rsidR="004219A7" w:rsidRPr="003344C4" w14:paraId="58710118" w14:textId="77777777" w:rsidTr="00A26290">
        <w:trPr>
          <w:trHeight w:val="306"/>
        </w:trPr>
        <w:tc>
          <w:tcPr>
            <w:tcW w:w="2834" w:type="dxa"/>
            <w:tcBorders>
              <w:top w:val="nil"/>
              <w:left w:val="single" w:sz="12" w:space="0" w:color="auto"/>
              <w:bottom w:val="nil"/>
              <w:right w:val="single" w:sz="12" w:space="0" w:color="auto"/>
            </w:tcBorders>
            <w:shd w:val="clear" w:color="000000" w:fill="FFFFFF"/>
            <w:noWrap/>
            <w:vAlign w:val="center"/>
            <w:hideMark/>
          </w:tcPr>
          <w:p w14:paraId="00E1DF1B"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proofErr w:type="spellStart"/>
            <w:r w:rsidRPr="003344C4">
              <w:rPr>
                <w:i/>
                <w:iCs/>
                <w:color w:val="000000"/>
                <w:kern w:val="0"/>
                <w:szCs w:val="24"/>
              </w:rPr>
              <w:t>Dactyloctenium</w:t>
            </w:r>
            <w:proofErr w:type="spellEnd"/>
            <w:r w:rsidRPr="003344C4">
              <w:rPr>
                <w:i/>
                <w:iCs/>
                <w:color w:val="000000"/>
                <w:kern w:val="0"/>
                <w:szCs w:val="24"/>
              </w:rPr>
              <w:t xml:space="preserve"> </w:t>
            </w:r>
            <w:proofErr w:type="spellStart"/>
            <w:r w:rsidRPr="003344C4">
              <w:rPr>
                <w:i/>
                <w:iCs/>
                <w:color w:val="000000"/>
                <w:kern w:val="0"/>
                <w:szCs w:val="24"/>
              </w:rPr>
              <w:t>aegyptium</w:t>
            </w:r>
            <w:proofErr w:type="spellEnd"/>
          </w:p>
        </w:tc>
        <w:tc>
          <w:tcPr>
            <w:tcW w:w="2191" w:type="dxa"/>
            <w:tcBorders>
              <w:top w:val="nil"/>
              <w:left w:val="nil"/>
              <w:bottom w:val="nil"/>
              <w:right w:val="single" w:sz="12" w:space="0" w:color="auto"/>
            </w:tcBorders>
            <w:shd w:val="clear" w:color="000000" w:fill="FFFFFF"/>
            <w:noWrap/>
            <w:vAlign w:val="center"/>
            <w:hideMark/>
          </w:tcPr>
          <w:p w14:paraId="7438BD69"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proofErr w:type="spellStart"/>
            <w:r w:rsidRPr="003344C4">
              <w:rPr>
                <w:color w:val="000000"/>
                <w:kern w:val="0"/>
                <w:szCs w:val="24"/>
              </w:rPr>
              <w:t>Poaceae</w:t>
            </w:r>
            <w:proofErr w:type="spellEnd"/>
          </w:p>
        </w:tc>
        <w:tc>
          <w:tcPr>
            <w:tcW w:w="1620" w:type="dxa"/>
            <w:tcBorders>
              <w:top w:val="nil"/>
              <w:left w:val="nil"/>
              <w:bottom w:val="nil"/>
              <w:right w:val="single" w:sz="12" w:space="0" w:color="auto"/>
            </w:tcBorders>
            <w:shd w:val="clear" w:color="000000" w:fill="FFFFFF"/>
            <w:noWrap/>
            <w:vAlign w:val="center"/>
            <w:hideMark/>
          </w:tcPr>
          <w:p w14:paraId="3FC76499"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2</w:t>
            </w:r>
          </w:p>
        </w:tc>
        <w:tc>
          <w:tcPr>
            <w:tcW w:w="1620" w:type="dxa"/>
            <w:tcBorders>
              <w:top w:val="nil"/>
              <w:left w:val="nil"/>
              <w:bottom w:val="nil"/>
              <w:right w:val="single" w:sz="12" w:space="0" w:color="auto"/>
            </w:tcBorders>
            <w:shd w:val="clear" w:color="000000" w:fill="FFFFFF"/>
            <w:noWrap/>
            <w:vAlign w:val="center"/>
            <w:hideMark/>
          </w:tcPr>
          <w:p w14:paraId="5F6B25E9"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0.97%</w:t>
            </w:r>
          </w:p>
        </w:tc>
        <w:tc>
          <w:tcPr>
            <w:tcW w:w="2006" w:type="dxa"/>
            <w:tcBorders>
              <w:top w:val="nil"/>
              <w:left w:val="nil"/>
              <w:bottom w:val="nil"/>
              <w:right w:val="single" w:sz="12" w:space="0" w:color="auto"/>
            </w:tcBorders>
            <w:shd w:val="clear" w:color="000000" w:fill="FFFFFF"/>
            <w:noWrap/>
            <w:vAlign w:val="center"/>
            <w:hideMark/>
          </w:tcPr>
          <w:p w14:paraId="2C9A3DCD"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17</w:t>
            </w:r>
          </w:p>
        </w:tc>
        <w:tc>
          <w:tcPr>
            <w:tcW w:w="2659" w:type="dxa"/>
            <w:tcBorders>
              <w:top w:val="nil"/>
              <w:left w:val="nil"/>
              <w:bottom w:val="nil"/>
              <w:right w:val="single" w:sz="12" w:space="0" w:color="auto"/>
            </w:tcBorders>
            <w:shd w:val="clear" w:color="000000" w:fill="FFFFFF"/>
            <w:noWrap/>
            <w:vAlign w:val="center"/>
            <w:hideMark/>
          </w:tcPr>
          <w:p w14:paraId="3441B95D"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0.13%</w:t>
            </w:r>
          </w:p>
        </w:tc>
      </w:tr>
      <w:tr w:rsidR="004219A7" w:rsidRPr="003344C4" w14:paraId="0E6FF061" w14:textId="77777777" w:rsidTr="00A26290">
        <w:trPr>
          <w:trHeight w:val="306"/>
        </w:trPr>
        <w:tc>
          <w:tcPr>
            <w:tcW w:w="2834" w:type="dxa"/>
            <w:tcBorders>
              <w:top w:val="nil"/>
              <w:left w:val="single" w:sz="12" w:space="0" w:color="auto"/>
              <w:bottom w:val="nil"/>
              <w:right w:val="single" w:sz="12" w:space="0" w:color="auto"/>
            </w:tcBorders>
            <w:shd w:val="clear" w:color="000000" w:fill="FFFFFF"/>
            <w:noWrap/>
            <w:vAlign w:val="center"/>
            <w:hideMark/>
          </w:tcPr>
          <w:p w14:paraId="0243ED88"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proofErr w:type="spellStart"/>
            <w:r w:rsidRPr="003344C4">
              <w:rPr>
                <w:i/>
                <w:iCs/>
                <w:color w:val="000000"/>
                <w:kern w:val="0"/>
                <w:szCs w:val="24"/>
              </w:rPr>
              <w:t>Dichanthelium</w:t>
            </w:r>
            <w:proofErr w:type="spellEnd"/>
            <w:r w:rsidRPr="003344C4">
              <w:rPr>
                <w:i/>
                <w:iCs/>
                <w:color w:val="000000"/>
                <w:kern w:val="0"/>
                <w:szCs w:val="24"/>
              </w:rPr>
              <w:t xml:space="preserve"> </w:t>
            </w:r>
            <w:proofErr w:type="spellStart"/>
            <w:r w:rsidRPr="003344C4">
              <w:rPr>
                <w:i/>
                <w:iCs/>
                <w:color w:val="000000"/>
                <w:kern w:val="0"/>
                <w:szCs w:val="24"/>
              </w:rPr>
              <w:t>aciculare</w:t>
            </w:r>
            <w:proofErr w:type="spellEnd"/>
          </w:p>
        </w:tc>
        <w:tc>
          <w:tcPr>
            <w:tcW w:w="2191" w:type="dxa"/>
            <w:tcBorders>
              <w:top w:val="nil"/>
              <w:left w:val="nil"/>
              <w:bottom w:val="nil"/>
              <w:right w:val="single" w:sz="12" w:space="0" w:color="auto"/>
            </w:tcBorders>
            <w:shd w:val="clear" w:color="000000" w:fill="FFFFFF"/>
            <w:noWrap/>
            <w:vAlign w:val="center"/>
            <w:hideMark/>
          </w:tcPr>
          <w:p w14:paraId="02FC3EE5"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proofErr w:type="spellStart"/>
            <w:r w:rsidRPr="003344C4">
              <w:rPr>
                <w:color w:val="000000"/>
                <w:kern w:val="0"/>
                <w:szCs w:val="24"/>
              </w:rPr>
              <w:t>Poaceae</w:t>
            </w:r>
            <w:proofErr w:type="spellEnd"/>
          </w:p>
        </w:tc>
        <w:tc>
          <w:tcPr>
            <w:tcW w:w="1620" w:type="dxa"/>
            <w:tcBorders>
              <w:top w:val="nil"/>
              <w:left w:val="nil"/>
              <w:bottom w:val="nil"/>
              <w:right w:val="single" w:sz="12" w:space="0" w:color="auto"/>
            </w:tcBorders>
            <w:shd w:val="clear" w:color="000000" w:fill="FFFFFF"/>
            <w:noWrap/>
            <w:vAlign w:val="center"/>
            <w:hideMark/>
          </w:tcPr>
          <w:p w14:paraId="22058B6C"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122</w:t>
            </w:r>
          </w:p>
        </w:tc>
        <w:tc>
          <w:tcPr>
            <w:tcW w:w="1620" w:type="dxa"/>
            <w:tcBorders>
              <w:top w:val="nil"/>
              <w:left w:val="nil"/>
              <w:bottom w:val="nil"/>
              <w:right w:val="single" w:sz="12" w:space="0" w:color="auto"/>
            </w:tcBorders>
            <w:shd w:val="clear" w:color="000000" w:fill="FFFFFF"/>
            <w:noWrap/>
            <w:vAlign w:val="center"/>
            <w:hideMark/>
          </w:tcPr>
          <w:p w14:paraId="49C2697F"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58.94%</w:t>
            </w:r>
          </w:p>
        </w:tc>
        <w:tc>
          <w:tcPr>
            <w:tcW w:w="2006" w:type="dxa"/>
            <w:tcBorders>
              <w:top w:val="nil"/>
              <w:left w:val="nil"/>
              <w:bottom w:val="nil"/>
              <w:right w:val="single" w:sz="12" w:space="0" w:color="auto"/>
            </w:tcBorders>
            <w:shd w:val="clear" w:color="000000" w:fill="FFFFFF"/>
            <w:noWrap/>
            <w:vAlign w:val="center"/>
            <w:hideMark/>
          </w:tcPr>
          <w:p w14:paraId="42561955"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2057</w:t>
            </w:r>
          </w:p>
        </w:tc>
        <w:tc>
          <w:tcPr>
            <w:tcW w:w="2659" w:type="dxa"/>
            <w:tcBorders>
              <w:top w:val="nil"/>
              <w:left w:val="nil"/>
              <w:bottom w:val="nil"/>
              <w:right w:val="single" w:sz="12" w:space="0" w:color="auto"/>
            </w:tcBorders>
            <w:shd w:val="clear" w:color="000000" w:fill="FFFFFF"/>
            <w:noWrap/>
            <w:vAlign w:val="center"/>
            <w:hideMark/>
          </w:tcPr>
          <w:p w14:paraId="7C16B6CE"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15.14%</w:t>
            </w:r>
          </w:p>
        </w:tc>
      </w:tr>
      <w:tr w:rsidR="004219A7" w:rsidRPr="003344C4" w14:paraId="2D480C45" w14:textId="77777777" w:rsidTr="00A26290">
        <w:trPr>
          <w:trHeight w:val="306"/>
        </w:trPr>
        <w:tc>
          <w:tcPr>
            <w:tcW w:w="2834" w:type="dxa"/>
            <w:tcBorders>
              <w:top w:val="nil"/>
              <w:left w:val="single" w:sz="12" w:space="0" w:color="auto"/>
              <w:bottom w:val="nil"/>
              <w:right w:val="single" w:sz="12" w:space="0" w:color="auto"/>
            </w:tcBorders>
            <w:shd w:val="clear" w:color="000000" w:fill="FFFFFF"/>
            <w:noWrap/>
            <w:vAlign w:val="center"/>
            <w:hideMark/>
          </w:tcPr>
          <w:p w14:paraId="7765704F"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proofErr w:type="spellStart"/>
            <w:r w:rsidRPr="003344C4">
              <w:rPr>
                <w:i/>
                <w:iCs/>
                <w:color w:val="000000"/>
                <w:kern w:val="0"/>
                <w:szCs w:val="24"/>
              </w:rPr>
              <w:t>Digitaria</w:t>
            </w:r>
            <w:proofErr w:type="spellEnd"/>
            <w:r w:rsidRPr="003344C4">
              <w:rPr>
                <w:i/>
                <w:iCs/>
                <w:color w:val="000000"/>
                <w:kern w:val="0"/>
                <w:szCs w:val="24"/>
              </w:rPr>
              <w:t xml:space="preserve"> </w:t>
            </w:r>
            <w:proofErr w:type="spellStart"/>
            <w:r w:rsidRPr="003344C4">
              <w:rPr>
                <w:i/>
                <w:iCs/>
                <w:color w:val="000000"/>
                <w:kern w:val="0"/>
                <w:szCs w:val="24"/>
              </w:rPr>
              <w:t>ciliaris</w:t>
            </w:r>
            <w:proofErr w:type="spellEnd"/>
          </w:p>
        </w:tc>
        <w:tc>
          <w:tcPr>
            <w:tcW w:w="2191" w:type="dxa"/>
            <w:tcBorders>
              <w:top w:val="nil"/>
              <w:left w:val="nil"/>
              <w:bottom w:val="nil"/>
              <w:right w:val="single" w:sz="12" w:space="0" w:color="auto"/>
            </w:tcBorders>
            <w:shd w:val="clear" w:color="000000" w:fill="FFFFFF"/>
            <w:noWrap/>
            <w:vAlign w:val="center"/>
            <w:hideMark/>
          </w:tcPr>
          <w:p w14:paraId="099273F3"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proofErr w:type="spellStart"/>
            <w:r w:rsidRPr="003344C4">
              <w:rPr>
                <w:color w:val="000000"/>
                <w:kern w:val="0"/>
                <w:szCs w:val="24"/>
              </w:rPr>
              <w:t>Poaceae</w:t>
            </w:r>
            <w:proofErr w:type="spellEnd"/>
          </w:p>
        </w:tc>
        <w:tc>
          <w:tcPr>
            <w:tcW w:w="1620" w:type="dxa"/>
            <w:tcBorders>
              <w:top w:val="nil"/>
              <w:left w:val="nil"/>
              <w:bottom w:val="nil"/>
              <w:right w:val="single" w:sz="12" w:space="0" w:color="auto"/>
            </w:tcBorders>
            <w:shd w:val="clear" w:color="000000" w:fill="FFFFFF"/>
            <w:noWrap/>
            <w:vAlign w:val="center"/>
            <w:hideMark/>
          </w:tcPr>
          <w:p w14:paraId="5276DE75"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8</w:t>
            </w:r>
          </w:p>
        </w:tc>
        <w:tc>
          <w:tcPr>
            <w:tcW w:w="1620" w:type="dxa"/>
            <w:tcBorders>
              <w:top w:val="nil"/>
              <w:left w:val="nil"/>
              <w:bottom w:val="nil"/>
              <w:right w:val="single" w:sz="12" w:space="0" w:color="auto"/>
            </w:tcBorders>
            <w:shd w:val="clear" w:color="000000" w:fill="FFFFFF"/>
            <w:noWrap/>
            <w:vAlign w:val="center"/>
            <w:hideMark/>
          </w:tcPr>
          <w:p w14:paraId="35411CA6"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3.86%</w:t>
            </w:r>
          </w:p>
        </w:tc>
        <w:tc>
          <w:tcPr>
            <w:tcW w:w="2006" w:type="dxa"/>
            <w:tcBorders>
              <w:top w:val="nil"/>
              <w:left w:val="nil"/>
              <w:bottom w:val="nil"/>
              <w:right w:val="single" w:sz="12" w:space="0" w:color="auto"/>
            </w:tcBorders>
            <w:shd w:val="clear" w:color="000000" w:fill="FFFFFF"/>
            <w:noWrap/>
            <w:vAlign w:val="center"/>
            <w:hideMark/>
          </w:tcPr>
          <w:p w14:paraId="1DF4E698"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50</w:t>
            </w:r>
          </w:p>
        </w:tc>
        <w:tc>
          <w:tcPr>
            <w:tcW w:w="2659" w:type="dxa"/>
            <w:tcBorders>
              <w:top w:val="nil"/>
              <w:left w:val="nil"/>
              <w:bottom w:val="nil"/>
              <w:right w:val="single" w:sz="12" w:space="0" w:color="auto"/>
            </w:tcBorders>
            <w:shd w:val="clear" w:color="000000" w:fill="FFFFFF"/>
            <w:noWrap/>
            <w:vAlign w:val="center"/>
            <w:hideMark/>
          </w:tcPr>
          <w:p w14:paraId="573F2A56"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0.37%</w:t>
            </w:r>
          </w:p>
        </w:tc>
      </w:tr>
      <w:tr w:rsidR="004219A7" w:rsidRPr="003344C4" w14:paraId="391CE17C" w14:textId="77777777" w:rsidTr="00A26290">
        <w:trPr>
          <w:trHeight w:val="306"/>
        </w:trPr>
        <w:tc>
          <w:tcPr>
            <w:tcW w:w="2834" w:type="dxa"/>
            <w:tcBorders>
              <w:top w:val="nil"/>
              <w:left w:val="single" w:sz="12" w:space="0" w:color="auto"/>
              <w:bottom w:val="nil"/>
              <w:right w:val="single" w:sz="12" w:space="0" w:color="auto"/>
            </w:tcBorders>
            <w:shd w:val="clear" w:color="000000" w:fill="FFFFFF"/>
            <w:noWrap/>
            <w:vAlign w:val="center"/>
            <w:hideMark/>
          </w:tcPr>
          <w:p w14:paraId="400B838A"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r w:rsidRPr="003344C4">
              <w:rPr>
                <w:i/>
                <w:iCs/>
                <w:color w:val="000000"/>
                <w:kern w:val="0"/>
                <w:szCs w:val="24"/>
              </w:rPr>
              <w:t xml:space="preserve">Eustachys </w:t>
            </w:r>
            <w:proofErr w:type="spellStart"/>
            <w:r w:rsidRPr="003344C4">
              <w:rPr>
                <w:i/>
                <w:iCs/>
                <w:color w:val="000000"/>
                <w:kern w:val="0"/>
                <w:szCs w:val="24"/>
              </w:rPr>
              <w:t>petrea</w:t>
            </w:r>
            <w:proofErr w:type="spellEnd"/>
          </w:p>
        </w:tc>
        <w:tc>
          <w:tcPr>
            <w:tcW w:w="2191" w:type="dxa"/>
            <w:tcBorders>
              <w:top w:val="nil"/>
              <w:left w:val="nil"/>
              <w:bottom w:val="nil"/>
              <w:right w:val="single" w:sz="12" w:space="0" w:color="auto"/>
            </w:tcBorders>
            <w:shd w:val="clear" w:color="000000" w:fill="FFFFFF"/>
            <w:noWrap/>
            <w:vAlign w:val="center"/>
            <w:hideMark/>
          </w:tcPr>
          <w:p w14:paraId="14C2221F"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proofErr w:type="spellStart"/>
            <w:r w:rsidRPr="003344C4">
              <w:rPr>
                <w:color w:val="000000"/>
                <w:kern w:val="0"/>
                <w:szCs w:val="24"/>
              </w:rPr>
              <w:t>Poaceae</w:t>
            </w:r>
            <w:proofErr w:type="spellEnd"/>
          </w:p>
        </w:tc>
        <w:tc>
          <w:tcPr>
            <w:tcW w:w="1620" w:type="dxa"/>
            <w:tcBorders>
              <w:top w:val="nil"/>
              <w:left w:val="nil"/>
              <w:bottom w:val="nil"/>
              <w:right w:val="single" w:sz="12" w:space="0" w:color="auto"/>
            </w:tcBorders>
            <w:shd w:val="clear" w:color="000000" w:fill="FFFFFF"/>
            <w:noWrap/>
            <w:vAlign w:val="center"/>
            <w:hideMark/>
          </w:tcPr>
          <w:p w14:paraId="76A3C2B2"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1</w:t>
            </w:r>
          </w:p>
        </w:tc>
        <w:tc>
          <w:tcPr>
            <w:tcW w:w="1620" w:type="dxa"/>
            <w:tcBorders>
              <w:top w:val="nil"/>
              <w:left w:val="nil"/>
              <w:bottom w:val="nil"/>
              <w:right w:val="single" w:sz="12" w:space="0" w:color="auto"/>
            </w:tcBorders>
            <w:shd w:val="clear" w:color="000000" w:fill="FFFFFF"/>
            <w:noWrap/>
            <w:vAlign w:val="center"/>
            <w:hideMark/>
          </w:tcPr>
          <w:p w14:paraId="037112CA"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0.48%</w:t>
            </w:r>
          </w:p>
        </w:tc>
        <w:tc>
          <w:tcPr>
            <w:tcW w:w="2006" w:type="dxa"/>
            <w:tcBorders>
              <w:top w:val="nil"/>
              <w:left w:val="nil"/>
              <w:bottom w:val="nil"/>
              <w:right w:val="single" w:sz="12" w:space="0" w:color="auto"/>
            </w:tcBorders>
            <w:shd w:val="clear" w:color="000000" w:fill="FFFFFF"/>
            <w:noWrap/>
            <w:vAlign w:val="center"/>
            <w:hideMark/>
          </w:tcPr>
          <w:p w14:paraId="23EA870E"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23</w:t>
            </w:r>
          </w:p>
        </w:tc>
        <w:tc>
          <w:tcPr>
            <w:tcW w:w="2659" w:type="dxa"/>
            <w:tcBorders>
              <w:top w:val="nil"/>
              <w:left w:val="nil"/>
              <w:bottom w:val="nil"/>
              <w:right w:val="single" w:sz="12" w:space="0" w:color="auto"/>
            </w:tcBorders>
            <w:shd w:val="clear" w:color="000000" w:fill="FFFFFF"/>
            <w:noWrap/>
            <w:vAlign w:val="center"/>
            <w:hideMark/>
          </w:tcPr>
          <w:p w14:paraId="774BFC59"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0.17%</w:t>
            </w:r>
          </w:p>
        </w:tc>
      </w:tr>
      <w:tr w:rsidR="004219A7" w:rsidRPr="003344C4" w14:paraId="08F334C0" w14:textId="77777777" w:rsidTr="00A26290">
        <w:trPr>
          <w:trHeight w:val="306"/>
        </w:trPr>
        <w:tc>
          <w:tcPr>
            <w:tcW w:w="2834" w:type="dxa"/>
            <w:tcBorders>
              <w:top w:val="nil"/>
              <w:left w:val="single" w:sz="12" w:space="0" w:color="auto"/>
              <w:bottom w:val="nil"/>
              <w:right w:val="single" w:sz="12" w:space="0" w:color="auto"/>
            </w:tcBorders>
            <w:shd w:val="clear" w:color="000000" w:fill="FFFFFF"/>
            <w:noWrap/>
            <w:vAlign w:val="center"/>
            <w:hideMark/>
          </w:tcPr>
          <w:p w14:paraId="24033554"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r w:rsidRPr="003344C4">
              <w:rPr>
                <w:i/>
                <w:iCs/>
                <w:color w:val="000000"/>
                <w:kern w:val="0"/>
                <w:szCs w:val="24"/>
              </w:rPr>
              <w:lastRenderedPageBreak/>
              <w:t>Panicum maximum</w:t>
            </w:r>
          </w:p>
        </w:tc>
        <w:tc>
          <w:tcPr>
            <w:tcW w:w="2191" w:type="dxa"/>
            <w:tcBorders>
              <w:top w:val="nil"/>
              <w:left w:val="nil"/>
              <w:bottom w:val="nil"/>
              <w:right w:val="single" w:sz="12" w:space="0" w:color="auto"/>
            </w:tcBorders>
            <w:shd w:val="clear" w:color="000000" w:fill="FFFFFF"/>
            <w:noWrap/>
            <w:vAlign w:val="center"/>
            <w:hideMark/>
          </w:tcPr>
          <w:p w14:paraId="2A21A4D8"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proofErr w:type="spellStart"/>
            <w:r w:rsidRPr="003344C4">
              <w:rPr>
                <w:color w:val="000000"/>
                <w:kern w:val="0"/>
                <w:szCs w:val="24"/>
              </w:rPr>
              <w:t>Poaceae</w:t>
            </w:r>
            <w:proofErr w:type="spellEnd"/>
          </w:p>
        </w:tc>
        <w:tc>
          <w:tcPr>
            <w:tcW w:w="1620" w:type="dxa"/>
            <w:tcBorders>
              <w:top w:val="nil"/>
              <w:left w:val="nil"/>
              <w:bottom w:val="nil"/>
              <w:right w:val="single" w:sz="12" w:space="0" w:color="auto"/>
            </w:tcBorders>
            <w:shd w:val="clear" w:color="000000" w:fill="FFFFFF"/>
            <w:noWrap/>
            <w:vAlign w:val="center"/>
            <w:hideMark/>
          </w:tcPr>
          <w:p w14:paraId="67BDB753"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2</w:t>
            </w:r>
          </w:p>
        </w:tc>
        <w:tc>
          <w:tcPr>
            <w:tcW w:w="1620" w:type="dxa"/>
            <w:tcBorders>
              <w:top w:val="nil"/>
              <w:left w:val="nil"/>
              <w:bottom w:val="nil"/>
              <w:right w:val="single" w:sz="12" w:space="0" w:color="auto"/>
            </w:tcBorders>
            <w:shd w:val="clear" w:color="000000" w:fill="FFFFFF"/>
            <w:noWrap/>
            <w:vAlign w:val="center"/>
            <w:hideMark/>
          </w:tcPr>
          <w:p w14:paraId="742EE894"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0.97%</w:t>
            </w:r>
          </w:p>
        </w:tc>
        <w:tc>
          <w:tcPr>
            <w:tcW w:w="2006" w:type="dxa"/>
            <w:tcBorders>
              <w:top w:val="nil"/>
              <w:left w:val="nil"/>
              <w:bottom w:val="nil"/>
              <w:right w:val="single" w:sz="12" w:space="0" w:color="auto"/>
            </w:tcBorders>
            <w:shd w:val="clear" w:color="000000" w:fill="FFFFFF"/>
            <w:noWrap/>
            <w:vAlign w:val="center"/>
            <w:hideMark/>
          </w:tcPr>
          <w:p w14:paraId="469D7884"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31</w:t>
            </w:r>
          </w:p>
        </w:tc>
        <w:tc>
          <w:tcPr>
            <w:tcW w:w="2659" w:type="dxa"/>
            <w:tcBorders>
              <w:top w:val="nil"/>
              <w:left w:val="nil"/>
              <w:bottom w:val="nil"/>
              <w:right w:val="single" w:sz="12" w:space="0" w:color="auto"/>
            </w:tcBorders>
            <w:shd w:val="clear" w:color="000000" w:fill="FFFFFF"/>
            <w:noWrap/>
            <w:vAlign w:val="center"/>
            <w:hideMark/>
          </w:tcPr>
          <w:p w14:paraId="22253872"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0.23%</w:t>
            </w:r>
          </w:p>
        </w:tc>
      </w:tr>
      <w:tr w:rsidR="004219A7" w:rsidRPr="003344C4" w14:paraId="72BC69A5" w14:textId="77777777" w:rsidTr="00A26290">
        <w:trPr>
          <w:trHeight w:val="306"/>
        </w:trPr>
        <w:tc>
          <w:tcPr>
            <w:tcW w:w="2834" w:type="dxa"/>
            <w:tcBorders>
              <w:top w:val="nil"/>
              <w:left w:val="single" w:sz="12" w:space="0" w:color="auto"/>
              <w:bottom w:val="nil"/>
              <w:right w:val="single" w:sz="12" w:space="0" w:color="auto"/>
            </w:tcBorders>
            <w:shd w:val="clear" w:color="000000" w:fill="FFFFFF"/>
            <w:noWrap/>
            <w:vAlign w:val="center"/>
            <w:hideMark/>
          </w:tcPr>
          <w:p w14:paraId="753B5A3A"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r w:rsidRPr="003344C4">
              <w:rPr>
                <w:i/>
                <w:iCs/>
                <w:color w:val="000000"/>
                <w:kern w:val="0"/>
                <w:szCs w:val="24"/>
              </w:rPr>
              <w:t xml:space="preserve">Paspalum </w:t>
            </w:r>
            <w:proofErr w:type="spellStart"/>
            <w:r w:rsidRPr="003344C4">
              <w:rPr>
                <w:i/>
                <w:iCs/>
                <w:color w:val="000000"/>
                <w:kern w:val="0"/>
                <w:szCs w:val="24"/>
              </w:rPr>
              <w:t>caespitosum</w:t>
            </w:r>
            <w:proofErr w:type="spellEnd"/>
          </w:p>
        </w:tc>
        <w:tc>
          <w:tcPr>
            <w:tcW w:w="2191" w:type="dxa"/>
            <w:tcBorders>
              <w:top w:val="nil"/>
              <w:left w:val="nil"/>
              <w:bottom w:val="nil"/>
              <w:right w:val="single" w:sz="12" w:space="0" w:color="auto"/>
            </w:tcBorders>
            <w:shd w:val="clear" w:color="000000" w:fill="FFFFFF"/>
            <w:noWrap/>
            <w:vAlign w:val="center"/>
            <w:hideMark/>
          </w:tcPr>
          <w:p w14:paraId="010150EB"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proofErr w:type="spellStart"/>
            <w:r w:rsidRPr="003344C4">
              <w:rPr>
                <w:color w:val="000000"/>
                <w:kern w:val="0"/>
                <w:szCs w:val="24"/>
              </w:rPr>
              <w:t>Poaceae</w:t>
            </w:r>
            <w:proofErr w:type="spellEnd"/>
          </w:p>
        </w:tc>
        <w:tc>
          <w:tcPr>
            <w:tcW w:w="1620" w:type="dxa"/>
            <w:tcBorders>
              <w:top w:val="nil"/>
              <w:left w:val="nil"/>
              <w:bottom w:val="nil"/>
              <w:right w:val="single" w:sz="12" w:space="0" w:color="auto"/>
            </w:tcBorders>
            <w:shd w:val="clear" w:color="000000" w:fill="FFFFFF"/>
            <w:noWrap/>
            <w:vAlign w:val="center"/>
            <w:hideMark/>
          </w:tcPr>
          <w:p w14:paraId="2A8A05F0"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5</w:t>
            </w:r>
          </w:p>
        </w:tc>
        <w:tc>
          <w:tcPr>
            <w:tcW w:w="1620" w:type="dxa"/>
            <w:tcBorders>
              <w:top w:val="nil"/>
              <w:left w:val="nil"/>
              <w:bottom w:val="nil"/>
              <w:right w:val="single" w:sz="12" w:space="0" w:color="auto"/>
            </w:tcBorders>
            <w:shd w:val="clear" w:color="000000" w:fill="FFFFFF"/>
            <w:noWrap/>
            <w:vAlign w:val="center"/>
            <w:hideMark/>
          </w:tcPr>
          <w:p w14:paraId="0C12955E"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2.42%</w:t>
            </w:r>
          </w:p>
        </w:tc>
        <w:tc>
          <w:tcPr>
            <w:tcW w:w="2006" w:type="dxa"/>
            <w:tcBorders>
              <w:top w:val="nil"/>
              <w:left w:val="nil"/>
              <w:bottom w:val="nil"/>
              <w:right w:val="single" w:sz="12" w:space="0" w:color="auto"/>
            </w:tcBorders>
            <w:shd w:val="clear" w:color="000000" w:fill="FFFFFF"/>
            <w:noWrap/>
            <w:vAlign w:val="center"/>
            <w:hideMark/>
          </w:tcPr>
          <w:p w14:paraId="3FF8F993"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6</w:t>
            </w:r>
          </w:p>
        </w:tc>
        <w:tc>
          <w:tcPr>
            <w:tcW w:w="2659" w:type="dxa"/>
            <w:tcBorders>
              <w:top w:val="nil"/>
              <w:left w:val="nil"/>
              <w:bottom w:val="nil"/>
              <w:right w:val="single" w:sz="12" w:space="0" w:color="auto"/>
            </w:tcBorders>
            <w:shd w:val="clear" w:color="000000" w:fill="FFFFFF"/>
            <w:noWrap/>
            <w:vAlign w:val="center"/>
            <w:hideMark/>
          </w:tcPr>
          <w:p w14:paraId="4D8B43FF"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0.04%</w:t>
            </w:r>
          </w:p>
        </w:tc>
      </w:tr>
      <w:tr w:rsidR="004219A7" w:rsidRPr="003344C4" w14:paraId="77802A29" w14:textId="77777777" w:rsidTr="00A26290">
        <w:trPr>
          <w:trHeight w:val="306"/>
        </w:trPr>
        <w:tc>
          <w:tcPr>
            <w:tcW w:w="2834" w:type="dxa"/>
            <w:tcBorders>
              <w:top w:val="nil"/>
              <w:left w:val="single" w:sz="12" w:space="0" w:color="auto"/>
              <w:bottom w:val="nil"/>
              <w:right w:val="single" w:sz="12" w:space="0" w:color="auto"/>
            </w:tcBorders>
            <w:shd w:val="clear" w:color="000000" w:fill="FFFFFF"/>
            <w:noWrap/>
            <w:vAlign w:val="center"/>
            <w:hideMark/>
          </w:tcPr>
          <w:p w14:paraId="412DE13E"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r w:rsidRPr="003344C4">
              <w:rPr>
                <w:i/>
                <w:iCs/>
                <w:color w:val="000000"/>
                <w:kern w:val="0"/>
                <w:szCs w:val="24"/>
              </w:rPr>
              <w:t xml:space="preserve">Paspalum </w:t>
            </w:r>
            <w:proofErr w:type="spellStart"/>
            <w:r w:rsidRPr="003344C4">
              <w:rPr>
                <w:i/>
                <w:iCs/>
                <w:color w:val="000000"/>
                <w:kern w:val="0"/>
                <w:szCs w:val="24"/>
              </w:rPr>
              <w:t>malacophyllum</w:t>
            </w:r>
            <w:proofErr w:type="spellEnd"/>
          </w:p>
        </w:tc>
        <w:tc>
          <w:tcPr>
            <w:tcW w:w="2191" w:type="dxa"/>
            <w:tcBorders>
              <w:top w:val="nil"/>
              <w:left w:val="nil"/>
              <w:bottom w:val="nil"/>
              <w:right w:val="single" w:sz="12" w:space="0" w:color="auto"/>
            </w:tcBorders>
            <w:shd w:val="clear" w:color="000000" w:fill="FFFFFF"/>
            <w:noWrap/>
            <w:vAlign w:val="center"/>
            <w:hideMark/>
          </w:tcPr>
          <w:p w14:paraId="1826DC92"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proofErr w:type="spellStart"/>
            <w:r w:rsidRPr="003344C4">
              <w:rPr>
                <w:color w:val="000000"/>
                <w:kern w:val="0"/>
                <w:szCs w:val="24"/>
              </w:rPr>
              <w:t>Poaceae</w:t>
            </w:r>
            <w:proofErr w:type="spellEnd"/>
          </w:p>
        </w:tc>
        <w:tc>
          <w:tcPr>
            <w:tcW w:w="1620" w:type="dxa"/>
            <w:tcBorders>
              <w:top w:val="nil"/>
              <w:left w:val="nil"/>
              <w:bottom w:val="nil"/>
              <w:right w:val="single" w:sz="12" w:space="0" w:color="auto"/>
            </w:tcBorders>
            <w:shd w:val="clear" w:color="000000" w:fill="FFFFFF"/>
            <w:noWrap/>
            <w:vAlign w:val="center"/>
            <w:hideMark/>
          </w:tcPr>
          <w:p w14:paraId="25E886BC"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6</w:t>
            </w:r>
          </w:p>
        </w:tc>
        <w:tc>
          <w:tcPr>
            <w:tcW w:w="1620" w:type="dxa"/>
            <w:tcBorders>
              <w:top w:val="nil"/>
              <w:left w:val="nil"/>
              <w:bottom w:val="nil"/>
              <w:right w:val="single" w:sz="12" w:space="0" w:color="auto"/>
            </w:tcBorders>
            <w:shd w:val="clear" w:color="000000" w:fill="FFFFFF"/>
            <w:noWrap/>
            <w:vAlign w:val="center"/>
            <w:hideMark/>
          </w:tcPr>
          <w:p w14:paraId="6485AEE4"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2.90%</w:t>
            </w:r>
          </w:p>
        </w:tc>
        <w:tc>
          <w:tcPr>
            <w:tcW w:w="2006" w:type="dxa"/>
            <w:tcBorders>
              <w:top w:val="nil"/>
              <w:left w:val="nil"/>
              <w:bottom w:val="nil"/>
              <w:right w:val="single" w:sz="12" w:space="0" w:color="auto"/>
            </w:tcBorders>
            <w:shd w:val="clear" w:color="000000" w:fill="FFFFFF"/>
            <w:noWrap/>
            <w:vAlign w:val="center"/>
            <w:hideMark/>
          </w:tcPr>
          <w:p w14:paraId="77933D70"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28</w:t>
            </w:r>
          </w:p>
        </w:tc>
        <w:tc>
          <w:tcPr>
            <w:tcW w:w="2659" w:type="dxa"/>
            <w:tcBorders>
              <w:top w:val="nil"/>
              <w:left w:val="nil"/>
              <w:bottom w:val="nil"/>
              <w:right w:val="single" w:sz="12" w:space="0" w:color="auto"/>
            </w:tcBorders>
            <w:shd w:val="clear" w:color="000000" w:fill="FFFFFF"/>
            <w:noWrap/>
            <w:vAlign w:val="center"/>
            <w:hideMark/>
          </w:tcPr>
          <w:p w14:paraId="66A8DF01"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0.21%</w:t>
            </w:r>
          </w:p>
        </w:tc>
      </w:tr>
      <w:tr w:rsidR="004219A7" w:rsidRPr="003344C4" w14:paraId="0D57AC64" w14:textId="77777777" w:rsidTr="00A26290">
        <w:trPr>
          <w:trHeight w:val="306"/>
        </w:trPr>
        <w:tc>
          <w:tcPr>
            <w:tcW w:w="2834" w:type="dxa"/>
            <w:tcBorders>
              <w:top w:val="nil"/>
              <w:left w:val="single" w:sz="12" w:space="0" w:color="auto"/>
              <w:bottom w:val="nil"/>
              <w:right w:val="single" w:sz="12" w:space="0" w:color="auto"/>
            </w:tcBorders>
            <w:shd w:val="clear" w:color="000000" w:fill="FFFFFF"/>
            <w:noWrap/>
            <w:vAlign w:val="center"/>
            <w:hideMark/>
          </w:tcPr>
          <w:p w14:paraId="0ADE7051"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r w:rsidRPr="003344C4">
              <w:rPr>
                <w:i/>
                <w:iCs/>
                <w:color w:val="000000"/>
                <w:kern w:val="0"/>
                <w:szCs w:val="24"/>
              </w:rPr>
              <w:t xml:space="preserve">Paspalum </w:t>
            </w:r>
            <w:proofErr w:type="spellStart"/>
            <w:r w:rsidRPr="003344C4">
              <w:rPr>
                <w:i/>
                <w:iCs/>
                <w:color w:val="000000"/>
                <w:kern w:val="0"/>
                <w:szCs w:val="24"/>
              </w:rPr>
              <w:t>monostachyum</w:t>
            </w:r>
            <w:proofErr w:type="spellEnd"/>
          </w:p>
        </w:tc>
        <w:tc>
          <w:tcPr>
            <w:tcW w:w="2191" w:type="dxa"/>
            <w:tcBorders>
              <w:top w:val="nil"/>
              <w:left w:val="nil"/>
              <w:bottom w:val="nil"/>
              <w:right w:val="single" w:sz="12" w:space="0" w:color="auto"/>
            </w:tcBorders>
            <w:shd w:val="clear" w:color="000000" w:fill="FFFFFF"/>
            <w:noWrap/>
            <w:vAlign w:val="center"/>
            <w:hideMark/>
          </w:tcPr>
          <w:p w14:paraId="12878C00"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proofErr w:type="spellStart"/>
            <w:r w:rsidRPr="003344C4">
              <w:rPr>
                <w:color w:val="000000"/>
                <w:kern w:val="0"/>
                <w:szCs w:val="24"/>
              </w:rPr>
              <w:t>Poaceae</w:t>
            </w:r>
            <w:proofErr w:type="spellEnd"/>
          </w:p>
        </w:tc>
        <w:tc>
          <w:tcPr>
            <w:tcW w:w="1620" w:type="dxa"/>
            <w:tcBorders>
              <w:top w:val="nil"/>
              <w:left w:val="nil"/>
              <w:bottom w:val="nil"/>
              <w:right w:val="single" w:sz="12" w:space="0" w:color="auto"/>
            </w:tcBorders>
            <w:shd w:val="clear" w:color="000000" w:fill="FFFFFF"/>
            <w:noWrap/>
            <w:vAlign w:val="center"/>
            <w:hideMark/>
          </w:tcPr>
          <w:p w14:paraId="751294CB"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1</w:t>
            </w:r>
          </w:p>
        </w:tc>
        <w:tc>
          <w:tcPr>
            <w:tcW w:w="1620" w:type="dxa"/>
            <w:tcBorders>
              <w:top w:val="nil"/>
              <w:left w:val="nil"/>
              <w:bottom w:val="nil"/>
              <w:right w:val="single" w:sz="12" w:space="0" w:color="auto"/>
            </w:tcBorders>
            <w:shd w:val="clear" w:color="000000" w:fill="FFFFFF"/>
            <w:noWrap/>
            <w:vAlign w:val="center"/>
            <w:hideMark/>
          </w:tcPr>
          <w:p w14:paraId="64E323CF"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0.48%</w:t>
            </w:r>
          </w:p>
        </w:tc>
        <w:tc>
          <w:tcPr>
            <w:tcW w:w="2006" w:type="dxa"/>
            <w:tcBorders>
              <w:top w:val="nil"/>
              <w:left w:val="nil"/>
              <w:bottom w:val="nil"/>
              <w:right w:val="single" w:sz="12" w:space="0" w:color="auto"/>
            </w:tcBorders>
            <w:shd w:val="clear" w:color="000000" w:fill="FFFFFF"/>
            <w:noWrap/>
            <w:vAlign w:val="center"/>
            <w:hideMark/>
          </w:tcPr>
          <w:p w14:paraId="78E1A3F9"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1</w:t>
            </w:r>
          </w:p>
        </w:tc>
        <w:tc>
          <w:tcPr>
            <w:tcW w:w="2659" w:type="dxa"/>
            <w:tcBorders>
              <w:top w:val="nil"/>
              <w:left w:val="nil"/>
              <w:bottom w:val="nil"/>
              <w:right w:val="single" w:sz="12" w:space="0" w:color="auto"/>
            </w:tcBorders>
            <w:shd w:val="clear" w:color="000000" w:fill="FFFFFF"/>
            <w:noWrap/>
            <w:vAlign w:val="center"/>
            <w:hideMark/>
          </w:tcPr>
          <w:p w14:paraId="035C7741"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0.01%</w:t>
            </w:r>
          </w:p>
        </w:tc>
      </w:tr>
      <w:tr w:rsidR="004219A7" w:rsidRPr="003344C4" w14:paraId="6D9BEF80" w14:textId="77777777" w:rsidTr="00A26290">
        <w:trPr>
          <w:trHeight w:val="306"/>
        </w:trPr>
        <w:tc>
          <w:tcPr>
            <w:tcW w:w="2834" w:type="dxa"/>
            <w:tcBorders>
              <w:top w:val="nil"/>
              <w:left w:val="single" w:sz="12" w:space="0" w:color="auto"/>
              <w:bottom w:val="nil"/>
              <w:right w:val="single" w:sz="12" w:space="0" w:color="auto"/>
            </w:tcBorders>
            <w:shd w:val="clear" w:color="000000" w:fill="FFFFFF"/>
            <w:noWrap/>
            <w:vAlign w:val="center"/>
            <w:hideMark/>
          </w:tcPr>
          <w:p w14:paraId="777D3F82"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r w:rsidRPr="003344C4">
              <w:rPr>
                <w:i/>
                <w:iCs/>
                <w:color w:val="000000"/>
                <w:kern w:val="0"/>
                <w:szCs w:val="24"/>
              </w:rPr>
              <w:t>Paspalum notatum</w:t>
            </w:r>
          </w:p>
        </w:tc>
        <w:tc>
          <w:tcPr>
            <w:tcW w:w="2191" w:type="dxa"/>
            <w:tcBorders>
              <w:top w:val="nil"/>
              <w:left w:val="nil"/>
              <w:bottom w:val="nil"/>
              <w:right w:val="single" w:sz="12" w:space="0" w:color="auto"/>
            </w:tcBorders>
            <w:shd w:val="clear" w:color="000000" w:fill="FFFFFF"/>
            <w:noWrap/>
            <w:vAlign w:val="center"/>
            <w:hideMark/>
          </w:tcPr>
          <w:p w14:paraId="1AFA4D7F"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proofErr w:type="spellStart"/>
            <w:r w:rsidRPr="003344C4">
              <w:rPr>
                <w:color w:val="000000"/>
                <w:kern w:val="0"/>
                <w:szCs w:val="24"/>
              </w:rPr>
              <w:t>Poaceae</w:t>
            </w:r>
            <w:proofErr w:type="spellEnd"/>
          </w:p>
        </w:tc>
        <w:tc>
          <w:tcPr>
            <w:tcW w:w="1620" w:type="dxa"/>
            <w:tcBorders>
              <w:top w:val="nil"/>
              <w:left w:val="nil"/>
              <w:bottom w:val="nil"/>
              <w:right w:val="single" w:sz="12" w:space="0" w:color="auto"/>
            </w:tcBorders>
            <w:shd w:val="clear" w:color="000000" w:fill="FFFFFF"/>
            <w:noWrap/>
            <w:vAlign w:val="center"/>
            <w:hideMark/>
          </w:tcPr>
          <w:p w14:paraId="0F7BD0F0"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2</w:t>
            </w:r>
          </w:p>
        </w:tc>
        <w:tc>
          <w:tcPr>
            <w:tcW w:w="1620" w:type="dxa"/>
            <w:tcBorders>
              <w:top w:val="nil"/>
              <w:left w:val="nil"/>
              <w:bottom w:val="nil"/>
              <w:right w:val="single" w:sz="12" w:space="0" w:color="auto"/>
            </w:tcBorders>
            <w:shd w:val="clear" w:color="000000" w:fill="FFFFFF"/>
            <w:noWrap/>
            <w:vAlign w:val="center"/>
            <w:hideMark/>
          </w:tcPr>
          <w:p w14:paraId="1C0B4BD3"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0.97%</w:t>
            </w:r>
          </w:p>
        </w:tc>
        <w:tc>
          <w:tcPr>
            <w:tcW w:w="2006" w:type="dxa"/>
            <w:tcBorders>
              <w:top w:val="nil"/>
              <w:left w:val="nil"/>
              <w:bottom w:val="nil"/>
              <w:right w:val="single" w:sz="12" w:space="0" w:color="auto"/>
            </w:tcBorders>
            <w:shd w:val="clear" w:color="000000" w:fill="FFFFFF"/>
            <w:noWrap/>
            <w:vAlign w:val="center"/>
            <w:hideMark/>
          </w:tcPr>
          <w:p w14:paraId="78689FD0"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5</w:t>
            </w:r>
          </w:p>
        </w:tc>
        <w:tc>
          <w:tcPr>
            <w:tcW w:w="2659" w:type="dxa"/>
            <w:tcBorders>
              <w:top w:val="nil"/>
              <w:left w:val="nil"/>
              <w:bottom w:val="nil"/>
              <w:right w:val="single" w:sz="12" w:space="0" w:color="auto"/>
            </w:tcBorders>
            <w:shd w:val="clear" w:color="000000" w:fill="FFFFFF"/>
            <w:noWrap/>
            <w:vAlign w:val="center"/>
            <w:hideMark/>
          </w:tcPr>
          <w:p w14:paraId="60C7D750"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0.04%</w:t>
            </w:r>
          </w:p>
        </w:tc>
      </w:tr>
      <w:tr w:rsidR="004219A7" w:rsidRPr="003344C4" w14:paraId="18B836A2" w14:textId="77777777" w:rsidTr="00A26290">
        <w:trPr>
          <w:trHeight w:val="306"/>
        </w:trPr>
        <w:tc>
          <w:tcPr>
            <w:tcW w:w="2834" w:type="dxa"/>
            <w:tcBorders>
              <w:top w:val="nil"/>
              <w:left w:val="single" w:sz="12" w:space="0" w:color="auto"/>
              <w:bottom w:val="nil"/>
              <w:right w:val="single" w:sz="12" w:space="0" w:color="auto"/>
            </w:tcBorders>
            <w:shd w:val="clear" w:color="000000" w:fill="FFFFFF"/>
            <w:noWrap/>
            <w:vAlign w:val="center"/>
            <w:hideMark/>
          </w:tcPr>
          <w:p w14:paraId="124000BB"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r w:rsidRPr="003344C4">
              <w:rPr>
                <w:i/>
                <w:iCs/>
                <w:color w:val="000000"/>
                <w:kern w:val="0"/>
                <w:szCs w:val="24"/>
              </w:rPr>
              <w:t xml:space="preserve">Paspalum </w:t>
            </w:r>
            <w:proofErr w:type="spellStart"/>
            <w:r w:rsidRPr="003344C4">
              <w:rPr>
                <w:i/>
                <w:iCs/>
                <w:color w:val="000000"/>
                <w:kern w:val="0"/>
                <w:szCs w:val="24"/>
              </w:rPr>
              <w:t>setaceum</w:t>
            </w:r>
            <w:proofErr w:type="spellEnd"/>
          </w:p>
        </w:tc>
        <w:tc>
          <w:tcPr>
            <w:tcW w:w="2191" w:type="dxa"/>
            <w:tcBorders>
              <w:top w:val="nil"/>
              <w:left w:val="nil"/>
              <w:bottom w:val="nil"/>
              <w:right w:val="single" w:sz="12" w:space="0" w:color="auto"/>
            </w:tcBorders>
            <w:shd w:val="clear" w:color="000000" w:fill="FFFFFF"/>
            <w:noWrap/>
            <w:vAlign w:val="center"/>
            <w:hideMark/>
          </w:tcPr>
          <w:p w14:paraId="3C68C9E5"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proofErr w:type="spellStart"/>
            <w:r w:rsidRPr="003344C4">
              <w:rPr>
                <w:color w:val="000000"/>
                <w:kern w:val="0"/>
                <w:szCs w:val="24"/>
              </w:rPr>
              <w:t>Poaceae</w:t>
            </w:r>
            <w:proofErr w:type="spellEnd"/>
          </w:p>
        </w:tc>
        <w:tc>
          <w:tcPr>
            <w:tcW w:w="1620" w:type="dxa"/>
            <w:tcBorders>
              <w:top w:val="nil"/>
              <w:left w:val="nil"/>
              <w:bottom w:val="nil"/>
              <w:right w:val="single" w:sz="12" w:space="0" w:color="auto"/>
            </w:tcBorders>
            <w:shd w:val="clear" w:color="000000" w:fill="FFFFFF"/>
            <w:noWrap/>
            <w:vAlign w:val="center"/>
            <w:hideMark/>
          </w:tcPr>
          <w:p w14:paraId="1B16265E"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2</w:t>
            </w:r>
          </w:p>
        </w:tc>
        <w:tc>
          <w:tcPr>
            <w:tcW w:w="1620" w:type="dxa"/>
            <w:tcBorders>
              <w:top w:val="nil"/>
              <w:left w:val="nil"/>
              <w:bottom w:val="nil"/>
              <w:right w:val="single" w:sz="12" w:space="0" w:color="auto"/>
            </w:tcBorders>
            <w:shd w:val="clear" w:color="000000" w:fill="FFFFFF"/>
            <w:noWrap/>
            <w:vAlign w:val="center"/>
            <w:hideMark/>
          </w:tcPr>
          <w:p w14:paraId="3BCAA543"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0.97%</w:t>
            </w:r>
          </w:p>
        </w:tc>
        <w:tc>
          <w:tcPr>
            <w:tcW w:w="2006" w:type="dxa"/>
            <w:tcBorders>
              <w:top w:val="nil"/>
              <w:left w:val="nil"/>
              <w:bottom w:val="nil"/>
              <w:right w:val="single" w:sz="12" w:space="0" w:color="auto"/>
            </w:tcBorders>
            <w:shd w:val="clear" w:color="000000" w:fill="FFFFFF"/>
            <w:noWrap/>
            <w:vAlign w:val="center"/>
            <w:hideMark/>
          </w:tcPr>
          <w:p w14:paraId="6832CF42"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1</w:t>
            </w:r>
          </w:p>
        </w:tc>
        <w:tc>
          <w:tcPr>
            <w:tcW w:w="2659" w:type="dxa"/>
            <w:tcBorders>
              <w:top w:val="nil"/>
              <w:left w:val="nil"/>
              <w:bottom w:val="nil"/>
              <w:right w:val="single" w:sz="12" w:space="0" w:color="auto"/>
            </w:tcBorders>
            <w:shd w:val="clear" w:color="000000" w:fill="FFFFFF"/>
            <w:noWrap/>
            <w:vAlign w:val="center"/>
            <w:hideMark/>
          </w:tcPr>
          <w:p w14:paraId="0046019B"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0.01%</w:t>
            </w:r>
          </w:p>
        </w:tc>
      </w:tr>
      <w:tr w:rsidR="004219A7" w:rsidRPr="003344C4" w14:paraId="390B4D1A" w14:textId="77777777" w:rsidTr="00A26290">
        <w:trPr>
          <w:trHeight w:val="306"/>
        </w:trPr>
        <w:tc>
          <w:tcPr>
            <w:tcW w:w="2834" w:type="dxa"/>
            <w:tcBorders>
              <w:top w:val="nil"/>
              <w:left w:val="single" w:sz="12" w:space="0" w:color="auto"/>
              <w:bottom w:val="nil"/>
              <w:right w:val="single" w:sz="12" w:space="0" w:color="auto"/>
            </w:tcBorders>
            <w:shd w:val="clear" w:color="000000" w:fill="FFFFFF"/>
            <w:noWrap/>
            <w:vAlign w:val="center"/>
            <w:hideMark/>
          </w:tcPr>
          <w:p w14:paraId="6E14957B"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proofErr w:type="spellStart"/>
            <w:r w:rsidRPr="003344C4">
              <w:rPr>
                <w:i/>
                <w:iCs/>
                <w:color w:val="000000"/>
                <w:kern w:val="0"/>
                <w:szCs w:val="24"/>
              </w:rPr>
              <w:t>Rhynchospora</w:t>
            </w:r>
            <w:proofErr w:type="spellEnd"/>
            <w:r w:rsidRPr="003344C4">
              <w:rPr>
                <w:i/>
                <w:iCs/>
                <w:color w:val="000000"/>
                <w:kern w:val="0"/>
                <w:szCs w:val="24"/>
              </w:rPr>
              <w:t xml:space="preserve"> </w:t>
            </w:r>
            <w:proofErr w:type="spellStart"/>
            <w:r w:rsidRPr="003344C4">
              <w:rPr>
                <w:i/>
                <w:iCs/>
                <w:color w:val="000000"/>
                <w:kern w:val="0"/>
                <w:szCs w:val="24"/>
              </w:rPr>
              <w:t>floridensis</w:t>
            </w:r>
            <w:proofErr w:type="spellEnd"/>
          </w:p>
        </w:tc>
        <w:tc>
          <w:tcPr>
            <w:tcW w:w="2191" w:type="dxa"/>
            <w:tcBorders>
              <w:top w:val="nil"/>
              <w:left w:val="nil"/>
              <w:bottom w:val="nil"/>
              <w:right w:val="single" w:sz="12" w:space="0" w:color="auto"/>
            </w:tcBorders>
            <w:shd w:val="clear" w:color="000000" w:fill="FFFFFF"/>
            <w:noWrap/>
            <w:vAlign w:val="center"/>
            <w:hideMark/>
          </w:tcPr>
          <w:p w14:paraId="26B77379"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r w:rsidRPr="003344C4">
              <w:rPr>
                <w:color w:val="000000"/>
                <w:kern w:val="0"/>
                <w:szCs w:val="24"/>
              </w:rPr>
              <w:t>Cyperaceae</w:t>
            </w:r>
          </w:p>
        </w:tc>
        <w:tc>
          <w:tcPr>
            <w:tcW w:w="1620" w:type="dxa"/>
            <w:tcBorders>
              <w:top w:val="nil"/>
              <w:left w:val="nil"/>
              <w:bottom w:val="nil"/>
              <w:right w:val="single" w:sz="12" w:space="0" w:color="auto"/>
            </w:tcBorders>
            <w:shd w:val="clear" w:color="000000" w:fill="FFFFFF"/>
            <w:noWrap/>
            <w:vAlign w:val="center"/>
            <w:hideMark/>
          </w:tcPr>
          <w:p w14:paraId="66D5A246"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1</w:t>
            </w:r>
          </w:p>
        </w:tc>
        <w:tc>
          <w:tcPr>
            <w:tcW w:w="1620" w:type="dxa"/>
            <w:tcBorders>
              <w:top w:val="nil"/>
              <w:left w:val="nil"/>
              <w:bottom w:val="nil"/>
              <w:right w:val="single" w:sz="12" w:space="0" w:color="auto"/>
            </w:tcBorders>
            <w:shd w:val="clear" w:color="000000" w:fill="FFFFFF"/>
            <w:noWrap/>
            <w:vAlign w:val="center"/>
            <w:hideMark/>
          </w:tcPr>
          <w:p w14:paraId="2CBF55E9"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0.48%</w:t>
            </w:r>
          </w:p>
        </w:tc>
        <w:tc>
          <w:tcPr>
            <w:tcW w:w="2006" w:type="dxa"/>
            <w:tcBorders>
              <w:top w:val="nil"/>
              <w:left w:val="nil"/>
              <w:bottom w:val="nil"/>
              <w:right w:val="single" w:sz="12" w:space="0" w:color="auto"/>
            </w:tcBorders>
            <w:shd w:val="clear" w:color="000000" w:fill="FFFFFF"/>
            <w:noWrap/>
            <w:vAlign w:val="center"/>
            <w:hideMark/>
          </w:tcPr>
          <w:p w14:paraId="434F967F"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1</w:t>
            </w:r>
          </w:p>
        </w:tc>
        <w:tc>
          <w:tcPr>
            <w:tcW w:w="2659" w:type="dxa"/>
            <w:tcBorders>
              <w:top w:val="nil"/>
              <w:left w:val="nil"/>
              <w:bottom w:val="nil"/>
              <w:right w:val="single" w:sz="12" w:space="0" w:color="auto"/>
            </w:tcBorders>
            <w:shd w:val="clear" w:color="000000" w:fill="FFFFFF"/>
            <w:noWrap/>
            <w:vAlign w:val="center"/>
            <w:hideMark/>
          </w:tcPr>
          <w:p w14:paraId="5F4D7195"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0.01%</w:t>
            </w:r>
          </w:p>
        </w:tc>
      </w:tr>
      <w:tr w:rsidR="004219A7" w:rsidRPr="003344C4" w14:paraId="23C84272" w14:textId="77777777" w:rsidTr="00A26290">
        <w:trPr>
          <w:trHeight w:val="306"/>
        </w:trPr>
        <w:tc>
          <w:tcPr>
            <w:tcW w:w="2834" w:type="dxa"/>
            <w:tcBorders>
              <w:top w:val="nil"/>
              <w:left w:val="single" w:sz="12" w:space="0" w:color="auto"/>
              <w:bottom w:val="nil"/>
              <w:right w:val="single" w:sz="12" w:space="0" w:color="auto"/>
            </w:tcBorders>
            <w:shd w:val="clear" w:color="000000" w:fill="FFFFFF"/>
            <w:noWrap/>
            <w:vAlign w:val="center"/>
            <w:hideMark/>
          </w:tcPr>
          <w:p w14:paraId="0199AE79"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proofErr w:type="spellStart"/>
            <w:r w:rsidRPr="003344C4">
              <w:rPr>
                <w:i/>
                <w:iCs/>
                <w:color w:val="000000"/>
                <w:kern w:val="0"/>
                <w:szCs w:val="24"/>
              </w:rPr>
              <w:t>Rhynchospora</w:t>
            </w:r>
            <w:proofErr w:type="spellEnd"/>
            <w:r w:rsidRPr="003344C4">
              <w:rPr>
                <w:i/>
                <w:iCs/>
                <w:color w:val="000000"/>
                <w:kern w:val="0"/>
                <w:szCs w:val="24"/>
              </w:rPr>
              <w:t xml:space="preserve"> </w:t>
            </w:r>
            <w:proofErr w:type="spellStart"/>
            <w:r w:rsidRPr="003344C4">
              <w:rPr>
                <w:i/>
                <w:iCs/>
                <w:color w:val="000000"/>
                <w:kern w:val="0"/>
                <w:szCs w:val="24"/>
              </w:rPr>
              <w:t>grayii</w:t>
            </w:r>
            <w:proofErr w:type="spellEnd"/>
          </w:p>
        </w:tc>
        <w:tc>
          <w:tcPr>
            <w:tcW w:w="2191" w:type="dxa"/>
            <w:tcBorders>
              <w:top w:val="nil"/>
              <w:left w:val="nil"/>
              <w:bottom w:val="nil"/>
              <w:right w:val="single" w:sz="12" w:space="0" w:color="auto"/>
            </w:tcBorders>
            <w:shd w:val="clear" w:color="000000" w:fill="FFFFFF"/>
            <w:noWrap/>
            <w:vAlign w:val="center"/>
            <w:hideMark/>
          </w:tcPr>
          <w:p w14:paraId="7FC70B21"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r w:rsidRPr="003344C4">
              <w:rPr>
                <w:color w:val="000000"/>
                <w:kern w:val="0"/>
                <w:szCs w:val="24"/>
              </w:rPr>
              <w:t>Cyperaceae</w:t>
            </w:r>
          </w:p>
        </w:tc>
        <w:tc>
          <w:tcPr>
            <w:tcW w:w="1620" w:type="dxa"/>
            <w:tcBorders>
              <w:top w:val="nil"/>
              <w:left w:val="nil"/>
              <w:bottom w:val="nil"/>
              <w:right w:val="single" w:sz="12" w:space="0" w:color="auto"/>
            </w:tcBorders>
            <w:shd w:val="clear" w:color="000000" w:fill="FFFFFF"/>
            <w:noWrap/>
            <w:vAlign w:val="center"/>
            <w:hideMark/>
          </w:tcPr>
          <w:p w14:paraId="1202F385"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2</w:t>
            </w:r>
          </w:p>
        </w:tc>
        <w:tc>
          <w:tcPr>
            <w:tcW w:w="1620" w:type="dxa"/>
            <w:tcBorders>
              <w:top w:val="nil"/>
              <w:left w:val="nil"/>
              <w:bottom w:val="nil"/>
              <w:right w:val="single" w:sz="12" w:space="0" w:color="auto"/>
            </w:tcBorders>
            <w:shd w:val="clear" w:color="000000" w:fill="FFFFFF"/>
            <w:noWrap/>
            <w:vAlign w:val="center"/>
            <w:hideMark/>
          </w:tcPr>
          <w:p w14:paraId="1644DE01"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0.97%</w:t>
            </w:r>
          </w:p>
        </w:tc>
        <w:tc>
          <w:tcPr>
            <w:tcW w:w="2006" w:type="dxa"/>
            <w:tcBorders>
              <w:top w:val="nil"/>
              <w:left w:val="nil"/>
              <w:bottom w:val="nil"/>
              <w:right w:val="single" w:sz="12" w:space="0" w:color="auto"/>
            </w:tcBorders>
            <w:shd w:val="clear" w:color="000000" w:fill="FFFFFF"/>
            <w:noWrap/>
            <w:vAlign w:val="center"/>
            <w:hideMark/>
          </w:tcPr>
          <w:p w14:paraId="6B05980A"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1</w:t>
            </w:r>
          </w:p>
        </w:tc>
        <w:tc>
          <w:tcPr>
            <w:tcW w:w="2659" w:type="dxa"/>
            <w:tcBorders>
              <w:top w:val="nil"/>
              <w:left w:val="nil"/>
              <w:bottom w:val="nil"/>
              <w:right w:val="single" w:sz="12" w:space="0" w:color="auto"/>
            </w:tcBorders>
            <w:shd w:val="clear" w:color="000000" w:fill="FFFFFF"/>
            <w:noWrap/>
            <w:vAlign w:val="center"/>
            <w:hideMark/>
          </w:tcPr>
          <w:p w14:paraId="50A6A301"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0.01%</w:t>
            </w:r>
          </w:p>
        </w:tc>
      </w:tr>
      <w:tr w:rsidR="004219A7" w:rsidRPr="003344C4" w14:paraId="7B951322" w14:textId="77777777" w:rsidTr="00A26290">
        <w:trPr>
          <w:trHeight w:val="306"/>
        </w:trPr>
        <w:tc>
          <w:tcPr>
            <w:tcW w:w="2834" w:type="dxa"/>
            <w:tcBorders>
              <w:top w:val="nil"/>
              <w:left w:val="single" w:sz="12" w:space="0" w:color="auto"/>
              <w:bottom w:val="nil"/>
              <w:right w:val="single" w:sz="12" w:space="0" w:color="auto"/>
            </w:tcBorders>
            <w:shd w:val="clear" w:color="000000" w:fill="FFFFFF"/>
            <w:noWrap/>
            <w:vAlign w:val="center"/>
            <w:hideMark/>
          </w:tcPr>
          <w:p w14:paraId="54A9C42A"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proofErr w:type="spellStart"/>
            <w:r w:rsidRPr="003344C4">
              <w:rPr>
                <w:i/>
                <w:iCs/>
                <w:color w:val="000000"/>
                <w:kern w:val="0"/>
                <w:szCs w:val="24"/>
              </w:rPr>
              <w:t>Spermacoce</w:t>
            </w:r>
            <w:proofErr w:type="spellEnd"/>
            <w:r w:rsidRPr="003344C4">
              <w:rPr>
                <w:i/>
                <w:iCs/>
                <w:color w:val="000000"/>
                <w:kern w:val="0"/>
                <w:szCs w:val="24"/>
              </w:rPr>
              <w:t xml:space="preserve"> </w:t>
            </w:r>
            <w:proofErr w:type="spellStart"/>
            <w:r w:rsidRPr="003344C4">
              <w:rPr>
                <w:i/>
                <w:iCs/>
                <w:color w:val="000000"/>
                <w:kern w:val="0"/>
                <w:szCs w:val="24"/>
              </w:rPr>
              <w:t>verticillata</w:t>
            </w:r>
            <w:proofErr w:type="spellEnd"/>
          </w:p>
        </w:tc>
        <w:tc>
          <w:tcPr>
            <w:tcW w:w="2191" w:type="dxa"/>
            <w:tcBorders>
              <w:top w:val="nil"/>
              <w:left w:val="nil"/>
              <w:bottom w:val="nil"/>
              <w:right w:val="single" w:sz="12" w:space="0" w:color="auto"/>
            </w:tcBorders>
            <w:shd w:val="clear" w:color="000000" w:fill="FFFFFF"/>
            <w:noWrap/>
            <w:vAlign w:val="center"/>
            <w:hideMark/>
          </w:tcPr>
          <w:p w14:paraId="0FD7544E"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proofErr w:type="spellStart"/>
            <w:r w:rsidRPr="003344C4">
              <w:rPr>
                <w:color w:val="000000"/>
                <w:kern w:val="0"/>
                <w:szCs w:val="24"/>
              </w:rPr>
              <w:t>Rubiaceae</w:t>
            </w:r>
            <w:proofErr w:type="spellEnd"/>
          </w:p>
        </w:tc>
        <w:tc>
          <w:tcPr>
            <w:tcW w:w="1620" w:type="dxa"/>
            <w:tcBorders>
              <w:top w:val="nil"/>
              <w:left w:val="nil"/>
              <w:bottom w:val="nil"/>
              <w:right w:val="single" w:sz="12" w:space="0" w:color="auto"/>
            </w:tcBorders>
            <w:shd w:val="clear" w:color="000000" w:fill="FFFFFF"/>
            <w:noWrap/>
            <w:vAlign w:val="center"/>
            <w:hideMark/>
          </w:tcPr>
          <w:p w14:paraId="52C9EE08"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5</w:t>
            </w:r>
          </w:p>
        </w:tc>
        <w:tc>
          <w:tcPr>
            <w:tcW w:w="1620" w:type="dxa"/>
            <w:tcBorders>
              <w:top w:val="nil"/>
              <w:left w:val="nil"/>
              <w:bottom w:val="nil"/>
              <w:right w:val="single" w:sz="12" w:space="0" w:color="auto"/>
            </w:tcBorders>
            <w:shd w:val="clear" w:color="000000" w:fill="FFFFFF"/>
            <w:noWrap/>
            <w:vAlign w:val="center"/>
            <w:hideMark/>
          </w:tcPr>
          <w:p w14:paraId="27BD7D81"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2.42%</w:t>
            </w:r>
          </w:p>
        </w:tc>
        <w:tc>
          <w:tcPr>
            <w:tcW w:w="2006" w:type="dxa"/>
            <w:tcBorders>
              <w:top w:val="nil"/>
              <w:left w:val="nil"/>
              <w:bottom w:val="nil"/>
              <w:right w:val="single" w:sz="12" w:space="0" w:color="auto"/>
            </w:tcBorders>
            <w:shd w:val="clear" w:color="000000" w:fill="FFFFFF"/>
            <w:noWrap/>
            <w:vAlign w:val="center"/>
            <w:hideMark/>
          </w:tcPr>
          <w:p w14:paraId="2B84741D"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18</w:t>
            </w:r>
          </w:p>
        </w:tc>
        <w:tc>
          <w:tcPr>
            <w:tcW w:w="2659" w:type="dxa"/>
            <w:tcBorders>
              <w:top w:val="nil"/>
              <w:left w:val="nil"/>
              <w:bottom w:val="nil"/>
              <w:right w:val="single" w:sz="12" w:space="0" w:color="auto"/>
            </w:tcBorders>
            <w:shd w:val="clear" w:color="000000" w:fill="FFFFFF"/>
            <w:noWrap/>
            <w:vAlign w:val="center"/>
            <w:hideMark/>
          </w:tcPr>
          <w:p w14:paraId="1367437F"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0.13%</w:t>
            </w:r>
          </w:p>
        </w:tc>
      </w:tr>
      <w:tr w:rsidR="004219A7" w:rsidRPr="003344C4" w14:paraId="48F7D0BD" w14:textId="77777777" w:rsidTr="00A26290">
        <w:trPr>
          <w:trHeight w:val="312"/>
        </w:trPr>
        <w:tc>
          <w:tcPr>
            <w:tcW w:w="2834" w:type="dxa"/>
            <w:tcBorders>
              <w:top w:val="nil"/>
              <w:left w:val="single" w:sz="12" w:space="0" w:color="auto"/>
              <w:bottom w:val="nil"/>
              <w:right w:val="single" w:sz="12" w:space="0" w:color="auto"/>
            </w:tcBorders>
            <w:shd w:val="clear" w:color="000000" w:fill="FFFFFF"/>
            <w:noWrap/>
            <w:vAlign w:val="center"/>
            <w:hideMark/>
          </w:tcPr>
          <w:p w14:paraId="210C01CE"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proofErr w:type="spellStart"/>
            <w:r w:rsidRPr="003344C4">
              <w:rPr>
                <w:i/>
                <w:iCs/>
                <w:color w:val="000000"/>
                <w:kern w:val="0"/>
                <w:szCs w:val="24"/>
              </w:rPr>
              <w:t>Tripsacum</w:t>
            </w:r>
            <w:proofErr w:type="spellEnd"/>
            <w:r w:rsidRPr="003344C4">
              <w:rPr>
                <w:i/>
                <w:iCs/>
                <w:color w:val="000000"/>
                <w:kern w:val="0"/>
                <w:szCs w:val="24"/>
              </w:rPr>
              <w:t xml:space="preserve"> </w:t>
            </w:r>
            <w:proofErr w:type="spellStart"/>
            <w:r w:rsidRPr="003344C4">
              <w:rPr>
                <w:i/>
                <w:iCs/>
                <w:color w:val="000000"/>
                <w:kern w:val="0"/>
                <w:szCs w:val="24"/>
              </w:rPr>
              <w:t>floridanum</w:t>
            </w:r>
            <w:proofErr w:type="spellEnd"/>
          </w:p>
        </w:tc>
        <w:tc>
          <w:tcPr>
            <w:tcW w:w="2191" w:type="dxa"/>
            <w:tcBorders>
              <w:top w:val="nil"/>
              <w:left w:val="nil"/>
              <w:bottom w:val="nil"/>
              <w:right w:val="single" w:sz="12" w:space="0" w:color="auto"/>
            </w:tcBorders>
            <w:shd w:val="clear" w:color="000000" w:fill="FFFFFF"/>
            <w:noWrap/>
            <w:vAlign w:val="center"/>
            <w:hideMark/>
          </w:tcPr>
          <w:p w14:paraId="64ADF873"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proofErr w:type="spellStart"/>
            <w:r w:rsidRPr="003344C4">
              <w:rPr>
                <w:color w:val="000000"/>
                <w:kern w:val="0"/>
                <w:szCs w:val="24"/>
              </w:rPr>
              <w:t>Poaceae</w:t>
            </w:r>
            <w:proofErr w:type="spellEnd"/>
          </w:p>
        </w:tc>
        <w:tc>
          <w:tcPr>
            <w:tcW w:w="1620" w:type="dxa"/>
            <w:tcBorders>
              <w:top w:val="nil"/>
              <w:left w:val="nil"/>
              <w:bottom w:val="nil"/>
              <w:right w:val="single" w:sz="12" w:space="0" w:color="auto"/>
            </w:tcBorders>
            <w:shd w:val="clear" w:color="000000" w:fill="FFFFFF"/>
            <w:noWrap/>
            <w:vAlign w:val="center"/>
            <w:hideMark/>
          </w:tcPr>
          <w:p w14:paraId="012151F6"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1</w:t>
            </w:r>
          </w:p>
        </w:tc>
        <w:tc>
          <w:tcPr>
            <w:tcW w:w="1620" w:type="dxa"/>
            <w:tcBorders>
              <w:top w:val="nil"/>
              <w:left w:val="nil"/>
              <w:bottom w:val="nil"/>
              <w:right w:val="single" w:sz="12" w:space="0" w:color="auto"/>
            </w:tcBorders>
            <w:shd w:val="clear" w:color="000000" w:fill="FFFFFF"/>
            <w:noWrap/>
            <w:vAlign w:val="center"/>
            <w:hideMark/>
          </w:tcPr>
          <w:p w14:paraId="7651F958"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0.48%</w:t>
            </w:r>
          </w:p>
        </w:tc>
        <w:tc>
          <w:tcPr>
            <w:tcW w:w="2006" w:type="dxa"/>
            <w:tcBorders>
              <w:top w:val="nil"/>
              <w:left w:val="nil"/>
              <w:bottom w:val="nil"/>
              <w:right w:val="single" w:sz="12" w:space="0" w:color="auto"/>
            </w:tcBorders>
            <w:shd w:val="clear" w:color="000000" w:fill="FFFFFF"/>
            <w:noWrap/>
            <w:vAlign w:val="center"/>
            <w:hideMark/>
          </w:tcPr>
          <w:p w14:paraId="41D7A0E7"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7</w:t>
            </w:r>
          </w:p>
        </w:tc>
        <w:tc>
          <w:tcPr>
            <w:tcW w:w="2659" w:type="dxa"/>
            <w:tcBorders>
              <w:top w:val="nil"/>
              <w:left w:val="nil"/>
              <w:bottom w:val="nil"/>
              <w:right w:val="single" w:sz="12" w:space="0" w:color="auto"/>
            </w:tcBorders>
            <w:shd w:val="clear" w:color="000000" w:fill="FFFFFF"/>
            <w:noWrap/>
            <w:vAlign w:val="center"/>
            <w:hideMark/>
          </w:tcPr>
          <w:p w14:paraId="08448D92"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0.05%</w:t>
            </w:r>
          </w:p>
        </w:tc>
      </w:tr>
      <w:tr w:rsidR="004219A7" w:rsidRPr="003344C4" w14:paraId="7D093740" w14:textId="77777777" w:rsidTr="00A26290">
        <w:trPr>
          <w:trHeight w:val="312"/>
        </w:trPr>
        <w:tc>
          <w:tcPr>
            <w:tcW w:w="2834" w:type="dxa"/>
            <w:tcBorders>
              <w:top w:val="single" w:sz="8" w:space="0" w:color="auto"/>
              <w:left w:val="single" w:sz="12" w:space="0" w:color="auto"/>
              <w:bottom w:val="single" w:sz="8" w:space="0" w:color="auto"/>
              <w:right w:val="single" w:sz="12" w:space="0" w:color="auto"/>
            </w:tcBorders>
            <w:shd w:val="clear" w:color="000000" w:fill="D9D9D9"/>
            <w:noWrap/>
            <w:vAlign w:val="center"/>
            <w:hideMark/>
          </w:tcPr>
          <w:p w14:paraId="660FAD10" w14:textId="77777777" w:rsidR="003344C4" w:rsidRPr="003344C4" w:rsidRDefault="003344C4" w:rsidP="00A26290">
            <w:pPr>
              <w:widowControl/>
              <w:overflowPunct/>
              <w:autoSpaceDE/>
              <w:autoSpaceDN/>
              <w:adjustRightInd/>
              <w:contextualSpacing w:val="0"/>
              <w:jc w:val="center"/>
              <w:rPr>
                <w:b/>
                <w:bCs/>
                <w:color w:val="000000"/>
                <w:kern w:val="0"/>
                <w:szCs w:val="24"/>
              </w:rPr>
            </w:pPr>
            <w:r w:rsidRPr="003344C4">
              <w:rPr>
                <w:b/>
                <w:bCs/>
                <w:color w:val="000000"/>
                <w:kern w:val="0"/>
                <w:szCs w:val="24"/>
              </w:rPr>
              <w:t>Hydrochory</w:t>
            </w:r>
          </w:p>
        </w:tc>
        <w:tc>
          <w:tcPr>
            <w:tcW w:w="2191" w:type="dxa"/>
            <w:tcBorders>
              <w:top w:val="single" w:sz="8" w:space="0" w:color="auto"/>
              <w:left w:val="nil"/>
              <w:bottom w:val="single" w:sz="8" w:space="0" w:color="auto"/>
              <w:right w:val="single" w:sz="12" w:space="0" w:color="auto"/>
            </w:tcBorders>
            <w:shd w:val="clear" w:color="000000" w:fill="D9D9D9"/>
            <w:noWrap/>
            <w:vAlign w:val="center"/>
            <w:hideMark/>
          </w:tcPr>
          <w:p w14:paraId="026F26D1"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w:t>
            </w:r>
          </w:p>
        </w:tc>
        <w:tc>
          <w:tcPr>
            <w:tcW w:w="1620" w:type="dxa"/>
            <w:tcBorders>
              <w:top w:val="single" w:sz="8" w:space="0" w:color="auto"/>
              <w:left w:val="nil"/>
              <w:bottom w:val="single" w:sz="8" w:space="0" w:color="auto"/>
              <w:right w:val="single" w:sz="12" w:space="0" w:color="auto"/>
            </w:tcBorders>
            <w:shd w:val="clear" w:color="000000" w:fill="D9D9D9"/>
            <w:noWrap/>
            <w:vAlign w:val="center"/>
            <w:hideMark/>
          </w:tcPr>
          <w:p w14:paraId="7D30D7E5" w14:textId="77777777" w:rsidR="003344C4" w:rsidRPr="003344C4" w:rsidRDefault="003344C4" w:rsidP="00A26290">
            <w:pPr>
              <w:widowControl/>
              <w:overflowPunct/>
              <w:autoSpaceDE/>
              <w:autoSpaceDN/>
              <w:adjustRightInd/>
              <w:contextualSpacing w:val="0"/>
              <w:jc w:val="center"/>
              <w:rPr>
                <w:b/>
                <w:bCs/>
                <w:color w:val="000000"/>
                <w:kern w:val="0"/>
                <w:szCs w:val="24"/>
              </w:rPr>
            </w:pPr>
            <w:r w:rsidRPr="003344C4">
              <w:rPr>
                <w:b/>
                <w:bCs/>
                <w:color w:val="000000"/>
                <w:kern w:val="0"/>
                <w:szCs w:val="24"/>
              </w:rPr>
              <w:t>3</w:t>
            </w:r>
          </w:p>
        </w:tc>
        <w:tc>
          <w:tcPr>
            <w:tcW w:w="1620" w:type="dxa"/>
            <w:tcBorders>
              <w:top w:val="single" w:sz="8" w:space="0" w:color="auto"/>
              <w:left w:val="nil"/>
              <w:bottom w:val="single" w:sz="8" w:space="0" w:color="auto"/>
              <w:right w:val="single" w:sz="12" w:space="0" w:color="auto"/>
            </w:tcBorders>
            <w:shd w:val="clear" w:color="000000" w:fill="D9D9D9"/>
            <w:noWrap/>
            <w:vAlign w:val="center"/>
            <w:hideMark/>
          </w:tcPr>
          <w:p w14:paraId="55D76055" w14:textId="77777777" w:rsidR="003344C4" w:rsidRPr="003344C4" w:rsidRDefault="003344C4" w:rsidP="00A26290">
            <w:pPr>
              <w:widowControl/>
              <w:overflowPunct/>
              <w:autoSpaceDE/>
              <w:autoSpaceDN/>
              <w:adjustRightInd/>
              <w:contextualSpacing w:val="0"/>
              <w:jc w:val="center"/>
              <w:rPr>
                <w:b/>
                <w:bCs/>
                <w:color w:val="000000"/>
                <w:kern w:val="0"/>
                <w:szCs w:val="24"/>
              </w:rPr>
            </w:pPr>
            <w:r w:rsidRPr="003344C4">
              <w:rPr>
                <w:b/>
                <w:bCs/>
                <w:color w:val="000000"/>
                <w:kern w:val="0"/>
                <w:szCs w:val="24"/>
              </w:rPr>
              <w:t>1.45%</w:t>
            </w:r>
          </w:p>
        </w:tc>
        <w:tc>
          <w:tcPr>
            <w:tcW w:w="2006" w:type="dxa"/>
            <w:tcBorders>
              <w:top w:val="single" w:sz="8" w:space="0" w:color="auto"/>
              <w:left w:val="nil"/>
              <w:bottom w:val="single" w:sz="8" w:space="0" w:color="auto"/>
              <w:right w:val="single" w:sz="12" w:space="0" w:color="auto"/>
            </w:tcBorders>
            <w:shd w:val="clear" w:color="000000" w:fill="D9D9D9"/>
            <w:noWrap/>
            <w:vAlign w:val="center"/>
            <w:hideMark/>
          </w:tcPr>
          <w:p w14:paraId="42977C43" w14:textId="77777777" w:rsidR="003344C4" w:rsidRPr="003344C4" w:rsidRDefault="003344C4" w:rsidP="00A26290">
            <w:pPr>
              <w:widowControl/>
              <w:overflowPunct/>
              <w:autoSpaceDE/>
              <w:autoSpaceDN/>
              <w:adjustRightInd/>
              <w:contextualSpacing w:val="0"/>
              <w:jc w:val="center"/>
              <w:rPr>
                <w:b/>
                <w:bCs/>
                <w:color w:val="000000"/>
                <w:kern w:val="0"/>
                <w:szCs w:val="24"/>
              </w:rPr>
            </w:pPr>
            <w:r w:rsidRPr="003344C4">
              <w:rPr>
                <w:b/>
                <w:bCs/>
                <w:color w:val="000000"/>
                <w:kern w:val="0"/>
                <w:szCs w:val="24"/>
              </w:rPr>
              <w:t>89</w:t>
            </w:r>
          </w:p>
        </w:tc>
        <w:tc>
          <w:tcPr>
            <w:tcW w:w="2659" w:type="dxa"/>
            <w:tcBorders>
              <w:top w:val="single" w:sz="8" w:space="0" w:color="auto"/>
              <w:left w:val="nil"/>
              <w:bottom w:val="single" w:sz="8" w:space="0" w:color="auto"/>
              <w:right w:val="single" w:sz="12" w:space="0" w:color="auto"/>
            </w:tcBorders>
            <w:shd w:val="clear" w:color="000000" w:fill="D9D9D9"/>
            <w:noWrap/>
            <w:vAlign w:val="center"/>
            <w:hideMark/>
          </w:tcPr>
          <w:p w14:paraId="4886F8F2" w14:textId="77777777" w:rsidR="003344C4" w:rsidRPr="003344C4" w:rsidRDefault="003344C4" w:rsidP="00A26290">
            <w:pPr>
              <w:widowControl/>
              <w:overflowPunct/>
              <w:autoSpaceDE/>
              <w:autoSpaceDN/>
              <w:adjustRightInd/>
              <w:contextualSpacing w:val="0"/>
              <w:jc w:val="center"/>
              <w:rPr>
                <w:b/>
                <w:bCs/>
                <w:color w:val="000000"/>
                <w:kern w:val="0"/>
                <w:szCs w:val="24"/>
              </w:rPr>
            </w:pPr>
            <w:r w:rsidRPr="003344C4">
              <w:rPr>
                <w:b/>
                <w:bCs/>
                <w:color w:val="000000"/>
                <w:kern w:val="0"/>
                <w:szCs w:val="24"/>
              </w:rPr>
              <w:t>0.66%</w:t>
            </w:r>
          </w:p>
        </w:tc>
      </w:tr>
      <w:tr w:rsidR="004219A7" w:rsidRPr="003344C4" w14:paraId="2ACE2D84" w14:textId="77777777" w:rsidTr="00A26290">
        <w:trPr>
          <w:trHeight w:val="312"/>
        </w:trPr>
        <w:tc>
          <w:tcPr>
            <w:tcW w:w="2834" w:type="dxa"/>
            <w:tcBorders>
              <w:top w:val="nil"/>
              <w:left w:val="single" w:sz="12" w:space="0" w:color="auto"/>
              <w:bottom w:val="nil"/>
              <w:right w:val="single" w:sz="12" w:space="0" w:color="auto"/>
            </w:tcBorders>
            <w:shd w:val="clear" w:color="000000" w:fill="FFFFFF"/>
            <w:noWrap/>
            <w:vAlign w:val="center"/>
            <w:hideMark/>
          </w:tcPr>
          <w:p w14:paraId="65997C32"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r w:rsidRPr="003344C4">
              <w:rPr>
                <w:i/>
                <w:iCs/>
                <w:color w:val="000000"/>
                <w:kern w:val="0"/>
                <w:szCs w:val="24"/>
              </w:rPr>
              <w:t xml:space="preserve">Cyperus </w:t>
            </w:r>
            <w:proofErr w:type="spellStart"/>
            <w:r w:rsidRPr="003344C4">
              <w:rPr>
                <w:i/>
                <w:iCs/>
                <w:color w:val="000000"/>
                <w:kern w:val="0"/>
                <w:szCs w:val="24"/>
              </w:rPr>
              <w:t>filiculmis</w:t>
            </w:r>
            <w:proofErr w:type="spellEnd"/>
          </w:p>
        </w:tc>
        <w:tc>
          <w:tcPr>
            <w:tcW w:w="2191" w:type="dxa"/>
            <w:tcBorders>
              <w:top w:val="nil"/>
              <w:left w:val="nil"/>
              <w:bottom w:val="nil"/>
              <w:right w:val="single" w:sz="12" w:space="0" w:color="auto"/>
            </w:tcBorders>
            <w:shd w:val="clear" w:color="000000" w:fill="FFFFFF"/>
            <w:noWrap/>
            <w:vAlign w:val="center"/>
            <w:hideMark/>
          </w:tcPr>
          <w:p w14:paraId="4C3E845F"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r w:rsidRPr="003344C4">
              <w:rPr>
                <w:color w:val="000000"/>
                <w:kern w:val="0"/>
                <w:szCs w:val="24"/>
              </w:rPr>
              <w:t>Cyperaceae</w:t>
            </w:r>
          </w:p>
        </w:tc>
        <w:tc>
          <w:tcPr>
            <w:tcW w:w="1620" w:type="dxa"/>
            <w:tcBorders>
              <w:top w:val="nil"/>
              <w:left w:val="nil"/>
              <w:bottom w:val="nil"/>
              <w:right w:val="single" w:sz="12" w:space="0" w:color="auto"/>
            </w:tcBorders>
            <w:shd w:val="clear" w:color="000000" w:fill="FFFFFF"/>
            <w:noWrap/>
            <w:vAlign w:val="center"/>
            <w:hideMark/>
          </w:tcPr>
          <w:p w14:paraId="1569142B"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3</w:t>
            </w:r>
          </w:p>
        </w:tc>
        <w:tc>
          <w:tcPr>
            <w:tcW w:w="1620" w:type="dxa"/>
            <w:tcBorders>
              <w:top w:val="nil"/>
              <w:left w:val="nil"/>
              <w:bottom w:val="nil"/>
              <w:right w:val="single" w:sz="12" w:space="0" w:color="auto"/>
            </w:tcBorders>
            <w:shd w:val="clear" w:color="000000" w:fill="FFFFFF"/>
            <w:noWrap/>
            <w:vAlign w:val="center"/>
            <w:hideMark/>
          </w:tcPr>
          <w:p w14:paraId="7B377F6C"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1.45%</w:t>
            </w:r>
          </w:p>
        </w:tc>
        <w:tc>
          <w:tcPr>
            <w:tcW w:w="2006" w:type="dxa"/>
            <w:tcBorders>
              <w:top w:val="nil"/>
              <w:left w:val="nil"/>
              <w:bottom w:val="nil"/>
              <w:right w:val="single" w:sz="12" w:space="0" w:color="auto"/>
            </w:tcBorders>
            <w:shd w:val="clear" w:color="000000" w:fill="FFFFFF"/>
            <w:noWrap/>
            <w:vAlign w:val="center"/>
            <w:hideMark/>
          </w:tcPr>
          <w:p w14:paraId="1B204F38"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89</w:t>
            </w:r>
          </w:p>
        </w:tc>
        <w:tc>
          <w:tcPr>
            <w:tcW w:w="2659" w:type="dxa"/>
            <w:tcBorders>
              <w:top w:val="nil"/>
              <w:left w:val="nil"/>
              <w:bottom w:val="nil"/>
              <w:right w:val="single" w:sz="12" w:space="0" w:color="auto"/>
            </w:tcBorders>
            <w:shd w:val="clear" w:color="000000" w:fill="FFFFFF"/>
            <w:noWrap/>
            <w:vAlign w:val="center"/>
            <w:hideMark/>
          </w:tcPr>
          <w:p w14:paraId="418BC9EC"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0.66%</w:t>
            </w:r>
          </w:p>
        </w:tc>
      </w:tr>
      <w:tr w:rsidR="004219A7" w:rsidRPr="003344C4" w14:paraId="66C09CCA" w14:textId="77777777" w:rsidTr="00A26290">
        <w:trPr>
          <w:trHeight w:val="312"/>
        </w:trPr>
        <w:tc>
          <w:tcPr>
            <w:tcW w:w="2834" w:type="dxa"/>
            <w:tcBorders>
              <w:top w:val="single" w:sz="8" w:space="0" w:color="auto"/>
              <w:left w:val="single" w:sz="12" w:space="0" w:color="auto"/>
              <w:bottom w:val="single" w:sz="8" w:space="0" w:color="auto"/>
              <w:right w:val="single" w:sz="12" w:space="0" w:color="auto"/>
            </w:tcBorders>
            <w:shd w:val="clear" w:color="000000" w:fill="D9D9D9"/>
            <w:noWrap/>
            <w:vAlign w:val="center"/>
            <w:hideMark/>
          </w:tcPr>
          <w:p w14:paraId="42B4DF12" w14:textId="77777777" w:rsidR="003344C4" w:rsidRPr="003344C4" w:rsidRDefault="003344C4" w:rsidP="00A26290">
            <w:pPr>
              <w:widowControl/>
              <w:overflowPunct/>
              <w:autoSpaceDE/>
              <w:autoSpaceDN/>
              <w:adjustRightInd/>
              <w:contextualSpacing w:val="0"/>
              <w:jc w:val="center"/>
              <w:rPr>
                <w:b/>
                <w:bCs/>
                <w:color w:val="000000"/>
                <w:kern w:val="0"/>
                <w:szCs w:val="24"/>
              </w:rPr>
            </w:pPr>
            <w:r w:rsidRPr="003344C4">
              <w:rPr>
                <w:b/>
                <w:bCs/>
                <w:color w:val="000000"/>
                <w:kern w:val="0"/>
                <w:szCs w:val="24"/>
              </w:rPr>
              <w:t>Myrmecochory</w:t>
            </w:r>
          </w:p>
        </w:tc>
        <w:tc>
          <w:tcPr>
            <w:tcW w:w="2191" w:type="dxa"/>
            <w:tcBorders>
              <w:top w:val="single" w:sz="8" w:space="0" w:color="auto"/>
              <w:left w:val="nil"/>
              <w:bottom w:val="single" w:sz="8" w:space="0" w:color="auto"/>
              <w:right w:val="single" w:sz="12" w:space="0" w:color="auto"/>
            </w:tcBorders>
            <w:shd w:val="clear" w:color="000000" w:fill="D9D9D9"/>
            <w:noWrap/>
            <w:vAlign w:val="center"/>
            <w:hideMark/>
          </w:tcPr>
          <w:p w14:paraId="2FDE7F45"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w:t>
            </w:r>
          </w:p>
        </w:tc>
        <w:tc>
          <w:tcPr>
            <w:tcW w:w="1620" w:type="dxa"/>
            <w:tcBorders>
              <w:top w:val="single" w:sz="8" w:space="0" w:color="auto"/>
              <w:left w:val="nil"/>
              <w:bottom w:val="single" w:sz="8" w:space="0" w:color="auto"/>
              <w:right w:val="single" w:sz="12" w:space="0" w:color="auto"/>
            </w:tcBorders>
            <w:shd w:val="clear" w:color="000000" w:fill="D9D9D9"/>
            <w:noWrap/>
            <w:vAlign w:val="center"/>
            <w:hideMark/>
          </w:tcPr>
          <w:p w14:paraId="05C549B8" w14:textId="77777777" w:rsidR="003344C4" w:rsidRPr="003344C4" w:rsidRDefault="003344C4" w:rsidP="00A26290">
            <w:pPr>
              <w:widowControl/>
              <w:overflowPunct/>
              <w:autoSpaceDE/>
              <w:autoSpaceDN/>
              <w:adjustRightInd/>
              <w:contextualSpacing w:val="0"/>
              <w:jc w:val="center"/>
              <w:rPr>
                <w:b/>
                <w:bCs/>
                <w:color w:val="000000"/>
                <w:kern w:val="0"/>
                <w:szCs w:val="24"/>
              </w:rPr>
            </w:pPr>
            <w:r w:rsidRPr="003344C4">
              <w:rPr>
                <w:b/>
                <w:bCs/>
                <w:color w:val="000000"/>
                <w:kern w:val="0"/>
                <w:szCs w:val="24"/>
              </w:rPr>
              <w:t>14</w:t>
            </w:r>
          </w:p>
        </w:tc>
        <w:tc>
          <w:tcPr>
            <w:tcW w:w="1620" w:type="dxa"/>
            <w:tcBorders>
              <w:top w:val="single" w:sz="8" w:space="0" w:color="auto"/>
              <w:left w:val="nil"/>
              <w:bottom w:val="single" w:sz="8" w:space="0" w:color="auto"/>
              <w:right w:val="single" w:sz="12" w:space="0" w:color="auto"/>
            </w:tcBorders>
            <w:shd w:val="clear" w:color="000000" w:fill="D9D9D9"/>
            <w:noWrap/>
            <w:vAlign w:val="center"/>
            <w:hideMark/>
          </w:tcPr>
          <w:p w14:paraId="7CA9CE8A" w14:textId="77777777" w:rsidR="003344C4" w:rsidRPr="003344C4" w:rsidRDefault="003344C4" w:rsidP="00A26290">
            <w:pPr>
              <w:widowControl/>
              <w:overflowPunct/>
              <w:autoSpaceDE/>
              <w:autoSpaceDN/>
              <w:adjustRightInd/>
              <w:contextualSpacing w:val="0"/>
              <w:jc w:val="center"/>
              <w:rPr>
                <w:b/>
                <w:bCs/>
                <w:color w:val="000000"/>
                <w:kern w:val="0"/>
                <w:szCs w:val="24"/>
              </w:rPr>
            </w:pPr>
            <w:r w:rsidRPr="003344C4">
              <w:rPr>
                <w:b/>
                <w:bCs/>
                <w:color w:val="000000"/>
                <w:kern w:val="0"/>
                <w:szCs w:val="24"/>
              </w:rPr>
              <w:t>6.76%</w:t>
            </w:r>
          </w:p>
        </w:tc>
        <w:tc>
          <w:tcPr>
            <w:tcW w:w="2006" w:type="dxa"/>
            <w:tcBorders>
              <w:top w:val="single" w:sz="8" w:space="0" w:color="auto"/>
              <w:left w:val="nil"/>
              <w:bottom w:val="single" w:sz="8" w:space="0" w:color="auto"/>
              <w:right w:val="single" w:sz="12" w:space="0" w:color="auto"/>
            </w:tcBorders>
            <w:shd w:val="clear" w:color="000000" w:fill="D9D9D9"/>
            <w:noWrap/>
            <w:vAlign w:val="center"/>
            <w:hideMark/>
          </w:tcPr>
          <w:p w14:paraId="196574E7" w14:textId="77777777" w:rsidR="003344C4" w:rsidRPr="003344C4" w:rsidRDefault="003344C4" w:rsidP="00A26290">
            <w:pPr>
              <w:widowControl/>
              <w:overflowPunct/>
              <w:autoSpaceDE/>
              <w:autoSpaceDN/>
              <w:adjustRightInd/>
              <w:contextualSpacing w:val="0"/>
              <w:jc w:val="center"/>
              <w:rPr>
                <w:b/>
                <w:bCs/>
                <w:color w:val="000000"/>
                <w:kern w:val="0"/>
                <w:szCs w:val="24"/>
              </w:rPr>
            </w:pPr>
            <w:r w:rsidRPr="003344C4">
              <w:rPr>
                <w:b/>
                <w:bCs/>
                <w:color w:val="000000"/>
                <w:kern w:val="0"/>
                <w:szCs w:val="24"/>
              </w:rPr>
              <w:t>244</w:t>
            </w:r>
          </w:p>
        </w:tc>
        <w:tc>
          <w:tcPr>
            <w:tcW w:w="2659" w:type="dxa"/>
            <w:tcBorders>
              <w:top w:val="single" w:sz="8" w:space="0" w:color="auto"/>
              <w:left w:val="nil"/>
              <w:bottom w:val="single" w:sz="8" w:space="0" w:color="auto"/>
              <w:right w:val="single" w:sz="12" w:space="0" w:color="auto"/>
            </w:tcBorders>
            <w:shd w:val="clear" w:color="000000" w:fill="D9D9D9"/>
            <w:noWrap/>
            <w:vAlign w:val="center"/>
            <w:hideMark/>
          </w:tcPr>
          <w:p w14:paraId="644283A1" w14:textId="77777777" w:rsidR="003344C4" w:rsidRPr="003344C4" w:rsidRDefault="003344C4" w:rsidP="00A26290">
            <w:pPr>
              <w:widowControl/>
              <w:overflowPunct/>
              <w:autoSpaceDE/>
              <w:autoSpaceDN/>
              <w:adjustRightInd/>
              <w:contextualSpacing w:val="0"/>
              <w:jc w:val="center"/>
              <w:rPr>
                <w:b/>
                <w:bCs/>
                <w:color w:val="000000"/>
                <w:kern w:val="0"/>
                <w:szCs w:val="24"/>
              </w:rPr>
            </w:pPr>
            <w:r w:rsidRPr="003344C4">
              <w:rPr>
                <w:b/>
                <w:bCs/>
                <w:color w:val="000000"/>
                <w:kern w:val="0"/>
                <w:szCs w:val="24"/>
              </w:rPr>
              <w:t>1.80%</w:t>
            </w:r>
          </w:p>
        </w:tc>
      </w:tr>
      <w:tr w:rsidR="004219A7" w:rsidRPr="003344C4" w14:paraId="2EF35E88" w14:textId="77777777" w:rsidTr="00A26290">
        <w:trPr>
          <w:trHeight w:val="306"/>
        </w:trPr>
        <w:tc>
          <w:tcPr>
            <w:tcW w:w="2834" w:type="dxa"/>
            <w:tcBorders>
              <w:top w:val="nil"/>
              <w:left w:val="single" w:sz="12" w:space="0" w:color="auto"/>
              <w:bottom w:val="nil"/>
              <w:right w:val="single" w:sz="12" w:space="0" w:color="auto"/>
            </w:tcBorders>
            <w:shd w:val="clear" w:color="000000" w:fill="FFFFFF"/>
            <w:noWrap/>
            <w:vAlign w:val="center"/>
            <w:hideMark/>
          </w:tcPr>
          <w:p w14:paraId="064BE168"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r w:rsidRPr="003344C4">
              <w:rPr>
                <w:i/>
                <w:iCs/>
                <w:color w:val="000000"/>
                <w:kern w:val="0"/>
                <w:szCs w:val="24"/>
              </w:rPr>
              <w:t xml:space="preserve">Croton </w:t>
            </w:r>
            <w:proofErr w:type="spellStart"/>
            <w:r w:rsidRPr="003344C4">
              <w:rPr>
                <w:i/>
                <w:iCs/>
                <w:color w:val="000000"/>
                <w:kern w:val="0"/>
                <w:szCs w:val="24"/>
              </w:rPr>
              <w:t>glandulosus</w:t>
            </w:r>
            <w:proofErr w:type="spellEnd"/>
            <w:r w:rsidRPr="003344C4">
              <w:rPr>
                <w:i/>
                <w:iCs/>
                <w:color w:val="000000"/>
                <w:kern w:val="0"/>
                <w:szCs w:val="24"/>
              </w:rPr>
              <w:t xml:space="preserve"> var septentrionalis</w:t>
            </w:r>
          </w:p>
        </w:tc>
        <w:tc>
          <w:tcPr>
            <w:tcW w:w="2191" w:type="dxa"/>
            <w:tcBorders>
              <w:top w:val="nil"/>
              <w:left w:val="nil"/>
              <w:bottom w:val="nil"/>
              <w:right w:val="single" w:sz="12" w:space="0" w:color="auto"/>
            </w:tcBorders>
            <w:shd w:val="clear" w:color="000000" w:fill="FFFFFF"/>
            <w:noWrap/>
            <w:vAlign w:val="center"/>
            <w:hideMark/>
          </w:tcPr>
          <w:p w14:paraId="2812F51A"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proofErr w:type="spellStart"/>
            <w:r w:rsidRPr="003344C4">
              <w:rPr>
                <w:color w:val="000000"/>
                <w:kern w:val="0"/>
                <w:szCs w:val="24"/>
              </w:rPr>
              <w:t>Euphorbiaceae</w:t>
            </w:r>
            <w:proofErr w:type="spellEnd"/>
          </w:p>
        </w:tc>
        <w:tc>
          <w:tcPr>
            <w:tcW w:w="1620" w:type="dxa"/>
            <w:tcBorders>
              <w:top w:val="nil"/>
              <w:left w:val="nil"/>
              <w:bottom w:val="nil"/>
              <w:right w:val="single" w:sz="12" w:space="0" w:color="auto"/>
            </w:tcBorders>
            <w:shd w:val="clear" w:color="000000" w:fill="FFFFFF"/>
            <w:noWrap/>
            <w:vAlign w:val="center"/>
            <w:hideMark/>
          </w:tcPr>
          <w:p w14:paraId="7A51A143"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1</w:t>
            </w:r>
          </w:p>
        </w:tc>
        <w:tc>
          <w:tcPr>
            <w:tcW w:w="1620" w:type="dxa"/>
            <w:tcBorders>
              <w:top w:val="nil"/>
              <w:left w:val="nil"/>
              <w:bottom w:val="nil"/>
              <w:right w:val="single" w:sz="12" w:space="0" w:color="auto"/>
            </w:tcBorders>
            <w:shd w:val="clear" w:color="000000" w:fill="FFFFFF"/>
            <w:noWrap/>
            <w:vAlign w:val="center"/>
            <w:hideMark/>
          </w:tcPr>
          <w:p w14:paraId="28A477BC"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0.48%</w:t>
            </w:r>
          </w:p>
        </w:tc>
        <w:tc>
          <w:tcPr>
            <w:tcW w:w="2006" w:type="dxa"/>
            <w:tcBorders>
              <w:top w:val="nil"/>
              <w:left w:val="nil"/>
              <w:bottom w:val="nil"/>
              <w:right w:val="single" w:sz="12" w:space="0" w:color="auto"/>
            </w:tcBorders>
            <w:shd w:val="clear" w:color="000000" w:fill="FFFFFF"/>
            <w:noWrap/>
            <w:vAlign w:val="center"/>
            <w:hideMark/>
          </w:tcPr>
          <w:p w14:paraId="48922C75"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2</w:t>
            </w:r>
          </w:p>
        </w:tc>
        <w:tc>
          <w:tcPr>
            <w:tcW w:w="2659" w:type="dxa"/>
            <w:tcBorders>
              <w:top w:val="nil"/>
              <w:left w:val="nil"/>
              <w:bottom w:val="nil"/>
              <w:right w:val="single" w:sz="12" w:space="0" w:color="auto"/>
            </w:tcBorders>
            <w:shd w:val="clear" w:color="000000" w:fill="FFFFFF"/>
            <w:noWrap/>
            <w:vAlign w:val="center"/>
            <w:hideMark/>
          </w:tcPr>
          <w:p w14:paraId="2AC05115"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0.01%</w:t>
            </w:r>
          </w:p>
        </w:tc>
      </w:tr>
      <w:tr w:rsidR="004219A7" w:rsidRPr="003344C4" w14:paraId="3CFD778E" w14:textId="77777777" w:rsidTr="00A26290">
        <w:trPr>
          <w:trHeight w:val="306"/>
        </w:trPr>
        <w:tc>
          <w:tcPr>
            <w:tcW w:w="2834" w:type="dxa"/>
            <w:tcBorders>
              <w:top w:val="nil"/>
              <w:left w:val="single" w:sz="12" w:space="0" w:color="auto"/>
              <w:bottom w:val="nil"/>
              <w:right w:val="single" w:sz="12" w:space="0" w:color="auto"/>
            </w:tcBorders>
            <w:shd w:val="clear" w:color="000000" w:fill="FFFFFF"/>
            <w:noWrap/>
            <w:vAlign w:val="center"/>
            <w:hideMark/>
          </w:tcPr>
          <w:p w14:paraId="497E6152"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r w:rsidRPr="003344C4">
              <w:rPr>
                <w:i/>
                <w:iCs/>
                <w:color w:val="000000"/>
                <w:kern w:val="0"/>
                <w:szCs w:val="24"/>
              </w:rPr>
              <w:t>Croton linearis</w:t>
            </w:r>
          </w:p>
        </w:tc>
        <w:tc>
          <w:tcPr>
            <w:tcW w:w="2191" w:type="dxa"/>
            <w:tcBorders>
              <w:top w:val="nil"/>
              <w:left w:val="nil"/>
              <w:bottom w:val="nil"/>
              <w:right w:val="single" w:sz="12" w:space="0" w:color="auto"/>
            </w:tcBorders>
            <w:shd w:val="clear" w:color="000000" w:fill="FFFFFF"/>
            <w:noWrap/>
            <w:vAlign w:val="center"/>
            <w:hideMark/>
          </w:tcPr>
          <w:p w14:paraId="10685F6F"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proofErr w:type="spellStart"/>
            <w:r w:rsidRPr="003344C4">
              <w:rPr>
                <w:color w:val="000000"/>
                <w:kern w:val="0"/>
                <w:szCs w:val="24"/>
              </w:rPr>
              <w:t>Euphorbiaceae</w:t>
            </w:r>
            <w:proofErr w:type="spellEnd"/>
          </w:p>
        </w:tc>
        <w:tc>
          <w:tcPr>
            <w:tcW w:w="1620" w:type="dxa"/>
            <w:tcBorders>
              <w:top w:val="nil"/>
              <w:left w:val="nil"/>
              <w:bottom w:val="nil"/>
              <w:right w:val="single" w:sz="12" w:space="0" w:color="auto"/>
            </w:tcBorders>
            <w:shd w:val="clear" w:color="000000" w:fill="FFFFFF"/>
            <w:noWrap/>
            <w:vAlign w:val="center"/>
            <w:hideMark/>
          </w:tcPr>
          <w:p w14:paraId="0F21D43C"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4</w:t>
            </w:r>
          </w:p>
        </w:tc>
        <w:tc>
          <w:tcPr>
            <w:tcW w:w="1620" w:type="dxa"/>
            <w:tcBorders>
              <w:top w:val="nil"/>
              <w:left w:val="nil"/>
              <w:bottom w:val="nil"/>
              <w:right w:val="single" w:sz="12" w:space="0" w:color="auto"/>
            </w:tcBorders>
            <w:shd w:val="clear" w:color="000000" w:fill="FFFFFF"/>
            <w:noWrap/>
            <w:vAlign w:val="center"/>
            <w:hideMark/>
          </w:tcPr>
          <w:p w14:paraId="1FD7AA09"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1.93%</w:t>
            </w:r>
          </w:p>
        </w:tc>
        <w:tc>
          <w:tcPr>
            <w:tcW w:w="2006" w:type="dxa"/>
            <w:tcBorders>
              <w:top w:val="nil"/>
              <w:left w:val="nil"/>
              <w:bottom w:val="nil"/>
              <w:right w:val="single" w:sz="12" w:space="0" w:color="auto"/>
            </w:tcBorders>
            <w:shd w:val="clear" w:color="000000" w:fill="FFFFFF"/>
            <w:noWrap/>
            <w:vAlign w:val="center"/>
            <w:hideMark/>
          </w:tcPr>
          <w:p w14:paraId="2FA2E380"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23</w:t>
            </w:r>
          </w:p>
        </w:tc>
        <w:tc>
          <w:tcPr>
            <w:tcW w:w="2659" w:type="dxa"/>
            <w:tcBorders>
              <w:top w:val="nil"/>
              <w:left w:val="nil"/>
              <w:bottom w:val="nil"/>
              <w:right w:val="single" w:sz="12" w:space="0" w:color="auto"/>
            </w:tcBorders>
            <w:shd w:val="clear" w:color="000000" w:fill="FFFFFF"/>
            <w:noWrap/>
            <w:vAlign w:val="center"/>
            <w:hideMark/>
          </w:tcPr>
          <w:p w14:paraId="16FE833D"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0.17%</w:t>
            </w:r>
          </w:p>
        </w:tc>
      </w:tr>
      <w:tr w:rsidR="004219A7" w:rsidRPr="003344C4" w14:paraId="60A7EFA0" w14:textId="77777777" w:rsidTr="00A26290">
        <w:trPr>
          <w:trHeight w:val="306"/>
        </w:trPr>
        <w:tc>
          <w:tcPr>
            <w:tcW w:w="2834" w:type="dxa"/>
            <w:tcBorders>
              <w:top w:val="nil"/>
              <w:left w:val="single" w:sz="12" w:space="0" w:color="auto"/>
              <w:bottom w:val="nil"/>
              <w:right w:val="single" w:sz="12" w:space="0" w:color="auto"/>
            </w:tcBorders>
            <w:shd w:val="clear" w:color="000000" w:fill="FFFFFF"/>
            <w:noWrap/>
            <w:vAlign w:val="center"/>
            <w:hideMark/>
          </w:tcPr>
          <w:p w14:paraId="62E0457F"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proofErr w:type="spellStart"/>
            <w:r w:rsidRPr="003344C4">
              <w:rPr>
                <w:i/>
                <w:iCs/>
                <w:color w:val="000000"/>
                <w:kern w:val="0"/>
                <w:szCs w:val="24"/>
              </w:rPr>
              <w:t>Piriqueta</w:t>
            </w:r>
            <w:proofErr w:type="spellEnd"/>
            <w:r w:rsidRPr="003344C4">
              <w:rPr>
                <w:i/>
                <w:iCs/>
                <w:color w:val="000000"/>
                <w:kern w:val="0"/>
                <w:szCs w:val="24"/>
              </w:rPr>
              <w:t xml:space="preserve"> </w:t>
            </w:r>
            <w:proofErr w:type="spellStart"/>
            <w:r w:rsidRPr="003344C4">
              <w:rPr>
                <w:i/>
                <w:iCs/>
                <w:color w:val="000000"/>
                <w:kern w:val="0"/>
                <w:szCs w:val="24"/>
              </w:rPr>
              <w:t>cistoides</w:t>
            </w:r>
            <w:proofErr w:type="spellEnd"/>
            <w:r w:rsidRPr="003344C4">
              <w:rPr>
                <w:i/>
                <w:iCs/>
                <w:color w:val="000000"/>
                <w:kern w:val="0"/>
                <w:szCs w:val="24"/>
              </w:rPr>
              <w:t xml:space="preserve"> </w:t>
            </w:r>
            <w:proofErr w:type="spellStart"/>
            <w:r w:rsidRPr="003344C4">
              <w:rPr>
                <w:i/>
                <w:iCs/>
                <w:color w:val="000000"/>
                <w:kern w:val="0"/>
                <w:szCs w:val="24"/>
              </w:rPr>
              <w:t>subsp</w:t>
            </w:r>
            <w:proofErr w:type="spellEnd"/>
            <w:r w:rsidRPr="003344C4">
              <w:rPr>
                <w:i/>
                <w:iCs/>
                <w:color w:val="000000"/>
                <w:kern w:val="0"/>
                <w:szCs w:val="24"/>
              </w:rPr>
              <w:t xml:space="preserve"> </w:t>
            </w:r>
            <w:proofErr w:type="spellStart"/>
            <w:r w:rsidRPr="003344C4">
              <w:rPr>
                <w:i/>
                <w:iCs/>
                <w:color w:val="000000"/>
                <w:kern w:val="0"/>
                <w:szCs w:val="24"/>
              </w:rPr>
              <w:t>caroliniana</w:t>
            </w:r>
            <w:proofErr w:type="spellEnd"/>
          </w:p>
        </w:tc>
        <w:tc>
          <w:tcPr>
            <w:tcW w:w="2191" w:type="dxa"/>
            <w:tcBorders>
              <w:top w:val="nil"/>
              <w:left w:val="nil"/>
              <w:bottom w:val="nil"/>
              <w:right w:val="single" w:sz="12" w:space="0" w:color="auto"/>
            </w:tcBorders>
            <w:shd w:val="clear" w:color="000000" w:fill="FFFFFF"/>
            <w:noWrap/>
            <w:vAlign w:val="center"/>
            <w:hideMark/>
          </w:tcPr>
          <w:p w14:paraId="50D6FAD8"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proofErr w:type="spellStart"/>
            <w:r w:rsidRPr="003344C4">
              <w:rPr>
                <w:color w:val="000000"/>
                <w:kern w:val="0"/>
                <w:szCs w:val="24"/>
              </w:rPr>
              <w:t>Turneraceae</w:t>
            </w:r>
            <w:proofErr w:type="spellEnd"/>
          </w:p>
        </w:tc>
        <w:tc>
          <w:tcPr>
            <w:tcW w:w="1620" w:type="dxa"/>
            <w:tcBorders>
              <w:top w:val="nil"/>
              <w:left w:val="nil"/>
              <w:bottom w:val="nil"/>
              <w:right w:val="single" w:sz="12" w:space="0" w:color="auto"/>
            </w:tcBorders>
            <w:shd w:val="clear" w:color="000000" w:fill="FFFFFF"/>
            <w:noWrap/>
            <w:vAlign w:val="center"/>
            <w:hideMark/>
          </w:tcPr>
          <w:p w14:paraId="626204E9"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3</w:t>
            </w:r>
          </w:p>
        </w:tc>
        <w:tc>
          <w:tcPr>
            <w:tcW w:w="1620" w:type="dxa"/>
            <w:tcBorders>
              <w:top w:val="nil"/>
              <w:left w:val="nil"/>
              <w:bottom w:val="nil"/>
              <w:right w:val="single" w:sz="12" w:space="0" w:color="auto"/>
            </w:tcBorders>
            <w:shd w:val="clear" w:color="000000" w:fill="FFFFFF"/>
            <w:noWrap/>
            <w:vAlign w:val="center"/>
            <w:hideMark/>
          </w:tcPr>
          <w:p w14:paraId="656353AE"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1.45%</w:t>
            </w:r>
          </w:p>
        </w:tc>
        <w:tc>
          <w:tcPr>
            <w:tcW w:w="2006" w:type="dxa"/>
            <w:tcBorders>
              <w:top w:val="nil"/>
              <w:left w:val="nil"/>
              <w:bottom w:val="nil"/>
              <w:right w:val="single" w:sz="12" w:space="0" w:color="auto"/>
            </w:tcBorders>
            <w:shd w:val="clear" w:color="000000" w:fill="FFFFFF"/>
            <w:noWrap/>
            <w:vAlign w:val="center"/>
            <w:hideMark/>
          </w:tcPr>
          <w:p w14:paraId="2E8E2FC6"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195</w:t>
            </w:r>
          </w:p>
        </w:tc>
        <w:tc>
          <w:tcPr>
            <w:tcW w:w="2659" w:type="dxa"/>
            <w:tcBorders>
              <w:top w:val="nil"/>
              <w:left w:val="nil"/>
              <w:bottom w:val="nil"/>
              <w:right w:val="single" w:sz="12" w:space="0" w:color="auto"/>
            </w:tcBorders>
            <w:shd w:val="clear" w:color="000000" w:fill="FFFFFF"/>
            <w:noWrap/>
            <w:vAlign w:val="center"/>
            <w:hideMark/>
          </w:tcPr>
          <w:p w14:paraId="1FCB988C"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1.44%</w:t>
            </w:r>
          </w:p>
        </w:tc>
      </w:tr>
      <w:tr w:rsidR="004219A7" w:rsidRPr="003344C4" w14:paraId="64625EEC" w14:textId="77777777" w:rsidTr="00A26290">
        <w:trPr>
          <w:trHeight w:val="312"/>
        </w:trPr>
        <w:tc>
          <w:tcPr>
            <w:tcW w:w="2834" w:type="dxa"/>
            <w:tcBorders>
              <w:top w:val="nil"/>
              <w:left w:val="single" w:sz="12" w:space="0" w:color="auto"/>
              <w:bottom w:val="nil"/>
              <w:right w:val="single" w:sz="12" w:space="0" w:color="auto"/>
            </w:tcBorders>
            <w:shd w:val="clear" w:color="000000" w:fill="FFFFFF"/>
            <w:noWrap/>
            <w:vAlign w:val="center"/>
            <w:hideMark/>
          </w:tcPr>
          <w:p w14:paraId="25A0B2E1"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proofErr w:type="spellStart"/>
            <w:r w:rsidRPr="003344C4">
              <w:rPr>
                <w:i/>
                <w:iCs/>
                <w:color w:val="000000"/>
                <w:kern w:val="0"/>
                <w:szCs w:val="24"/>
              </w:rPr>
              <w:t>Turnera</w:t>
            </w:r>
            <w:proofErr w:type="spellEnd"/>
            <w:r w:rsidRPr="003344C4">
              <w:rPr>
                <w:i/>
                <w:iCs/>
                <w:color w:val="000000"/>
                <w:kern w:val="0"/>
                <w:szCs w:val="24"/>
              </w:rPr>
              <w:t xml:space="preserve"> </w:t>
            </w:r>
            <w:proofErr w:type="spellStart"/>
            <w:r w:rsidRPr="003344C4">
              <w:rPr>
                <w:i/>
                <w:iCs/>
                <w:color w:val="000000"/>
                <w:kern w:val="0"/>
                <w:szCs w:val="24"/>
              </w:rPr>
              <w:t>ulmifolia</w:t>
            </w:r>
            <w:proofErr w:type="spellEnd"/>
          </w:p>
        </w:tc>
        <w:tc>
          <w:tcPr>
            <w:tcW w:w="2191" w:type="dxa"/>
            <w:tcBorders>
              <w:top w:val="nil"/>
              <w:left w:val="nil"/>
              <w:bottom w:val="nil"/>
              <w:right w:val="single" w:sz="12" w:space="0" w:color="auto"/>
            </w:tcBorders>
            <w:shd w:val="clear" w:color="000000" w:fill="FFFFFF"/>
            <w:noWrap/>
            <w:vAlign w:val="center"/>
            <w:hideMark/>
          </w:tcPr>
          <w:p w14:paraId="20FB2ED7"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proofErr w:type="spellStart"/>
            <w:r w:rsidRPr="003344C4">
              <w:rPr>
                <w:color w:val="000000"/>
                <w:kern w:val="0"/>
                <w:szCs w:val="24"/>
              </w:rPr>
              <w:t>Turneraceae</w:t>
            </w:r>
            <w:proofErr w:type="spellEnd"/>
          </w:p>
        </w:tc>
        <w:tc>
          <w:tcPr>
            <w:tcW w:w="1620" w:type="dxa"/>
            <w:tcBorders>
              <w:top w:val="nil"/>
              <w:left w:val="nil"/>
              <w:bottom w:val="nil"/>
              <w:right w:val="single" w:sz="12" w:space="0" w:color="auto"/>
            </w:tcBorders>
            <w:shd w:val="clear" w:color="000000" w:fill="FFFFFF"/>
            <w:noWrap/>
            <w:vAlign w:val="center"/>
            <w:hideMark/>
          </w:tcPr>
          <w:p w14:paraId="5F40C46C"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6</w:t>
            </w:r>
          </w:p>
        </w:tc>
        <w:tc>
          <w:tcPr>
            <w:tcW w:w="1620" w:type="dxa"/>
            <w:tcBorders>
              <w:top w:val="nil"/>
              <w:left w:val="nil"/>
              <w:bottom w:val="nil"/>
              <w:right w:val="single" w:sz="12" w:space="0" w:color="auto"/>
            </w:tcBorders>
            <w:shd w:val="clear" w:color="000000" w:fill="FFFFFF"/>
            <w:noWrap/>
            <w:vAlign w:val="center"/>
            <w:hideMark/>
          </w:tcPr>
          <w:p w14:paraId="52BC46AA"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2.90%</w:t>
            </w:r>
          </w:p>
        </w:tc>
        <w:tc>
          <w:tcPr>
            <w:tcW w:w="2006" w:type="dxa"/>
            <w:tcBorders>
              <w:top w:val="nil"/>
              <w:left w:val="nil"/>
              <w:bottom w:val="nil"/>
              <w:right w:val="single" w:sz="12" w:space="0" w:color="auto"/>
            </w:tcBorders>
            <w:shd w:val="clear" w:color="000000" w:fill="FFFFFF"/>
            <w:noWrap/>
            <w:vAlign w:val="center"/>
            <w:hideMark/>
          </w:tcPr>
          <w:p w14:paraId="1BEFC306"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24</w:t>
            </w:r>
          </w:p>
        </w:tc>
        <w:tc>
          <w:tcPr>
            <w:tcW w:w="2659" w:type="dxa"/>
            <w:tcBorders>
              <w:top w:val="nil"/>
              <w:left w:val="nil"/>
              <w:bottom w:val="nil"/>
              <w:right w:val="single" w:sz="12" w:space="0" w:color="auto"/>
            </w:tcBorders>
            <w:shd w:val="clear" w:color="000000" w:fill="FFFFFF"/>
            <w:noWrap/>
            <w:vAlign w:val="center"/>
            <w:hideMark/>
          </w:tcPr>
          <w:p w14:paraId="581979CC"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0.18%</w:t>
            </w:r>
          </w:p>
        </w:tc>
      </w:tr>
      <w:tr w:rsidR="004219A7" w:rsidRPr="003344C4" w14:paraId="6BC5E16A" w14:textId="77777777" w:rsidTr="00A26290">
        <w:trPr>
          <w:trHeight w:val="312"/>
        </w:trPr>
        <w:tc>
          <w:tcPr>
            <w:tcW w:w="2834" w:type="dxa"/>
            <w:tcBorders>
              <w:top w:val="single" w:sz="8" w:space="0" w:color="auto"/>
              <w:left w:val="single" w:sz="12" w:space="0" w:color="auto"/>
              <w:bottom w:val="single" w:sz="8" w:space="0" w:color="auto"/>
              <w:right w:val="single" w:sz="12" w:space="0" w:color="auto"/>
            </w:tcBorders>
            <w:shd w:val="clear" w:color="000000" w:fill="D9D9D9"/>
            <w:noWrap/>
            <w:vAlign w:val="center"/>
            <w:hideMark/>
          </w:tcPr>
          <w:p w14:paraId="2CE07F71" w14:textId="77777777" w:rsidR="003344C4" w:rsidRPr="003344C4" w:rsidRDefault="003344C4" w:rsidP="00A26290">
            <w:pPr>
              <w:widowControl/>
              <w:overflowPunct/>
              <w:autoSpaceDE/>
              <w:autoSpaceDN/>
              <w:adjustRightInd/>
              <w:contextualSpacing w:val="0"/>
              <w:jc w:val="center"/>
              <w:rPr>
                <w:b/>
                <w:bCs/>
                <w:color w:val="000000"/>
                <w:kern w:val="0"/>
                <w:szCs w:val="24"/>
              </w:rPr>
            </w:pPr>
            <w:r w:rsidRPr="003344C4">
              <w:rPr>
                <w:b/>
                <w:bCs/>
                <w:color w:val="000000"/>
                <w:kern w:val="0"/>
                <w:szCs w:val="24"/>
              </w:rPr>
              <w:t>Synzoochory</w:t>
            </w:r>
          </w:p>
        </w:tc>
        <w:tc>
          <w:tcPr>
            <w:tcW w:w="2191" w:type="dxa"/>
            <w:tcBorders>
              <w:top w:val="single" w:sz="8" w:space="0" w:color="auto"/>
              <w:left w:val="nil"/>
              <w:bottom w:val="single" w:sz="8" w:space="0" w:color="auto"/>
              <w:right w:val="single" w:sz="12" w:space="0" w:color="auto"/>
            </w:tcBorders>
            <w:shd w:val="clear" w:color="000000" w:fill="D9D9D9"/>
            <w:noWrap/>
            <w:vAlign w:val="center"/>
            <w:hideMark/>
          </w:tcPr>
          <w:p w14:paraId="3B85E79F"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w:t>
            </w:r>
          </w:p>
        </w:tc>
        <w:tc>
          <w:tcPr>
            <w:tcW w:w="1620" w:type="dxa"/>
            <w:tcBorders>
              <w:top w:val="single" w:sz="8" w:space="0" w:color="auto"/>
              <w:left w:val="nil"/>
              <w:bottom w:val="single" w:sz="8" w:space="0" w:color="auto"/>
              <w:right w:val="single" w:sz="12" w:space="0" w:color="auto"/>
            </w:tcBorders>
            <w:shd w:val="clear" w:color="000000" w:fill="D9D9D9"/>
            <w:noWrap/>
            <w:vAlign w:val="center"/>
            <w:hideMark/>
          </w:tcPr>
          <w:p w14:paraId="1B1382E0" w14:textId="77777777" w:rsidR="003344C4" w:rsidRPr="003344C4" w:rsidRDefault="003344C4" w:rsidP="00A26290">
            <w:pPr>
              <w:widowControl/>
              <w:overflowPunct/>
              <w:autoSpaceDE/>
              <w:autoSpaceDN/>
              <w:adjustRightInd/>
              <w:contextualSpacing w:val="0"/>
              <w:jc w:val="center"/>
              <w:rPr>
                <w:b/>
                <w:bCs/>
                <w:color w:val="000000"/>
                <w:kern w:val="0"/>
                <w:szCs w:val="24"/>
              </w:rPr>
            </w:pPr>
            <w:r w:rsidRPr="003344C4">
              <w:rPr>
                <w:b/>
                <w:bCs/>
                <w:color w:val="000000"/>
                <w:kern w:val="0"/>
                <w:szCs w:val="24"/>
              </w:rPr>
              <w:t>3</w:t>
            </w:r>
          </w:p>
        </w:tc>
        <w:tc>
          <w:tcPr>
            <w:tcW w:w="1620" w:type="dxa"/>
            <w:tcBorders>
              <w:top w:val="single" w:sz="8" w:space="0" w:color="auto"/>
              <w:left w:val="nil"/>
              <w:bottom w:val="single" w:sz="8" w:space="0" w:color="auto"/>
              <w:right w:val="single" w:sz="12" w:space="0" w:color="auto"/>
            </w:tcBorders>
            <w:shd w:val="clear" w:color="000000" w:fill="D9D9D9"/>
            <w:noWrap/>
            <w:vAlign w:val="center"/>
            <w:hideMark/>
          </w:tcPr>
          <w:p w14:paraId="5690831F" w14:textId="77777777" w:rsidR="003344C4" w:rsidRPr="003344C4" w:rsidRDefault="003344C4" w:rsidP="00A26290">
            <w:pPr>
              <w:widowControl/>
              <w:overflowPunct/>
              <w:autoSpaceDE/>
              <w:autoSpaceDN/>
              <w:adjustRightInd/>
              <w:contextualSpacing w:val="0"/>
              <w:jc w:val="center"/>
              <w:rPr>
                <w:b/>
                <w:bCs/>
                <w:color w:val="000000"/>
                <w:kern w:val="0"/>
                <w:szCs w:val="24"/>
              </w:rPr>
            </w:pPr>
            <w:r w:rsidRPr="003344C4">
              <w:rPr>
                <w:b/>
                <w:bCs/>
                <w:color w:val="000000"/>
                <w:kern w:val="0"/>
                <w:szCs w:val="24"/>
              </w:rPr>
              <w:t>1.45%</w:t>
            </w:r>
          </w:p>
        </w:tc>
        <w:tc>
          <w:tcPr>
            <w:tcW w:w="2006" w:type="dxa"/>
            <w:tcBorders>
              <w:top w:val="single" w:sz="8" w:space="0" w:color="auto"/>
              <w:left w:val="nil"/>
              <w:bottom w:val="single" w:sz="8" w:space="0" w:color="auto"/>
              <w:right w:val="single" w:sz="12" w:space="0" w:color="auto"/>
            </w:tcBorders>
            <w:shd w:val="clear" w:color="000000" w:fill="D9D9D9"/>
            <w:noWrap/>
            <w:vAlign w:val="center"/>
            <w:hideMark/>
          </w:tcPr>
          <w:p w14:paraId="01031B80" w14:textId="77777777" w:rsidR="003344C4" w:rsidRPr="003344C4" w:rsidRDefault="003344C4" w:rsidP="00A26290">
            <w:pPr>
              <w:widowControl/>
              <w:overflowPunct/>
              <w:autoSpaceDE/>
              <w:autoSpaceDN/>
              <w:adjustRightInd/>
              <w:contextualSpacing w:val="0"/>
              <w:jc w:val="center"/>
              <w:rPr>
                <w:b/>
                <w:bCs/>
                <w:color w:val="000000"/>
                <w:kern w:val="0"/>
                <w:szCs w:val="24"/>
              </w:rPr>
            </w:pPr>
            <w:r w:rsidRPr="003344C4">
              <w:rPr>
                <w:b/>
                <w:bCs/>
                <w:color w:val="000000"/>
                <w:kern w:val="0"/>
                <w:szCs w:val="24"/>
              </w:rPr>
              <w:t>0</w:t>
            </w:r>
          </w:p>
        </w:tc>
        <w:tc>
          <w:tcPr>
            <w:tcW w:w="2659" w:type="dxa"/>
            <w:tcBorders>
              <w:top w:val="single" w:sz="8" w:space="0" w:color="auto"/>
              <w:left w:val="nil"/>
              <w:bottom w:val="single" w:sz="8" w:space="0" w:color="auto"/>
              <w:right w:val="single" w:sz="12" w:space="0" w:color="auto"/>
            </w:tcBorders>
            <w:shd w:val="clear" w:color="000000" w:fill="D9D9D9"/>
            <w:noWrap/>
            <w:vAlign w:val="center"/>
            <w:hideMark/>
          </w:tcPr>
          <w:p w14:paraId="6F42ABCE" w14:textId="77777777" w:rsidR="003344C4" w:rsidRPr="003344C4" w:rsidRDefault="003344C4" w:rsidP="00A26290">
            <w:pPr>
              <w:widowControl/>
              <w:overflowPunct/>
              <w:autoSpaceDE/>
              <w:autoSpaceDN/>
              <w:adjustRightInd/>
              <w:contextualSpacing w:val="0"/>
              <w:jc w:val="center"/>
              <w:rPr>
                <w:b/>
                <w:bCs/>
                <w:color w:val="000000"/>
                <w:kern w:val="0"/>
                <w:szCs w:val="24"/>
              </w:rPr>
            </w:pPr>
            <w:r w:rsidRPr="003344C4">
              <w:rPr>
                <w:b/>
                <w:bCs/>
                <w:color w:val="000000"/>
                <w:kern w:val="0"/>
                <w:szCs w:val="24"/>
              </w:rPr>
              <w:t>0.00%</w:t>
            </w:r>
          </w:p>
        </w:tc>
      </w:tr>
      <w:tr w:rsidR="004219A7" w:rsidRPr="003344C4" w14:paraId="3625AC73" w14:textId="77777777" w:rsidTr="00A26290">
        <w:trPr>
          <w:trHeight w:val="312"/>
        </w:trPr>
        <w:tc>
          <w:tcPr>
            <w:tcW w:w="2834" w:type="dxa"/>
            <w:tcBorders>
              <w:top w:val="nil"/>
              <w:left w:val="single" w:sz="12" w:space="0" w:color="auto"/>
              <w:bottom w:val="single" w:sz="12" w:space="0" w:color="auto"/>
              <w:right w:val="single" w:sz="12" w:space="0" w:color="auto"/>
            </w:tcBorders>
            <w:shd w:val="clear" w:color="000000" w:fill="FFFFFF"/>
            <w:noWrap/>
            <w:vAlign w:val="center"/>
            <w:hideMark/>
          </w:tcPr>
          <w:p w14:paraId="21659453" w14:textId="77777777" w:rsidR="003344C4" w:rsidRPr="003344C4" w:rsidRDefault="003344C4" w:rsidP="00A26290">
            <w:pPr>
              <w:widowControl/>
              <w:overflowPunct/>
              <w:autoSpaceDE/>
              <w:autoSpaceDN/>
              <w:adjustRightInd/>
              <w:ind w:firstLineChars="100" w:firstLine="240"/>
              <w:contextualSpacing w:val="0"/>
              <w:jc w:val="center"/>
              <w:rPr>
                <w:i/>
                <w:iCs/>
                <w:color w:val="000000"/>
                <w:kern w:val="0"/>
                <w:szCs w:val="24"/>
              </w:rPr>
            </w:pPr>
            <w:r w:rsidRPr="003344C4">
              <w:rPr>
                <w:i/>
                <w:iCs/>
                <w:color w:val="000000"/>
                <w:kern w:val="0"/>
                <w:szCs w:val="24"/>
              </w:rPr>
              <w:t>Quercus pumila</w:t>
            </w:r>
          </w:p>
        </w:tc>
        <w:tc>
          <w:tcPr>
            <w:tcW w:w="2191" w:type="dxa"/>
            <w:tcBorders>
              <w:top w:val="nil"/>
              <w:left w:val="nil"/>
              <w:bottom w:val="single" w:sz="12" w:space="0" w:color="auto"/>
              <w:right w:val="single" w:sz="12" w:space="0" w:color="auto"/>
            </w:tcBorders>
            <w:shd w:val="clear" w:color="000000" w:fill="FFFFFF"/>
            <w:noWrap/>
            <w:vAlign w:val="center"/>
            <w:hideMark/>
          </w:tcPr>
          <w:p w14:paraId="50F7EE85" w14:textId="77777777" w:rsidR="003344C4" w:rsidRPr="003344C4" w:rsidRDefault="003344C4" w:rsidP="00A26290">
            <w:pPr>
              <w:widowControl/>
              <w:overflowPunct/>
              <w:autoSpaceDE/>
              <w:autoSpaceDN/>
              <w:adjustRightInd/>
              <w:ind w:firstLineChars="100" w:firstLine="240"/>
              <w:contextualSpacing w:val="0"/>
              <w:jc w:val="center"/>
              <w:rPr>
                <w:color w:val="000000"/>
                <w:kern w:val="0"/>
                <w:szCs w:val="24"/>
              </w:rPr>
            </w:pPr>
            <w:r w:rsidRPr="003344C4">
              <w:rPr>
                <w:color w:val="000000"/>
                <w:kern w:val="0"/>
                <w:szCs w:val="24"/>
              </w:rPr>
              <w:t>Fagaceae</w:t>
            </w:r>
          </w:p>
        </w:tc>
        <w:tc>
          <w:tcPr>
            <w:tcW w:w="1620" w:type="dxa"/>
            <w:tcBorders>
              <w:top w:val="nil"/>
              <w:left w:val="nil"/>
              <w:bottom w:val="single" w:sz="12" w:space="0" w:color="auto"/>
              <w:right w:val="single" w:sz="12" w:space="0" w:color="auto"/>
            </w:tcBorders>
            <w:shd w:val="clear" w:color="000000" w:fill="FFFFFF"/>
            <w:noWrap/>
            <w:vAlign w:val="center"/>
            <w:hideMark/>
          </w:tcPr>
          <w:p w14:paraId="52865143"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3</w:t>
            </w:r>
          </w:p>
        </w:tc>
        <w:tc>
          <w:tcPr>
            <w:tcW w:w="1620" w:type="dxa"/>
            <w:tcBorders>
              <w:top w:val="nil"/>
              <w:left w:val="nil"/>
              <w:bottom w:val="single" w:sz="12" w:space="0" w:color="auto"/>
              <w:right w:val="single" w:sz="12" w:space="0" w:color="auto"/>
            </w:tcBorders>
            <w:shd w:val="clear" w:color="000000" w:fill="FFFFFF"/>
            <w:noWrap/>
            <w:vAlign w:val="center"/>
            <w:hideMark/>
          </w:tcPr>
          <w:p w14:paraId="05E8553B"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1.45%</w:t>
            </w:r>
          </w:p>
        </w:tc>
        <w:tc>
          <w:tcPr>
            <w:tcW w:w="2006" w:type="dxa"/>
            <w:tcBorders>
              <w:top w:val="nil"/>
              <w:left w:val="nil"/>
              <w:bottom w:val="single" w:sz="12" w:space="0" w:color="auto"/>
              <w:right w:val="single" w:sz="12" w:space="0" w:color="auto"/>
            </w:tcBorders>
            <w:shd w:val="clear" w:color="000000" w:fill="FFFFFF"/>
            <w:noWrap/>
            <w:vAlign w:val="center"/>
            <w:hideMark/>
          </w:tcPr>
          <w:p w14:paraId="3D1A5C66"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w:t>
            </w:r>
          </w:p>
        </w:tc>
        <w:tc>
          <w:tcPr>
            <w:tcW w:w="2659" w:type="dxa"/>
            <w:tcBorders>
              <w:top w:val="nil"/>
              <w:left w:val="nil"/>
              <w:bottom w:val="single" w:sz="12" w:space="0" w:color="auto"/>
              <w:right w:val="single" w:sz="12" w:space="0" w:color="auto"/>
            </w:tcBorders>
            <w:shd w:val="clear" w:color="000000" w:fill="FFFFFF"/>
            <w:noWrap/>
            <w:vAlign w:val="center"/>
            <w:hideMark/>
          </w:tcPr>
          <w:p w14:paraId="37579616" w14:textId="77777777" w:rsidR="003344C4" w:rsidRPr="003344C4" w:rsidRDefault="003344C4" w:rsidP="00A26290">
            <w:pPr>
              <w:widowControl/>
              <w:overflowPunct/>
              <w:autoSpaceDE/>
              <w:autoSpaceDN/>
              <w:adjustRightInd/>
              <w:contextualSpacing w:val="0"/>
              <w:jc w:val="center"/>
              <w:rPr>
                <w:color w:val="000000"/>
                <w:kern w:val="0"/>
                <w:szCs w:val="24"/>
              </w:rPr>
            </w:pPr>
            <w:r w:rsidRPr="003344C4">
              <w:rPr>
                <w:color w:val="000000"/>
                <w:kern w:val="0"/>
                <w:szCs w:val="24"/>
              </w:rPr>
              <w:t>0.00%</w:t>
            </w:r>
          </w:p>
        </w:tc>
      </w:tr>
    </w:tbl>
    <w:p w14:paraId="1DE8435F" w14:textId="77777777" w:rsidR="00666A91" w:rsidRDefault="00666A91" w:rsidP="00666A91">
      <w:pPr>
        <w:spacing w:before="100" w:beforeAutospacing="1" w:after="100" w:afterAutospacing="1" w:line="480" w:lineRule="auto"/>
        <w:mirrorIndents/>
        <w:rPr>
          <w:rFonts w:eastAsia="Calibri"/>
          <w:b/>
          <w:bCs/>
          <w:shd w:val="clear" w:color="auto" w:fill="FFFFFF"/>
        </w:rPr>
      </w:pPr>
    </w:p>
    <w:p w14:paraId="58DD9435" w14:textId="4DCF1F15" w:rsidR="00A26290" w:rsidRDefault="00105820" w:rsidP="00666A91">
      <w:pPr>
        <w:spacing w:before="100" w:beforeAutospacing="1" w:after="100" w:afterAutospacing="1" w:line="480" w:lineRule="auto"/>
        <w:mirrorIndents/>
        <w:rPr>
          <w:rFonts w:eastAsia="Calibri"/>
          <w:shd w:val="clear" w:color="auto" w:fill="FFFFFF"/>
        </w:rPr>
        <w:sectPr w:rsidR="00A26290" w:rsidSect="0044638C">
          <w:pgSz w:w="15840" w:h="12240" w:orient="landscape"/>
          <w:pgMar w:top="1440" w:right="1440" w:bottom="1440" w:left="1440" w:header="720" w:footer="720" w:gutter="0"/>
          <w:lnNumType w:countBy="1" w:restart="continuous"/>
          <w:cols w:space="720"/>
          <w:docGrid w:linePitch="360"/>
        </w:sectPr>
      </w:pPr>
      <w:r w:rsidRPr="00105820">
        <w:rPr>
          <w:rFonts w:eastAsia="Calibri"/>
          <w:b/>
          <w:bCs/>
          <w:shd w:val="clear" w:color="auto" w:fill="FFFFFF"/>
        </w:rPr>
        <w:t xml:space="preserve">Table </w:t>
      </w:r>
      <w:r w:rsidR="00FC60D6">
        <w:rPr>
          <w:rFonts w:eastAsia="Calibri"/>
          <w:b/>
          <w:bCs/>
          <w:shd w:val="clear" w:color="auto" w:fill="FFFFFF"/>
        </w:rPr>
        <w:t>2</w:t>
      </w:r>
      <w:r w:rsidRPr="00105820">
        <w:rPr>
          <w:rFonts w:eastAsia="Calibri"/>
          <w:b/>
          <w:bCs/>
          <w:shd w:val="clear" w:color="auto" w:fill="FFFFFF"/>
        </w:rPr>
        <w:t>.</w:t>
      </w:r>
      <w:r w:rsidRPr="00105820">
        <w:t xml:space="preserve"> </w:t>
      </w:r>
      <w:r w:rsidRPr="00105820">
        <w:rPr>
          <w:rFonts w:eastAsia="Calibri"/>
          <w:shd w:val="clear" w:color="auto" w:fill="FFFFFF"/>
        </w:rPr>
        <w:t>Summary table listing all seeds that were identified to the species level along with their taxonomic family, dispersal syndrome (using criteria from Table 1), total seeds dispersed across all fecal samples (n = 20</w:t>
      </w:r>
      <w:r w:rsidR="00BF46FF">
        <w:rPr>
          <w:rFonts w:eastAsia="Calibri"/>
          <w:shd w:val="clear" w:color="auto" w:fill="FFFFFF"/>
        </w:rPr>
        <w:t>7</w:t>
      </w:r>
      <w:r w:rsidRPr="00105820">
        <w:rPr>
          <w:rFonts w:eastAsia="Calibri"/>
          <w:shd w:val="clear" w:color="auto" w:fill="FFFFFF"/>
        </w:rPr>
        <w:t>), the percent of all seeds dispersed that the species represents, the number of samples they are present i</w:t>
      </w:r>
      <w:r w:rsidR="00F816C5">
        <w:rPr>
          <w:rFonts w:eastAsia="Calibri"/>
          <w:shd w:val="clear" w:color="auto" w:fill="FFFFFF"/>
        </w:rPr>
        <w:t>n</w:t>
      </w:r>
      <w:r w:rsidRPr="00105820">
        <w:rPr>
          <w:rFonts w:eastAsia="Calibri"/>
          <w:shd w:val="clear" w:color="auto" w:fill="FFFFFF"/>
        </w:rPr>
        <w:t>, and their frequency of occurrence</w:t>
      </w:r>
      <w:r w:rsidR="00666A91">
        <w:rPr>
          <w:rFonts w:eastAsia="Calibri"/>
          <w:shd w:val="clear" w:color="auto" w:fill="FFFFFF"/>
        </w:rPr>
        <w:t>.</w:t>
      </w:r>
    </w:p>
    <w:tbl>
      <w:tblPr>
        <w:tblW w:w="13116" w:type="dxa"/>
        <w:tblLook w:val="04A0" w:firstRow="1" w:lastRow="0" w:firstColumn="1" w:lastColumn="0" w:noHBand="0" w:noVBand="1"/>
      </w:tblPr>
      <w:tblGrid>
        <w:gridCol w:w="1432"/>
        <w:gridCol w:w="593"/>
        <w:gridCol w:w="1110"/>
        <w:gridCol w:w="1080"/>
        <w:gridCol w:w="1273"/>
        <w:gridCol w:w="1517"/>
        <w:gridCol w:w="1643"/>
        <w:gridCol w:w="1312"/>
        <w:gridCol w:w="990"/>
        <w:gridCol w:w="990"/>
        <w:gridCol w:w="1170"/>
        <w:gridCol w:w="6"/>
      </w:tblGrid>
      <w:tr w:rsidR="000F3BA3" w:rsidRPr="000F3BA3" w14:paraId="5BB3B2CE" w14:textId="77777777" w:rsidTr="0084110D">
        <w:trPr>
          <w:trHeight w:val="478"/>
        </w:trPr>
        <w:tc>
          <w:tcPr>
            <w:tcW w:w="13116" w:type="dxa"/>
            <w:gridSpan w:val="12"/>
            <w:tcBorders>
              <w:top w:val="single" w:sz="12" w:space="0" w:color="auto"/>
              <w:left w:val="single" w:sz="12" w:space="0" w:color="auto"/>
              <w:bottom w:val="single" w:sz="12" w:space="0" w:color="auto"/>
              <w:right w:val="single" w:sz="12" w:space="0" w:color="000000"/>
            </w:tcBorders>
            <w:shd w:val="clear" w:color="000000" w:fill="FFFFFF"/>
            <w:noWrap/>
            <w:vAlign w:val="center"/>
            <w:hideMark/>
          </w:tcPr>
          <w:p w14:paraId="536819D4" w14:textId="77777777" w:rsidR="000F3BA3" w:rsidRPr="000F3BA3" w:rsidRDefault="000F3BA3" w:rsidP="000F3BA3">
            <w:pPr>
              <w:widowControl/>
              <w:overflowPunct/>
              <w:autoSpaceDE/>
              <w:autoSpaceDN/>
              <w:adjustRightInd/>
              <w:contextualSpacing w:val="0"/>
              <w:jc w:val="center"/>
              <w:rPr>
                <w:b/>
                <w:bCs/>
                <w:kern w:val="0"/>
                <w:szCs w:val="24"/>
              </w:rPr>
            </w:pPr>
            <w:r w:rsidRPr="000F3BA3">
              <w:rPr>
                <w:b/>
                <w:bCs/>
                <w:kern w:val="0"/>
                <w:szCs w:val="24"/>
              </w:rPr>
              <w:lastRenderedPageBreak/>
              <w:t>Multivariate Analyses Summary Tables</w:t>
            </w:r>
          </w:p>
        </w:tc>
      </w:tr>
      <w:tr w:rsidR="000F3BA3" w:rsidRPr="000F3BA3" w14:paraId="5887740A" w14:textId="77777777" w:rsidTr="0084110D">
        <w:trPr>
          <w:gridAfter w:val="1"/>
          <w:wAfter w:w="6" w:type="dxa"/>
          <w:trHeight w:val="488"/>
        </w:trPr>
        <w:tc>
          <w:tcPr>
            <w:tcW w:w="7005" w:type="dxa"/>
            <w:gridSpan w:val="6"/>
            <w:tcBorders>
              <w:top w:val="single" w:sz="12" w:space="0" w:color="auto"/>
              <w:left w:val="single" w:sz="12" w:space="0" w:color="auto"/>
              <w:bottom w:val="single" w:sz="12" w:space="0" w:color="auto"/>
              <w:right w:val="single" w:sz="12" w:space="0" w:color="000000"/>
            </w:tcBorders>
            <w:shd w:val="clear" w:color="000000" w:fill="FFFFFF"/>
            <w:noWrap/>
            <w:vAlign w:val="center"/>
            <w:hideMark/>
          </w:tcPr>
          <w:p w14:paraId="17DF6C0B" w14:textId="77777777" w:rsidR="000F3BA3" w:rsidRPr="000F3BA3" w:rsidRDefault="000F3BA3" w:rsidP="000F3BA3">
            <w:pPr>
              <w:widowControl/>
              <w:overflowPunct/>
              <w:autoSpaceDE/>
              <w:autoSpaceDN/>
              <w:adjustRightInd/>
              <w:contextualSpacing w:val="0"/>
              <w:jc w:val="center"/>
              <w:rPr>
                <w:b/>
                <w:bCs/>
                <w:color w:val="000000"/>
                <w:kern w:val="0"/>
                <w:szCs w:val="24"/>
              </w:rPr>
            </w:pPr>
            <w:r w:rsidRPr="000F3BA3">
              <w:rPr>
                <w:b/>
                <w:bCs/>
                <w:color w:val="000000"/>
                <w:kern w:val="0"/>
                <w:szCs w:val="24"/>
              </w:rPr>
              <w:t>PERMANOVA Summary Table</w:t>
            </w:r>
          </w:p>
        </w:tc>
        <w:tc>
          <w:tcPr>
            <w:tcW w:w="6105" w:type="dxa"/>
            <w:gridSpan w:val="5"/>
            <w:tcBorders>
              <w:top w:val="single" w:sz="12" w:space="0" w:color="auto"/>
              <w:left w:val="nil"/>
              <w:bottom w:val="single" w:sz="12" w:space="0" w:color="auto"/>
              <w:right w:val="single" w:sz="12" w:space="0" w:color="000000"/>
            </w:tcBorders>
            <w:shd w:val="clear" w:color="000000" w:fill="FFFFFF"/>
            <w:noWrap/>
            <w:vAlign w:val="center"/>
            <w:hideMark/>
          </w:tcPr>
          <w:p w14:paraId="7140A85A" w14:textId="77777777" w:rsidR="000F3BA3" w:rsidRPr="000F3BA3" w:rsidRDefault="000F3BA3" w:rsidP="000F3BA3">
            <w:pPr>
              <w:widowControl/>
              <w:overflowPunct/>
              <w:autoSpaceDE/>
              <w:autoSpaceDN/>
              <w:adjustRightInd/>
              <w:contextualSpacing w:val="0"/>
              <w:jc w:val="center"/>
              <w:rPr>
                <w:b/>
                <w:bCs/>
                <w:color w:val="000000"/>
                <w:kern w:val="0"/>
                <w:szCs w:val="24"/>
              </w:rPr>
            </w:pPr>
            <w:r w:rsidRPr="000F3BA3">
              <w:rPr>
                <w:b/>
                <w:bCs/>
                <w:color w:val="000000"/>
                <w:kern w:val="0"/>
                <w:szCs w:val="24"/>
              </w:rPr>
              <w:t>PERMDISP Summary Table</w:t>
            </w:r>
          </w:p>
        </w:tc>
      </w:tr>
      <w:tr w:rsidR="000F3BA3" w:rsidRPr="000F3BA3" w14:paraId="411C3D93" w14:textId="77777777" w:rsidTr="0084110D">
        <w:trPr>
          <w:gridAfter w:val="1"/>
          <w:wAfter w:w="6" w:type="dxa"/>
          <w:trHeight w:val="939"/>
        </w:trPr>
        <w:tc>
          <w:tcPr>
            <w:tcW w:w="1432" w:type="dxa"/>
            <w:tcBorders>
              <w:top w:val="single" w:sz="12" w:space="0" w:color="auto"/>
              <w:left w:val="single" w:sz="12" w:space="0" w:color="auto"/>
              <w:bottom w:val="single" w:sz="12" w:space="0" w:color="auto"/>
              <w:right w:val="single" w:sz="8" w:space="0" w:color="auto"/>
            </w:tcBorders>
            <w:shd w:val="clear" w:color="000000" w:fill="FFFFFF"/>
            <w:noWrap/>
            <w:vAlign w:val="center"/>
            <w:hideMark/>
          </w:tcPr>
          <w:p w14:paraId="5F7B7A79" w14:textId="77777777" w:rsidR="000F3BA3" w:rsidRPr="000F3BA3" w:rsidRDefault="000F3BA3" w:rsidP="000F3BA3">
            <w:pPr>
              <w:widowControl/>
              <w:overflowPunct/>
              <w:autoSpaceDE/>
              <w:autoSpaceDN/>
              <w:adjustRightInd/>
              <w:contextualSpacing w:val="0"/>
              <w:jc w:val="center"/>
              <w:rPr>
                <w:b/>
                <w:bCs/>
                <w:color w:val="000000"/>
                <w:kern w:val="0"/>
                <w:szCs w:val="24"/>
              </w:rPr>
            </w:pPr>
            <w:r w:rsidRPr="000F3BA3">
              <w:rPr>
                <w:b/>
                <w:bCs/>
                <w:color w:val="000000"/>
                <w:kern w:val="0"/>
                <w:szCs w:val="24"/>
              </w:rPr>
              <w:t>Parameters</w:t>
            </w:r>
          </w:p>
        </w:tc>
        <w:tc>
          <w:tcPr>
            <w:tcW w:w="593" w:type="dxa"/>
            <w:tcBorders>
              <w:top w:val="single" w:sz="12" w:space="0" w:color="auto"/>
              <w:left w:val="nil"/>
              <w:bottom w:val="single" w:sz="12" w:space="0" w:color="auto"/>
              <w:right w:val="single" w:sz="8" w:space="0" w:color="auto"/>
            </w:tcBorders>
            <w:shd w:val="clear" w:color="000000" w:fill="FFFFFF"/>
            <w:noWrap/>
            <w:vAlign w:val="center"/>
            <w:hideMark/>
          </w:tcPr>
          <w:p w14:paraId="1F1661CE" w14:textId="77777777" w:rsidR="000F3BA3" w:rsidRPr="000F3BA3" w:rsidRDefault="000F3BA3" w:rsidP="000F3BA3">
            <w:pPr>
              <w:widowControl/>
              <w:overflowPunct/>
              <w:autoSpaceDE/>
              <w:autoSpaceDN/>
              <w:adjustRightInd/>
              <w:contextualSpacing w:val="0"/>
              <w:jc w:val="center"/>
              <w:rPr>
                <w:b/>
                <w:bCs/>
                <w:color w:val="000000"/>
                <w:kern w:val="0"/>
                <w:szCs w:val="24"/>
              </w:rPr>
            </w:pPr>
            <w:proofErr w:type="spellStart"/>
            <w:r w:rsidRPr="000F3BA3">
              <w:rPr>
                <w:b/>
                <w:bCs/>
                <w:color w:val="000000"/>
                <w:kern w:val="0"/>
                <w:szCs w:val="24"/>
              </w:rPr>
              <w:t>Df</w:t>
            </w:r>
            <w:proofErr w:type="spellEnd"/>
          </w:p>
        </w:tc>
        <w:tc>
          <w:tcPr>
            <w:tcW w:w="1110" w:type="dxa"/>
            <w:tcBorders>
              <w:top w:val="single" w:sz="12" w:space="0" w:color="auto"/>
              <w:left w:val="nil"/>
              <w:bottom w:val="single" w:sz="12" w:space="0" w:color="auto"/>
              <w:right w:val="single" w:sz="8" w:space="0" w:color="auto"/>
            </w:tcBorders>
            <w:shd w:val="clear" w:color="000000" w:fill="FFFFFF"/>
            <w:noWrap/>
            <w:vAlign w:val="center"/>
            <w:hideMark/>
          </w:tcPr>
          <w:p w14:paraId="38B2DA41" w14:textId="77777777" w:rsidR="000F3BA3" w:rsidRPr="000F3BA3" w:rsidRDefault="000F3BA3" w:rsidP="000F3BA3">
            <w:pPr>
              <w:widowControl/>
              <w:overflowPunct/>
              <w:autoSpaceDE/>
              <w:autoSpaceDN/>
              <w:adjustRightInd/>
              <w:contextualSpacing w:val="0"/>
              <w:jc w:val="center"/>
              <w:rPr>
                <w:b/>
                <w:bCs/>
                <w:color w:val="000000"/>
                <w:kern w:val="0"/>
                <w:szCs w:val="24"/>
              </w:rPr>
            </w:pPr>
            <w:r w:rsidRPr="000F3BA3">
              <w:rPr>
                <w:b/>
                <w:bCs/>
                <w:color w:val="000000"/>
                <w:kern w:val="0"/>
                <w:szCs w:val="24"/>
              </w:rPr>
              <w:t>Sum of Squares</w:t>
            </w:r>
          </w:p>
        </w:tc>
        <w:tc>
          <w:tcPr>
            <w:tcW w:w="1080" w:type="dxa"/>
            <w:tcBorders>
              <w:top w:val="single" w:sz="12" w:space="0" w:color="auto"/>
              <w:left w:val="nil"/>
              <w:bottom w:val="single" w:sz="12" w:space="0" w:color="auto"/>
              <w:right w:val="single" w:sz="8" w:space="0" w:color="auto"/>
            </w:tcBorders>
            <w:shd w:val="clear" w:color="000000" w:fill="FFFFFF"/>
            <w:noWrap/>
            <w:vAlign w:val="center"/>
            <w:hideMark/>
          </w:tcPr>
          <w:p w14:paraId="406BAEDA" w14:textId="77777777" w:rsidR="000F3BA3" w:rsidRPr="000F3BA3" w:rsidRDefault="000F3BA3" w:rsidP="000F3BA3">
            <w:pPr>
              <w:widowControl/>
              <w:overflowPunct/>
              <w:autoSpaceDE/>
              <w:autoSpaceDN/>
              <w:adjustRightInd/>
              <w:contextualSpacing w:val="0"/>
              <w:jc w:val="center"/>
              <w:rPr>
                <w:b/>
                <w:bCs/>
                <w:color w:val="000000"/>
                <w:kern w:val="0"/>
                <w:szCs w:val="24"/>
              </w:rPr>
            </w:pPr>
            <w:r w:rsidRPr="000F3BA3">
              <w:rPr>
                <w:b/>
                <w:bCs/>
                <w:color w:val="000000"/>
                <w:kern w:val="0"/>
                <w:szCs w:val="24"/>
              </w:rPr>
              <w:t>R-squared</w:t>
            </w:r>
          </w:p>
        </w:tc>
        <w:tc>
          <w:tcPr>
            <w:tcW w:w="1273" w:type="dxa"/>
            <w:tcBorders>
              <w:top w:val="single" w:sz="12" w:space="0" w:color="auto"/>
              <w:left w:val="nil"/>
              <w:bottom w:val="single" w:sz="12" w:space="0" w:color="auto"/>
              <w:right w:val="single" w:sz="8" w:space="0" w:color="auto"/>
            </w:tcBorders>
            <w:shd w:val="clear" w:color="000000" w:fill="FFFFFF"/>
            <w:noWrap/>
            <w:vAlign w:val="center"/>
            <w:hideMark/>
          </w:tcPr>
          <w:p w14:paraId="7E1FC6B8" w14:textId="2249DB02" w:rsidR="000F3BA3" w:rsidRPr="000F3BA3" w:rsidRDefault="000F3BA3" w:rsidP="000F3BA3">
            <w:pPr>
              <w:widowControl/>
              <w:overflowPunct/>
              <w:autoSpaceDE/>
              <w:autoSpaceDN/>
              <w:adjustRightInd/>
              <w:contextualSpacing w:val="0"/>
              <w:jc w:val="center"/>
              <w:rPr>
                <w:b/>
                <w:bCs/>
                <w:color w:val="000000"/>
                <w:kern w:val="0"/>
                <w:szCs w:val="24"/>
              </w:rPr>
            </w:pPr>
            <w:r w:rsidRPr="000F3BA3">
              <w:rPr>
                <w:b/>
                <w:bCs/>
                <w:color w:val="000000"/>
                <w:kern w:val="0"/>
                <w:szCs w:val="24"/>
              </w:rPr>
              <w:t>F-</w:t>
            </w:r>
            <w:r w:rsidR="0084110D" w:rsidRPr="000F3BA3">
              <w:rPr>
                <w:b/>
                <w:bCs/>
                <w:color w:val="000000"/>
                <w:kern w:val="0"/>
                <w:szCs w:val="24"/>
              </w:rPr>
              <w:t>statistic</w:t>
            </w:r>
          </w:p>
        </w:tc>
        <w:tc>
          <w:tcPr>
            <w:tcW w:w="1517" w:type="dxa"/>
            <w:tcBorders>
              <w:top w:val="single" w:sz="12" w:space="0" w:color="auto"/>
              <w:left w:val="nil"/>
              <w:bottom w:val="single" w:sz="12" w:space="0" w:color="auto"/>
              <w:right w:val="single" w:sz="12" w:space="0" w:color="000000"/>
            </w:tcBorders>
            <w:shd w:val="clear" w:color="000000" w:fill="FFFFFF"/>
            <w:noWrap/>
            <w:vAlign w:val="center"/>
            <w:hideMark/>
          </w:tcPr>
          <w:p w14:paraId="241785C5" w14:textId="77777777" w:rsidR="000F3BA3" w:rsidRPr="000F3BA3" w:rsidRDefault="000F3BA3" w:rsidP="000F3BA3">
            <w:pPr>
              <w:widowControl/>
              <w:overflowPunct/>
              <w:autoSpaceDE/>
              <w:autoSpaceDN/>
              <w:adjustRightInd/>
              <w:contextualSpacing w:val="0"/>
              <w:jc w:val="center"/>
              <w:rPr>
                <w:b/>
                <w:bCs/>
                <w:color w:val="000000"/>
                <w:kern w:val="0"/>
                <w:szCs w:val="24"/>
              </w:rPr>
            </w:pPr>
            <w:r w:rsidRPr="000F3BA3">
              <w:rPr>
                <w:b/>
                <w:bCs/>
                <w:color w:val="000000"/>
                <w:kern w:val="0"/>
                <w:szCs w:val="24"/>
              </w:rPr>
              <w:t>P-value</w:t>
            </w:r>
          </w:p>
        </w:tc>
        <w:tc>
          <w:tcPr>
            <w:tcW w:w="1643" w:type="dxa"/>
            <w:tcBorders>
              <w:top w:val="single" w:sz="12" w:space="0" w:color="auto"/>
              <w:left w:val="nil"/>
              <w:bottom w:val="single" w:sz="12" w:space="0" w:color="auto"/>
              <w:right w:val="single" w:sz="8" w:space="0" w:color="auto"/>
            </w:tcBorders>
            <w:shd w:val="clear" w:color="000000" w:fill="FFFFFF"/>
            <w:vAlign w:val="center"/>
            <w:hideMark/>
          </w:tcPr>
          <w:p w14:paraId="35739309" w14:textId="77777777" w:rsidR="000F3BA3" w:rsidRPr="000F3BA3" w:rsidRDefault="000F3BA3" w:rsidP="000F3BA3">
            <w:pPr>
              <w:widowControl/>
              <w:overflowPunct/>
              <w:autoSpaceDE/>
              <w:autoSpaceDN/>
              <w:adjustRightInd/>
              <w:contextualSpacing w:val="0"/>
              <w:jc w:val="center"/>
              <w:rPr>
                <w:b/>
                <w:bCs/>
                <w:color w:val="000000"/>
                <w:kern w:val="0"/>
                <w:szCs w:val="24"/>
              </w:rPr>
            </w:pPr>
            <w:r w:rsidRPr="000F3BA3">
              <w:rPr>
                <w:b/>
                <w:bCs/>
                <w:color w:val="000000"/>
                <w:kern w:val="0"/>
                <w:szCs w:val="24"/>
              </w:rPr>
              <w:t>Frugivory Level Comparisons</w:t>
            </w:r>
          </w:p>
        </w:tc>
        <w:tc>
          <w:tcPr>
            <w:tcW w:w="1312" w:type="dxa"/>
            <w:tcBorders>
              <w:top w:val="single" w:sz="12" w:space="0" w:color="auto"/>
              <w:left w:val="nil"/>
              <w:bottom w:val="single" w:sz="12" w:space="0" w:color="auto"/>
              <w:right w:val="single" w:sz="8" w:space="0" w:color="auto"/>
            </w:tcBorders>
            <w:shd w:val="clear" w:color="000000" w:fill="FFFFFF"/>
            <w:noWrap/>
            <w:vAlign w:val="center"/>
            <w:hideMark/>
          </w:tcPr>
          <w:p w14:paraId="2DDC8A26" w14:textId="77777777" w:rsidR="000F3BA3" w:rsidRPr="000F3BA3" w:rsidRDefault="000F3BA3" w:rsidP="000F3BA3">
            <w:pPr>
              <w:widowControl/>
              <w:overflowPunct/>
              <w:autoSpaceDE/>
              <w:autoSpaceDN/>
              <w:adjustRightInd/>
              <w:contextualSpacing w:val="0"/>
              <w:jc w:val="center"/>
              <w:rPr>
                <w:b/>
                <w:bCs/>
                <w:color w:val="000000"/>
                <w:kern w:val="0"/>
                <w:szCs w:val="24"/>
              </w:rPr>
            </w:pPr>
            <w:r w:rsidRPr="000F3BA3">
              <w:rPr>
                <w:b/>
                <w:bCs/>
                <w:color w:val="000000"/>
                <w:kern w:val="0"/>
                <w:szCs w:val="24"/>
              </w:rPr>
              <w:t>Difference</w:t>
            </w:r>
          </w:p>
        </w:tc>
        <w:tc>
          <w:tcPr>
            <w:tcW w:w="990" w:type="dxa"/>
            <w:tcBorders>
              <w:top w:val="single" w:sz="12" w:space="0" w:color="auto"/>
              <w:left w:val="nil"/>
              <w:bottom w:val="single" w:sz="12" w:space="0" w:color="auto"/>
              <w:right w:val="single" w:sz="8" w:space="0" w:color="auto"/>
            </w:tcBorders>
            <w:shd w:val="clear" w:color="000000" w:fill="FFFFFF"/>
            <w:vAlign w:val="center"/>
            <w:hideMark/>
          </w:tcPr>
          <w:p w14:paraId="00ACB165" w14:textId="77777777" w:rsidR="000F3BA3" w:rsidRPr="000F3BA3" w:rsidRDefault="000F3BA3" w:rsidP="000F3BA3">
            <w:pPr>
              <w:widowControl/>
              <w:overflowPunct/>
              <w:autoSpaceDE/>
              <w:autoSpaceDN/>
              <w:adjustRightInd/>
              <w:contextualSpacing w:val="0"/>
              <w:jc w:val="center"/>
              <w:rPr>
                <w:b/>
                <w:bCs/>
                <w:color w:val="000000"/>
                <w:kern w:val="0"/>
                <w:szCs w:val="24"/>
              </w:rPr>
            </w:pPr>
            <w:r w:rsidRPr="000F3BA3">
              <w:rPr>
                <w:b/>
                <w:bCs/>
                <w:color w:val="000000"/>
                <w:kern w:val="0"/>
                <w:szCs w:val="24"/>
              </w:rPr>
              <w:t>Lower 95% Conf.</w:t>
            </w:r>
          </w:p>
        </w:tc>
        <w:tc>
          <w:tcPr>
            <w:tcW w:w="990" w:type="dxa"/>
            <w:tcBorders>
              <w:top w:val="single" w:sz="12" w:space="0" w:color="auto"/>
              <w:left w:val="nil"/>
              <w:bottom w:val="single" w:sz="12" w:space="0" w:color="auto"/>
              <w:right w:val="single" w:sz="8" w:space="0" w:color="auto"/>
            </w:tcBorders>
            <w:shd w:val="clear" w:color="000000" w:fill="FFFFFF"/>
            <w:vAlign w:val="center"/>
            <w:hideMark/>
          </w:tcPr>
          <w:p w14:paraId="7C1E1E25" w14:textId="77777777" w:rsidR="000F3BA3" w:rsidRPr="000F3BA3" w:rsidRDefault="000F3BA3" w:rsidP="000F3BA3">
            <w:pPr>
              <w:widowControl/>
              <w:overflowPunct/>
              <w:autoSpaceDE/>
              <w:autoSpaceDN/>
              <w:adjustRightInd/>
              <w:contextualSpacing w:val="0"/>
              <w:jc w:val="center"/>
              <w:rPr>
                <w:b/>
                <w:bCs/>
                <w:color w:val="000000"/>
                <w:kern w:val="0"/>
                <w:szCs w:val="24"/>
              </w:rPr>
            </w:pPr>
            <w:r w:rsidRPr="000F3BA3">
              <w:rPr>
                <w:b/>
                <w:bCs/>
                <w:color w:val="000000"/>
                <w:kern w:val="0"/>
                <w:szCs w:val="24"/>
              </w:rPr>
              <w:t>Upper 95% Conf.</w:t>
            </w:r>
          </w:p>
        </w:tc>
        <w:tc>
          <w:tcPr>
            <w:tcW w:w="1170" w:type="dxa"/>
            <w:tcBorders>
              <w:top w:val="single" w:sz="12" w:space="0" w:color="auto"/>
              <w:left w:val="nil"/>
              <w:bottom w:val="single" w:sz="12" w:space="0" w:color="auto"/>
              <w:right w:val="single" w:sz="12" w:space="0" w:color="000000"/>
            </w:tcBorders>
            <w:shd w:val="clear" w:color="000000" w:fill="FFFFFF"/>
            <w:vAlign w:val="center"/>
            <w:hideMark/>
          </w:tcPr>
          <w:p w14:paraId="2A7762F6" w14:textId="77777777" w:rsidR="000F3BA3" w:rsidRPr="000F3BA3" w:rsidRDefault="000F3BA3" w:rsidP="000F3BA3">
            <w:pPr>
              <w:widowControl/>
              <w:overflowPunct/>
              <w:autoSpaceDE/>
              <w:autoSpaceDN/>
              <w:adjustRightInd/>
              <w:contextualSpacing w:val="0"/>
              <w:jc w:val="center"/>
              <w:rPr>
                <w:b/>
                <w:bCs/>
                <w:color w:val="000000"/>
                <w:kern w:val="0"/>
                <w:szCs w:val="24"/>
              </w:rPr>
            </w:pPr>
            <w:r w:rsidRPr="000F3BA3">
              <w:rPr>
                <w:b/>
                <w:bCs/>
                <w:color w:val="000000"/>
                <w:kern w:val="0"/>
                <w:szCs w:val="24"/>
              </w:rPr>
              <w:t>Adjusted P-value</w:t>
            </w:r>
          </w:p>
        </w:tc>
      </w:tr>
      <w:tr w:rsidR="000F3BA3" w:rsidRPr="000F3BA3" w14:paraId="17205815" w14:textId="77777777" w:rsidTr="0084110D">
        <w:trPr>
          <w:gridAfter w:val="1"/>
          <w:wAfter w:w="6" w:type="dxa"/>
          <w:trHeight w:val="478"/>
        </w:trPr>
        <w:tc>
          <w:tcPr>
            <w:tcW w:w="1432" w:type="dxa"/>
            <w:tcBorders>
              <w:top w:val="nil"/>
              <w:left w:val="single" w:sz="12" w:space="0" w:color="auto"/>
              <w:bottom w:val="nil"/>
              <w:right w:val="single" w:sz="8" w:space="0" w:color="auto"/>
            </w:tcBorders>
            <w:shd w:val="clear" w:color="000000" w:fill="FFFFFF"/>
            <w:noWrap/>
            <w:vAlign w:val="center"/>
            <w:hideMark/>
          </w:tcPr>
          <w:p w14:paraId="737311CE" w14:textId="77777777" w:rsidR="000F3BA3" w:rsidRPr="000F3BA3" w:rsidRDefault="000F3BA3" w:rsidP="000F3BA3">
            <w:pPr>
              <w:widowControl/>
              <w:overflowPunct/>
              <w:autoSpaceDE/>
              <w:autoSpaceDN/>
              <w:adjustRightInd/>
              <w:contextualSpacing w:val="0"/>
              <w:jc w:val="center"/>
              <w:rPr>
                <w:color w:val="000000"/>
                <w:kern w:val="0"/>
                <w:szCs w:val="24"/>
              </w:rPr>
            </w:pPr>
            <w:r w:rsidRPr="000F3BA3">
              <w:rPr>
                <w:color w:val="000000"/>
                <w:kern w:val="0"/>
                <w:szCs w:val="24"/>
              </w:rPr>
              <w:t>Frugivory Level</w:t>
            </w:r>
          </w:p>
        </w:tc>
        <w:tc>
          <w:tcPr>
            <w:tcW w:w="593" w:type="dxa"/>
            <w:tcBorders>
              <w:top w:val="nil"/>
              <w:left w:val="nil"/>
              <w:bottom w:val="nil"/>
              <w:right w:val="single" w:sz="8" w:space="0" w:color="auto"/>
            </w:tcBorders>
            <w:shd w:val="clear" w:color="000000" w:fill="FFFFFF"/>
            <w:noWrap/>
            <w:vAlign w:val="center"/>
            <w:hideMark/>
          </w:tcPr>
          <w:p w14:paraId="207F1123" w14:textId="77777777" w:rsidR="000F3BA3" w:rsidRPr="000F3BA3" w:rsidRDefault="000F3BA3" w:rsidP="000F3BA3">
            <w:pPr>
              <w:widowControl/>
              <w:overflowPunct/>
              <w:autoSpaceDE/>
              <w:autoSpaceDN/>
              <w:adjustRightInd/>
              <w:contextualSpacing w:val="0"/>
              <w:jc w:val="center"/>
              <w:rPr>
                <w:color w:val="000000"/>
                <w:kern w:val="0"/>
                <w:szCs w:val="24"/>
              </w:rPr>
            </w:pPr>
            <w:r w:rsidRPr="000F3BA3">
              <w:rPr>
                <w:color w:val="000000"/>
                <w:kern w:val="0"/>
                <w:szCs w:val="24"/>
              </w:rPr>
              <w:t>2</w:t>
            </w:r>
          </w:p>
        </w:tc>
        <w:tc>
          <w:tcPr>
            <w:tcW w:w="1110" w:type="dxa"/>
            <w:tcBorders>
              <w:top w:val="nil"/>
              <w:left w:val="nil"/>
              <w:bottom w:val="nil"/>
              <w:right w:val="single" w:sz="8" w:space="0" w:color="auto"/>
            </w:tcBorders>
            <w:shd w:val="clear" w:color="000000" w:fill="FFFFFF"/>
            <w:noWrap/>
            <w:vAlign w:val="center"/>
            <w:hideMark/>
          </w:tcPr>
          <w:p w14:paraId="45C12496" w14:textId="10CD30D0" w:rsidR="000F3BA3" w:rsidRPr="000F3BA3" w:rsidRDefault="005B6C1B" w:rsidP="000F3BA3">
            <w:pPr>
              <w:widowControl/>
              <w:overflowPunct/>
              <w:autoSpaceDE/>
              <w:autoSpaceDN/>
              <w:adjustRightInd/>
              <w:contextualSpacing w:val="0"/>
              <w:jc w:val="center"/>
              <w:rPr>
                <w:color w:val="000000"/>
                <w:kern w:val="0"/>
                <w:szCs w:val="24"/>
              </w:rPr>
            </w:pPr>
            <w:r>
              <w:rPr>
                <w:color w:val="000000"/>
                <w:kern w:val="0"/>
                <w:szCs w:val="24"/>
              </w:rPr>
              <w:t>8.551</w:t>
            </w:r>
          </w:p>
        </w:tc>
        <w:tc>
          <w:tcPr>
            <w:tcW w:w="1080" w:type="dxa"/>
            <w:tcBorders>
              <w:top w:val="nil"/>
              <w:left w:val="nil"/>
              <w:bottom w:val="nil"/>
              <w:right w:val="single" w:sz="8" w:space="0" w:color="auto"/>
            </w:tcBorders>
            <w:shd w:val="clear" w:color="000000" w:fill="FFFFFF"/>
            <w:noWrap/>
            <w:vAlign w:val="center"/>
            <w:hideMark/>
          </w:tcPr>
          <w:p w14:paraId="1DA5632A" w14:textId="0DF5C775" w:rsidR="000F3BA3" w:rsidRPr="000F3BA3" w:rsidRDefault="000F3BA3" w:rsidP="000F3BA3">
            <w:pPr>
              <w:widowControl/>
              <w:overflowPunct/>
              <w:autoSpaceDE/>
              <w:autoSpaceDN/>
              <w:adjustRightInd/>
              <w:contextualSpacing w:val="0"/>
              <w:jc w:val="center"/>
              <w:rPr>
                <w:color w:val="000000"/>
                <w:kern w:val="0"/>
                <w:szCs w:val="24"/>
              </w:rPr>
            </w:pPr>
            <w:r w:rsidRPr="000F3BA3">
              <w:rPr>
                <w:color w:val="000000"/>
                <w:kern w:val="0"/>
                <w:szCs w:val="24"/>
              </w:rPr>
              <w:t>0.</w:t>
            </w:r>
            <w:r w:rsidR="005B6C1B">
              <w:rPr>
                <w:color w:val="000000"/>
                <w:kern w:val="0"/>
                <w:szCs w:val="24"/>
              </w:rPr>
              <w:t>13</w:t>
            </w:r>
            <w:r w:rsidRPr="000F3BA3">
              <w:rPr>
                <w:color w:val="000000"/>
                <w:kern w:val="0"/>
                <w:szCs w:val="24"/>
              </w:rPr>
              <w:t>6</w:t>
            </w:r>
          </w:p>
        </w:tc>
        <w:tc>
          <w:tcPr>
            <w:tcW w:w="1273" w:type="dxa"/>
            <w:tcBorders>
              <w:top w:val="nil"/>
              <w:left w:val="nil"/>
              <w:bottom w:val="nil"/>
              <w:right w:val="single" w:sz="8" w:space="0" w:color="auto"/>
            </w:tcBorders>
            <w:shd w:val="clear" w:color="000000" w:fill="FFFFFF"/>
            <w:noWrap/>
            <w:vAlign w:val="center"/>
            <w:hideMark/>
          </w:tcPr>
          <w:p w14:paraId="6CD9FF79" w14:textId="34D62586" w:rsidR="000F3BA3" w:rsidRPr="000F3BA3" w:rsidRDefault="005B6C1B" w:rsidP="000F3BA3">
            <w:pPr>
              <w:widowControl/>
              <w:overflowPunct/>
              <w:autoSpaceDE/>
              <w:autoSpaceDN/>
              <w:adjustRightInd/>
              <w:contextualSpacing w:val="0"/>
              <w:jc w:val="center"/>
              <w:rPr>
                <w:color w:val="000000"/>
                <w:kern w:val="0"/>
                <w:szCs w:val="24"/>
              </w:rPr>
            </w:pPr>
            <w:r>
              <w:rPr>
                <w:color w:val="000000"/>
                <w:kern w:val="0"/>
                <w:szCs w:val="24"/>
              </w:rPr>
              <w:t>14</w:t>
            </w:r>
            <w:r w:rsidR="000F3BA3" w:rsidRPr="000F3BA3">
              <w:rPr>
                <w:color w:val="000000"/>
                <w:kern w:val="0"/>
                <w:szCs w:val="24"/>
              </w:rPr>
              <w:t>.</w:t>
            </w:r>
            <w:r>
              <w:rPr>
                <w:color w:val="000000"/>
                <w:kern w:val="0"/>
                <w:szCs w:val="24"/>
              </w:rPr>
              <w:t>565</w:t>
            </w:r>
          </w:p>
        </w:tc>
        <w:tc>
          <w:tcPr>
            <w:tcW w:w="1517" w:type="dxa"/>
            <w:tcBorders>
              <w:top w:val="single" w:sz="12" w:space="0" w:color="auto"/>
              <w:left w:val="nil"/>
              <w:bottom w:val="nil"/>
              <w:right w:val="single" w:sz="12" w:space="0" w:color="000000"/>
            </w:tcBorders>
            <w:shd w:val="clear" w:color="000000" w:fill="FFFFFF"/>
            <w:noWrap/>
            <w:vAlign w:val="center"/>
            <w:hideMark/>
          </w:tcPr>
          <w:p w14:paraId="022AAE29" w14:textId="7D8C0751" w:rsidR="000F3BA3" w:rsidRPr="000F3BA3" w:rsidRDefault="005B6C1B" w:rsidP="000F3BA3">
            <w:pPr>
              <w:widowControl/>
              <w:overflowPunct/>
              <w:autoSpaceDE/>
              <w:autoSpaceDN/>
              <w:adjustRightInd/>
              <w:contextualSpacing w:val="0"/>
              <w:jc w:val="center"/>
              <w:rPr>
                <w:color w:val="000000"/>
                <w:kern w:val="0"/>
                <w:szCs w:val="24"/>
              </w:rPr>
            </w:pPr>
            <w:r>
              <w:rPr>
                <w:color w:val="000000"/>
                <w:kern w:val="0"/>
                <w:szCs w:val="24"/>
              </w:rPr>
              <w:t>9</w:t>
            </w:r>
            <w:r w:rsidR="000F3BA3" w:rsidRPr="000F3BA3">
              <w:rPr>
                <w:color w:val="000000"/>
                <w:kern w:val="0"/>
                <w:szCs w:val="24"/>
              </w:rPr>
              <w:t>.</w:t>
            </w:r>
            <w:r>
              <w:rPr>
                <w:color w:val="000000"/>
                <w:kern w:val="0"/>
                <w:szCs w:val="24"/>
              </w:rPr>
              <w:t>99</w:t>
            </w:r>
            <w:r w:rsidR="000F3BA3" w:rsidRPr="000F3BA3">
              <w:rPr>
                <w:color w:val="000000"/>
                <w:kern w:val="0"/>
                <w:szCs w:val="24"/>
              </w:rPr>
              <w:t>E-0</w:t>
            </w:r>
            <w:r>
              <w:rPr>
                <w:color w:val="000000"/>
                <w:kern w:val="0"/>
                <w:szCs w:val="24"/>
              </w:rPr>
              <w:t>5</w:t>
            </w:r>
            <w:r w:rsidR="000F3BA3" w:rsidRPr="000F3BA3">
              <w:rPr>
                <w:color w:val="000000"/>
                <w:kern w:val="0"/>
                <w:szCs w:val="24"/>
              </w:rPr>
              <w:t>***</w:t>
            </w:r>
          </w:p>
        </w:tc>
        <w:tc>
          <w:tcPr>
            <w:tcW w:w="1643" w:type="dxa"/>
            <w:tcBorders>
              <w:top w:val="nil"/>
              <w:left w:val="single" w:sz="12" w:space="0" w:color="auto"/>
              <w:bottom w:val="nil"/>
              <w:right w:val="single" w:sz="8" w:space="0" w:color="auto"/>
            </w:tcBorders>
            <w:shd w:val="clear" w:color="000000" w:fill="FFFFFF"/>
            <w:noWrap/>
            <w:vAlign w:val="center"/>
            <w:hideMark/>
          </w:tcPr>
          <w:p w14:paraId="3A680F45" w14:textId="77777777" w:rsidR="000F3BA3" w:rsidRPr="000F3BA3" w:rsidRDefault="000F3BA3" w:rsidP="000F3BA3">
            <w:pPr>
              <w:widowControl/>
              <w:overflowPunct/>
              <w:autoSpaceDE/>
              <w:autoSpaceDN/>
              <w:adjustRightInd/>
              <w:contextualSpacing w:val="0"/>
              <w:jc w:val="center"/>
              <w:rPr>
                <w:color w:val="000000"/>
                <w:kern w:val="0"/>
                <w:szCs w:val="24"/>
              </w:rPr>
            </w:pPr>
            <w:r w:rsidRPr="000F3BA3">
              <w:rPr>
                <w:color w:val="000000"/>
                <w:kern w:val="0"/>
                <w:szCs w:val="24"/>
              </w:rPr>
              <w:t>No-High</w:t>
            </w:r>
          </w:p>
        </w:tc>
        <w:tc>
          <w:tcPr>
            <w:tcW w:w="1312" w:type="dxa"/>
            <w:tcBorders>
              <w:top w:val="nil"/>
              <w:left w:val="nil"/>
              <w:bottom w:val="nil"/>
              <w:right w:val="single" w:sz="8" w:space="0" w:color="auto"/>
            </w:tcBorders>
            <w:shd w:val="clear" w:color="000000" w:fill="FFFFFF"/>
            <w:noWrap/>
            <w:vAlign w:val="center"/>
            <w:hideMark/>
          </w:tcPr>
          <w:p w14:paraId="451EA2A2" w14:textId="4E1B11C2" w:rsidR="000F3BA3" w:rsidRPr="000F3BA3" w:rsidRDefault="000F3BA3" w:rsidP="000F3BA3">
            <w:pPr>
              <w:widowControl/>
              <w:overflowPunct/>
              <w:autoSpaceDE/>
              <w:autoSpaceDN/>
              <w:adjustRightInd/>
              <w:contextualSpacing w:val="0"/>
              <w:jc w:val="center"/>
              <w:rPr>
                <w:color w:val="000000"/>
                <w:kern w:val="0"/>
                <w:szCs w:val="24"/>
              </w:rPr>
            </w:pPr>
            <w:r w:rsidRPr="000F3BA3">
              <w:rPr>
                <w:color w:val="000000"/>
                <w:kern w:val="0"/>
                <w:szCs w:val="24"/>
              </w:rPr>
              <w:t>0.</w:t>
            </w:r>
            <w:r w:rsidR="00D50221">
              <w:rPr>
                <w:color w:val="000000"/>
                <w:kern w:val="0"/>
                <w:szCs w:val="24"/>
              </w:rPr>
              <w:t>083</w:t>
            </w:r>
          </w:p>
        </w:tc>
        <w:tc>
          <w:tcPr>
            <w:tcW w:w="990" w:type="dxa"/>
            <w:tcBorders>
              <w:top w:val="nil"/>
              <w:left w:val="nil"/>
              <w:bottom w:val="nil"/>
              <w:right w:val="single" w:sz="8" w:space="0" w:color="auto"/>
            </w:tcBorders>
            <w:shd w:val="clear" w:color="000000" w:fill="FFFFFF"/>
            <w:noWrap/>
            <w:vAlign w:val="center"/>
            <w:hideMark/>
          </w:tcPr>
          <w:p w14:paraId="43520628" w14:textId="168FFE1C" w:rsidR="000F3BA3" w:rsidRPr="000F3BA3" w:rsidRDefault="000F3BA3" w:rsidP="000F3BA3">
            <w:pPr>
              <w:widowControl/>
              <w:overflowPunct/>
              <w:autoSpaceDE/>
              <w:autoSpaceDN/>
              <w:adjustRightInd/>
              <w:contextualSpacing w:val="0"/>
              <w:jc w:val="center"/>
              <w:rPr>
                <w:color w:val="000000"/>
                <w:kern w:val="0"/>
                <w:szCs w:val="24"/>
              </w:rPr>
            </w:pPr>
            <w:r w:rsidRPr="000F3BA3">
              <w:rPr>
                <w:color w:val="000000"/>
                <w:kern w:val="0"/>
                <w:szCs w:val="24"/>
              </w:rPr>
              <w:t>0.0</w:t>
            </w:r>
            <w:r w:rsidR="00D50221">
              <w:rPr>
                <w:color w:val="000000"/>
                <w:kern w:val="0"/>
                <w:szCs w:val="24"/>
              </w:rPr>
              <w:t>18</w:t>
            </w:r>
          </w:p>
        </w:tc>
        <w:tc>
          <w:tcPr>
            <w:tcW w:w="990" w:type="dxa"/>
            <w:tcBorders>
              <w:top w:val="nil"/>
              <w:left w:val="nil"/>
              <w:bottom w:val="nil"/>
              <w:right w:val="single" w:sz="8" w:space="0" w:color="auto"/>
            </w:tcBorders>
            <w:shd w:val="clear" w:color="000000" w:fill="FFFFFF"/>
            <w:noWrap/>
            <w:vAlign w:val="center"/>
            <w:hideMark/>
          </w:tcPr>
          <w:p w14:paraId="3CC2F630" w14:textId="66329FD0" w:rsidR="000F3BA3" w:rsidRPr="000F3BA3" w:rsidRDefault="000F3BA3" w:rsidP="000F3BA3">
            <w:pPr>
              <w:widowControl/>
              <w:overflowPunct/>
              <w:autoSpaceDE/>
              <w:autoSpaceDN/>
              <w:adjustRightInd/>
              <w:contextualSpacing w:val="0"/>
              <w:jc w:val="center"/>
              <w:rPr>
                <w:color w:val="000000"/>
                <w:kern w:val="0"/>
                <w:szCs w:val="24"/>
              </w:rPr>
            </w:pPr>
            <w:r w:rsidRPr="000F3BA3">
              <w:rPr>
                <w:color w:val="000000"/>
                <w:kern w:val="0"/>
                <w:szCs w:val="24"/>
              </w:rPr>
              <w:t>0.</w:t>
            </w:r>
            <w:r w:rsidR="00D50221">
              <w:rPr>
                <w:color w:val="000000"/>
                <w:kern w:val="0"/>
                <w:szCs w:val="24"/>
              </w:rPr>
              <w:t>148</w:t>
            </w:r>
          </w:p>
        </w:tc>
        <w:tc>
          <w:tcPr>
            <w:tcW w:w="1170" w:type="dxa"/>
            <w:tcBorders>
              <w:top w:val="single" w:sz="12" w:space="0" w:color="auto"/>
              <w:left w:val="nil"/>
              <w:bottom w:val="nil"/>
              <w:right w:val="single" w:sz="12" w:space="0" w:color="000000"/>
            </w:tcBorders>
            <w:shd w:val="clear" w:color="000000" w:fill="FFFFFF"/>
            <w:noWrap/>
            <w:vAlign w:val="center"/>
            <w:hideMark/>
          </w:tcPr>
          <w:p w14:paraId="1E6B581F" w14:textId="68A9A73C" w:rsidR="000F3BA3" w:rsidRPr="000F3BA3" w:rsidRDefault="000F3BA3" w:rsidP="000F3BA3">
            <w:pPr>
              <w:widowControl/>
              <w:overflowPunct/>
              <w:autoSpaceDE/>
              <w:autoSpaceDN/>
              <w:adjustRightInd/>
              <w:contextualSpacing w:val="0"/>
              <w:jc w:val="center"/>
              <w:rPr>
                <w:color w:val="000000"/>
                <w:kern w:val="0"/>
                <w:szCs w:val="24"/>
              </w:rPr>
            </w:pPr>
            <w:r w:rsidRPr="000F3BA3">
              <w:rPr>
                <w:color w:val="000000"/>
                <w:kern w:val="0"/>
                <w:szCs w:val="24"/>
              </w:rPr>
              <w:t>0.0</w:t>
            </w:r>
            <w:r w:rsidR="00D50221">
              <w:rPr>
                <w:color w:val="000000"/>
                <w:kern w:val="0"/>
                <w:szCs w:val="24"/>
              </w:rPr>
              <w:t>08**</w:t>
            </w:r>
          </w:p>
        </w:tc>
      </w:tr>
      <w:tr w:rsidR="000F3BA3" w:rsidRPr="000F3BA3" w14:paraId="0D4B055A" w14:textId="77777777" w:rsidTr="0084110D">
        <w:trPr>
          <w:gridAfter w:val="1"/>
          <w:wAfter w:w="6" w:type="dxa"/>
          <w:trHeight w:val="469"/>
        </w:trPr>
        <w:tc>
          <w:tcPr>
            <w:tcW w:w="1432" w:type="dxa"/>
            <w:tcBorders>
              <w:top w:val="nil"/>
              <w:left w:val="single" w:sz="12" w:space="0" w:color="auto"/>
              <w:bottom w:val="nil"/>
              <w:right w:val="single" w:sz="8" w:space="0" w:color="auto"/>
            </w:tcBorders>
            <w:shd w:val="clear" w:color="000000" w:fill="FFFFFF"/>
            <w:noWrap/>
            <w:vAlign w:val="center"/>
            <w:hideMark/>
          </w:tcPr>
          <w:p w14:paraId="4EDFE7A8" w14:textId="77777777" w:rsidR="000F3BA3" w:rsidRPr="000F3BA3" w:rsidRDefault="000F3BA3" w:rsidP="000F3BA3">
            <w:pPr>
              <w:widowControl/>
              <w:overflowPunct/>
              <w:autoSpaceDE/>
              <w:autoSpaceDN/>
              <w:adjustRightInd/>
              <w:contextualSpacing w:val="0"/>
              <w:jc w:val="center"/>
              <w:rPr>
                <w:color w:val="000000"/>
                <w:kern w:val="0"/>
                <w:szCs w:val="24"/>
              </w:rPr>
            </w:pPr>
            <w:r w:rsidRPr="000F3BA3">
              <w:rPr>
                <w:color w:val="000000"/>
                <w:kern w:val="0"/>
                <w:szCs w:val="24"/>
              </w:rPr>
              <w:t>Residual</w:t>
            </w:r>
          </w:p>
        </w:tc>
        <w:tc>
          <w:tcPr>
            <w:tcW w:w="593" w:type="dxa"/>
            <w:tcBorders>
              <w:top w:val="nil"/>
              <w:left w:val="nil"/>
              <w:bottom w:val="nil"/>
              <w:right w:val="single" w:sz="8" w:space="0" w:color="auto"/>
            </w:tcBorders>
            <w:shd w:val="clear" w:color="000000" w:fill="FFFFFF"/>
            <w:noWrap/>
            <w:vAlign w:val="center"/>
            <w:hideMark/>
          </w:tcPr>
          <w:p w14:paraId="7EC7038D" w14:textId="6B6F4CC7" w:rsidR="000F3BA3" w:rsidRPr="000F3BA3" w:rsidRDefault="000F3BA3" w:rsidP="000F3BA3">
            <w:pPr>
              <w:widowControl/>
              <w:overflowPunct/>
              <w:autoSpaceDE/>
              <w:autoSpaceDN/>
              <w:adjustRightInd/>
              <w:contextualSpacing w:val="0"/>
              <w:jc w:val="center"/>
              <w:rPr>
                <w:color w:val="000000"/>
                <w:kern w:val="0"/>
                <w:szCs w:val="24"/>
              </w:rPr>
            </w:pPr>
            <w:r w:rsidRPr="000F3BA3">
              <w:rPr>
                <w:color w:val="000000"/>
                <w:kern w:val="0"/>
                <w:szCs w:val="24"/>
              </w:rPr>
              <w:t>18</w:t>
            </w:r>
            <w:r w:rsidR="005B6C1B">
              <w:rPr>
                <w:color w:val="000000"/>
                <w:kern w:val="0"/>
                <w:szCs w:val="24"/>
              </w:rPr>
              <w:t>5</w:t>
            </w:r>
          </w:p>
        </w:tc>
        <w:tc>
          <w:tcPr>
            <w:tcW w:w="1110" w:type="dxa"/>
            <w:tcBorders>
              <w:top w:val="nil"/>
              <w:left w:val="nil"/>
              <w:bottom w:val="nil"/>
              <w:right w:val="single" w:sz="8" w:space="0" w:color="auto"/>
            </w:tcBorders>
            <w:shd w:val="clear" w:color="000000" w:fill="FFFFFF"/>
            <w:noWrap/>
            <w:vAlign w:val="center"/>
            <w:hideMark/>
          </w:tcPr>
          <w:p w14:paraId="33E02B2A" w14:textId="44CA0A57" w:rsidR="000F3BA3" w:rsidRPr="000F3BA3" w:rsidRDefault="005B6C1B" w:rsidP="000F3BA3">
            <w:pPr>
              <w:widowControl/>
              <w:overflowPunct/>
              <w:autoSpaceDE/>
              <w:autoSpaceDN/>
              <w:adjustRightInd/>
              <w:contextualSpacing w:val="0"/>
              <w:jc w:val="center"/>
              <w:rPr>
                <w:color w:val="000000"/>
                <w:kern w:val="0"/>
                <w:szCs w:val="24"/>
              </w:rPr>
            </w:pPr>
            <w:r>
              <w:rPr>
                <w:color w:val="000000"/>
                <w:kern w:val="0"/>
                <w:szCs w:val="24"/>
              </w:rPr>
              <w:t>54</w:t>
            </w:r>
            <w:r w:rsidR="000F3BA3" w:rsidRPr="000F3BA3">
              <w:rPr>
                <w:color w:val="000000"/>
                <w:kern w:val="0"/>
                <w:szCs w:val="24"/>
              </w:rPr>
              <w:t>.</w:t>
            </w:r>
            <w:r>
              <w:rPr>
                <w:color w:val="000000"/>
                <w:kern w:val="0"/>
                <w:szCs w:val="24"/>
              </w:rPr>
              <w:t>309</w:t>
            </w:r>
          </w:p>
        </w:tc>
        <w:tc>
          <w:tcPr>
            <w:tcW w:w="1080" w:type="dxa"/>
            <w:tcBorders>
              <w:top w:val="nil"/>
              <w:left w:val="nil"/>
              <w:bottom w:val="nil"/>
              <w:right w:val="single" w:sz="8" w:space="0" w:color="auto"/>
            </w:tcBorders>
            <w:shd w:val="clear" w:color="000000" w:fill="FFFFFF"/>
            <w:noWrap/>
            <w:vAlign w:val="center"/>
            <w:hideMark/>
          </w:tcPr>
          <w:p w14:paraId="39E4B650" w14:textId="7AD32857" w:rsidR="000F3BA3" w:rsidRPr="000F3BA3" w:rsidRDefault="000F3BA3" w:rsidP="000F3BA3">
            <w:pPr>
              <w:widowControl/>
              <w:overflowPunct/>
              <w:autoSpaceDE/>
              <w:autoSpaceDN/>
              <w:adjustRightInd/>
              <w:contextualSpacing w:val="0"/>
              <w:jc w:val="center"/>
              <w:rPr>
                <w:color w:val="000000"/>
                <w:kern w:val="0"/>
                <w:szCs w:val="24"/>
              </w:rPr>
            </w:pPr>
            <w:r w:rsidRPr="000F3BA3">
              <w:rPr>
                <w:color w:val="000000"/>
                <w:kern w:val="0"/>
                <w:szCs w:val="24"/>
              </w:rPr>
              <w:t>0.</w:t>
            </w:r>
            <w:r w:rsidR="005B6C1B">
              <w:rPr>
                <w:color w:val="000000"/>
                <w:kern w:val="0"/>
                <w:szCs w:val="24"/>
              </w:rPr>
              <w:t>864</w:t>
            </w:r>
          </w:p>
        </w:tc>
        <w:tc>
          <w:tcPr>
            <w:tcW w:w="1273" w:type="dxa"/>
            <w:tcBorders>
              <w:top w:val="nil"/>
              <w:left w:val="nil"/>
              <w:bottom w:val="nil"/>
              <w:right w:val="single" w:sz="8" w:space="0" w:color="auto"/>
            </w:tcBorders>
            <w:shd w:val="clear" w:color="000000" w:fill="FFFFFF"/>
            <w:noWrap/>
            <w:vAlign w:val="center"/>
            <w:hideMark/>
          </w:tcPr>
          <w:p w14:paraId="1632DC8D" w14:textId="1C9DC3E3" w:rsidR="000F3BA3" w:rsidRPr="000F3BA3" w:rsidRDefault="000F3BA3" w:rsidP="000F3BA3">
            <w:pPr>
              <w:widowControl/>
              <w:overflowPunct/>
              <w:autoSpaceDE/>
              <w:autoSpaceDN/>
              <w:adjustRightInd/>
              <w:contextualSpacing w:val="0"/>
              <w:jc w:val="center"/>
              <w:rPr>
                <w:color w:val="000000"/>
                <w:kern w:val="0"/>
                <w:szCs w:val="24"/>
              </w:rPr>
            </w:pPr>
          </w:p>
        </w:tc>
        <w:tc>
          <w:tcPr>
            <w:tcW w:w="1517" w:type="dxa"/>
            <w:vMerge w:val="restart"/>
            <w:tcBorders>
              <w:top w:val="nil"/>
              <w:left w:val="single" w:sz="8" w:space="0" w:color="auto"/>
              <w:bottom w:val="single" w:sz="12" w:space="0" w:color="000000"/>
              <w:right w:val="single" w:sz="12" w:space="0" w:color="auto"/>
            </w:tcBorders>
            <w:shd w:val="clear" w:color="000000" w:fill="FFFFFF"/>
            <w:noWrap/>
            <w:vAlign w:val="center"/>
            <w:hideMark/>
          </w:tcPr>
          <w:p w14:paraId="3843DD9F" w14:textId="6B709F46" w:rsidR="000F3BA3" w:rsidRPr="000F3BA3" w:rsidRDefault="000F3BA3" w:rsidP="000F3BA3">
            <w:pPr>
              <w:widowControl/>
              <w:overflowPunct/>
              <w:autoSpaceDE/>
              <w:autoSpaceDN/>
              <w:adjustRightInd/>
              <w:contextualSpacing w:val="0"/>
              <w:jc w:val="center"/>
              <w:rPr>
                <w:color w:val="000000"/>
                <w:kern w:val="0"/>
                <w:szCs w:val="24"/>
              </w:rPr>
            </w:pPr>
          </w:p>
        </w:tc>
        <w:tc>
          <w:tcPr>
            <w:tcW w:w="1643" w:type="dxa"/>
            <w:tcBorders>
              <w:top w:val="nil"/>
              <w:left w:val="single" w:sz="12" w:space="0" w:color="auto"/>
              <w:bottom w:val="nil"/>
              <w:right w:val="single" w:sz="8" w:space="0" w:color="auto"/>
            </w:tcBorders>
            <w:shd w:val="clear" w:color="000000" w:fill="FFFFFF"/>
            <w:noWrap/>
            <w:vAlign w:val="center"/>
            <w:hideMark/>
          </w:tcPr>
          <w:p w14:paraId="1E99F2C8" w14:textId="77777777" w:rsidR="000F3BA3" w:rsidRPr="000F3BA3" w:rsidRDefault="000F3BA3" w:rsidP="000F3BA3">
            <w:pPr>
              <w:widowControl/>
              <w:overflowPunct/>
              <w:autoSpaceDE/>
              <w:autoSpaceDN/>
              <w:adjustRightInd/>
              <w:contextualSpacing w:val="0"/>
              <w:jc w:val="center"/>
              <w:rPr>
                <w:color w:val="000000"/>
                <w:kern w:val="0"/>
                <w:szCs w:val="24"/>
              </w:rPr>
            </w:pPr>
            <w:r w:rsidRPr="000F3BA3">
              <w:rPr>
                <w:color w:val="000000"/>
                <w:kern w:val="0"/>
                <w:szCs w:val="24"/>
              </w:rPr>
              <w:t>Low-High</w:t>
            </w:r>
          </w:p>
        </w:tc>
        <w:tc>
          <w:tcPr>
            <w:tcW w:w="1312" w:type="dxa"/>
            <w:tcBorders>
              <w:top w:val="nil"/>
              <w:left w:val="nil"/>
              <w:bottom w:val="nil"/>
              <w:right w:val="single" w:sz="8" w:space="0" w:color="auto"/>
            </w:tcBorders>
            <w:shd w:val="clear" w:color="000000" w:fill="FFFFFF"/>
            <w:noWrap/>
            <w:vAlign w:val="center"/>
            <w:hideMark/>
          </w:tcPr>
          <w:p w14:paraId="1303AA37" w14:textId="2F7F71BB" w:rsidR="000F3BA3" w:rsidRPr="000F3BA3" w:rsidRDefault="000F3BA3" w:rsidP="000F3BA3">
            <w:pPr>
              <w:widowControl/>
              <w:overflowPunct/>
              <w:autoSpaceDE/>
              <w:autoSpaceDN/>
              <w:adjustRightInd/>
              <w:contextualSpacing w:val="0"/>
              <w:jc w:val="center"/>
              <w:rPr>
                <w:color w:val="000000"/>
                <w:kern w:val="0"/>
                <w:szCs w:val="24"/>
              </w:rPr>
            </w:pPr>
            <w:r w:rsidRPr="000F3BA3">
              <w:rPr>
                <w:color w:val="000000"/>
                <w:kern w:val="0"/>
                <w:szCs w:val="24"/>
              </w:rPr>
              <w:t>0.</w:t>
            </w:r>
            <w:r w:rsidR="00D50221">
              <w:rPr>
                <w:color w:val="000000"/>
                <w:kern w:val="0"/>
                <w:szCs w:val="24"/>
              </w:rPr>
              <w:t>0</w:t>
            </w:r>
            <w:r w:rsidR="005B6C1B">
              <w:rPr>
                <w:color w:val="000000"/>
                <w:kern w:val="0"/>
                <w:szCs w:val="24"/>
              </w:rPr>
              <w:t>98</w:t>
            </w:r>
          </w:p>
        </w:tc>
        <w:tc>
          <w:tcPr>
            <w:tcW w:w="990" w:type="dxa"/>
            <w:tcBorders>
              <w:top w:val="nil"/>
              <w:left w:val="nil"/>
              <w:bottom w:val="nil"/>
              <w:right w:val="single" w:sz="8" w:space="0" w:color="auto"/>
            </w:tcBorders>
            <w:shd w:val="clear" w:color="000000" w:fill="FFFFFF"/>
            <w:noWrap/>
            <w:vAlign w:val="center"/>
            <w:hideMark/>
          </w:tcPr>
          <w:p w14:paraId="0EA5C55E" w14:textId="7FE4D25D" w:rsidR="000F3BA3" w:rsidRPr="000F3BA3" w:rsidRDefault="000F3BA3" w:rsidP="000F3BA3">
            <w:pPr>
              <w:widowControl/>
              <w:overflowPunct/>
              <w:autoSpaceDE/>
              <w:autoSpaceDN/>
              <w:adjustRightInd/>
              <w:contextualSpacing w:val="0"/>
              <w:jc w:val="center"/>
              <w:rPr>
                <w:color w:val="000000"/>
                <w:kern w:val="0"/>
                <w:szCs w:val="24"/>
              </w:rPr>
            </w:pPr>
            <w:r w:rsidRPr="000F3BA3">
              <w:rPr>
                <w:color w:val="000000"/>
                <w:kern w:val="0"/>
                <w:szCs w:val="24"/>
              </w:rPr>
              <w:t>0.0</w:t>
            </w:r>
            <w:r w:rsidR="00D50221">
              <w:rPr>
                <w:color w:val="000000"/>
                <w:kern w:val="0"/>
                <w:szCs w:val="24"/>
              </w:rPr>
              <w:t>10</w:t>
            </w:r>
          </w:p>
        </w:tc>
        <w:tc>
          <w:tcPr>
            <w:tcW w:w="990" w:type="dxa"/>
            <w:tcBorders>
              <w:top w:val="nil"/>
              <w:left w:val="nil"/>
              <w:bottom w:val="nil"/>
              <w:right w:val="single" w:sz="8" w:space="0" w:color="auto"/>
            </w:tcBorders>
            <w:shd w:val="clear" w:color="000000" w:fill="FFFFFF"/>
            <w:noWrap/>
            <w:vAlign w:val="center"/>
            <w:hideMark/>
          </w:tcPr>
          <w:p w14:paraId="08916245" w14:textId="60BCCF1B" w:rsidR="000F3BA3" w:rsidRPr="000F3BA3" w:rsidRDefault="000F3BA3" w:rsidP="000F3BA3">
            <w:pPr>
              <w:widowControl/>
              <w:overflowPunct/>
              <w:autoSpaceDE/>
              <w:autoSpaceDN/>
              <w:adjustRightInd/>
              <w:contextualSpacing w:val="0"/>
              <w:jc w:val="center"/>
              <w:rPr>
                <w:color w:val="000000"/>
                <w:kern w:val="0"/>
                <w:szCs w:val="24"/>
              </w:rPr>
            </w:pPr>
            <w:r w:rsidRPr="000F3BA3">
              <w:rPr>
                <w:color w:val="000000"/>
                <w:kern w:val="0"/>
                <w:szCs w:val="24"/>
              </w:rPr>
              <w:t>0.</w:t>
            </w:r>
            <w:r w:rsidR="00D50221">
              <w:rPr>
                <w:color w:val="000000"/>
                <w:kern w:val="0"/>
                <w:szCs w:val="24"/>
              </w:rPr>
              <w:t>187</w:t>
            </w:r>
          </w:p>
        </w:tc>
        <w:tc>
          <w:tcPr>
            <w:tcW w:w="1170" w:type="dxa"/>
            <w:tcBorders>
              <w:top w:val="nil"/>
              <w:left w:val="nil"/>
              <w:bottom w:val="nil"/>
              <w:right w:val="single" w:sz="12" w:space="0" w:color="000000"/>
            </w:tcBorders>
            <w:shd w:val="clear" w:color="000000" w:fill="FFFFFF"/>
            <w:noWrap/>
            <w:vAlign w:val="center"/>
            <w:hideMark/>
          </w:tcPr>
          <w:p w14:paraId="4C73B09B" w14:textId="20B834B3" w:rsidR="000F3BA3" w:rsidRPr="000F3BA3" w:rsidRDefault="000F3BA3" w:rsidP="000F3BA3">
            <w:pPr>
              <w:widowControl/>
              <w:overflowPunct/>
              <w:autoSpaceDE/>
              <w:autoSpaceDN/>
              <w:adjustRightInd/>
              <w:contextualSpacing w:val="0"/>
              <w:jc w:val="center"/>
              <w:rPr>
                <w:color w:val="000000"/>
                <w:kern w:val="0"/>
                <w:szCs w:val="24"/>
              </w:rPr>
            </w:pPr>
            <w:r w:rsidRPr="000F3BA3">
              <w:rPr>
                <w:color w:val="000000"/>
                <w:kern w:val="0"/>
                <w:szCs w:val="24"/>
              </w:rPr>
              <w:t>0.0</w:t>
            </w:r>
            <w:r w:rsidR="00D50221">
              <w:rPr>
                <w:color w:val="000000"/>
                <w:kern w:val="0"/>
                <w:szCs w:val="24"/>
              </w:rPr>
              <w:t>25</w:t>
            </w:r>
            <w:r w:rsidRPr="000F3BA3">
              <w:rPr>
                <w:color w:val="000000"/>
                <w:kern w:val="0"/>
                <w:szCs w:val="24"/>
              </w:rPr>
              <w:t>*</w:t>
            </w:r>
          </w:p>
        </w:tc>
      </w:tr>
      <w:tr w:rsidR="000F3BA3" w:rsidRPr="000F3BA3" w14:paraId="501DB41A" w14:textId="77777777" w:rsidTr="0084110D">
        <w:trPr>
          <w:gridAfter w:val="1"/>
          <w:wAfter w:w="6" w:type="dxa"/>
          <w:trHeight w:val="478"/>
        </w:trPr>
        <w:tc>
          <w:tcPr>
            <w:tcW w:w="1432" w:type="dxa"/>
            <w:tcBorders>
              <w:top w:val="nil"/>
              <w:left w:val="single" w:sz="12" w:space="0" w:color="auto"/>
              <w:bottom w:val="single" w:sz="12" w:space="0" w:color="auto"/>
              <w:right w:val="single" w:sz="8" w:space="0" w:color="auto"/>
            </w:tcBorders>
            <w:shd w:val="clear" w:color="000000" w:fill="FFFFFF"/>
            <w:noWrap/>
            <w:vAlign w:val="center"/>
            <w:hideMark/>
          </w:tcPr>
          <w:p w14:paraId="1218F569" w14:textId="77777777" w:rsidR="000F3BA3" w:rsidRPr="000F3BA3" w:rsidRDefault="000F3BA3" w:rsidP="000F3BA3">
            <w:pPr>
              <w:widowControl/>
              <w:overflowPunct/>
              <w:autoSpaceDE/>
              <w:autoSpaceDN/>
              <w:adjustRightInd/>
              <w:contextualSpacing w:val="0"/>
              <w:jc w:val="center"/>
              <w:rPr>
                <w:color w:val="000000"/>
                <w:kern w:val="0"/>
                <w:szCs w:val="24"/>
              </w:rPr>
            </w:pPr>
            <w:r w:rsidRPr="000F3BA3">
              <w:rPr>
                <w:color w:val="000000"/>
                <w:kern w:val="0"/>
                <w:szCs w:val="24"/>
              </w:rPr>
              <w:t>Total</w:t>
            </w:r>
          </w:p>
        </w:tc>
        <w:tc>
          <w:tcPr>
            <w:tcW w:w="593" w:type="dxa"/>
            <w:tcBorders>
              <w:top w:val="nil"/>
              <w:left w:val="nil"/>
              <w:bottom w:val="single" w:sz="12" w:space="0" w:color="auto"/>
              <w:right w:val="single" w:sz="8" w:space="0" w:color="auto"/>
            </w:tcBorders>
            <w:shd w:val="clear" w:color="000000" w:fill="FFFFFF"/>
            <w:noWrap/>
            <w:vAlign w:val="center"/>
            <w:hideMark/>
          </w:tcPr>
          <w:p w14:paraId="628B7AF5" w14:textId="099BC676" w:rsidR="000F3BA3" w:rsidRPr="000F3BA3" w:rsidRDefault="000F3BA3" w:rsidP="000F3BA3">
            <w:pPr>
              <w:widowControl/>
              <w:overflowPunct/>
              <w:autoSpaceDE/>
              <w:autoSpaceDN/>
              <w:adjustRightInd/>
              <w:contextualSpacing w:val="0"/>
              <w:jc w:val="center"/>
              <w:rPr>
                <w:color w:val="000000"/>
                <w:kern w:val="0"/>
                <w:szCs w:val="24"/>
              </w:rPr>
            </w:pPr>
            <w:r w:rsidRPr="000F3BA3">
              <w:rPr>
                <w:color w:val="000000"/>
                <w:kern w:val="0"/>
                <w:szCs w:val="24"/>
              </w:rPr>
              <w:t>18</w:t>
            </w:r>
            <w:r w:rsidR="005B6C1B">
              <w:rPr>
                <w:color w:val="000000"/>
                <w:kern w:val="0"/>
                <w:szCs w:val="24"/>
              </w:rPr>
              <w:t>7</w:t>
            </w:r>
          </w:p>
        </w:tc>
        <w:tc>
          <w:tcPr>
            <w:tcW w:w="1110" w:type="dxa"/>
            <w:tcBorders>
              <w:top w:val="nil"/>
              <w:left w:val="nil"/>
              <w:bottom w:val="single" w:sz="12" w:space="0" w:color="auto"/>
              <w:right w:val="single" w:sz="8" w:space="0" w:color="auto"/>
            </w:tcBorders>
            <w:shd w:val="clear" w:color="000000" w:fill="FFFFFF"/>
            <w:noWrap/>
            <w:vAlign w:val="center"/>
            <w:hideMark/>
          </w:tcPr>
          <w:p w14:paraId="1BF90397" w14:textId="1366B26E" w:rsidR="000F3BA3" w:rsidRPr="000F3BA3" w:rsidRDefault="005B6C1B" w:rsidP="000F3BA3">
            <w:pPr>
              <w:widowControl/>
              <w:overflowPunct/>
              <w:autoSpaceDE/>
              <w:autoSpaceDN/>
              <w:adjustRightInd/>
              <w:contextualSpacing w:val="0"/>
              <w:jc w:val="center"/>
              <w:rPr>
                <w:color w:val="000000"/>
                <w:kern w:val="0"/>
                <w:szCs w:val="24"/>
              </w:rPr>
            </w:pPr>
            <w:r>
              <w:rPr>
                <w:color w:val="000000"/>
                <w:kern w:val="0"/>
                <w:szCs w:val="24"/>
              </w:rPr>
              <w:t>62</w:t>
            </w:r>
            <w:r w:rsidR="000F3BA3" w:rsidRPr="000F3BA3">
              <w:rPr>
                <w:color w:val="000000"/>
                <w:kern w:val="0"/>
                <w:szCs w:val="24"/>
              </w:rPr>
              <w:t>.</w:t>
            </w:r>
            <w:r>
              <w:rPr>
                <w:color w:val="000000"/>
                <w:kern w:val="0"/>
                <w:szCs w:val="24"/>
              </w:rPr>
              <w:t>860</w:t>
            </w:r>
          </w:p>
        </w:tc>
        <w:tc>
          <w:tcPr>
            <w:tcW w:w="1080" w:type="dxa"/>
            <w:tcBorders>
              <w:top w:val="nil"/>
              <w:left w:val="nil"/>
              <w:bottom w:val="single" w:sz="12" w:space="0" w:color="auto"/>
              <w:right w:val="single" w:sz="8" w:space="0" w:color="auto"/>
            </w:tcBorders>
            <w:shd w:val="clear" w:color="000000" w:fill="FFFFFF"/>
            <w:noWrap/>
            <w:vAlign w:val="center"/>
            <w:hideMark/>
          </w:tcPr>
          <w:p w14:paraId="3B0B71A0" w14:textId="77777777" w:rsidR="000F3BA3" w:rsidRPr="000F3BA3" w:rsidRDefault="000F3BA3" w:rsidP="000F3BA3">
            <w:pPr>
              <w:widowControl/>
              <w:overflowPunct/>
              <w:autoSpaceDE/>
              <w:autoSpaceDN/>
              <w:adjustRightInd/>
              <w:contextualSpacing w:val="0"/>
              <w:jc w:val="center"/>
              <w:rPr>
                <w:color w:val="000000"/>
                <w:kern w:val="0"/>
                <w:szCs w:val="24"/>
              </w:rPr>
            </w:pPr>
            <w:r w:rsidRPr="000F3BA3">
              <w:rPr>
                <w:color w:val="000000"/>
                <w:kern w:val="0"/>
                <w:szCs w:val="24"/>
              </w:rPr>
              <w:t>1</w:t>
            </w:r>
          </w:p>
        </w:tc>
        <w:tc>
          <w:tcPr>
            <w:tcW w:w="1273" w:type="dxa"/>
            <w:tcBorders>
              <w:top w:val="nil"/>
              <w:left w:val="nil"/>
              <w:bottom w:val="single" w:sz="12" w:space="0" w:color="auto"/>
              <w:right w:val="single" w:sz="8" w:space="0" w:color="auto"/>
            </w:tcBorders>
            <w:shd w:val="clear" w:color="000000" w:fill="FFFFFF"/>
            <w:noWrap/>
            <w:vAlign w:val="center"/>
            <w:hideMark/>
          </w:tcPr>
          <w:p w14:paraId="4112E2B0" w14:textId="5A9B2907" w:rsidR="000F3BA3" w:rsidRPr="000F3BA3" w:rsidRDefault="000F3BA3" w:rsidP="000F3BA3">
            <w:pPr>
              <w:widowControl/>
              <w:overflowPunct/>
              <w:autoSpaceDE/>
              <w:autoSpaceDN/>
              <w:adjustRightInd/>
              <w:contextualSpacing w:val="0"/>
              <w:jc w:val="center"/>
              <w:rPr>
                <w:color w:val="000000"/>
                <w:kern w:val="0"/>
                <w:szCs w:val="24"/>
              </w:rPr>
            </w:pPr>
          </w:p>
        </w:tc>
        <w:tc>
          <w:tcPr>
            <w:tcW w:w="1517" w:type="dxa"/>
            <w:vMerge/>
            <w:tcBorders>
              <w:top w:val="nil"/>
              <w:left w:val="nil"/>
              <w:bottom w:val="single" w:sz="12" w:space="0" w:color="auto"/>
              <w:right w:val="single" w:sz="12" w:space="0" w:color="auto"/>
            </w:tcBorders>
            <w:vAlign w:val="center"/>
            <w:hideMark/>
          </w:tcPr>
          <w:p w14:paraId="0C8F526E" w14:textId="77777777" w:rsidR="000F3BA3" w:rsidRPr="000F3BA3" w:rsidRDefault="000F3BA3" w:rsidP="000F3BA3">
            <w:pPr>
              <w:widowControl/>
              <w:overflowPunct/>
              <w:autoSpaceDE/>
              <w:autoSpaceDN/>
              <w:adjustRightInd/>
              <w:contextualSpacing w:val="0"/>
              <w:jc w:val="center"/>
              <w:rPr>
                <w:color w:val="000000"/>
                <w:kern w:val="0"/>
                <w:szCs w:val="24"/>
              </w:rPr>
            </w:pPr>
          </w:p>
        </w:tc>
        <w:tc>
          <w:tcPr>
            <w:tcW w:w="1643" w:type="dxa"/>
            <w:tcBorders>
              <w:top w:val="nil"/>
              <w:left w:val="single" w:sz="12" w:space="0" w:color="auto"/>
              <w:bottom w:val="single" w:sz="12" w:space="0" w:color="auto"/>
              <w:right w:val="single" w:sz="8" w:space="0" w:color="auto"/>
            </w:tcBorders>
            <w:shd w:val="clear" w:color="000000" w:fill="FFFFFF"/>
            <w:noWrap/>
            <w:vAlign w:val="center"/>
            <w:hideMark/>
          </w:tcPr>
          <w:p w14:paraId="715A0D4A" w14:textId="77777777" w:rsidR="000F3BA3" w:rsidRPr="000F3BA3" w:rsidRDefault="000F3BA3" w:rsidP="000F3BA3">
            <w:pPr>
              <w:widowControl/>
              <w:overflowPunct/>
              <w:autoSpaceDE/>
              <w:autoSpaceDN/>
              <w:adjustRightInd/>
              <w:contextualSpacing w:val="0"/>
              <w:jc w:val="center"/>
              <w:rPr>
                <w:color w:val="000000"/>
                <w:kern w:val="0"/>
                <w:szCs w:val="24"/>
              </w:rPr>
            </w:pPr>
            <w:r w:rsidRPr="000F3BA3">
              <w:rPr>
                <w:color w:val="000000"/>
                <w:kern w:val="0"/>
                <w:szCs w:val="24"/>
              </w:rPr>
              <w:t>Low-No</w:t>
            </w:r>
          </w:p>
        </w:tc>
        <w:tc>
          <w:tcPr>
            <w:tcW w:w="1312" w:type="dxa"/>
            <w:tcBorders>
              <w:top w:val="nil"/>
              <w:left w:val="nil"/>
              <w:bottom w:val="single" w:sz="12" w:space="0" w:color="auto"/>
              <w:right w:val="single" w:sz="8" w:space="0" w:color="auto"/>
            </w:tcBorders>
            <w:shd w:val="clear" w:color="000000" w:fill="FFFFFF"/>
            <w:noWrap/>
            <w:vAlign w:val="center"/>
            <w:hideMark/>
          </w:tcPr>
          <w:p w14:paraId="26BCCD17" w14:textId="1B0257F3" w:rsidR="000F3BA3" w:rsidRPr="000F3BA3" w:rsidRDefault="000F3BA3" w:rsidP="000F3BA3">
            <w:pPr>
              <w:widowControl/>
              <w:overflowPunct/>
              <w:autoSpaceDE/>
              <w:autoSpaceDN/>
              <w:adjustRightInd/>
              <w:contextualSpacing w:val="0"/>
              <w:jc w:val="center"/>
              <w:rPr>
                <w:color w:val="000000"/>
                <w:kern w:val="0"/>
                <w:szCs w:val="24"/>
              </w:rPr>
            </w:pPr>
            <w:r w:rsidRPr="000F3BA3">
              <w:rPr>
                <w:color w:val="000000"/>
                <w:kern w:val="0"/>
                <w:szCs w:val="24"/>
              </w:rPr>
              <w:t>0.0</w:t>
            </w:r>
            <w:r w:rsidR="00D50221">
              <w:rPr>
                <w:color w:val="000000"/>
                <w:kern w:val="0"/>
                <w:szCs w:val="24"/>
              </w:rPr>
              <w:t>15</w:t>
            </w:r>
          </w:p>
        </w:tc>
        <w:tc>
          <w:tcPr>
            <w:tcW w:w="990" w:type="dxa"/>
            <w:tcBorders>
              <w:top w:val="nil"/>
              <w:left w:val="nil"/>
              <w:bottom w:val="single" w:sz="12" w:space="0" w:color="auto"/>
              <w:right w:val="single" w:sz="8" w:space="0" w:color="auto"/>
            </w:tcBorders>
            <w:shd w:val="clear" w:color="000000" w:fill="FFFFFF"/>
            <w:noWrap/>
            <w:vAlign w:val="center"/>
            <w:hideMark/>
          </w:tcPr>
          <w:p w14:paraId="3414B2EA" w14:textId="7FF4A87D" w:rsidR="000F3BA3" w:rsidRPr="000F3BA3" w:rsidRDefault="000F3BA3" w:rsidP="000F3BA3">
            <w:pPr>
              <w:widowControl/>
              <w:overflowPunct/>
              <w:autoSpaceDE/>
              <w:autoSpaceDN/>
              <w:adjustRightInd/>
              <w:contextualSpacing w:val="0"/>
              <w:jc w:val="center"/>
              <w:rPr>
                <w:color w:val="000000"/>
                <w:kern w:val="0"/>
                <w:szCs w:val="24"/>
              </w:rPr>
            </w:pPr>
            <w:r w:rsidRPr="000F3BA3">
              <w:rPr>
                <w:color w:val="000000"/>
                <w:kern w:val="0"/>
                <w:szCs w:val="24"/>
              </w:rPr>
              <w:t>-0.0</w:t>
            </w:r>
            <w:r w:rsidR="00D50221">
              <w:rPr>
                <w:color w:val="000000"/>
                <w:kern w:val="0"/>
                <w:szCs w:val="24"/>
              </w:rPr>
              <w:t>62</w:t>
            </w:r>
          </w:p>
        </w:tc>
        <w:tc>
          <w:tcPr>
            <w:tcW w:w="990" w:type="dxa"/>
            <w:tcBorders>
              <w:top w:val="nil"/>
              <w:left w:val="nil"/>
              <w:bottom w:val="single" w:sz="12" w:space="0" w:color="auto"/>
              <w:right w:val="single" w:sz="8" w:space="0" w:color="auto"/>
            </w:tcBorders>
            <w:shd w:val="clear" w:color="000000" w:fill="FFFFFF"/>
            <w:noWrap/>
            <w:vAlign w:val="center"/>
            <w:hideMark/>
          </w:tcPr>
          <w:p w14:paraId="19208065" w14:textId="57C8E538" w:rsidR="000F3BA3" w:rsidRPr="000F3BA3" w:rsidRDefault="000F3BA3" w:rsidP="000F3BA3">
            <w:pPr>
              <w:widowControl/>
              <w:overflowPunct/>
              <w:autoSpaceDE/>
              <w:autoSpaceDN/>
              <w:adjustRightInd/>
              <w:contextualSpacing w:val="0"/>
              <w:jc w:val="center"/>
              <w:rPr>
                <w:color w:val="000000"/>
                <w:kern w:val="0"/>
                <w:szCs w:val="24"/>
              </w:rPr>
            </w:pPr>
            <w:r w:rsidRPr="000F3BA3">
              <w:rPr>
                <w:color w:val="000000"/>
                <w:kern w:val="0"/>
                <w:szCs w:val="24"/>
              </w:rPr>
              <w:t>0.</w:t>
            </w:r>
            <w:r w:rsidR="00D50221">
              <w:rPr>
                <w:color w:val="000000"/>
                <w:kern w:val="0"/>
                <w:szCs w:val="24"/>
              </w:rPr>
              <w:t>092</w:t>
            </w:r>
          </w:p>
        </w:tc>
        <w:tc>
          <w:tcPr>
            <w:tcW w:w="1170" w:type="dxa"/>
            <w:tcBorders>
              <w:top w:val="nil"/>
              <w:left w:val="nil"/>
              <w:bottom w:val="single" w:sz="12" w:space="0" w:color="auto"/>
              <w:right w:val="single" w:sz="12" w:space="0" w:color="000000"/>
            </w:tcBorders>
            <w:shd w:val="clear" w:color="000000" w:fill="FFFFFF"/>
            <w:noWrap/>
            <w:vAlign w:val="center"/>
            <w:hideMark/>
          </w:tcPr>
          <w:p w14:paraId="0EEA5DD0" w14:textId="761A05A3" w:rsidR="000F3BA3" w:rsidRPr="000F3BA3" w:rsidRDefault="000F3BA3" w:rsidP="000F3BA3">
            <w:pPr>
              <w:widowControl/>
              <w:overflowPunct/>
              <w:autoSpaceDE/>
              <w:autoSpaceDN/>
              <w:adjustRightInd/>
              <w:contextualSpacing w:val="0"/>
              <w:jc w:val="center"/>
              <w:rPr>
                <w:color w:val="000000"/>
                <w:kern w:val="0"/>
                <w:szCs w:val="24"/>
              </w:rPr>
            </w:pPr>
            <w:r w:rsidRPr="000F3BA3">
              <w:rPr>
                <w:color w:val="000000"/>
                <w:kern w:val="0"/>
                <w:szCs w:val="24"/>
              </w:rPr>
              <w:t>0.</w:t>
            </w:r>
            <w:r w:rsidR="00D50221">
              <w:rPr>
                <w:color w:val="000000"/>
                <w:kern w:val="0"/>
                <w:szCs w:val="24"/>
              </w:rPr>
              <w:t>885</w:t>
            </w:r>
          </w:p>
        </w:tc>
      </w:tr>
      <w:tr w:rsidR="000F3BA3" w:rsidRPr="000F3BA3" w14:paraId="0DEB7720" w14:textId="77777777" w:rsidTr="0084110D">
        <w:trPr>
          <w:trHeight w:val="488"/>
        </w:trPr>
        <w:tc>
          <w:tcPr>
            <w:tcW w:w="13116" w:type="dxa"/>
            <w:gridSpan w:val="12"/>
            <w:tcBorders>
              <w:top w:val="single" w:sz="12" w:space="0" w:color="auto"/>
              <w:left w:val="single" w:sz="12" w:space="0" w:color="auto"/>
              <w:bottom w:val="single" w:sz="12" w:space="0" w:color="auto"/>
              <w:right w:val="single" w:sz="12" w:space="0" w:color="000000"/>
            </w:tcBorders>
            <w:shd w:val="clear" w:color="000000" w:fill="FFFFFF"/>
            <w:noWrap/>
            <w:vAlign w:val="center"/>
            <w:hideMark/>
          </w:tcPr>
          <w:p w14:paraId="1E93247C" w14:textId="067E8D66" w:rsidR="000F3BA3" w:rsidRPr="000F3BA3" w:rsidRDefault="000F3BA3" w:rsidP="000F3BA3">
            <w:pPr>
              <w:widowControl/>
              <w:overflowPunct/>
              <w:autoSpaceDE/>
              <w:autoSpaceDN/>
              <w:adjustRightInd/>
              <w:contextualSpacing w:val="0"/>
              <w:jc w:val="center"/>
              <w:rPr>
                <w:b/>
                <w:bCs/>
                <w:color w:val="000000"/>
                <w:kern w:val="0"/>
                <w:szCs w:val="24"/>
              </w:rPr>
            </w:pPr>
            <w:proofErr w:type="spellStart"/>
            <w:r w:rsidRPr="000F3BA3">
              <w:rPr>
                <w:b/>
                <w:bCs/>
                <w:color w:val="000000"/>
                <w:kern w:val="0"/>
                <w:szCs w:val="24"/>
              </w:rPr>
              <w:t>Signif</w:t>
            </w:r>
            <w:proofErr w:type="spellEnd"/>
            <w:r w:rsidRPr="000F3BA3">
              <w:rPr>
                <w:b/>
                <w:bCs/>
                <w:color w:val="000000"/>
                <w:kern w:val="0"/>
                <w:szCs w:val="24"/>
              </w:rPr>
              <w:t>. codes</w:t>
            </w:r>
            <w:proofErr w:type="gramStart"/>
            <w:r w:rsidRPr="000F3BA3">
              <w:rPr>
                <w:b/>
                <w:bCs/>
                <w:color w:val="000000"/>
                <w:kern w:val="0"/>
                <w:szCs w:val="24"/>
              </w:rPr>
              <w:t>:  0 ‘</w:t>
            </w:r>
            <w:proofErr w:type="gramEnd"/>
            <w:r w:rsidRPr="000F3BA3">
              <w:rPr>
                <w:b/>
                <w:bCs/>
                <w:color w:val="000000"/>
                <w:kern w:val="0"/>
                <w:szCs w:val="24"/>
              </w:rPr>
              <w:t xml:space="preserve">***’ 0.001 ‘**’ 0.01 ‘*’ 0.05 ‘.’ 0.1 </w:t>
            </w:r>
            <w:r w:rsidR="0084110D" w:rsidRPr="000F3BA3">
              <w:rPr>
                <w:b/>
                <w:bCs/>
                <w:color w:val="000000"/>
                <w:kern w:val="0"/>
                <w:szCs w:val="24"/>
              </w:rPr>
              <w:t>‘’</w:t>
            </w:r>
            <w:r w:rsidRPr="000F3BA3">
              <w:rPr>
                <w:b/>
                <w:bCs/>
                <w:color w:val="000000"/>
                <w:kern w:val="0"/>
                <w:szCs w:val="24"/>
              </w:rPr>
              <w:t xml:space="preserve"> 1</w:t>
            </w:r>
          </w:p>
        </w:tc>
      </w:tr>
    </w:tbl>
    <w:p w14:paraId="3F97CC3C" w14:textId="77777777" w:rsidR="000F3BA3" w:rsidRDefault="000F3BA3" w:rsidP="000F3BA3">
      <w:pPr>
        <w:spacing w:before="100" w:beforeAutospacing="1" w:after="100" w:afterAutospacing="1" w:line="480" w:lineRule="auto"/>
        <w:mirrorIndents/>
        <w:rPr>
          <w:rFonts w:eastAsia="Calibri"/>
          <w:b/>
          <w:bCs/>
          <w:shd w:val="clear" w:color="auto" w:fill="FFFFFF"/>
        </w:rPr>
      </w:pPr>
    </w:p>
    <w:p w14:paraId="1FCEE920" w14:textId="3537648D" w:rsidR="000F3BA3" w:rsidRDefault="00876175" w:rsidP="000F3BA3">
      <w:pPr>
        <w:spacing w:before="100" w:beforeAutospacing="1" w:after="100" w:afterAutospacing="1" w:line="480" w:lineRule="auto"/>
        <w:mirrorIndents/>
        <w:rPr>
          <w:rFonts w:eastAsia="Calibri"/>
          <w:shd w:val="clear" w:color="auto" w:fill="FFFFFF"/>
        </w:rPr>
      </w:pPr>
      <w:r w:rsidRPr="00876175">
        <w:rPr>
          <w:rFonts w:eastAsia="Calibri"/>
          <w:b/>
          <w:bCs/>
          <w:shd w:val="clear" w:color="auto" w:fill="FFFFFF"/>
        </w:rPr>
        <w:t xml:space="preserve">Table </w:t>
      </w:r>
      <w:r w:rsidR="00246B60">
        <w:rPr>
          <w:rFonts w:eastAsia="Calibri"/>
          <w:b/>
          <w:bCs/>
          <w:shd w:val="clear" w:color="auto" w:fill="FFFFFF"/>
        </w:rPr>
        <w:t>3</w:t>
      </w:r>
      <w:r w:rsidR="00AA1EB3">
        <w:rPr>
          <w:rFonts w:eastAsia="Calibri"/>
          <w:b/>
          <w:bCs/>
          <w:shd w:val="clear" w:color="auto" w:fill="FFFFFF"/>
        </w:rPr>
        <w:t>.</w:t>
      </w:r>
      <w:r>
        <w:rPr>
          <w:rFonts w:eastAsia="Calibri"/>
          <w:shd w:val="clear" w:color="auto" w:fill="FFFFFF"/>
        </w:rPr>
        <w:t xml:space="preserve"> </w:t>
      </w:r>
      <w:r w:rsidR="008956D8">
        <w:rPr>
          <w:rFonts w:eastAsia="Calibri"/>
          <w:shd w:val="clear" w:color="auto" w:fill="FFFFFF"/>
        </w:rPr>
        <w:t xml:space="preserve">Summary table containing the results of the Permutational Analysis of Variance (PERMANOVA) on the left and the </w:t>
      </w:r>
      <w:r w:rsidR="008956D8" w:rsidRPr="008956D8">
        <w:rPr>
          <w:rFonts w:eastAsia="Calibri"/>
          <w:shd w:val="clear" w:color="auto" w:fill="FFFFFF"/>
        </w:rPr>
        <w:t>multivariate homogeneity of group dispersions analysis (PERMDISP)</w:t>
      </w:r>
      <w:r w:rsidR="008956D8">
        <w:rPr>
          <w:rFonts w:eastAsia="Calibri"/>
          <w:shd w:val="clear" w:color="auto" w:fill="FFFFFF"/>
        </w:rPr>
        <w:t xml:space="preserve"> on the right. The PERMANOVA summary table contains the model parameters, degrees of freedom (</w:t>
      </w:r>
      <w:proofErr w:type="spellStart"/>
      <w:r w:rsidR="008956D8">
        <w:rPr>
          <w:rFonts w:eastAsia="Calibri"/>
          <w:shd w:val="clear" w:color="auto" w:fill="FFFFFF"/>
        </w:rPr>
        <w:t>Df</w:t>
      </w:r>
      <w:proofErr w:type="spellEnd"/>
      <w:r w:rsidR="008956D8">
        <w:rPr>
          <w:rFonts w:eastAsia="Calibri"/>
          <w:shd w:val="clear" w:color="auto" w:fill="FFFFFF"/>
        </w:rPr>
        <w:t>), sum of squares, R-squared, F statistic, and p-value</w:t>
      </w:r>
      <w:r w:rsidR="00F12614">
        <w:rPr>
          <w:rFonts w:eastAsia="Calibri"/>
          <w:shd w:val="clear" w:color="auto" w:fill="FFFFFF"/>
        </w:rPr>
        <w:t xml:space="preserve"> while the PERMDISP table contains the frugivory level comparisons, difference between the groups, lower 95% confidence interval, upper 95% confidence interval, and adjusted p-values.</w:t>
      </w:r>
    </w:p>
    <w:p w14:paraId="793571D9" w14:textId="77777777" w:rsidR="000F3BA3" w:rsidRDefault="000F3BA3" w:rsidP="00A73655">
      <w:pPr>
        <w:spacing w:before="100" w:beforeAutospacing="1" w:after="100" w:afterAutospacing="1" w:line="480" w:lineRule="auto"/>
        <w:mirrorIndents/>
        <w:sectPr w:rsidR="000F3BA3" w:rsidSect="0044638C">
          <w:pgSz w:w="15840" w:h="12240" w:orient="landscape"/>
          <w:pgMar w:top="1440" w:right="1440" w:bottom="1440" w:left="1440" w:header="720" w:footer="720" w:gutter="0"/>
          <w:lnNumType w:countBy="1" w:restart="continuous"/>
          <w:cols w:space="720"/>
          <w:docGrid w:linePitch="360"/>
        </w:sectPr>
      </w:pPr>
    </w:p>
    <w:p w14:paraId="562F89D5" w14:textId="77777777" w:rsidR="0050151F" w:rsidRDefault="00856183" w:rsidP="00670150">
      <w:pPr>
        <w:spacing w:before="100" w:beforeAutospacing="1" w:line="480" w:lineRule="auto"/>
        <w:mirrorIndents/>
        <w:rPr>
          <w:rFonts w:eastAsia="Calibri"/>
          <w:b/>
          <w:bCs/>
          <w:kern w:val="0"/>
          <w:szCs w:val="24"/>
          <w:u w:val="single"/>
        </w:rPr>
      </w:pPr>
      <w:r>
        <w:rPr>
          <w:rFonts w:eastAsia="Calibri"/>
          <w:b/>
          <w:bCs/>
          <w:kern w:val="0"/>
          <w:szCs w:val="24"/>
          <w:u w:val="single"/>
        </w:rPr>
        <w:lastRenderedPageBreak/>
        <w:t>REFERENCES</w:t>
      </w:r>
    </w:p>
    <w:p w14:paraId="763E55EB" w14:textId="77777777" w:rsidR="00DA378D" w:rsidRDefault="002950FE" w:rsidP="00DA378D">
      <w:pPr>
        <w:pStyle w:val="Bibliography"/>
      </w:pPr>
      <w:r>
        <w:rPr>
          <w:rFonts w:eastAsia="Calibri"/>
        </w:rPr>
        <w:fldChar w:fldCharType="begin"/>
      </w:r>
      <w:r w:rsidR="00670150">
        <w:rPr>
          <w:rFonts w:eastAsia="Calibri"/>
        </w:rPr>
        <w:instrText xml:space="preserve"> ADDIN ZOTERO_BIBL {"uncited":[],"omitted":[],"custom":[]} CSL_BIBLIOGRAPHY </w:instrText>
      </w:r>
      <w:r>
        <w:rPr>
          <w:rFonts w:eastAsia="Calibri"/>
        </w:rPr>
        <w:fldChar w:fldCharType="separate"/>
      </w:r>
      <w:r w:rsidR="00DA378D">
        <w:t>Abrahms, B., E. O. Aikens, J. B. Armstrong, W. W. Deacy, M. J. Kauffman, and J. A. Merkle. 2021. Emerging Perspectives on Resource Tracking and Animal Movement Ecology. Trends in Ecology &amp; Evolution 36:308–320.</w:t>
      </w:r>
    </w:p>
    <w:p w14:paraId="507310A1" w14:textId="77777777" w:rsidR="00DA378D" w:rsidRDefault="00DA378D" w:rsidP="00DA378D">
      <w:pPr>
        <w:pStyle w:val="Bibliography"/>
      </w:pPr>
      <w:r>
        <w:t>Araújo, M. S., D. I. Bolnick, and C. A. Layman. 2011. The ecological causes of individual specialisation. Ecology Letters 14:948–958.</w:t>
      </w:r>
    </w:p>
    <w:p w14:paraId="6951DEDB" w14:textId="77777777" w:rsidR="00DA378D" w:rsidRDefault="00DA378D" w:rsidP="00DA378D">
      <w:pPr>
        <w:pStyle w:val="Bibliography"/>
      </w:pPr>
      <w:r>
        <w:t>Ashton, R. E., and P. S. Ashton. 2008. The Natural History and Management of the Gopher Tortoise. Gopherus polyphemus:65–93.</w:t>
      </w:r>
    </w:p>
    <w:p w14:paraId="04DF66C2" w14:textId="77777777" w:rsidR="00DA378D" w:rsidRDefault="00DA378D" w:rsidP="00DA378D">
      <w:pPr>
        <w:pStyle w:val="Bibliography"/>
      </w:pPr>
      <w:r>
        <w:t>Auffenberg, W., and R. Franz. 1982. The status and distribution of the gopher tortoise (Gopherus polyphemus). North American Tortoises: Conservation Ecology:95–126.</w:t>
      </w:r>
    </w:p>
    <w:p w14:paraId="0975C2DF" w14:textId="77777777" w:rsidR="00DA378D" w:rsidRDefault="00DA378D" w:rsidP="00DA378D">
      <w:pPr>
        <w:pStyle w:val="Bibliography"/>
      </w:pPr>
      <w:r>
        <w:t>Bancroft, G. T., R. Bowman, and R. J. Sawicki. 2000. Rainfall, Fruiting Phenology, and the Nesting Season of White-Crowned Pigeons in the Upper Florida Keys. The Auk 117:416–426.</w:t>
      </w:r>
    </w:p>
    <w:p w14:paraId="05C1A6CD" w14:textId="77777777" w:rsidR="00DA378D" w:rsidRDefault="00DA378D" w:rsidP="00DA378D">
      <w:pPr>
        <w:pStyle w:val="Bibliography"/>
      </w:pPr>
      <w:r>
        <w:t>Birkhead, R. D., C. Guyer, S. M. Hermann, and W. K. Michener. 2005. Patterns of folivory and seed ingestion by gopher tortoises (Gopherus polyphemus) in a southeastern pine savanna. American Midland Naturalist 154:143–151.</w:t>
      </w:r>
    </w:p>
    <w:p w14:paraId="7128CC61" w14:textId="77777777" w:rsidR="00DA378D" w:rsidRDefault="00DA378D" w:rsidP="00DA378D">
      <w:pPr>
        <w:pStyle w:val="Bibliography"/>
      </w:pPr>
      <w:r>
        <w:t>Bjorndal, K. A. 1987. Digestive Efficiency in a Temperate Herbivorous Reptile, Gopherus polyphemus. Copeia 1987:714–720.</w:t>
      </w:r>
    </w:p>
    <w:p w14:paraId="45359123" w14:textId="77777777" w:rsidR="00DA378D" w:rsidRDefault="00DA378D" w:rsidP="00DA378D">
      <w:pPr>
        <w:pStyle w:val="Bibliography"/>
      </w:pPr>
      <w:r>
        <w:t>Bolnick, D. I., R. Svanbäck, J. A. Fordyce, L. H. Yang, J. M. Davis, C. D. Hulsey, and M. L. Forister. 2003. The ecology of individuals: incidence and implications of individual specialization. The American Naturalist 161:1–28.</w:t>
      </w:r>
    </w:p>
    <w:p w14:paraId="330DB4C5" w14:textId="77777777" w:rsidR="00DA378D" w:rsidRDefault="00DA378D" w:rsidP="00DA378D">
      <w:pPr>
        <w:pStyle w:val="Bibliography"/>
      </w:pPr>
      <w:r>
        <w:t>Bradley, K. A., and G. D. Gann. 2005. Natural Forest Community Delineation Methods. The Institute for Regional Conservation.</w:t>
      </w:r>
    </w:p>
    <w:p w14:paraId="2FDCC73A" w14:textId="77777777" w:rsidR="00DA378D" w:rsidRDefault="00DA378D" w:rsidP="00DA378D">
      <w:pPr>
        <w:pStyle w:val="Bibliography"/>
      </w:pPr>
      <w:r>
        <w:lastRenderedPageBreak/>
        <w:t>Bronstein, J. L. 2015. Mutualism. Oxford University Press.</w:t>
      </w:r>
    </w:p>
    <w:p w14:paraId="43D3D7DC" w14:textId="77777777" w:rsidR="00DA378D" w:rsidRDefault="00DA378D" w:rsidP="00DA378D">
      <w:pPr>
        <w:pStyle w:val="Bibliography"/>
      </w:pPr>
      <w:r>
        <w:t>Bürkner, P.-C. 2017. brms: An R Package for Bayesian Multilevel Models Using Stan. Journal of Statistical Software 80:1–28.</w:t>
      </w:r>
    </w:p>
    <w:p w14:paraId="310CD9F5" w14:textId="77777777" w:rsidR="00DA378D" w:rsidRDefault="00DA378D" w:rsidP="00DA378D">
      <w:pPr>
        <w:pStyle w:val="Bibliography"/>
      </w:pPr>
      <w:r>
        <w:t>Bürkner, P.-C. 2018. Advanced Bayesian Multilevel Modeling with the R Package brms. R Journal 10:395–411.</w:t>
      </w:r>
    </w:p>
    <w:p w14:paraId="551246F9" w14:textId="77777777" w:rsidR="00DA378D" w:rsidRDefault="00DA378D" w:rsidP="00DA378D">
      <w:pPr>
        <w:pStyle w:val="Bibliography"/>
      </w:pPr>
      <w:r>
        <w:t>Bury, R. B., and D. J. Germano. 1994. Biology of North American tortoises. Report, Washington, D.C.</w:t>
      </w:r>
    </w:p>
    <w:p w14:paraId="3939966C" w14:textId="77777777" w:rsidR="00DA378D" w:rsidRDefault="00DA378D" w:rsidP="00DA378D">
      <w:pPr>
        <w:pStyle w:val="Bibliography"/>
      </w:pPr>
      <w:r>
        <w:t>Carlson, J. E., E. S. Menges, and P. L. Marks. 2003. Seed dispersal by Gopherus polyphemus at Archbold Biological Station, Florida. Florida Scientist 66:147–154.</w:t>
      </w:r>
    </w:p>
    <w:p w14:paraId="714C9083" w14:textId="77777777" w:rsidR="00DA378D" w:rsidRDefault="00DA378D" w:rsidP="00DA378D">
      <w:pPr>
        <w:pStyle w:val="Bibliography"/>
      </w:pPr>
      <w:r>
        <w:t>Carr, A. F. 1940. Contribution to the herpetology of Florida.</w:t>
      </w:r>
    </w:p>
    <w:p w14:paraId="2150E548" w14:textId="77777777" w:rsidR="00DA378D" w:rsidRDefault="00DA378D" w:rsidP="00DA378D">
      <w:pPr>
        <w:pStyle w:val="Bibliography"/>
      </w:pPr>
      <w:r>
        <w:t>Ceballos, C., and J. M. Goessling. 2023. Foraging Ecology of Gopher Tortoises (Gopherus polyphemus) within Boyd Hill Nature Preserve, St. Petersburg, Florida, USA. Herpetological Conservation and Biology 18:182–195.</w:t>
      </w:r>
    </w:p>
    <w:p w14:paraId="3778C004" w14:textId="77777777" w:rsidR="00DA378D" w:rsidRDefault="00DA378D" w:rsidP="00DA378D">
      <w:pPr>
        <w:pStyle w:val="Bibliography"/>
      </w:pPr>
      <w:r>
        <w:t>Chase, J. M., and M. A. Leibold. 2009. Ecological niches. Page Ecological Niches. University of Chicago Press.</w:t>
      </w:r>
    </w:p>
    <w:p w14:paraId="2E6B3085" w14:textId="77777777" w:rsidR="00DA378D" w:rsidRDefault="00DA378D" w:rsidP="00DA378D">
      <w:pPr>
        <w:pStyle w:val="Bibliography"/>
      </w:pPr>
      <w:r>
        <w:t>Diamond, J. M., and J. T. Heinen. 2016. Conserving rare plants in locally-protected urban forest fragments: A case study from Miami-Dade County, Florida. Urban Forestry &amp; Urban Greening 20:1–11.</w:t>
      </w:r>
    </w:p>
    <w:p w14:paraId="61313AB4" w14:textId="77777777" w:rsidR="00DA378D" w:rsidRDefault="00DA378D" w:rsidP="00DA378D">
      <w:pPr>
        <w:pStyle w:val="Bibliography"/>
      </w:pPr>
      <w:r>
        <w:t>Diemer, J. E. 1986. The Ecology and Management of the Gopher Tortoise in the Southeastern United States. Herpetologica 42:125–133.</w:t>
      </w:r>
    </w:p>
    <w:p w14:paraId="38A5E3CF" w14:textId="77777777" w:rsidR="00DA378D" w:rsidRDefault="00DA378D" w:rsidP="00DA378D">
      <w:pPr>
        <w:pStyle w:val="Bibliography"/>
      </w:pPr>
      <w:r>
        <w:t>Dirzo, R., H. S. Young, M. Galetti, G. Ceballos, N. J. B. Isaac, and B. Collen. 2014. Defaunation in the Anthropocene. Science 345:401–406.</w:t>
      </w:r>
    </w:p>
    <w:p w14:paraId="4F213C90" w14:textId="77777777" w:rsidR="00DA378D" w:rsidRDefault="00DA378D" w:rsidP="00DA378D">
      <w:pPr>
        <w:pStyle w:val="Bibliography"/>
      </w:pPr>
      <w:r>
        <w:t xml:space="preserve">Edwards, T., A. Karl, M. Vaughn, P. Rosen, C. Meléndez Torres, and R. Murphy. 2016. The </w:t>
      </w:r>
      <w:r>
        <w:lastRenderedPageBreak/>
        <w:t>desert tortoise trichotomy: Mexico hosts a third, new sister-species of tortoise in the Gopherus morafkai–G. agassizii group. ZooKeys 562:131–158.</w:t>
      </w:r>
    </w:p>
    <w:p w14:paraId="491D3B46" w14:textId="77777777" w:rsidR="00DA378D" w:rsidRDefault="00DA378D" w:rsidP="00DA378D">
      <w:pPr>
        <w:pStyle w:val="Bibliography"/>
      </w:pPr>
      <w:r>
        <w:t>Elton, C. S. 2001. Animal Ecology. Page (M. A. Leibold and T. J. Wootton, Eds.). University of Chicago Press, Chicago, IL.</w:t>
      </w:r>
    </w:p>
    <w:p w14:paraId="0177D9E7" w14:textId="77777777" w:rsidR="00DA378D" w:rsidRDefault="00DA378D" w:rsidP="00DA378D">
      <w:pPr>
        <w:pStyle w:val="Bibliography"/>
      </w:pPr>
      <w:r>
        <w:t>Enge, K. M., M. S. Robson, and K. L. Krysko. 2004. Reptile surveys of pine rockland habitat in six Miami-Dade County parks. Florida Scientist 67:194–204.</w:t>
      </w:r>
    </w:p>
    <w:p w14:paraId="6DEF34DA" w14:textId="77777777" w:rsidR="00DA378D" w:rsidRDefault="00DA378D" w:rsidP="00DA378D">
      <w:pPr>
        <w:pStyle w:val="Bibliography"/>
      </w:pPr>
      <w:r>
        <w:t>Eubanks, J. O., W. K. Michener, and C. Guyer. 2003. Patterns of movement and burrow use in a population of gopher tortoises (Gopherus polyphemus). Herpetologica 59:311–321.</w:t>
      </w:r>
    </w:p>
    <w:p w14:paraId="0CCB8968" w14:textId="77777777" w:rsidR="00DA378D" w:rsidRDefault="00DA378D" w:rsidP="00DA378D">
      <w:pPr>
        <w:pStyle w:val="Bibliography"/>
      </w:pPr>
      <w:r>
        <w:t>Falcón, W., D. Moll, and D. M. Hansen. 2020. Frugivory and seed dispersal by chelonians: a review and synthesis. Biol Rev Camb Philos Soc.</w:t>
      </w:r>
    </w:p>
    <w:p w14:paraId="776323AF" w14:textId="77777777" w:rsidR="00DA378D" w:rsidRDefault="00DA378D" w:rsidP="00DA378D">
      <w:pPr>
        <w:pStyle w:val="Bibliography"/>
      </w:pPr>
      <w:r>
        <w:t>Figueroa, A., K. Coblentz, A. Herrera, L. Cuni, J. Villate, H. Liu, M. S. Araujo, and S. M. Whitfield. 2024. Seasonal frugivory drives both diet inconsistency and individual specialization in the generalist herbivore gopher tortoise. Food Webs 40:e00356.</w:t>
      </w:r>
    </w:p>
    <w:p w14:paraId="315CE6AA" w14:textId="77777777" w:rsidR="00DA378D" w:rsidRDefault="00DA378D" w:rsidP="00DA378D">
      <w:pPr>
        <w:pStyle w:val="Bibliography"/>
      </w:pPr>
      <w:r>
        <w:t>Figueroa, A., J. T. Heinen, F. N. Ridgley, S. M. Whitfield, and H. Liu. 2023. Management of a Globally Imperiled and Fire-Dependent Ecosystem in the Urban Matrix of Miami–Dade County, Florida: A Case Study of the Richmond Tract Pine Rocklands. Diversity 15:426.</w:t>
      </w:r>
    </w:p>
    <w:p w14:paraId="5409C56C" w14:textId="77777777" w:rsidR="00DA378D" w:rsidRDefault="00DA378D" w:rsidP="00DA378D">
      <w:pPr>
        <w:pStyle w:val="Bibliography"/>
      </w:pPr>
      <w:r>
        <w:t>Figueroa, A., J. Lange, and S. M. Whitfield. 2021. Seed Consumption by Gopher Tortoises (Gopherus polyphemus) in the Globally Imperiled Pine Rockland Ecosystem of Southern Florida, USA. Chelonian Conservation and Biology 20:27–34, 8.</w:t>
      </w:r>
    </w:p>
    <w:p w14:paraId="15E7ACE2" w14:textId="77777777" w:rsidR="00DA378D" w:rsidRDefault="00DA378D" w:rsidP="00DA378D">
      <w:pPr>
        <w:pStyle w:val="Bibliography"/>
      </w:pPr>
      <w:r>
        <w:t>Flora of North America Editorial Committee, eds. 1993+. 2023. Flora of North America North of Mexico [Online]. New York and Oxford.</w:t>
      </w:r>
    </w:p>
    <w:p w14:paraId="73E01C1C" w14:textId="77777777" w:rsidR="00DA378D" w:rsidRDefault="00DA378D" w:rsidP="00DA378D">
      <w:pPr>
        <w:pStyle w:val="Bibliography"/>
      </w:pPr>
      <w:r>
        <w:t>Gann, G. D., C. G. Stocking, and Collaborators. 2001. Floristic Inventory of South Florida Database Online. The Institute for Regional Conservation. Delray Beach, Florida.</w:t>
      </w:r>
    </w:p>
    <w:p w14:paraId="77A35F58" w14:textId="77777777" w:rsidR="00DA378D" w:rsidRDefault="00DA378D" w:rsidP="00DA378D">
      <w:pPr>
        <w:pStyle w:val="Bibliography"/>
      </w:pPr>
      <w:r>
        <w:lastRenderedPageBreak/>
        <w:t>Gann, G. D., S. W. Woodmansee, and K. A. Bradley. 2002. Rare plants of south Florida: their history, conservation and restoration. Institute for Regional Conservation.</w:t>
      </w:r>
    </w:p>
    <w:p w14:paraId="518DB8DD" w14:textId="77777777" w:rsidR="00DA378D" w:rsidRDefault="00DA378D" w:rsidP="00DA378D">
      <w:pPr>
        <w:pStyle w:val="Bibliography"/>
      </w:pPr>
      <w:r>
        <w:t>Godoy, J. A., and P. Jordano. 2001. Seed dispersal by animals: exact identification of source trees with endocarp DNA microsatellites. Molecular Ecology 10:2275–2283.</w:t>
      </w:r>
    </w:p>
    <w:p w14:paraId="44F9E6E7" w14:textId="77777777" w:rsidR="00DA378D" w:rsidRDefault="00DA378D" w:rsidP="00DA378D">
      <w:pPr>
        <w:pStyle w:val="Bibliography"/>
      </w:pPr>
      <w:r>
        <w:t>Green, A. J., C. Baltzinger, and Á. Lovas‐Kiss. 2021. Plant dispersal syndromes are unreliable, especially for predicting zoochory and long‐distance dispersal. Oikos.</w:t>
      </w:r>
    </w:p>
    <w:p w14:paraId="421C05FB" w14:textId="77777777" w:rsidR="00DA378D" w:rsidRDefault="00DA378D" w:rsidP="00DA378D">
      <w:pPr>
        <w:pStyle w:val="Bibliography"/>
      </w:pPr>
      <w:r>
        <w:t>Greenacre, M. 2017. Correspondence Analysis in Practice. Chapman and Hall/CRC.</w:t>
      </w:r>
    </w:p>
    <w:p w14:paraId="481E54C3" w14:textId="77777777" w:rsidR="00DA378D" w:rsidRDefault="00DA378D" w:rsidP="00DA378D">
      <w:pPr>
        <w:pStyle w:val="Bibliography"/>
      </w:pPr>
      <w:r>
        <w:t>Greenacre, M. 2019. Package ‘easyCODA.’ Compositional Data Analysis in Practice 35.</w:t>
      </w:r>
    </w:p>
    <w:p w14:paraId="4EA689DE" w14:textId="77777777" w:rsidR="00DA378D" w:rsidRDefault="00DA378D" w:rsidP="00DA378D">
      <w:pPr>
        <w:pStyle w:val="Bibliography"/>
      </w:pPr>
      <w:r>
        <w:t>Guyer, C., V. M. Johnson, and S. M. Hermann. 2012. Effects of Population Density On Patterns of Movement and Behavior of Gopher Tortoises (Gopherus polyphemus). Herpetological Monographs 26:122–134.</w:t>
      </w:r>
    </w:p>
    <w:p w14:paraId="6603D8FF" w14:textId="77777777" w:rsidR="00DA378D" w:rsidRDefault="00DA378D" w:rsidP="00DA378D">
      <w:pPr>
        <w:pStyle w:val="Bibliography"/>
      </w:pPr>
      <w:r>
        <w:t>Hanish, C. J. 2018. Seed Dispersal of the Cocoplum (Chrysobalanus icaco) by Gopher Tortoises (Gopherus polyphemus) in Southeastern Florida. Florida Atlantic University.</w:t>
      </w:r>
    </w:p>
    <w:p w14:paraId="3CA89630" w14:textId="77777777" w:rsidR="00DA378D" w:rsidRDefault="00DA378D" w:rsidP="00DA378D">
      <w:pPr>
        <w:pStyle w:val="Bibliography"/>
      </w:pPr>
      <w:r>
        <w:t>Heinen, J. T., and B. Castillo. 2019. Browse-Mediated Succession by Deer and Elk 40 Y After a Clearcut in Northern Lower Michigan. The American Midland Naturalist 181:81–91, 11.</w:t>
      </w:r>
    </w:p>
    <w:p w14:paraId="2A968A54" w14:textId="77777777" w:rsidR="00DA378D" w:rsidRDefault="00DA378D" w:rsidP="00DA378D">
      <w:pPr>
        <w:pStyle w:val="Bibliography"/>
      </w:pPr>
      <w:r>
        <w:t>Henry, E. H., M. O. Burford Reiskind, A. D. Land, and N. M. Haddad. 2020. Maintaining historic disturbance regimes increases species’ resilience to catastrophic hurricanes. Global Change Biology 26:798–806.</w:t>
      </w:r>
    </w:p>
    <w:p w14:paraId="6C4578A7" w14:textId="77777777" w:rsidR="00DA378D" w:rsidRDefault="00DA378D" w:rsidP="00DA378D">
      <w:pPr>
        <w:pStyle w:val="Bibliography"/>
      </w:pPr>
      <w:r>
        <w:t>Herrera, M. L. G., C. Korine, T. H. Fleming, and Z. Arad. 2008. Dietary Implications of Intrapopulation Variation in Nitrogen Isotope Composition of an Old World Fruit Bat. Journal of Mammalogy 89:1184–1190.</w:t>
      </w:r>
    </w:p>
    <w:p w14:paraId="40328B17" w14:textId="77777777" w:rsidR="00DA378D" w:rsidRDefault="00DA378D" w:rsidP="00DA378D">
      <w:pPr>
        <w:pStyle w:val="Bibliography"/>
      </w:pPr>
      <w:r>
        <w:t>Hoffmeister, J. E., K. W. Stockman, and H. G. Multer. 1967. Miami Limestone of Florida and its recent Bahamian counterpart. Geological Society of America Bulletin 78:175–190.</w:t>
      </w:r>
    </w:p>
    <w:p w14:paraId="6E0EC4E6" w14:textId="77777777" w:rsidR="00DA378D" w:rsidRDefault="00DA378D" w:rsidP="00DA378D">
      <w:pPr>
        <w:pStyle w:val="Bibliography"/>
      </w:pPr>
      <w:r>
        <w:lastRenderedPageBreak/>
        <w:t xml:space="preserve">Howe, H. F. 1986. CHAPTER 4 - Seed Dispersal by Fruit-Eating Birds and Mammals. Pages 123–189 </w:t>
      </w:r>
      <w:r>
        <w:rPr>
          <w:i/>
          <w:iCs/>
        </w:rPr>
        <w:t>in</w:t>
      </w:r>
      <w:r>
        <w:t xml:space="preserve"> D. R. Murray, editor. Seed Dispersal. Academic Press, San Diego.</w:t>
      </w:r>
    </w:p>
    <w:p w14:paraId="47A499B3" w14:textId="77777777" w:rsidR="00DA378D" w:rsidRDefault="00DA378D" w:rsidP="00DA378D">
      <w:pPr>
        <w:pStyle w:val="Bibliography"/>
      </w:pPr>
      <w:r>
        <w:t>Howe, H. F. 2016. Making dispersal syndromes and networks useful in tropical conservation and restoration. Global Ecology and Conservation 6:152–178.</w:t>
      </w:r>
    </w:p>
    <w:p w14:paraId="10A94278" w14:textId="77777777" w:rsidR="00DA378D" w:rsidRDefault="00DA378D" w:rsidP="00DA378D">
      <w:pPr>
        <w:pStyle w:val="Bibliography"/>
      </w:pPr>
      <w:r>
        <w:t>Howe, H. F., and J. Smallwood. 1982. Ecology of Seed Dispersal. Annual Review of Ecology and Systematics 13:201–228.</w:t>
      </w:r>
    </w:p>
    <w:p w14:paraId="4867B249" w14:textId="77777777" w:rsidR="00DA378D" w:rsidRDefault="00DA378D" w:rsidP="00DA378D">
      <w:pPr>
        <w:pStyle w:val="Bibliography"/>
      </w:pPr>
      <w:r>
        <w:t>Janzen, D. H. 1984. Dispersal of Small Seeds by Big Herbivores: Foliage is the Fruit. The American Naturalist 123:338–353.</w:t>
      </w:r>
    </w:p>
    <w:p w14:paraId="4D2F794E" w14:textId="77777777" w:rsidR="00DA378D" w:rsidRDefault="00DA378D" w:rsidP="00DA378D">
      <w:pPr>
        <w:pStyle w:val="Bibliography"/>
      </w:pPr>
      <w:r>
        <w:t>Jordano, P. 2000. Fruits and frugivory. Seeds: the ecology of regeneration in plant communities 2:125–166.</w:t>
      </w:r>
    </w:p>
    <w:p w14:paraId="314D768F" w14:textId="77777777" w:rsidR="00DA378D" w:rsidRDefault="00DA378D" w:rsidP="00DA378D">
      <w:pPr>
        <w:pStyle w:val="Bibliography"/>
      </w:pPr>
      <w:r>
        <w:t>Klare, U., J. F. Kamler, and D. W. MacDonald. 2011. A comparison and critique of different scat-analysis methods for determining carnivore diet. Mammal Review 41:294–312.</w:t>
      </w:r>
    </w:p>
    <w:p w14:paraId="03CA21E5" w14:textId="77777777" w:rsidR="00DA378D" w:rsidRDefault="00DA378D" w:rsidP="00DA378D">
      <w:pPr>
        <w:pStyle w:val="Bibliography"/>
      </w:pPr>
      <w:r>
        <w:t>Koike, S., S. Kasai, K. Yamazaki, and K. Furubayashi. 2008. Fruit phenology of Prunus jamasakura and the feeding habit of the Asiatic black bear as a seed disperser. Ecological Research 23:385–392.</w:t>
      </w:r>
    </w:p>
    <w:p w14:paraId="7C830EC7" w14:textId="77777777" w:rsidR="00DA378D" w:rsidRDefault="00DA378D" w:rsidP="00DA378D">
      <w:pPr>
        <w:pStyle w:val="Bibliography"/>
      </w:pPr>
      <w:r>
        <w:t>Kubinec, R. 2022. Ordered Beta Regression: A Parsimonious, Well-Fitting Model for Continuous Data with Lower and Upper Bounds. Political Analysis:1–18.</w:t>
      </w:r>
    </w:p>
    <w:p w14:paraId="4ADAD829" w14:textId="77777777" w:rsidR="00DA378D" w:rsidRDefault="00DA378D" w:rsidP="00DA378D">
      <w:pPr>
        <w:pStyle w:val="Bibliography"/>
      </w:pPr>
      <w:r>
        <w:t>Kushlan, J. A., and F. J. Mazzotti. 1984. Environmental Effects on a Coastal Population of Gopher Tortoises. Journal of Herpetology 18:231–239.</w:t>
      </w:r>
    </w:p>
    <w:p w14:paraId="48A37E14" w14:textId="77777777" w:rsidR="00DA378D" w:rsidRDefault="00DA378D" w:rsidP="00DA378D">
      <w:pPr>
        <w:pStyle w:val="Bibliography"/>
      </w:pPr>
      <w:r>
        <w:t>van Leeuwen, C. H. A., N. Villar, I. Mendoza Sagrera, A. J. Green, E. S. Bakker, M. B. Soons, M. Galetti, P. A. Jansen, B. A. Nolet, and L. Santamaría. 2022. A seed dispersal effectiveness framework across the mutualism–antagonism continuum. Oikos:e09254.</w:t>
      </w:r>
    </w:p>
    <w:p w14:paraId="43288F4B" w14:textId="77777777" w:rsidR="00DA378D" w:rsidRDefault="00DA378D" w:rsidP="00DA378D">
      <w:pPr>
        <w:pStyle w:val="Bibliography"/>
      </w:pPr>
      <w:r>
        <w:t xml:space="preserve">Levey, D. J., W. R. Silva, and M. Galetti. 2002. Seed dispersal and frugivory: ecology, </w:t>
      </w:r>
      <w:r>
        <w:lastRenderedPageBreak/>
        <w:t>evolution, and conservation. CABI.</w:t>
      </w:r>
    </w:p>
    <w:p w14:paraId="060E1BC6" w14:textId="77777777" w:rsidR="00DA378D" w:rsidRDefault="00DA378D" w:rsidP="00DA378D">
      <w:pPr>
        <w:pStyle w:val="Bibliography"/>
      </w:pPr>
      <w:r>
        <w:t>Lips, K. R. 1991. Vertebrates Associated with Tortoise (Gopherus polyphemus) Burrows in 4 Habitats in South-Central Florida. Journal of Herpetology 25:477–481.</w:t>
      </w:r>
    </w:p>
    <w:p w14:paraId="664C2124" w14:textId="77777777" w:rsidR="00DA378D" w:rsidRDefault="00DA378D" w:rsidP="00DA378D">
      <w:pPr>
        <w:pStyle w:val="Bibliography"/>
      </w:pPr>
      <w:r>
        <w:t>Lodge, T. E. 2017. The Everglades Handbook: Understanding the Ecosystem (Fourth Edition). Everglades Handbook: Understanding the Ecosystem, 4th Edition.</w:t>
      </w:r>
    </w:p>
    <w:p w14:paraId="11A05459" w14:textId="77777777" w:rsidR="00DA378D" w:rsidRDefault="00DA378D" w:rsidP="00DA378D">
      <w:pPr>
        <w:pStyle w:val="Bibliography"/>
      </w:pPr>
      <w:r>
        <w:t>MacDonald, L. A., and H. R. Mushinsky. 1988. Foraging Ecology of the Gopher Tortoise, Gopherus polyphemus, in a Sandhill Habitat. Herpetologica 44:345–353.</w:t>
      </w:r>
    </w:p>
    <w:p w14:paraId="4ED08DE2" w14:textId="77777777" w:rsidR="00DA378D" w:rsidRDefault="00DA378D" w:rsidP="00DA378D">
      <w:pPr>
        <w:pStyle w:val="Bibliography"/>
      </w:pPr>
      <w:r>
        <w:t>Makowski, D., M. Ben-Shachar, and D. Lüdecke. 2019a. bayestestR: Describing Effects and their Uncertainty, Existence and Significance within the Bayesian Framework. Journal of Open Source Software 4:1541.</w:t>
      </w:r>
    </w:p>
    <w:p w14:paraId="31DFEFBE" w14:textId="77777777" w:rsidR="00DA378D" w:rsidRDefault="00DA378D" w:rsidP="00DA378D">
      <w:pPr>
        <w:pStyle w:val="Bibliography"/>
      </w:pPr>
      <w:r>
        <w:t>Makowski, D., M. S. Ben-Shachar, S. H. A. Chen, and D. Lüdecke. 2019b. Indices of Effect Existence and Significance in the Bayesian Framework. Frontiers in Psychology 10:2767.</w:t>
      </w:r>
    </w:p>
    <w:p w14:paraId="76FD214A" w14:textId="77777777" w:rsidR="00DA378D" w:rsidRDefault="00DA378D" w:rsidP="00DA378D">
      <w:pPr>
        <w:pStyle w:val="Bibliography"/>
      </w:pPr>
      <w:r>
        <w:t>Marques Dracxler, C., and W. D. Kissling. 2022. The mutualism–antagonism continuum in Neotropical palm–frugivore interactions: from interaction outcomes to ecosystem dynamics. Biological Reviews 97:527–553.</w:t>
      </w:r>
    </w:p>
    <w:p w14:paraId="67F308D8" w14:textId="77777777" w:rsidR="00DA378D" w:rsidRDefault="00DA378D" w:rsidP="00DA378D">
      <w:pPr>
        <w:pStyle w:val="Bibliography"/>
      </w:pPr>
      <w:r>
        <w:t>McConkey, K. R., S. Prasad, R. T. Corlett, A. Campos-Arceiz, J. F. Brodie, H. Rogers, and L. Santamaria. 2012. Seed dispersal in changing landscapes. Biological Conservation 146:1–13.</w:t>
      </w:r>
    </w:p>
    <w:p w14:paraId="71A73523" w14:textId="77777777" w:rsidR="00DA378D" w:rsidRDefault="00DA378D" w:rsidP="00DA378D">
      <w:pPr>
        <w:pStyle w:val="Bibliography"/>
      </w:pPr>
      <w:r>
        <w:t>McRae, W. A., J. L. Landers, and J. A. Garner. 1981. Movement Patterns and Home Range of the Gopher Tortoise. The American Midland Naturalist 106:165–179.</w:t>
      </w:r>
    </w:p>
    <w:p w14:paraId="36AE646B" w14:textId="77777777" w:rsidR="00DA378D" w:rsidRDefault="00DA378D" w:rsidP="00DA378D">
      <w:pPr>
        <w:pStyle w:val="Bibliography"/>
      </w:pPr>
      <w:r>
        <w:t>Melanson, L. 2021. Investigating vertebrate relationships of the south Florida gopher tortoise: a study of vertebrate species within scrub, pine rockland, coastal hammock and grassland habitats. Florida Atlantic University.</w:t>
      </w:r>
    </w:p>
    <w:p w14:paraId="5B4F3B81" w14:textId="77777777" w:rsidR="00DA378D" w:rsidRDefault="00DA378D" w:rsidP="00DA378D">
      <w:pPr>
        <w:pStyle w:val="Bibliography"/>
      </w:pPr>
      <w:r>
        <w:lastRenderedPageBreak/>
        <w:t>Monroe, M. B. 1943. Pioneer Women of Dade County. Tequesta 1:54–55.</w:t>
      </w:r>
    </w:p>
    <w:p w14:paraId="09AAAD84" w14:textId="77777777" w:rsidR="00DA378D" w:rsidRDefault="00DA378D" w:rsidP="00DA378D">
      <w:pPr>
        <w:pStyle w:val="Bibliography"/>
      </w:pPr>
      <w:r>
        <w:t>Moore, J. A., and A. Dornburg. 2014. Ingestion of Fossil Seashells, Stones and Small Mammal Bones by Gravid Gopher Tortoises (Gopherus polyphemus) in South Florida. Bulletin of the Peabody Museum of Natural History 55:55–63, 9.</w:t>
      </w:r>
    </w:p>
    <w:p w14:paraId="73CF58C6" w14:textId="77777777" w:rsidR="00DA378D" w:rsidRDefault="00DA378D" w:rsidP="00DA378D">
      <w:pPr>
        <w:pStyle w:val="Bibliography"/>
      </w:pPr>
      <w:r>
        <w:t>Mushinsky, H. R., T. A. Stilson, and E. D. McCoy. 2003. Diet and dietary preference of the juvenile gopher tortoise (Gopherus polyphemus). Herpetologica 59:475–483.</w:t>
      </w:r>
    </w:p>
    <w:p w14:paraId="748D8A21" w14:textId="77777777" w:rsidR="00DA378D" w:rsidRDefault="00DA378D" w:rsidP="00DA378D">
      <w:pPr>
        <w:pStyle w:val="Bibliography"/>
      </w:pPr>
      <w:r>
        <w:t>Nathan, R., and H. C. Muller-Landau. 2000. Spatial patterns of seed dispersal, their determinants and consequences for recruitment. Trends in Ecology &amp; Evolution 15:278–285.</w:t>
      </w:r>
    </w:p>
    <w:p w14:paraId="74F90AE6" w14:textId="77777777" w:rsidR="00DA378D" w:rsidRDefault="00DA378D" w:rsidP="00DA378D">
      <w:pPr>
        <w:pStyle w:val="Bibliography"/>
      </w:pPr>
      <w:r>
        <w:t>Oksanen, J., F. G. Blanchet, M. Friendly, R. Kindt, P. Legendre, D. McGlinn, P. R. Minchin, R. B. O’Hara, G. L. Simpson, and P. Solymos. 2022. vegan: Community Ecology Package. R package version 2.5-7. 2020.</w:t>
      </w:r>
    </w:p>
    <w:p w14:paraId="1123FD96" w14:textId="77777777" w:rsidR="00DA378D" w:rsidRDefault="00DA378D" w:rsidP="00DA378D">
      <w:pPr>
        <w:pStyle w:val="Bibliography"/>
      </w:pPr>
      <w:r>
        <w:t>Pavelka, M. S. M., and K. H. Knopff. 2004. Diet and activity in black howler monkeys ( Alouatta pigra ) in southern Belize: does degree of frugivory influence activity level? Primates 45:105–111.</w:t>
      </w:r>
    </w:p>
    <w:p w14:paraId="2CC429DA" w14:textId="77777777" w:rsidR="00DA378D" w:rsidRDefault="00DA378D" w:rsidP="00DA378D">
      <w:pPr>
        <w:pStyle w:val="Bibliography"/>
      </w:pPr>
      <w:r>
        <w:t>Pedersen, E. J., D. L. Miller, G. L. Simpson, and N. Ross. 2019. Hierarchical generalized additive models in ecology: an introduction with mgcv. PeerJ 7:e6876.</w:t>
      </w:r>
    </w:p>
    <w:p w14:paraId="7C86592C" w14:textId="77777777" w:rsidR="00DA378D" w:rsidRDefault="00DA378D" w:rsidP="00DA378D">
      <w:pPr>
        <w:pStyle w:val="Bibliography"/>
      </w:pPr>
      <w:r>
        <w:t>Platt, W. J., S. L. Orzell, and M. G. Slocum. 2015. Seasonality of Fire Weather Strongly Influences Fire Regimes in South Florida Savanna-Grassland Landscapes. PLOS ONE 10:e0116952.</w:t>
      </w:r>
    </w:p>
    <w:p w14:paraId="4917EA0A" w14:textId="77777777" w:rsidR="00DA378D" w:rsidRDefault="00DA378D" w:rsidP="00DA378D">
      <w:pPr>
        <w:pStyle w:val="Bibliography"/>
      </w:pPr>
      <w:r>
        <w:t>Possley, J., J. Duncan, J. Gil, and C. Grossenbacher. 2020. Too Precious To Lose: Managing and Protecting the Richmond Pine Rockland Tract (Richmond) in Miami Dade County, South Florida. Cities and the Environment 13.</w:t>
      </w:r>
    </w:p>
    <w:p w14:paraId="357A619E" w14:textId="77777777" w:rsidR="00DA378D" w:rsidRDefault="00DA378D" w:rsidP="00DA378D">
      <w:pPr>
        <w:pStyle w:val="Bibliography"/>
      </w:pPr>
      <w:r>
        <w:t xml:space="preserve">Possley, J., J. Duncan, J. Klein, and J. Maguire. 2018. Miami-Dade County’s Management Plan </w:t>
      </w:r>
      <w:r>
        <w:lastRenderedPageBreak/>
        <w:t>for the Richmond Pine Rocklands, 2nd ed. Prepared by Fairchild Tropical Botanic Garden for Miami-Dade County, Department of Parks, Recreation and Open Spaces and Zoo Miami 2:136.</w:t>
      </w:r>
    </w:p>
    <w:p w14:paraId="32FFB806" w14:textId="77777777" w:rsidR="00DA378D" w:rsidRDefault="00DA378D" w:rsidP="00DA378D">
      <w:pPr>
        <w:pStyle w:val="Bibliography"/>
      </w:pPr>
      <w:r>
        <w:t>Possley, J., S. W. Woodmansee, and J. Maschinski. 2008. Patterns of Plant Composition in Fragments of Globally Imperiled Pine Rockland Forest: Effects of Soil Type, Recent Fire Frequency, and Fragment Size. Natural Areas Journal 28:379–394.</w:t>
      </w:r>
    </w:p>
    <w:p w14:paraId="17439EEA" w14:textId="77777777" w:rsidR="00DA378D" w:rsidRDefault="00DA378D" w:rsidP="00DA378D">
      <w:pPr>
        <w:pStyle w:val="Bibliography"/>
      </w:pPr>
      <w:r>
        <w:t>R Core Team. 2022. R: A language and environment for statistical computing. R Foundation for Statistical   Computing, Vienna, Austria.</w:t>
      </w:r>
    </w:p>
    <w:p w14:paraId="18343D98" w14:textId="77777777" w:rsidR="00DA378D" w:rsidRDefault="00DA378D" w:rsidP="00DA378D">
      <w:pPr>
        <w:pStyle w:val="Bibliography"/>
      </w:pPr>
      <w:r>
        <w:t>Redwine, J. R., R. Sawicki, J. J. Lorenz, and W. Hoffman. 2007. Ripe Fruit Availability in the Fragmented Hardwood Forests of the Northern Florida Keys. Natural Areas Journal 27:8–15.</w:t>
      </w:r>
    </w:p>
    <w:p w14:paraId="272BA7BE" w14:textId="77777777" w:rsidR="00DA378D" w:rsidRDefault="00DA378D" w:rsidP="00DA378D">
      <w:pPr>
        <w:pStyle w:val="Bibliography"/>
      </w:pPr>
      <w:r>
        <w:t>Remis, M. J. 1997. Western lowland gorillas (Gorilla gorilla gorilla) as seasonal frugivores: Use of variable resources. American Journal of Primatology 43:87–109.</w:t>
      </w:r>
    </w:p>
    <w:p w14:paraId="50CEEE5A" w14:textId="77777777" w:rsidR="00DA378D" w:rsidRDefault="00DA378D" w:rsidP="00DA378D">
      <w:pPr>
        <w:pStyle w:val="Bibliography"/>
      </w:pPr>
      <w:r>
        <w:t>Richardson, J. C., and P. Stiling. 2019a. Gopher Tortoise (Gopherus polyphemus) Gut Passage Can Alter Seed Germinability. The American Midland Naturalist 182:181–190.</w:t>
      </w:r>
    </w:p>
    <w:p w14:paraId="2D9AD3BB" w14:textId="77777777" w:rsidR="00DA378D" w:rsidRDefault="00DA378D" w:rsidP="00DA378D">
      <w:pPr>
        <w:pStyle w:val="Bibliography"/>
      </w:pPr>
      <w:r>
        <w:t>Richardson, J. C., and P. Stiling. 2019b. Gopher tortoise herbivory increases plant species richness and diversity. Plant Ecology 220:383–391.</w:t>
      </w:r>
    </w:p>
    <w:p w14:paraId="27B96907" w14:textId="77777777" w:rsidR="00DA378D" w:rsidRDefault="00DA378D" w:rsidP="00DA378D">
      <w:pPr>
        <w:pStyle w:val="Bibliography"/>
      </w:pPr>
      <w:r>
        <w:t xml:space="preserve">Robira, B., S. Benhamou, T. N. Fuh, and S. Masi. 2023. Do Seasonal Frugivory and Cognition Shape Foraging Movements in Wild Western Gorillas? Pages 151–170 </w:t>
      </w:r>
      <w:r>
        <w:rPr>
          <w:i/>
          <w:iCs/>
        </w:rPr>
        <w:t>in</w:t>
      </w:r>
      <w:r>
        <w:t xml:space="preserve"> R. Reyna-Hurtado, C. A. Chapman, and M. Melletti, editors. Movement Ecology of Afrotropical Forest Mammals. Springer International Publishing, Cham.</w:t>
      </w:r>
    </w:p>
    <w:p w14:paraId="0EFEFEF2" w14:textId="77777777" w:rsidR="00DA378D" w:rsidRDefault="00DA378D" w:rsidP="00DA378D">
      <w:pPr>
        <w:pStyle w:val="Bibliography"/>
      </w:pPr>
      <w:r>
        <w:t>van Schaik, C. P., J. W. Terborgh, and S. J. Wright. 1993. The Phenology of Tropical Forests: Adaptive Significance and Consequences for Primary Consumers*. Annual Reviews.</w:t>
      </w:r>
    </w:p>
    <w:p w14:paraId="678755BD" w14:textId="77777777" w:rsidR="00DA378D" w:rsidRDefault="00DA378D" w:rsidP="00DA378D">
      <w:pPr>
        <w:pStyle w:val="Bibliography"/>
      </w:pPr>
      <w:r>
        <w:lastRenderedPageBreak/>
        <w:t>Schupp, E. W. 1993. Quantity, Quality and the Effectiveness of Seed Dispersal by Animals. Vegetatio 108:15–29.</w:t>
      </w:r>
    </w:p>
    <w:p w14:paraId="4DF12CF8" w14:textId="77777777" w:rsidR="00DA378D" w:rsidRDefault="00DA378D" w:rsidP="00DA378D">
      <w:pPr>
        <w:pStyle w:val="Bibliography"/>
      </w:pPr>
      <w:r>
        <w:t>Schupp, E. W., and P. Jordano. 2011. The full path of Janzen-Connell effects: genetic tracking of seeds to adult plant recruitment. Molecular Ecology 20:3953–3955.</w:t>
      </w:r>
    </w:p>
    <w:p w14:paraId="385702DB" w14:textId="77777777" w:rsidR="00DA378D" w:rsidRDefault="00DA378D" w:rsidP="00DA378D">
      <w:pPr>
        <w:pStyle w:val="Bibliography"/>
      </w:pPr>
      <w:r>
        <w:t>Schupp, E. W., P. Jordano, and J. M. Gómez. 2010. Seed dispersal effectiveness revisited: a conceptual review. New Phytologist 188:333–353.</w:t>
      </w:r>
    </w:p>
    <w:p w14:paraId="7D156073" w14:textId="77777777" w:rsidR="00DA378D" w:rsidRDefault="00DA378D" w:rsidP="00DA378D">
      <w:pPr>
        <w:pStyle w:val="Bibliography"/>
      </w:pPr>
      <w:r>
        <w:t>Shumway, R. H., D. S. Stoffer, and D. S. Stoffer. 2000. Time series analysis and its applications. Springer.</w:t>
      </w:r>
    </w:p>
    <w:p w14:paraId="38221443" w14:textId="77777777" w:rsidR="00DA378D" w:rsidRDefault="00DA378D" w:rsidP="00DA378D">
      <w:pPr>
        <w:pStyle w:val="Bibliography"/>
      </w:pPr>
      <w:r>
        <w:t>Simpson, C. T. 1920. In lower Florida wilds:174–184.</w:t>
      </w:r>
    </w:p>
    <w:p w14:paraId="0E702B2E" w14:textId="77777777" w:rsidR="00DA378D" w:rsidRDefault="00DA378D" w:rsidP="00DA378D">
      <w:pPr>
        <w:pStyle w:val="Bibliography"/>
      </w:pPr>
      <w:r>
        <w:t>Slocum, M. G., W. J. Platt, B. Beckage, S. L. Orzell, and W. Taylor. 2010. Accurate Quantification of Seasonal Rainfall and Associated Climate–Wildfire Relationships. Journal of Applied Meteorology and Climatology 49:2559–2573.</w:t>
      </w:r>
    </w:p>
    <w:p w14:paraId="00353937" w14:textId="77777777" w:rsidR="00DA378D" w:rsidRDefault="00DA378D" w:rsidP="00DA378D">
      <w:pPr>
        <w:pStyle w:val="Bibliography"/>
      </w:pPr>
      <w:r>
        <w:t>Snyder, J. R. 1991. Fire regimes in subtropical south Florida. Pages 303–319.</w:t>
      </w:r>
    </w:p>
    <w:p w14:paraId="14E09A9F" w14:textId="77777777" w:rsidR="00DA378D" w:rsidRDefault="00DA378D" w:rsidP="00DA378D">
      <w:pPr>
        <w:pStyle w:val="Bibliography"/>
      </w:pPr>
      <w:r>
        <w:t>Takahashi, K., T. Shiota, H. Tamatani, M. Koyama, and I. Washitani. 2008. Seasonal variation in fleshy fruit use and seed dispersal by the Japanese black bear (Ursus thibetanus japonicus). Ecological Research 23:471–478.</w:t>
      </w:r>
    </w:p>
    <w:p w14:paraId="07987C9D" w14:textId="77777777" w:rsidR="00DA378D" w:rsidRDefault="00DA378D" w:rsidP="00DA378D">
      <w:pPr>
        <w:pStyle w:val="Bibliography"/>
      </w:pPr>
      <w:r>
        <w:t>Traveset, A., R. Heleno, and M. Nogales. 2014. The Ecology of Seed Dispersal. Seeds: The Ecology of Regeneration in Plant Communities, 3rd Edition:62–93.</w:t>
      </w:r>
    </w:p>
    <w:p w14:paraId="7FF15360" w14:textId="77777777" w:rsidR="00DA378D" w:rsidRDefault="00DA378D" w:rsidP="00DA378D">
      <w:pPr>
        <w:pStyle w:val="Bibliography"/>
      </w:pPr>
      <w:r>
        <w:t>Trotta, L. B., B. Baiser, J. Possley, D. J. Li, J. Lange, S. Martin, and E. B. Sessa. 2018. Community phylogeny of the globally critically imperiled pine rockland ecosystem. American Journal of Botany 105:1735–1747.</w:t>
      </w:r>
    </w:p>
    <w:p w14:paraId="6818930C" w14:textId="77777777" w:rsidR="00DA378D" w:rsidRDefault="00DA378D" w:rsidP="00DA378D">
      <w:pPr>
        <w:pStyle w:val="Bibliography"/>
      </w:pPr>
      <w:r>
        <w:t>USFWS. 1999. Pine Rocklands Management Plan.</w:t>
      </w:r>
    </w:p>
    <w:p w14:paraId="11CE2B79" w14:textId="77777777" w:rsidR="00DA378D" w:rsidRDefault="00DA378D" w:rsidP="00DA378D">
      <w:pPr>
        <w:pStyle w:val="Bibliography"/>
      </w:pPr>
      <w:r>
        <w:t>Van der Pijl, L. 1982. Principles of dispersal in higher plants. Springer.</w:t>
      </w:r>
    </w:p>
    <w:p w14:paraId="2D667AF4" w14:textId="77777777" w:rsidR="00DA378D" w:rsidRDefault="00DA378D" w:rsidP="00DA378D">
      <w:pPr>
        <w:pStyle w:val="Bibliography"/>
      </w:pPr>
      <w:r>
        <w:lastRenderedPageBreak/>
        <w:t>Waddle, J. H., F. J. Mazzotti, and K. G. Rice. 2006. Changes in Abundance of Gopher Tortoise Burrows at Cape Sable, Florida. Southeastern Naturalist 5:277–284, 8.</w:t>
      </w:r>
    </w:p>
    <w:p w14:paraId="4F87ACBE" w14:textId="77777777" w:rsidR="00DA378D" w:rsidRDefault="00DA378D" w:rsidP="00DA378D">
      <w:pPr>
        <w:pStyle w:val="Bibliography"/>
      </w:pPr>
      <w:r>
        <w:t>Whitfield, S. M., F. N. Ridgley, D. Valle, and N. Atteberry. 2018. Seroprevalence of Mycoplasma agassizii and Mycoplasma testudineum in Wild and Waif Gopher Tortoises (Gopherus polyphemus) in Miami-Dade County, Florida, USA. Herpetological Review 49:47–49.</w:t>
      </w:r>
    </w:p>
    <w:p w14:paraId="22FAE784" w14:textId="77777777" w:rsidR="00DA378D" w:rsidRDefault="00DA378D" w:rsidP="00DA378D">
      <w:pPr>
        <w:pStyle w:val="Bibliography"/>
      </w:pPr>
      <w:r>
        <w:t>Whitfield, S. M., J. P. Scholl, E. M. Frazier, K. Hendrickson, A. Figueroa, L. Melanson, R. Schneider, O. Rothberg, J. Ghenassia, and J. A. Moore. 2024. Status, Distribution, and Management of Gopher Tortoises in Highly Urbanized Southeastern Florida. Southeastern Naturalist 23.</w:t>
      </w:r>
    </w:p>
    <w:p w14:paraId="0E907B6A" w14:textId="77777777" w:rsidR="00DA378D" w:rsidRDefault="00DA378D" w:rsidP="00DA378D">
      <w:pPr>
        <w:pStyle w:val="Bibliography"/>
      </w:pPr>
      <w:r>
        <w:t>Whitfield, S. M., D. Valle, A. Figueroa, B. Chin, H. Bravo-Gallegos, and F. Leone. 2022. Burrow Characteristics and Habitat Associations of Gopher Tortoises in Urban Pine Rockland Reserves (Miami, Florida, USA). Ichthyology &amp; Herpetology 110:22–32.</w:t>
      </w:r>
    </w:p>
    <w:p w14:paraId="57DB376C" w14:textId="77777777" w:rsidR="00DA378D" w:rsidRDefault="00DA378D" w:rsidP="00DA378D">
      <w:pPr>
        <w:pStyle w:val="Bibliography"/>
      </w:pPr>
      <w:r>
        <w:t>Wunderlin, R. P., B. F. Hansen, A. R. Franck, and F. B. Essig. 2016. Atlas of Florida vascular plants. Atlas of Florida vascular plants.</w:t>
      </w:r>
    </w:p>
    <w:p w14:paraId="746A07B7" w14:textId="1F26E487" w:rsidR="001F2C3E" w:rsidRPr="008D17E5" w:rsidRDefault="002950FE" w:rsidP="008D17E5">
      <w:pPr>
        <w:pStyle w:val="Bibliography"/>
        <w:rPr>
          <w:rFonts w:eastAsia="Calibri"/>
          <w:kern w:val="0"/>
          <w:szCs w:val="24"/>
        </w:rPr>
      </w:pPr>
      <w:r>
        <w:rPr>
          <w:rFonts w:eastAsia="Calibri"/>
          <w:kern w:val="0"/>
          <w:szCs w:val="24"/>
        </w:rPr>
        <w:fldChar w:fldCharType="end"/>
      </w:r>
    </w:p>
    <w:sectPr w:rsidR="001F2C3E" w:rsidRPr="008D17E5" w:rsidSect="00BA7EF8">
      <w:pgSz w:w="12240" w:h="15840"/>
      <w:pgMar w:top="1440" w:right="1440" w:bottom="1440" w:left="1440" w:header="720" w:footer="720" w:gutter="0"/>
      <w:lnNumType w:countBy="1" w:restart="continuou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60DE487" w14:textId="77777777" w:rsidR="00FE2173" w:rsidRDefault="00FE2173" w:rsidP="000A5F94">
      <w:r>
        <w:separator/>
      </w:r>
    </w:p>
  </w:endnote>
  <w:endnote w:type="continuationSeparator" w:id="0">
    <w:p w14:paraId="772E7F6B" w14:textId="77777777" w:rsidR="00FE2173" w:rsidRDefault="00FE2173" w:rsidP="000A5F94">
      <w:r>
        <w:continuationSeparator/>
      </w:r>
    </w:p>
  </w:endnote>
  <w:endnote w:type="continuationNotice" w:id="1">
    <w:p w14:paraId="6956C7C1" w14:textId="77777777" w:rsidR="00FE2173" w:rsidRDefault="00FE217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595445104"/>
      <w:docPartObj>
        <w:docPartGallery w:val="Page Numbers (Bottom of Page)"/>
        <w:docPartUnique/>
      </w:docPartObj>
    </w:sdtPr>
    <w:sdtEndPr>
      <w:rPr>
        <w:noProof/>
      </w:rPr>
    </w:sdtEndPr>
    <w:sdtContent>
      <w:p w14:paraId="2B88CD12" w14:textId="78348428" w:rsidR="008900D0" w:rsidRDefault="008900D0">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26C64BED" w14:textId="77777777" w:rsidR="008900D0" w:rsidRDefault="008900D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05F4918" w14:textId="77777777" w:rsidR="00FE2173" w:rsidRDefault="00FE2173" w:rsidP="000A5F94">
      <w:r>
        <w:separator/>
      </w:r>
    </w:p>
  </w:footnote>
  <w:footnote w:type="continuationSeparator" w:id="0">
    <w:p w14:paraId="74AE5BE7" w14:textId="77777777" w:rsidR="00FE2173" w:rsidRDefault="00FE2173" w:rsidP="000A5F94">
      <w:r>
        <w:continuationSeparator/>
      </w:r>
    </w:p>
  </w:footnote>
  <w:footnote w:type="continuationNotice" w:id="1">
    <w:p w14:paraId="44515930" w14:textId="77777777" w:rsidR="00FE2173" w:rsidRDefault="00FE2173"/>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89C7AD0"/>
    <w:multiLevelType w:val="hybridMultilevel"/>
    <w:tmpl w:val="F00CBA3C"/>
    <w:lvl w:ilvl="0" w:tplc="61B03366">
      <w:numFmt w:val="bullet"/>
      <w:lvlText w:val=""/>
      <w:lvlJc w:val="left"/>
      <w:pPr>
        <w:ind w:left="1080" w:hanging="360"/>
      </w:pPr>
      <w:rPr>
        <w:rFonts w:ascii="Symbol" w:eastAsia="Calibri" w:hAnsi="Symbol"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15:restartNumberingAfterBreak="0">
    <w:nsid w:val="13EE36D7"/>
    <w:multiLevelType w:val="hybridMultilevel"/>
    <w:tmpl w:val="37F870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9DD7824"/>
    <w:multiLevelType w:val="hybridMultilevel"/>
    <w:tmpl w:val="A2D8AC9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D1A3358"/>
    <w:multiLevelType w:val="multilevel"/>
    <w:tmpl w:val="02908FD0"/>
    <w:lvl w:ilvl="0">
      <w:start w:val="1"/>
      <w:numFmt w:val="decimal"/>
      <w:lvlText w:val="%1"/>
      <w:lvlJc w:val="left"/>
      <w:pPr>
        <w:ind w:left="480" w:hanging="480"/>
      </w:pPr>
      <w:rPr>
        <w:rFonts w:ascii="Times New Roman" w:hAnsi="Times New Roman" w:hint="default"/>
        <w:color w:val="auto"/>
      </w:rPr>
    </w:lvl>
    <w:lvl w:ilvl="1">
      <w:start w:val="2"/>
      <w:numFmt w:val="decimal"/>
      <w:lvlText w:val="%1.%2"/>
      <w:lvlJc w:val="left"/>
      <w:pPr>
        <w:ind w:left="720" w:hanging="720"/>
      </w:pPr>
      <w:rPr>
        <w:rFonts w:ascii="Times New Roman" w:hAnsi="Times New Roman" w:hint="default"/>
        <w:color w:val="auto"/>
      </w:rPr>
    </w:lvl>
    <w:lvl w:ilvl="2">
      <w:start w:val="1"/>
      <w:numFmt w:val="decimal"/>
      <w:lvlText w:val="%1.%2.%3"/>
      <w:lvlJc w:val="left"/>
      <w:pPr>
        <w:ind w:left="720" w:hanging="720"/>
      </w:pPr>
      <w:rPr>
        <w:rFonts w:ascii="Times New Roman" w:hAnsi="Times New Roman" w:hint="default"/>
        <w:color w:val="auto"/>
      </w:rPr>
    </w:lvl>
    <w:lvl w:ilvl="3">
      <w:start w:val="1"/>
      <w:numFmt w:val="decimal"/>
      <w:lvlText w:val="%1.%2.%3.%4"/>
      <w:lvlJc w:val="left"/>
      <w:pPr>
        <w:ind w:left="1080" w:hanging="1080"/>
      </w:pPr>
      <w:rPr>
        <w:rFonts w:ascii="Times New Roman" w:hAnsi="Times New Roman" w:hint="default"/>
        <w:color w:val="auto"/>
      </w:rPr>
    </w:lvl>
    <w:lvl w:ilvl="4">
      <w:start w:val="1"/>
      <w:numFmt w:val="decimal"/>
      <w:lvlText w:val="%1.%2.%3.%4.%5"/>
      <w:lvlJc w:val="left"/>
      <w:pPr>
        <w:ind w:left="1440" w:hanging="1440"/>
      </w:pPr>
      <w:rPr>
        <w:rFonts w:ascii="Times New Roman" w:hAnsi="Times New Roman" w:hint="default"/>
        <w:color w:val="auto"/>
      </w:rPr>
    </w:lvl>
    <w:lvl w:ilvl="5">
      <w:start w:val="1"/>
      <w:numFmt w:val="decimal"/>
      <w:lvlText w:val="%1.%2.%3.%4.%5.%6"/>
      <w:lvlJc w:val="left"/>
      <w:pPr>
        <w:ind w:left="1440" w:hanging="1440"/>
      </w:pPr>
      <w:rPr>
        <w:rFonts w:ascii="Times New Roman" w:hAnsi="Times New Roman" w:hint="default"/>
        <w:color w:val="auto"/>
      </w:rPr>
    </w:lvl>
    <w:lvl w:ilvl="6">
      <w:start w:val="1"/>
      <w:numFmt w:val="decimal"/>
      <w:lvlText w:val="%1.%2.%3.%4.%5.%6.%7"/>
      <w:lvlJc w:val="left"/>
      <w:pPr>
        <w:ind w:left="1800" w:hanging="1800"/>
      </w:pPr>
      <w:rPr>
        <w:rFonts w:ascii="Times New Roman" w:hAnsi="Times New Roman" w:hint="default"/>
        <w:color w:val="auto"/>
      </w:rPr>
    </w:lvl>
    <w:lvl w:ilvl="7">
      <w:start w:val="1"/>
      <w:numFmt w:val="decimal"/>
      <w:lvlText w:val="%1.%2.%3.%4.%5.%6.%7.%8"/>
      <w:lvlJc w:val="left"/>
      <w:pPr>
        <w:ind w:left="2160" w:hanging="2160"/>
      </w:pPr>
      <w:rPr>
        <w:rFonts w:ascii="Times New Roman" w:hAnsi="Times New Roman" w:hint="default"/>
        <w:color w:val="auto"/>
      </w:rPr>
    </w:lvl>
    <w:lvl w:ilvl="8">
      <w:start w:val="1"/>
      <w:numFmt w:val="decimal"/>
      <w:lvlText w:val="%1.%2.%3.%4.%5.%6.%7.%8.%9"/>
      <w:lvlJc w:val="left"/>
      <w:pPr>
        <w:ind w:left="2160" w:hanging="2160"/>
      </w:pPr>
      <w:rPr>
        <w:rFonts w:ascii="Times New Roman" w:hAnsi="Times New Roman" w:hint="default"/>
        <w:color w:val="auto"/>
      </w:rPr>
    </w:lvl>
  </w:abstractNum>
  <w:abstractNum w:abstractNumId="4" w15:restartNumberingAfterBreak="0">
    <w:nsid w:val="1D72621C"/>
    <w:multiLevelType w:val="hybridMultilevel"/>
    <w:tmpl w:val="BC2200F2"/>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DD826A1"/>
    <w:multiLevelType w:val="multilevel"/>
    <w:tmpl w:val="504E326C"/>
    <w:lvl w:ilvl="0">
      <w:start w:val="1"/>
      <w:numFmt w:val="upperRoman"/>
      <w:lvlText w:val="%1."/>
      <w:lvlJc w:val="left"/>
      <w:pPr>
        <w:ind w:left="1080" w:hanging="720"/>
      </w:pPr>
      <w:rPr>
        <w:rFonts w:hint="default"/>
      </w:rPr>
    </w:lvl>
    <w:lvl w:ilvl="1">
      <w:start w:val="1"/>
      <w:numFmt w:val="decimal"/>
      <w:isLgl/>
      <w:lvlText w:val="%1.%2"/>
      <w:lvlJc w:val="left"/>
      <w:pPr>
        <w:ind w:left="1170" w:hanging="360"/>
      </w:pPr>
      <w:rPr>
        <w:rFonts w:ascii="Times New Roman" w:hAnsi="Times New Roman" w:cs="Times New Roman" w:hint="default"/>
      </w:rPr>
    </w:lvl>
    <w:lvl w:ilvl="2">
      <w:start w:val="1"/>
      <w:numFmt w:val="decimal"/>
      <w:isLgl/>
      <w:lvlText w:val="%1.%2.%3"/>
      <w:lvlJc w:val="left"/>
      <w:pPr>
        <w:ind w:left="1890" w:hanging="720"/>
      </w:pPr>
      <w:rPr>
        <w:rFonts w:ascii="Times New Roman" w:hAnsi="Times New Roman" w:cs="Times New Roman" w:hint="default"/>
        <w:b/>
        <w:bCs/>
      </w:rPr>
    </w:lvl>
    <w:lvl w:ilvl="3">
      <w:start w:val="1"/>
      <w:numFmt w:val="decimal"/>
      <w:isLgl/>
      <w:lvlText w:val="%1.%2.%3.%4"/>
      <w:lvlJc w:val="left"/>
      <w:pPr>
        <w:ind w:left="2430" w:hanging="720"/>
      </w:pPr>
      <w:rPr>
        <w:rFonts w:hint="default"/>
        <w:b/>
        <w:bCs/>
      </w:rPr>
    </w:lvl>
    <w:lvl w:ilvl="4">
      <w:start w:val="1"/>
      <w:numFmt w:val="decimal"/>
      <w:isLgl/>
      <w:lvlText w:val="%1.%2.%3.%4.%5"/>
      <w:lvlJc w:val="left"/>
      <w:pPr>
        <w:ind w:left="3240" w:hanging="1080"/>
      </w:pPr>
      <w:rPr>
        <w:rFonts w:hint="default"/>
      </w:rPr>
    </w:lvl>
    <w:lvl w:ilvl="5">
      <w:start w:val="1"/>
      <w:numFmt w:val="decimal"/>
      <w:isLgl/>
      <w:lvlText w:val="%1.%2.%3.%4.%5.%6"/>
      <w:lvlJc w:val="left"/>
      <w:pPr>
        <w:ind w:left="3690" w:hanging="1080"/>
      </w:pPr>
      <w:rPr>
        <w:rFonts w:hint="default"/>
      </w:rPr>
    </w:lvl>
    <w:lvl w:ilvl="6">
      <w:start w:val="1"/>
      <w:numFmt w:val="decimal"/>
      <w:isLgl/>
      <w:lvlText w:val="%1.%2.%3.%4.%5.%6.%7"/>
      <w:lvlJc w:val="left"/>
      <w:pPr>
        <w:ind w:left="4500" w:hanging="1440"/>
      </w:pPr>
      <w:rPr>
        <w:rFonts w:hint="default"/>
      </w:rPr>
    </w:lvl>
    <w:lvl w:ilvl="7">
      <w:start w:val="1"/>
      <w:numFmt w:val="decimal"/>
      <w:isLgl/>
      <w:lvlText w:val="%1.%2.%3.%4.%5.%6.%7.%8"/>
      <w:lvlJc w:val="left"/>
      <w:pPr>
        <w:ind w:left="4950" w:hanging="1440"/>
      </w:pPr>
      <w:rPr>
        <w:rFonts w:hint="default"/>
      </w:rPr>
    </w:lvl>
    <w:lvl w:ilvl="8">
      <w:start w:val="1"/>
      <w:numFmt w:val="decimal"/>
      <w:isLgl/>
      <w:lvlText w:val="%1.%2.%3.%4.%5.%6.%7.%8.%9"/>
      <w:lvlJc w:val="left"/>
      <w:pPr>
        <w:ind w:left="5760" w:hanging="1800"/>
      </w:pPr>
      <w:rPr>
        <w:rFonts w:hint="default"/>
      </w:rPr>
    </w:lvl>
  </w:abstractNum>
  <w:abstractNum w:abstractNumId="6" w15:restartNumberingAfterBreak="0">
    <w:nsid w:val="247D0BA1"/>
    <w:multiLevelType w:val="hybridMultilevel"/>
    <w:tmpl w:val="69DCA302"/>
    <w:lvl w:ilvl="0" w:tplc="04090001">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833580B"/>
    <w:multiLevelType w:val="hybridMultilevel"/>
    <w:tmpl w:val="DDE88F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A66489E"/>
    <w:multiLevelType w:val="hybridMultilevel"/>
    <w:tmpl w:val="480454A6"/>
    <w:lvl w:ilvl="0" w:tplc="71621790">
      <w:start w:val="1"/>
      <w:numFmt w:val="decimal"/>
      <w:lvlText w:val="%1."/>
      <w:lvlJc w:val="left"/>
      <w:pPr>
        <w:ind w:left="1170" w:hanging="360"/>
      </w:pPr>
      <w:rPr>
        <w:rFonts w:hint="default"/>
      </w:rPr>
    </w:lvl>
    <w:lvl w:ilvl="1" w:tplc="04090019" w:tentative="1">
      <w:start w:val="1"/>
      <w:numFmt w:val="lowerLetter"/>
      <w:lvlText w:val="%2."/>
      <w:lvlJc w:val="left"/>
      <w:pPr>
        <w:ind w:left="1890" w:hanging="360"/>
      </w:p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abstractNum w:abstractNumId="9" w15:restartNumberingAfterBreak="0">
    <w:nsid w:val="2AF81701"/>
    <w:multiLevelType w:val="hybridMultilevel"/>
    <w:tmpl w:val="5B18380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F7F6826"/>
    <w:multiLevelType w:val="hybridMultilevel"/>
    <w:tmpl w:val="8250D14A"/>
    <w:lvl w:ilvl="0" w:tplc="D5BC20EC">
      <w:start w:val="1"/>
      <w:numFmt w:val="decimal"/>
      <w:lvlText w:val="(%1)"/>
      <w:lvlJc w:val="left"/>
      <w:pPr>
        <w:ind w:left="720" w:hanging="720"/>
      </w:pPr>
      <w:rPr>
        <w:rFonts w:hint="default"/>
      </w:r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 w15:restartNumberingAfterBreak="0">
    <w:nsid w:val="3BF27F06"/>
    <w:multiLevelType w:val="hybridMultilevel"/>
    <w:tmpl w:val="C93214B0"/>
    <w:lvl w:ilvl="0" w:tplc="2EBAEAC6">
      <w:start w:val="1"/>
      <w:numFmt w:val="bullet"/>
      <w:pStyle w:val="Heading3"/>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C815876"/>
    <w:multiLevelType w:val="hybridMultilevel"/>
    <w:tmpl w:val="D166D9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A3A51ED"/>
    <w:multiLevelType w:val="hybridMultilevel"/>
    <w:tmpl w:val="DAB85970"/>
    <w:lvl w:ilvl="0" w:tplc="DA7087D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15:restartNumberingAfterBreak="0">
    <w:nsid w:val="4C714059"/>
    <w:multiLevelType w:val="hybridMultilevel"/>
    <w:tmpl w:val="C6205C4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15:restartNumberingAfterBreak="0">
    <w:nsid w:val="518F109C"/>
    <w:multiLevelType w:val="hybridMultilevel"/>
    <w:tmpl w:val="C96A8B5A"/>
    <w:lvl w:ilvl="0" w:tplc="3EA8151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15:restartNumberingAfterBreak="0">
    <w:nsid w:val="56D749AC"/>
    <w:multiLevelType w:val="hybridMultilevel"/>
    <w:tmpl w:val="0EF4F42C"/>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7" w15:restartNumberingAfterBreak="0">
    <w:nsid w:val="588A78EA"/>
    <w:multiLevelType w:val="hybridMultilevel"/>
    <w:tmpl w:val="0BEA947C"/>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5AA77481"/>
    <w:multiLevelType w:val="hybridMultilevel"/>
    <w:tmpl w:val="97EE016A"/>
    <w:lvl w:ilvl="0" w:tplc="184A263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15:restartNumberingAfterBreak="0">
    <w:nsid w:val="686A71CB"/>
    <w:multiLevelType w:val="hybridMultilevel"/>
    <w:tmpl w:val="6CBE125A"/>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20" w15:restartNumberingAfterBreak="0">
    <w:nsid w:val="6D1B7FB8"/>
    <w:multiLevelType w:val="hybridMultilevel"/>
    <w:tmpl w:val="F9D04E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6DA23F74"/>
    <w:multiLevelType w:val="hybridMultilevel"/>
    <w:tmpl w:val="5E86CCF0"/>
    <w:lvl w:ilvl="0" w:tplc="828EFB0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15:restartNumberingAfterBreak="0">
    <w:nsid w:val="7F507288"/>
    <w:multiLevelType w:val="hybridMultilevel"/>
    <w:tmpl w:val="E228CB3A"/>
    <w:lvl w:ilvl="0" w:tplc="2E2CBAE8">
      <w:start w:val="1"/>
      <w:numFmt w:val="decimal"/>
      <w:lvlText w:val="%1."/>
      <w:lvlJc w:val="left"/>
      <w:pPr>
        <w:ind w:left="1080" w:hanging="360"/>
      </w:pPr>
      <w:rPr>
        <w:rFonts w:eastAsia="Times New Roman"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16cid:durableId="1714386730">
    <w:abstractNumId w:val="11"/>
  </w:num>
  <w:num w:numId="2" w16cid:durableId="1455751714">
    <w:abstractNumId w:val="5"/>
  </w:num>
  <w:num w:numId="3" w16cid:durableId="278799143">
    <w:abstractNumId w:val="3"/>
  </w:num>
  <w:num w:numId="4" w16cid:durableId="1292974452">
    <w:abstractNumId w:val="9"/>
  </w:num>
  <w:num w:numId="5" w16cid:durableId="1404257567">
    <w:abstractNumId w:val="4"/>
  </w:num>
  <w:num w:numId="6" w16cid:durableId="1759011975">
    <w:abstractNumId w:val="2"/>
  </w:num>
  <w:num w:numId="7" w16cid:durableId="58939559">
    <w:abstractNumId w:val="16"/>
  </w:num>
  <w:num w:numId="8" w16cid:durableId="1673028647">
    <w:abstractNumId w:val="13"/>
  </w:num>
  <w:num w:numId="9" w16cid:durableId="371199427">
    <w:abstractNumId w:val="6"/>
  </w:num>
  <w:num w:numId="10" w16cid:durableId="1739135045">
    <w:abstractNumId w:val="10"/>
  </w:num>
  <w:num w:numId="11" w16cid:durableId="788202467">
    <w:abstractNumId w:val="14"/>
  </w:num>
  <w:num w:numId="12" w16cid:durableId="682510731">
    <w:abstractNumId w:val="0"/>
  </w:num>
  <w:num w:numId="13" w16cid:durableId="1953054189">
    <w:abstractNumId w:val="19"/>
  </w:num>
  <w:num w:numId="14" w16cid:durableId="1884557586">
    <w:abstractNumId w:val="1"/>
  </w:num>
  <w:num w:numId="15" w16cid:durableId="1855530974">
    <w:abstractNumId w:val="7"/>
  </w:num>
  <w:num w:numId="16" w16cid:durableId="1694072766">
    <w:abstractNumId w:val="20"/>
  </w:num>
  <w:num w:numId="17" w16cid:durableId="1024089662">
    <w:abstractNumId w:val="12"/>
  </w:num>
  <w:num w:numId="18" w16cid:durableId="1398434205">
    <w:abstractNumId w:val="18"/>
  </w:num>
  <w:num w:numId="19" w16cid:durableId="1025789360">
    <w:abstractNumId w:val="15"/>
  </w:num>
  <w:num w:numId="20" w16cid:durableId="964116275">
    <w:abstractNumId w:val="21"/>
  </w:num>
  <w:num w:numId="21" w16cid:durableId="312754401">
    <w:abstractNumId w:val="8"/>
  </w:num>
  <w:num w:numId="22" w16cid:durableId="1441802586">
    <w:abstractNumId w:val="22"/>
  </w:num>
  <w:num w:numId="23" w16cid:durableId="812604145">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bordersDoNotSurroundHeader/>
  <w:bordersDoNotSurroundFooter/>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95072"/>
    <w:rsid w:val="000003D6"/>
    <w:rsid w:val="0000040E"/>
    <w:rsid w:val="00000438"/>
    <w:rsid w:val="00000A72"/>
    <w:rsid w:val="00000DA1"/>
    <w:rsid w:val="0000173C"/>
    <w:rsid w:val="0000242A"/>
    <w:rsid w:val="00002783"/>
    <w:rsid w:val="00002B86"/>
    <w:rsid w:val="000032C9"/>
    <w:rsid w:val="00004122"/>
    <w:rsid w:val="00004B81"/>
    <w:rsid w:val="0000579F"/>
    <w:rsid w:val="00005EE9"/>
    <w:rsid w:val="00006043"/>
    <w:rsid w:val="000061AB"/>
    <w:rsid w:val="00006951"/>
    <w:rsid w:val="00007238"/>
    <w:rsid w:val="00007270"/>
    <w:rsid w:val="00007E14"/>
    <w:rsid w:val="00007FB4"/>
    <w:rsid w:val="00010209"/>
    <w:rsid w:val="0001132B"/>
    <w:rsid w:val="0001170C"/>
    <w:rsid w:val="0001301E"/>
    <w:rsid w:val="000136B6"/>
    <w:rsid w:val="00014C01"/>
    <w:rsid w:val="000155F0"/>
    <w:rsid w:val="00015A58"/>
    <w:rsid w:val="000169A6"/>
    <w:rsid w:val="00016C16"/>
    <w:rsid w:val="00016F11"/>
    <w:rsid w:val="000173BE"/>
    <w:rsid w:val="0001747D"/>
    <w:rsid w:val="00017DB3"/>
    <w:rsid w:val="00020224"/>
    <w:rsid w:val="000204F9"/>
    <w:rsid w:val="0002173D"/>
    <w:rsid w:val="00022568"/>
    <w:rsid w:val="000235DF"/>
    <w:rsid w:val="00023779"/>
    <w:rsid w:val="000237BC"/>
    <w:rsid w:val="00024493"/>
    <w:rsid w:val="000251AA"/>
    <w:rsid w:val="00025352"/>
    <w:rsid w:val="00025A87"/>
    <w:rsid w:val="00025A88"/>
    <w:rsid w:val="00025C5E"/>
    <w:rsid w:val="000267DE"/>
    <w:rsid w:val="000269F8"/>
    <w:rsid w:val="00027030"/>
    <w:rsid w:val="00027599"/>
    <w:rsid w:val="000301DD"/>
    <w:rsid w:val="00030555"/>
    <w:rsid w:val="00031EC2"/>
    <w:rsid w:val="00031F40"/>
    <w:rsid w:val="00032173"/>
    <w:rsid w:val="00032AE2"/>
    <w:rsid w:val="00032FD7"/>
    <w:rsid w:val="000333A0"/>
    <w:rsid w:val="000334E6"/>
    <w:rsid w:val="000349DD"/>
    <w:rsid w:val="00034DBC"/>
    <w:rsid w:val="00034F71"/>
    <w:rsid w:val="0003601C"/>
    <w:rsid w:val="00036822"/>
    <w:rsid w:val="00036BD0"/>
    <w:rsid w:val="00036F95"/>
    <w:rsid w:val="000370AF"/>
    <w:rsid w:val="000378E6"/>
    <w:rsid w:val="000412F5"/>
    <w:rsid w:val="00041EF3"/>
    <w:rsid w:val="00041F5B"/>
    <w:rsid w:val="00041FFC"/>
    <w:rsid w:val="00042357"/>
    <w:rsid w:val="00042BB8"/>
    <w:rsid w:val="00042F65"/>
    <w:rsid w:val="00043A3D"/>
    <w:rsid w:val="00044684"/>
    <w:rsid w:val="000449FB"/>
    <w:rsid w:val="000451DE"/>
    <w:rsid w:val="00045BD4"/>
    <w:rsid w:val="0004664A"/>
    <w:rsid w:val="00046AFC"/>
    <w:rsid w:val="00046CA8"/>
    <w:rsid w:val="00047EAC"/>
    <w:rsid w:val="000500CF"/>
    <w:rsid w:val="0005085E"/>
    <w:rsid w:val="000508A3"/>
    <w:rsid w:val="00050E50"/>
    <w:rsid w:val="00050FA3"/>
    <w:rsid w:val="00051031"/>
    <w:rsid w:val="00051BDC"/>
    <w:rsid w:val="00052E8A"/>
    <w:rsid w:val="00052EC6"/>
    <w:rsid w:val="00053453"/>
    <w:rsid w:val="0005413A"/>
    <w:rsid w:val="00054338"/>
    <w:rsid w:val="0005510D"/>
    <w:rsid w:val="00055458"/>
    <w:rsid w:val="000558B7"/>
    <w:rsid w:val="00055B0D"/>
    <w:rsid w:val="00055C6E"/>
    <w:rsid w:val="00057504"/>
    <w:rsid w:val="000601CF"/>
    <w:rsid w:val="00060DAA"/>
    <w:rsid w:val="00060DD4"/>
    <w:rsid w:val="000614DE"/>
    <w:rsid w:val="000616D4"/>
    <w:rsid w:val="00061CB4"/>
    <w:rsid w:val="0006281F"/>
    <w:rsid w:val="0006303C"/>
    <w:rsid w:val="00063578"/>
    <w:rsid w:val="000635DD"/>
    <w:rsid w:val="00063D48"/>
    <w:rsid w:val="000644E9"/>
    <w:rsid w:val="000645A8"/>
    <w:rsid w:val="000647E2"/>
    <w:rsid w:val="0006578A"/>
    <w:rsid w:val="00065BFC"/>
    <w:rsid w:val="00066F7D"/>
    <w:rsid w:val="0006704A"/>
    <w:rsid w:val="00067499"/>
    <w:rsid w:val="000677A4"/>
    <w:rsid w:val="0007049B"/>
    <w:rsid w:val="00070534"/>
    <w:rsid w:val="00070C7A"/>
    <w:rsid w:val="00070CA4"/>
    <w:rsid w:val="00071364"/>
    <w:rsid w:val="00071714"/>
    <w:rsid w:val="00072F0B"/>
    <w:rsid w:val="00073000"/>
    <w:rsid w:val="00073EF4"/>
    <w:rsid w:val="00074285"/>
    <w:rsid w:val="000749BA"/>
    <w:rsid w:val="00074D69"/>
    <w:rsid w:val="00074EC1"/>
    <w:rsid w:val="000750AC"/>
    <w:rsid w:val="00075494"/>
    <w:rsid w:val="00075A1D"/>
    <w:rsid w:val="00075C60"/>
    <w:rsid w:val="00076643"/>
    <w:rsid w:val="00077052"/>
    <w:rsid w:val="00077D19"/>
    <w:rsid w:val="00080D04"/>
    <w:rsid w:val="00080D6E"/>
    <w:rsid w:val="00081091"/>
    <w:rsid w:val="000815E6"/>
    <w:rsid w:val="00082021"/>
    <w:rsid w:val="00082508"/>
    <w:rsid w:val="00082CF0"/>
    <w:rsid w:val="00083570"/>
    <w:rsid w:val="0008385B"/>
    <w:rsid w:val="0008388E"/>
    <w:rsid w:val="00083DF7"/>
    <w:rsid w:val="00084369"/>
    <w:rsid w:val="000847BA"/>
    <w:rsid w:val="000853E9"/>
    <w:rsid w:val="000855D0"/>
    <w:rsid w:val="00085FA2"/>
    <w:rsid w:val="00086244"/>
    <w:rsid w:val="00086E74"/>
    <w:rsid w:val="00087C3D"/>
    <w:rsid w:val="00090702"/>
    <w:rsid w:val="0009102A"/>
    <w:rsid w:val="000916C2"/>
    <w:rsid w:val="00092184"/>
    <w:rsid w:val="00092942"/>
    <w:rsid w:val="00092F15"/>
    <w:rsid w:val="00092F94"/>
    <w:rsid w:val="000939CF"/>
    <w:rsid w:val="00093DD5"/>
    <w:rsid w:val="00093F5E"/>
    <w:rsid w:val="000943EB"/>
    <w:rsid w:val="00094D10"/>
    <w:rsid w:val="00094EE5"/>
    <w:rsid w:val="00097591"/>
    <w:rsid w:val="000976C3"/>
    <w:rsid w:val="000979A8"/>
    <w:rsid w:val="000A0D44"/>
    <w:rsid w:val="000A1300"/>
    <w:rsid w:val="000A21B0"/>
    <w:rsid w:val="000A3864"/>
    <w:rsid w:val="000A3DE1"/>
    <w:rsid w:val="000A44D5"/>
    <w:rsid w:val="000A464A"/>
    <w:rsid w:val="000A49AB"/>
    <w:rsid w:val="000A52A8"/>
    <w:rsid w:val="000A53FC"/>
    <w:rsid w:val="000A5639"/>
    <w:rsid w:val="000A5F94"/>
    <w:rsid w:val="000A6861"/>
    <w:rsid w:val="000A7476"/>
    <w:rsid w:val="000B0579"/>
    <w:rsid w:val="000B0E9D"/>
    <w:rsid w:val="000B1659"/>
    <w:rsid w:val="000B1FD3"/>
    <w:rsid w:val="000B25CE"/>
    <w:rsid w:val="000B2B1C"/>
    <w:rsid w:val="000B41ED"/>
    <w:rsid w:val="000B4A77"/>
    <w:rsid w:val="000B5508"/>
    <w:rsid w:val="000B580D"/>
    <w:rsid w:val="000B5C5F"/>
    <w:rsid w:val="000B67FD"/>
    <w:rsid w:val="000B742B"/>
    <w:rsid w:val="000B75AC"/>
    <w:rsid w:val="000B7836"/>
    <w:rsid w:val="000B79CD"/>
    <w:rsid w:val="000B7D0E"/>
    <w:rsid w:val="000C058C"/>
    <w:rsid w:val="000C2730"/>
    <w:rsid w:val="000C40A4"/>
    <w:rsid w:val="000C4197"/>
    <w:rsid w:val="000C42F1"/>
    <w:rsid w:val="000C458C"/>
    <w:rsid w:val="000C47B2"/>
    <w:rsid w:val="000C51CA"/>
    <w:rsid w:val="000C5AEB"/>
    <w:rsid w:val="000C6731"/>
    <w:rsid w:val="000C685A"/>
    <w:rsid w:val="000C6E00"/>
    <w:rsid w:val="000C70A8"/>
    <w:rsid w:val="000D0049"/>
    <w:rsid w:val="000D0254"/>
    <w:rsid w:val="000D0822"/>
    <w:rsid w:val="000D0AC1"/>
    <w:rsid w:val="000D0AFB"/>
    <w:rsid w:val="000D1070"/>
    <w:rsid w:val="000D1845"/>
    <w:rsid w:val="000D2AA7"/>
    <w:rsid w:val="000D3638"/>
    <w:rsid w:val="000D4863"/>
    <w:rsid w:val="000D49F5"/>
    <w:rsid w:val="000D4BF4"/>
    <w:rsid w:val="000D4D39"/>
    <w:rsid w:val="000D58A1"/>
    <w:rsid w:val="000D6609"/>
    <w:rsid w:val="000D6659"/>
    <w:rsid w:val="000D6DA7"/>
    <w:rsid w:val="000E0E7C"/>
    <w:rsid w:val="000E12C2"/>
    <w:rsid w:val="000E1C63"/>
    <w:rsid w:val="000E1D09"/>
    <w:rsid w:val="000E3C32"/>
    <w:rsid w:val="000E403C"/>
    <w:rsid w:val="000E42E0"/>
    <w:rsid w:val="000E4F70"/>
    <w:rsid w:val="000E5305"/>
    <w:rsid w:val="000E6996"/>
    <w:rsid w:val="000F0745"/>
    <w:rsid w:val="000F0A6F"/>
    <w:rsid w:val="000F16C2"/>
    <w:rsid w:val="000F1996"/>
    <w:rsid w:val="000F23AB"/>
    <w:rsid w:val="000F28CA"/>
    <w:rsid w:val="000F2EE3"/>
    <w:rsid w:val="000F3852"/>
    <w:rsid w:val="000F3BA3"/>
    <w:rsid w:val="000F4249"/>
    <w:rsid w:val="000F440A"/>
    <w:rsid w:val="000F4472"/>
    <w:rsid w:val="000F461D"/>
    <w:rsid w:val="000F489D"/>
    <w:rsid w:val="000F4B5E"/>
    <w:rsid w:val="000F4FD3"/>
    <w:rsid w:val="000F5388"/>
    <w:rsid w:val="000F57B6"/>
    <w:rsid w:val="000F6232"/>
    <w:rsid w:val="000F7460"/>
    <w:rsid w:val="000F7580"/>
    <w:rsid w:val="000F796E"/>
    <w:rsid w:val="000F7A09"/>
    <w:rsid w:val="00100286"/>
    <w:rsid w:val="001003E9"/>
    <w:rsid w:val="00100737"/>
    <w:rsid w:val="0010081C"/>
    <w:rsid w:val="0010101C"/>
    <w:rsid w:val="00102026"/>
    <w:rsid w:val="00102165"/>
    <w:rsid w:val="00102AE5"/>
    <w:rsid w:val="00102DAC"/>
    <w:rsid w:val="00102DC8"/>
    <w:rsid w:val="0010319B"/>
    <w:rsid w:val="00103B4E"/>
    <w:rsid w:val="00103C8C"/>
    <w:rsid w:val="00104723"/>
    <w:rsid w:val="001053C4"/>
    <w:rsid w:val="00105820"/>
    <w:rsid w:val="001060BF"/>
    <w:rsid w:val="001060CB"/>
    <w:rsid w:val="001062F6"/>
    <w:rsid w:val="0010753D"/>
    <w:rsid w:val="001075E3"/>
    <w:rsid w:val="00107627"/>
    <w:rsid w:val="00107E04"/>
    <w:rsid w:val="00110B88"/>
    <w:rsid w:val="001110B9"/>
    <w:rsid w:val="001116C7"/>
    <w:rsid w:val="0011177C"/>
    <w:rsid w:val="00111D50"/>
    <w:rsid w:val="00112A1A"/>
    <w:rsid w:val="001133E0"/>
    <w:rsid w:val="00113EB1"/>
    <w:rsid w:val="001144CD"/>
    <w:rsid w:val="001158E2"/>
    <w:rsid w:val="00115DF5"/>
    <w:rsid w:val="0011680B"/>
    <w:rsid w:val="00116949"/>
    <w:rsid w:val="00116F40"/>
    <w:rsid w:val="00117CFA"/>
    <w:rsid w:val="00120245"/>
    <w:rsid w:val="001205E4"/>
    <w:rsid w:val="00120ABB"/>
    <w:rsid w:val="0012212E"/>
    <w:rsid w:val="0012240B"/>
    <w:rsid w:val="0012245C"/>
    <w:rsid w:val="001234FC"/>
    <w:rsid w:val="00123E19"/>
    <w:rsid w:val="00124117"/>
    <w:rsid w:val="001244FD"/>
    <w:rsid w:val="00124B75"/>
    <w:rsid w:val="00124E7F"/>
    <w:rsid w:val="001250CC"/>
    <w:rsid w:val="0012532E"/>
    <w:rsid w:val="0012576C"/>
    <w:rsid w:val="001258F2"/>
    <w:rsid w:val="00125CDB"/>
    <w:rsid w:val="00125DA1"/>
    <w:rsid w:val="00125E08"/>
    <w:rsid w:val="0012684E"/>
    <w:rsid w:val="00127050"/>
    <w:rsid w:val="00127B16"/>
    <w:rsid w:val="00131178"/>
    <w:rsid w:val="001311EB"/>
    <w:rsid w:val="00131984"/>
    <w:rsid w:val="00131C17"/>
    <w:rsid w:val="00132240"/>
    <w:rsid w:val="00132905"/>
    <w:rsid w:val="00132D7A"/>
    <w:rsid w:val="00132E09"/>
    <w:rsid w:val="001332FE"/>
    <w:rsid w:val="001335BB"/>
    <w:rsid w:val="00133BC4"/>
    <w:rsid w:val="001340A6"/>
    <w:rsid w:val="00134BA0"/>
    <w:rsid w:val="00136663"/>
    <w:rsid w:val="00136C60"/>
    <w:rsid w:val="00137224"/>
    <w:rsid w:val="00137597"/>
    <w:rsid w:val="00137BB1"/>
    <w:rsid w:val="00137FF0"/>
    <w:rsid w:val="0014030F"/>
    <w:rsid w:val="001406E3"/>
    <w:rsid w:val="00140839"/>
    <w:rsid w:val="001409EF"/>
    <w:rsid w:val="00140B7E"/>
    <w:rsid w:val="00140E63"/>
    <w:rsid w:val="001413F9"/>
    <w:rsid w:val="001417F1"/>
    <w:rsid w:val="00141921"/>
    <w:rsid w:val="001423F7"/>
    <w:rsid w:val="001439FB"/>
    <w:rsid w:val="00143A18"/>
    <w:rsid w:val="00144BD5"/>
    <w:rsid w:val="00150169"/>
    <w:rsid w:val="0015038A"/>
    <w:rsid w:val="00150F18"/>
    <w:rsid w:val="0015178A"/>
    <w:rsid w:val="00151EBD"/>
    <w:rsid w:val="00152363"/>
    <w:rsid w:val="001523C3"/>
    <w:rsid w:val="0015254E"/>
    <w:rsid w:val="001525A0"/>
    <w:rsid w:val="00152BD0"/>
    <w:rsid w:val="00152BD1"/>
    <w:rsid w:val="001536DB"/>
    <w:rsid w:val="00153CBF"/>
    <w:rsid w:val="00153DDB"/>
    <w:rsid w:val="00153F0C"/>
    <w:rsid w:val="00154086"/>
    <w:rsid w:val="0015431B"/>
    <w:rsid w:val="001547CD"/>
    <w:rsid w:val="00154930"/>
    <w:rsid w:val="00154AEC"/>
    <w:rsid w:val="00154B24"/>
    <w:rsid w:val="00154EF6"/>
    <w:rsid w:val="00155050"/>
    <w:rsid w:val="001552FC"/>
    <w:rsid w:val="00155B7E"/>
    <w:rsid w:val="00156050"/>
    <w:rsid w:val="0015611D"/>
    <w:rsid w:val="00157708"/>
    <w:rsid w:val="00157982"/>
    <w:rsid w:val="00157D35"/>
    <w:rsid w:val="001606A1"/>
    <w:rsid w:val="00160AFE"/>
    <w:rsid w:val="00160CAC"/>
    <w:rsid w:val="001611E2"/>
    <w:rsid w:val="00161623"/>
    <w:rsid w:val="0016170B"/>
    <w:rsid w:val="001617BA"/>
    <w:rsid w:val="001623EB"/>
    <w:rsid w:val="00162958"/>
    <w:rsid w:val="00163661"/>
    <w:rsid w:val="00163B3B"/>
    <w:rsid w:val="00163CA4"/>
    <w:rsid w:val="0016473E"/>
    <w:rsid w:val="00164CCB"/>
    <w:rsid w:val="00165035"/>
    <w:rsid w:val="001658B6"/>
    <w:rsid w:val="0016637E"/>
    <w:rsid w:val="00170AD1"/>
    <w:rsid w:val="00171B9B"/>
    <w:rsid w:val="00172FD6"/>
    <w:rsid w:val="00173430"/>
    <w:rsid w:val="001734CF"/>
    <w:rsid w:val="00173537"/>
    <w:rsid w:val="0017375E"/>
    <w:rsid w:val="001742D8"/>
    <w:rsid w:val="0017447C"/>
    <w:rsid w:val="00174E5A"/>
    <w:rsid w:val="001752DB"/>
    <w:rsid w:val="0017589D"/>
    <w:rsid w:val="001758E1"/>
    <w:rsid w:val="00175F3E"/>
    <w:rsid w:val="00176A09"/>
    <w:rsid w:val="00177363"/>
    <w:rsid w:val="00177AC2"/>
    <w:rsid w:val="0018004F"/>
    <w:rsid w:val="0018046B"/>
    <w:rsid w:val="00180B98"/>
    <w:rsid w:val="0018100F"/>
    <w:rsid w:val="00181AB4"/>
    <w:rsid w:val="00181D2D"/>
    <w:rsid w:val="0018207E"/>
    <w:rsid w:val="001822AA"/>
    <w:rsid w:val="00182774"/>
    <w:rsid w:val="001829BA"/>
    <w:rsid w:val="00182B21"/>
    <w:rsid w:val="00182BEE"/>
    <w:rsid w:val="00183D1F"/>
    <w:rsid w:val="00184C3B"/>
    <w:rsid w:val="00185272"/>
    <w:rsid w:val="00185C6C"/>
    <w:rsid w:val="00186C10"/>
    <w:rsid w:val="00187006"/>
    <w:rsid w:val="00187CC7"/>
    <w:rsid w:val="0019005F"/>
    <w:rsid w:val="001902A1"/>
    <w:rsid w:val="00190D6A"/>
    <w:rsid w:val="00191B49"/>
    <w:rsid w:val="00191FE4"/>
    <w:rsid w:val="00192352"/>
    <w:rsid w:val="0019265D"/>
    <w:rsid w:val="0019287A"/>
    <w:rsid w:val="00192E9D"/>
    <w:rsid w:val="00193392"/>
    <w:rsid w:val="00193441"/>
    <w:rsid w:val="00193463"/>
    <w:rsid w:val="00193740"/>
    <w:rsid w:val="00193951"/>
    <w:rsid w:val="0019396B"/>
    <w:rsid w:val="00193A5D"/>
    <w:rsid w:val="00193BAD"/>
    <w:rsid w:val="001943C3"/>
    <w:rsid w:val="001943C6"/>
    <w:rsid w:val="00194558"/>
    <w:rsid w:val="001950D8"/>
    <w:rsid w:val="001954A1"/>
    <w:rsid w:val="00195CEA"/>
    <w:rsid w:val="00196CAA"/>
    <w:rsid w:val="0019718A"/>
    <w:rsid w:val="001974A1"/>
    <w:rsid w:val="00197895"/>
    <w:rsid w:val="00197CC7"/>
    <w:rsid w:val="00197D25"/>
    <w:rsid w:val="00197D47"/>
    <w:rsid w:val="001A043F"/>
    <w:rsid w:val="001A0446"/>
    <w:rsid w:val="001A0784"/>
    <w:rsid w:val="001A0C8F"/>
    <w:rsid w:val="001A1085"/>
    <w:rsid w:val="001A134E"/>
    <w:rsid w:val="001A1967"/>
    <w:rsid w:val="001A1CA7"/>
    <w:rsid w:val="001A406A"/>
    <w:rsid w:val="001A41A6"/>
    <w:rsid w:val="001A4C63"/>
    <w:rsid w:val="001A5393"/>
    <w:rsid w:val="001A57DA"/>
    <w:rsid w:val="001A5DC3"/>
    <w:rsid w:val="001A62BC"/>
    <w:rsid w:val="001A785C"/>
    <w:rsid w:val="001A7981"/>
    <w:rsid w:val="001B0478"/>
    <w:rsid w:val="001B1309"/>
    <w:rsid w:val="001B142F"/>
    <w:rsid w:val="001B14C9"/>
    <w:rsid w:val="001B1F6D"/>
    <w:rsid w:val="001B262F"/>
    <w:rsid w:val="001B26B9"/>
    <w:rsid w:val="001B2880"/>
    <w:rsid w:val="001B2AE3"/>
    <w:rsid w:val="001B2B6C"/>
    <w:rsid w:val="001B315D"/>
    <w:rsid w:val="001B3278"/>
    <w:rsid w:val="001B32B6"/>
    <w:rsid w:val="001B3B09"/>
    <w:rsid w:val="001B3F12"/>
    <w:rsid w:val="001B45AA"/>
    <w:rsid w:val="001B5517"/>
    <w:rsid w:val="001B5990"/>
    <w:rsid w:val="001B5E07"/>
    <w:rsid w:val="001B75B8"/>
    <w:rsid w:val="001B79A9"/>
    <w:rsid w:val="001B7E21"/>
    <w:rsid w:val="001C0187"/>
    <w:rsid w:val="001C09B7"/>
    <w:rsid w:val="001C1001"/>
    <w:rsid w:val="001C2BB2"/>
    <w:rsid w:val="001C3653"/>
    <w:rsid w:val="001C3910"/>
    <w:rsid w:val="001C3AB6"/>
    <w:rsid w:val="001C4553"/>
    <w:rsid w:val="001C4D24"/>
    <w:rsid w:val="001C51BC"/>
    <w:rsid w:val="001C53F5"/>
    <w:rsid w:val="001C5485"/>
    <w:rsid w:val="001C66A5"/>
    <w:rsid w:val="001C68AF"/>
    <w:rsid w:val="001C6F50"/>
    <w:rsid w:val="001C70C9"/>
    <w:rsid w:val="001C76BD"/>
    <w:rsid w:val="001C7767"/>
    <w:rsid w:val="001C7A20"/>
    <w:rsid w:val="001C7EE6"/>
    <w:rsid w:val="001D0731"/>
    <w:rsid w:val="001D0CCA"/>
    <w:rsid w:val="001D18A6"/>
    <w:rsid w:val="001D1E56"/>
    <w:rsid w:val="001D24E5"/>
    <w:rsid w:val="001D25B8"/>
    <w:rsid w:val="001D2888"/>
    <w:rsid w:val="001D3885"/>
    <w:rsid w:val="001D3B0A"/>
    <w:rsid w:val="001D3DF0"/>
    <w:rsid w:val="001D5BB5"/>
    <w:rsid w:val="001D6B95"/>
    <w:rsid w:val="001D6F94"/>
    <w:rsid w:val="001D74C8"/>
    <w:rsid w:val="001D7B81"/>
    <w:rsid w:val="001D7E2C"/>
    <w:rsid w:val="001E0055"/>
    <w:rsid w:val="001E1613"/>
    <w:rsid w:val="001E1709"/>
    <w:rsid w:val="001E1A4B"/>
    <w:rsid w:val="001E25A8"/>
    <w:rsid w:val="001E266D"/>
    <w:rsid w:val="001E2E59"/>
    <w:rsid w:val="001E3869"/>
    <w:rsid w:val="001E41E2"/>
    <w:rsid w:val="001E50DA"/>
    <w:rsid w:val="001E6575"/>
    <w:rsid w:val="001E6B71"/>
    <w:rsid w:val="001E709C"/>
    <w:rsid w:val="001E717C"/>
    <w:rsid w:val="001E77E7"/>
    <w:rsid w:val="001E782D"/>
    <w:rsid w:val="001F0258"/>
    <w:rsid w:val="001F027A"/>
    <w:rsid w:val="001F03E4"/>
    <w:rsid w:val="001F066F"/>
    <w:rsid w:val="001F0869"/>
    <w:rsid w:val="001F1066"/>
    <w:rsid w:val="001F1852"/>
    <w:rsid w:val="001F1CDE"/>
    <w:rsid w:val="001F20F9"/>
    <w:rsid w:val="001F2B3B"/>
    <w:rsid w:val="001F2C0D"/>
    <w:rsid w:val="001F2C3E"/>
    <w:rsid w:val="001F2F47"/>
    <w:rsid w:val="001F34F9"/>
    <w:rsid w:val="001F377F"/>
    <w:rsid w:val="001F3D62"/>
    <w:rsid w:val="001F4290"/>
    <w:rsid w:val="001F4635"/>
    <w:rsid w:val="001F60CC"/>
    <w:rsid w:val="001F618C"/>
    <w:rsid w:val="001F760A"/>
    <w:rsid w:val="001F7680"/>
    <w:rsid w:val="001F7B45"/>
    <w:rsid w:val="00200C13"/>
    <w:rsid w:val="00201730"/>
    <w:rsid w:val="0020276A"/>
    <w:rsid w:val="00202D3A"/>
    <w:rsid w:val="00203067"/>
    <w:rsid w:val="0020399E"/>
    <w:rsid w:val="002039F6"/>
    <w:rsid w:val="00203D40"/>
    <w:rsid w:val="00204BD4"/>
    <w:rsid w:val="00204CB5"/>
    <w:rsid w:val="00204F4D"/>
    <w:rsid w:val="00205A1D"/>
    <w:rsid w:val="00205C42"/>
    <w:rsid w:val="00206148"/>
    <w:rsid w:val="0020746F"/>
    <w:rsid w:val="00207764"/>
    <w:rsid w:val="0021128A"/>
    <w:rsid w:val="0021185E"/>
    <w:rsid w:val="00211ADE"/>
    <w:rsid w:val="00211D44"/>
    <w:rsid w:val="0021268C"/>
    <w:rsid w:val="00212CEF"/>
    <w:rsid w:val="00212E57"/>
    <w:rsid w:val="00212FCC"/>
    <w:rsid w:val="002131BB"/>
    <w:rsid w:val="00213D08"/>
    <w:rsid w:val="00214214"/>
    <w:rsid w:val="0021501E"/>
    <w:rsid w:val="0021550A"/>
    <w:rsid w:val="0021585E"/>
    <w:rsid w:val="00216100"/>
    <w:rsid w:val="002161B3"/>
    <w:rsid w:val="0021739C"/>
    <w:rsid w:val="002173E0"/>
    <w:rsid w:val="00217935"/>
    <w:rsid w:val="00221487"/>
    <w:rsid w:val="00221682"/>
    <w:rsid w:val="00221B8A"/>
    <w:rsid w:val="0022219D"/>
    <w:rsid w:val="00222EEA"/>
    <w:rsid w:val="00223444"/>
    <w:rsid w:val="00223E99"/>
    <w:rsid w:val="0022476E"/>
    <w:rsid w:val="002254B8"/>
    <w:rsid w:val="0022550B"/>
    <w:rsid w:val="00226FFD"/>
    <w:rsid w:val="0022732A"/>
    <w:rsid w:val="00227867"/>
    <w:rsid w:val="00227F11"/>
    <w:rsid w:val="002305CB"/>
    <w:rsid w:val="002307AE"/>
    <w:rsid w:val="002309DA"/>
    <w:rsid w:val="00230B05"/>
    <w:rsid w:val="00230B47"/>
    <w:rsid w:val="0023138F"/>
    <w:rsid w:val="0023208D"/>
    <w:rsid w:val="002322A6"/>
    <w:rsid w:val="00232B56"/>
    <w:rsid w:val="0023301F"/>
    <w:rsid w:val="002336DA"/>
    <w:rsid w:val="00234615"/>
    <w:rsid w:val="002346A4"/>
    <w:rsid w:val="002347AE"/>
    <w:rsid w:val="00235058"/>
    <w:rsid w:val="00235B1B"/>
    <w:rsid w:val="00235DD2"/>
    <w:rsid w:val="0023691D"/>
    <w:rsid w:val="002378C6"/>
    <w:rsid w:val="00240130"/>
    <w:rsid w:val="00240851"/>
    <w:rsid w:val="00241B79"/>
    <w:rsid w:val="00242EC8"/>
    <w:rsid w:val="002432DF"/>
    <w:rsid w:val="00244594"/>
    <w:rsid w:val="00244D94"/>
    <w:rsid w:val="002451A3"/>
    <w:rsid w:val="00245440"/>
    <w:rsid w:val="00245C3A"/>
    <w:rsid w:val="00245D5B"/>
    <w:rsid w:val="0024615F"/>
    <w:rsid w:val="002467C2"/>
    <w:rsid w:val="00246B60"/>
    <w:rsid w:val="002470E0"/>
    <w:rsid w:val="0024763C"/>
    <w:rsid w:val="00250623"/>
    <w:rsid w:val="0025099A"/>
    <w:rsid w:val="002510AE"/>
    <w:rsid w:val="00251879"/>
    <w:rsid w:val="002519E8"/>
    <w:rsid w:val="00251D21"/>
    <w:rsid w:val="002521C2"/>
    <w:rsid w:val="0025287E"/>
    <w:rsid w:val="002543EC"/>
    <w:rsid w:val="002545EE"/>
    <w:rsid w:val="00254923"/>
    <w:rsid w:val="00254D21"/>
    <w:rsid w:val="00255180"/>
    <w:rsid w:val="002557DD"/>
    <w:rsid w:val="00255DF5"/>
    <w:rsid w:val="0025672B"/>
    <w:rsid w:val="00256FF4"/>
    <w:rsid w:val="002602F9"/>
    <w:rsid w:val="0026055D"/>
    <w:rsid w:val="00260AB6"/>
    <w:rsid w:val="00260F76"/>
    <w:rsid w:val="00261A7D"/>
    <w:rsid w:val="00261ADF"/>
    <w:rsid w:val="0026239B"/>
    <w:rsid w:val="00262542"/>
    <w:rsid w:val="00262BC3"/>
    <w:rsid w:val="00262C83"/>
    <w:rsid w:val="00263596"/>
    <w:rsid w:val="00263D20"/>
    <w:rsid w:val="002643B7"/>
    <w:rsid w:val="00264535"/>
    <w:rsid w:val="00265267"/>
    <w:rsid w:val="0026548D"/>
    <w:rsid w:val="00265550"/>
    <w:rsid w:val="00266C26"/>
    <w:rsid w:val="00266CF8"/>
    <w:rsid w:val="00266F5D"/>
    <w:rsid w:val="002671D4"/>
    <w:rsid w:val="00267644"/>
    <w:rsid w:val="002677F1"/>
    <w:rsid w:val="00267F71"/>
    <w:rsid w:val="00270A25"/>
    <w:rsid w:val="00271079"/>
    <w:rsid w:val="00271155"/>
    <w:rsid w:val="0027168E"/>
    <w:rsid w:val="002718F5"/>
    <w:rsid w:val="002726B3"/>
    <w:rsid w:val="00272FEC"/>
    <w:rsid w:val="0027452A"/>
    <w:rsid w:val="00274E5A"/>
    <w:rsid w:val="00275458"/>
    <w:rsid w:val="00275C9C"/>
    <w:rsid w:val="00275DD0"/>
    <w:rsid w:val="002762D8"/>
    <w:rsid w:val="002762F5"/>
    <w:rsid w:val="00276969"/>
    <w:rsid w:val="002771EC"/>
    <w:rsid w:val="002777DD"/>
    <w:rsid w:val="00280506"/>
    <w:rsid w:val="002806BD"/>
    <w:rsid w:val="00280A57"/>
    <w:rsid w:val="00280F48"/>
    <w:rsid w:val="0028107C"/>
    <w:rsid w:val="002811F1"/>
    <w:rsid w:val="002813A8"/>
    <w:rsid w:val="002816B2"/>
    <w:rsid w:val="00282370"/>
    <w:rsid w:val="002825FF"/>
    <w:rsid w:val="00282DEE"/>
    <w:rsid w:val="002830D6"/>
    <w:rsid w:val="002838C3"/>
    <w:rsid w:val="00283C4B"/>
    <w:rsid w:val="00284948"/>
    <w:rsid w:val="00284BEB"/>
    <w:rsid w:val="00284C3E"/>
    <w:rsid w:val="00285148"/>
    <w:rsid w:val="0028595B"/>
    <w:rsid w:val="00285A19"/>
    <w:rsid w:val="00285C73"/>
    <w:rsid w:val="00286102"/>
    <w:rsid w:val="002863AC"/>
    <w:rsid w:val="002873BA"/>
    <w:rsid w:val="00290650"/>
    <w:rsid w:val="00290A0E"/>
    <w:rsid w:val="00290CE1"/>
    <w:rsid w:val="002916F0"/>
    <w:rsid w:val="002917AD"/>
    <w:rsid w:val="002917B7"/>
    <w:rsid w:val="002924D0"/>
    <w:rsid w:val="002925D4"/>
    <w:rsid w:val="00292B79"/>
    <w:rsid w:val="0029369A"/>
    <w:rsid w:val="0029498A"/>
    <w:rsid w:val="002950FE"/>
    <w:rsid w:val="00295CDB"/>
    <w:rsid w:val="00295D7F"/>
    <w:rsid w:val="00296631"/>
    <w:rsid w:val="00296FC5"/>
    <w:rsid w:val="002A0153"/>
    <w:rsid w:val="002A0ED5"/>
    <w:rsid w:val="002A20D4"/>
    <w:rsid w:val="002A2D8D"/>
    <w:rsid w:val="002A3217"/>
    <w:rsid w:val="002A359F"/>
    <w:rsid w:val="002A407F"/>
    <w:rsid w:val="002A5472"/>
    <w:rsid w:val="002A5908"/>
    <w:rsid w:val="002A593B"/>
    <w:rsid w:val="002A5BC0"/>
    <w:rsid w:val="002A5D55"/>
    <w:rsid w:val="002A5E4D"/>
    <w:rsid w:val="002A6413"/>
    <w:rsid w:val="002A6714"/>
    <w:rsid w:val="002A6855"/>
    <w:rsid w:val="002A6B99"/>
    <w:rsid w:val="002A74E0"/>
    <w:rsid w:val="002A7A99"/>
    <w:rsid w:val="002B033F"/>
    <w:rsid w:val="002B1321"/>
    <w:rsid w:val="002B2F40"/>
    <w:rsid w:val="002B399B"/>
    <w:rsid w:val="002B3A33"/>
    <w:rsid w:val="002B3C84"/>
    <w:rsid w:val="002B3DFD"/>
    <w:rsid w:val="002B4202"/>
    <w:rsid w:val="002B4E09"/>
    <w:rsid w:val="002B6340"/>
    <w:rsid w:val="002B6E13"/>
    <w:rsid w:val="002B7192"/>
    <w:rsid w:val="002B73E8"/>
    <w:rsid w:val="002C0253"/>
    <w:rsid w:val="002C0479"/>
    <w:rsid w:val="002C079E"/>
    <w:rsid w:val="002C0AE2"/>
    <w:rsid w:val="002C14B7"/>
    <w:rsid w:val="002C14F9"/>
    <w:rsid w:val="002C15AA"/>
    <w:rsid w:val="002C1F09"/>
    <w:rsid w:val="002C1FD8"/>
    <w:rsid w:val="002C2014"/>
    <w:rsid w:val="002C241F"/>
    <w:rsid w:val="002C24DE"/>
    <w:rsid w:val="002C2F7A"/>
    <w:rsid w:val="002C2FB6"/>
    <w:rsid w:val="002C36AA"/>
    <w:rsid w:val="002C3B50"/>
    <w:rsid w:val="002C484C"/>
    <w:rsid w:val="002C488C"/>
    <w:rsid w:val="002C4B3A"/>
    <w:rsid w:val="002C602A"/>
    <w:rsid w:val="002C63E9"/>
    <w:rsid w:val="002C6FBF"/>
    <w:rsid w:val="002C740C"/>
    <w:rsid w:val="002C7F04"/>
    <w:rsid w:val="002C7F2C"/>
    <w:rsid w:val="002D017C"/>
    <w:rsid w:val="002D030E"/>
    <w:rsid w:val="002D1A5D"/>
    <w:rsid w:val="002D29D4"/>
    <w:rsid w:val="002D2EB3"/>
    <w:rsid w:val="002D36C9"/>
    <w:rsid w:val="002D3A89"/>
    <w:rsid w:val="002D3C07"/>
    <w:rsid w:val="002D4A79"/>
    <w:rsid w:val="002D5393"/>
    <w:rsid w:val="002D5ECF"/>
    <w:rsid w:val="002D6316"/>
    <w:rsid w:val="002D632C"/>
    <w:rsid w:val="002D7151"/>
    <w:rsid w:val="002D7588"/>
    <w:rsid w:val="002D7DE1"/>
    <w:rsid w:val="002E030F"/>
    <w:rsid w:val="002E0EE2"/>
    <w:rsid w:val="002E14E2"/>
    <w:rsid w:val="002E2B10"/>
    <w:rsid w:val="002E2EF3"/>
    <w:rsid w:val="002E32ED"/>
    <w:rsid w:val="002E3367"/>
    <w:rsid w:val="002E4D0E"/>
    <w:rsid w:val="002E54A8"/>
    <w:rsid w:val="002E5800"/>
    <w:rsid w:val="002E651A"/>
    <w:rsid w:val="002E67C5"/>
    <w:rsid w:val="002E6986"/>
    <w:rsid w:val="002E6BB6"/>
    <w:rsid w:val="002E6EBA"/>
    <w:rsid w:val="002E7152"/>
    <w:rsid w:val="002E7D0A"/>
    <w:rsid w:val="002E7EF5"/>
    <w:rsid w:val="002E7F40"/>
    <w:rsid w:val="002F0B34"/>
    <w:rsid w:val="002F1025"/>
    <w:rsid w:val="002F1D72"/>
    <w:rsid w:val="002F24EA"/>
    <w:rsid w:val="002F2A01"/>
    <w:rsid w:val="002F3583"/>
    <w:rsid w:val="002F4530"/>
    <w:rsid w:val="002F466C"/>
    <w:rsid w:val="002F4747"/>
    <w:rsid w:val="002F4C4D"/>
    <w:rsid w:val="002F5C9C"/>
    <w:rsid w:val="002F5D9B"/>
    <w:rsid w:val="002F62E0"/>
    <w:rsid w:val="002F64D6"/>
    <w:rsid w:val="002F665E"/>
    <w:rsid w:val="002F69B3"/>
    <w:rsid w:val="002F6B52"/>
    <w:rsid w:val="002F7071"/>
    <w:rsid w:val="00300ECA"/>
    <w:rsid w:val="0030131D"/>
    <w:rsid w:val="00301964"/>
    <w:rsid w:val="00301EA8"/>
    <w:rsid w:val="00302ABD"/>
    <w:rsid w:val="00302FE8"/>
    <w:rsid w:val="00303139"/>
    <w:rsid w:val="0030352F"/>
    <w:rsid w:val="00303BFB"/>
    <w:rsid w:val="0030446E"/>
    <w:rsid w:val="00304957"/>
    <w:rsid w:val="003049E5"/>
    <w:rsid w:val="00304A70"/>
    <w:rsid w:val="00304FF2"/>
    <w:rsid w:val="00305DE6"/>
    <w:rsid w:val="00306F01"/>
    <w:rsid w:val="00306F13"/>
    <w:rsid w:val="003070DF"/>
    <w:rsid w:val="003073C5"/>
    <w:rsid w:val="00307624"/>
    <w:rsid w:val="003077EE"/>
    <w:rsid w:val="00307893"/>
    <w:rsid w:val="00307FFB"/>
    <w:rsid w:val="003101D1"/>
    <w:rsid w:val="00311398"/>
    <w:rsid w:val="003115CC"/>
    <w:rsid w:val="003117A9"/>
    <w:rsid w:val="003117B6"/>
    <w:rsid w:val="00311D88"/>
    <w:rsid w:val="00312BE0"/>
    <w:rsid w:val="0031369E"/>
    <w:rsid w:val="00314B0C"/>
    <w:rsid w:val="003151E9"/>
    <w:rsid w:val="003160C0"/>
    <w:rsid w:val="0031618B"/>
    <w:rsid w:val="00316938"/>
    <w:rsid w:val="00316CCB"/>
    <w:rsid w:val="00316CD2"/>
    <w:rsid w:val="00317065"/>
    <w:rsid w:val="00317509"/>
    <w:rsid w:val="0031761D"/>
    <w:rsid w:val="00317AD3"/>
    <w:rsid w:val="0032026C"/>
    <w:rsid w:val="00320BF8"/>
    <w:rsid w:val="00321539"/>
    <w:rsid w:val="00321C03"/>
    <w:rsid w:val="00322018"/>
    <w:rsid w:val="00322EA8"/>
    <w:rsid w:val="00323C24"/>
    <w:rsid w:val="003244C9"/>
    <w:rsid w:val="00324C2B"/>
    <w:rsid w:val="0032623E"/>
    <w:rsid w:val="003274C1"/>
    <w:rsid w:val="00327A6E"/>
    <w:rsid w:val="00327ED7"/>
    <w:rsid w:val="0033016F"/>
    <w:rsid w:val="003305CE"/>
    <w:rsid w:val="00330649"/>
    <w:rsid w:val="00330909"/>
    <w:rsid w:val="003316AE"/>
    <w:rsid w:val="00331CDA"/>
    <w:rsid w:val="003325A5"/>
    <w:rsid w:val="003344C4"/>
    <w:rsid w:val="00334C5D"/>
    <w:rsid w:val="00335A5A"/>
    <w:rsid w:val="0033627C"/>
    <w:rsid w:val="00336C40"/>
    <w:rsid w:val="00337350"/>
    <w:rsid w:val="0033781E"/>
    <w:rsid w:val="0034043D"/>
    <w:rsid w:val="003406EC"/>
    <w:rsid w:val="0034096A"/>
    <w:rsid w:val="00340B13"/>
    <w:rsid w:val="003412DE"/>
    <w:rsid w:val="00341313"/>
    <w:rsid w:val="00341625"/>
    <w:rsid w:val="0034233E"/>
    <w:rsid w:val="00342D3E"/>
    <w:rsid w:val="003431D9"/>
    <w:rsid w:val="00343CBB"/>
    <w:rsid w:val="003446F7"/>
    <w:rsid w:val="00344F8D"/>
    <w:rsid w:val="003456AE"/>
    <w:rsid w:val="00345EB6"/>
    <w:rsid w:val="00347316"/>
    <w:rsid w:val="003477A1"/>
    <w:rsid w:val="003503F8"/>
    <w:rsid w:val="003505D4"/>
    <w:rsid w:val="003507BB"/>
    <w:rsid w:val="00350A1B"/>
    <w:rsid w:val="00350F4E"/>
    <w:rsid w:val="003512B6"/>
    <w:rsid w:val="00351594"/>
    <w:rsid w:val="0035224A"/>
    <w:rsid w:val="00354869"/>
    <w:rsid w:val="00355638"/>
    <w:rsid w:val="0035591E"/>
    <w:rsid w:val="00355E8E"/>
    <w:rsid w:val="0035600E"/>
    <w:rsid w:val="003562FD"/>
    <w:rsid w:val="003563ED"/>
    <w:rsid w:val="003569A2"/>
    <w:rsid w:val="00356AAD"/>
    <w:rsid w:val="00357441"/>
    <w:rsid w:val="0035754B"/>
    <w:rsid w:val="00357A73"/>
    <w:rsid w:val="00357A7A"/>
    <w:rsid w:val="0036050F"/>
    <w:rsid w:val="00360576"/>
    <w:rsid w:val="0036102D"/>
    <w:rsid w:val="00361AD5"/>
    <w:rsid w:val="00361AFA"/>
    <w:rsid w:val="00362009"/>
    <w:rsid w:val="00362453"/>
    <w:rsid w:val="0036250E"/>
    <w:rsid w:val="00362E34"/>
    <w:rsid w:val="003630F6"/>
    <w:rsid w:val="00363654"/>
    <w:rsid w:val="003636EF"/>
    <w:rsid w:val="00363773"/>
    <w:rsid w:val="00363984"/>
    <w:rsid w:val="00363A42"/>
    <w:rsid w:val="00363B8B"/>
    <w:rsid w:val="00364200"/>
    <w:rsid w:val="003643DB"/>
    <w:rsid w:val="00364C04"/>
    <w:rsid w:val="0036569E"/>
    <w:rsid w:val="00365C33"/>
    <w:rsid w:val="003669D3"/>
    <w:rsid w:val="0036771A"/>
    <w:rsid w:val="0037108A"/>
    <w:rsid w:val="003713AC"/>
    <w:rsid w:val="0037148D"/>
    <w:rsid w:val="0037174E"/>
    <w:rsid w:val="003723D9"/>
    <w:rsid w:val="00372806"/>
    <w:rsid w:val="00372871"/>
    <w:rsid w:val="00372C44"/>
    <w:rsid w:val="00372F77"/>
    <w:rsid w:val="00373E91"/>
    <w:rsid w:val="0037439D"/>
    <w:rsid w:val="00374565"/>
    <w:rsid w:val="0037506B"/>
    <w:rsid w:val="00375A7A"/>
    <w:rsid w:val="00375FC7"/>
    <w:rsid w:val="0037610C"/>
    <w:rsid w:val="00376B98"/>
    <w:rsid w:val="00376E10"/>
    <w:rsid w:val="0037769D"/>
    <w:rsid w:val="00377FC6"/>
    <w:rsid w:val="003833BF"/>
    <w:rsid w:val="003835E7"/>
    <w:rsid w:val="003841B9"/>
    <w:rsid w:val="0038544F"/>
    <w:rsid w:val="00385F7A"/>
    <w:rsid w:val="00386439"/>
    <w:rsid w:val="003865C8"/>
    <w:rsid w:val="0038700A"/>
    <w:rsid w:val="003873DD"/>
    <w:rsid w:val="00387469"/>
    <w:rsid w:val="003903E1"/>
    <w:rsid w:val="00391185"/>
    <w:rsid w:val="003915F5"/>
    <w:rsid w:val="003923D6"/>
    <w:rsid w:val="0039274C"/>
    <w:rsid w:val="0039409D"/>
    <w:rsid w:val="003944EB"/>
    <w:rsid w:val="003946E4"/>
    <w:rsid w:val="003951F6"/>
    <w:rsid w:val="0039680E"/>
    <w:rsid w:val="00397D5F"/>
    <w:rsid w:val="003A017F"/>
    <w:rsid w:val="003A0E33"/>
    <w:rsid w:val="003A176F"/>
    <w:rsid w:val="003A1DD4"/>
    <w:rsid w:val="003A2F39"/>
    <w:rsid w:val="003A36A2"/>
    <w:rsid w:val="003A3A1F"/>
    <w:rsid w:val="003A3C24"/>
    <w:rsid w:val="003A469A"/>
    <w:rsid w:val="003A5A29"/>
    <w:rsid w:val="003A6188"/>
    <w:rsid w:val="003A7EDB"/>
    <w:rsid w:val="003B029F"/>
    <w:rsid w:val="003B039B"/>
    <w:rsid w:val="003B0497"/>
    <w:rsid w:val="003B1AC1"/>
    <w:rsid w:val="003B260A"/>
    <w:rsid w:val="003B2ABD"/>
    <w:rsid w:val="003B2CB3"/>
    <w:rsid w:val="003B2F48"/>
    <w:rsid w:val="003B2F4F"/>
    <w:rsid w:val="003B3F46"/>
    <w:rsid w:val="003B4079"/>
    <w:rsid w:val="003B53FE"/>
    <w:rsid w:val="003B5850"/>
    <w:rsid w:val="003B5C56"/>
    <w:rsid w:val="003B5D5C"/>
    <w:rsid w:val="003B6F56"/>
    <w:rsid w:val="003C04CE"/>
    <w:rsid w:val="003C07D8"/>
    <w:rsid w:val="003C1223"/>
    <w:rsid w:val="003C12D6"/>
    <w:rsid w:val="003C18E2"/>
    <w:rsid w:val="003C19D2"/>
    <w:rsid w:val="003C1AF9"/>
    <w:rsid w:val="003C1C55"/>
    <w:rsid w:val="003C1D6C"/>
    <w:rsid w:val="003C1F6D"/>
    <w:rsid w:val="003C2821"/>
    <w:rsid w:val="003C38E2"/>
    <w:rsid w:val="003C3FED"/>
    <w:rsid w:val="003C4394"/>
    <w:rsid w:val="003C499E"/>
    <w:rsid w:val="003C49C1"/>
    <w:rsid w:val="003C4F00"/>
    <w:rsid w:val="003C508A"/>
    <w:rsid w:val="003C5435"/>
    <w:rsid w:val="003C55F2"/>
    <w:rsid w:val="003C5A23"/>
    <w:rsid w:val="003C6387"/>
    <w:rsid w:val="003C668E"/>
    <w:rsid w:val="003C6B96"/>
    <w:rsid w:val="003C79E5"/>
    <w:rsid w:val="003D021A"/>
    <w:rsid w:val="003D0B7F"/>
    <w:rsid w:val="003D1560"/>
    <w:rsid w:val="003D246F"/>
    <w:rsid w:val="003D28B9"/>
    <w:rsid w:val="003D3109"/>
    <w:rsid w:val="003D393D"/>
    <w:rsid w:val="003D3F35"/>
    <w:rsid w:val="003D45A9"/>
    <w:rsid w:val="003D4C45"/>
    <w:rsid w:val="003D4EED"/>
    <w:rsid w:val="003D4F87"/>
    <w:rsid w:val="003D5D10"/>
    <w:rsid w:val="003D5D65"/>
    <w:rsid w:val="003D6B5E"/>
    <w:rsid w:val="003D701B"/>
    <w:rsid w:val="003D7A78"/>
    <w:rsid w:val="003E17E9"/>
    <w:rsid w:val="003E227B"/>
    <w:rsid w:val="003E22BA"/>
    <w:rsid w:val="003E27D2"/>
    <w:rsid w:val="003E280C"/>
    <w:rsid w:val="003E293A"/>
    <w:rsid w:val="003E3332"/>
    <w:rsid w:val="003E3980"/>
    <w:rsid w:val="003E7A30"/>
    <w:rsid w:val="003F0029"/>
    <w:rsid w:val="003F004B"/>
    <w:rsid w:val="003F1447"/>
    <w:rsid w:val="003F324E"/>
    <w:rsid w:val="003F33BE"/>
    <w:rsid w:val="003F398A"/>
    <w:rsid w:val="003F3C7B"/>
    <w:rsid w:val="003F40BA"/>
    <w:rsid w:val="003F453E"/>
    <w:rsid w:val="003F568E"/>
    <w:rsid w:val="003F6334"/>
    <w:rsid w:val="003F72E1"/>
    <w:rsid w:val="003F7460"/>
    <w:rsid w:val="003F7DFB"/>
    <w:rsid w:val="003F7FB0"/>
    <w:rsid w:val="004002C0"/>
    <w:rsid w:val="004002C8"/>
    <w:rsid w:val="00400A4C"/>
    <w:rsid w:val="004011E9"/>
    <w:rsid w:val="0040191A"/>
    <w:rsid w:val="004024A0"/>
    <w:rsid w:val="00402563"/>
    <w:rsid w:val="00402706"/>
    <w:rsid w:val="00402B76"/>
    <w:rsid w:val="00402E12"/>
    <w:rsid w:val="004038CE"/>
    <w:rsid w:val="004042E4"/>
    <w:rsid w:val="00404331"/>
    <w:rsid w:val="00404C4F"/>
    <w:rsid w:val="00404E9E"/>
    <w:rsid w:val="00405081"/>
    <w:rsid w:val="0040536A"/>
    <w:rsid w:val="004061B0"/>
    <w:rsid w:val="0040662E"/>
    <w:rsid w:val="00406737"/>
    <w:rsid w:val="00406777"/>
    <w:rsid w:val="00407041"/>
    <w:rsid w:val="00407B2C"/>
    <w:rsid w:val="00407DC7"/>
    <w:rsid w:val="00410A75"/>
    <w:rsid w:val="00410B61"/>
    <w:rsid w:val="00410F7A"/>
    <w:rsid w:val="00410F84"/>
    <w:rsid w:val="00411322"/>
    <w:rsid w:val="00411A6B"/>
    <w:rsid w:val="00411B47"/>
    <w:rsid w:val="00411CE9"/>
    <w:rsid w:val="00411DBB"/>
    <w:rsid w:val="00412178"/>
    <w:rsid w:val="00412425"/>
    <w:rsid w:val="004125F9"/>
    <w:rsid w:val="00414438"/>
    <w:rsid w:val="00414E78"/>
    <w:rsid w:val="00415884"/>
    <w:rsid w:val="00415A5B"/>
    <w:rsid w:val="00415AA9"/>
    <w:rsid w:val="00415ED5"/>
    <w:rsid w:val="00416F4A"/>
    <w:rsid w:val="004175FC"/>
    <w:rsid w:val="004205CE"/>
    <w:rsid w:val="004205DF"/>
    <w:rsid w:val="004206A9"/>
    <w:rsid w:val="004209E4"/>
    <w:rsid w:val="004219A7"/>
    <w:rsid w:val="00421C3C"/>
    <w:rsid w:val="00422355"/>
    <w:rsid w:val="00422C09"/>
    <w:rsid w:val="0042437E"/>
    <w:rsid w:val="00424D68"/>
    <w:rsid w:val="00425149"/>
    <w:rsid w:val="00425694"/>
    <w:rsid w:val="00425A04"/>
    <w:rsid w:val="004261D4"/>
    <w:rsid w:val="00426E4A"/>
    <w:rsid w:val="00426EB7"/>
    <w:rsid w:val="004271F0"/>
    <w:rsid w:val="00427525"/>
    <w:rsid w:val="004304DF"/>
    <w:rsid w:val="00430539"/>
    <w:rsid w:val="004309B1"/>
    <w:rsid w:val="00430C23"/>
    <w:rsid w:val="004312B6"/>
    <w:rsid w:val="004329F0"/>
    <w:rsid w:val="00432DE5"/>
    <w:rsid w:val="00433014"/>
    <w:rsid w:val="00433922"/>
    <w:rsid w:val="00433E76"/>
    <w:rsid w:val="00433F84"/>
    <w:rsid w:val="004345FF"/>
    <w:rsid w:val="004349B4"/>
    <w:rsid w:val="00435416"/>
    <w:rsid w:val="004357DB"/>
    <w:rsid w:val="00435AC2"/>
    <w:rsid w:val="00435B0D"/>
    <w:rsid w:val="00435D1F"/>
    <w:rsid w:val="0043601F"/>
    <w:rsid w:val="0043764B"/>
    <w:rsid w:val="00437F7A"/>
    <w:rsid w:val="00440145"/>
    <w:rsid w:val="0044034D"/>
    <w:rsid w:val="00440BC4"/>
    <w:rsid w:val="00440C9F"/>
    <w:rsid w:val="00440F16"/>
    <w:rsid w:val="00441890"/>
    <w:rsid w:val="00441C22"/>
    <w:rsid w:val="004422EA"/>
    <w:rsid w:val="00442716"/>
    <w:rsid w:val="00443C62"/>
    <w:rsid w:val="0044638C"/>
    <w:rsid w:val="00446642"/>
    <w:rsid w:val="00447215"/>
    <w:rsid w:val="0044738D"/>
    <w:rsid w:val="004479F4"/>
    <w:rsid w:val="00450261"/>
    <w:rsid w:val="004504D9"/>
    <w:rsid w:val="004507F7"/>
    <w:rsid w:val="00450AD4"/>
    <w:rsid w:val="004512F9"/>
    <w:rsid w:val="00451324"/>
    <w:rsid w:val="00451B12"/>
    <w:rsid w:val="0045313F"/>
    <w:rsid w:val="00453197"/>
    <w:rsid w:val="0045386C"/>
    <w:rsid w:val="00453992"/>
    <w:rsid w:val="00453C32"/>
    <w:rsid w:val="00454095"/>
    <w:rsid w:val="004549C1"/>
    <w:rsid w:val="00454F07"/>
    <w:rsid w:val="0045625B"/>
    <w:rsid w:val="00456DF4"/>
    <w:rsid w:val="00456F42"/>
    <w:rsid w:val="0045746D"/>
    <w:rsid w:val="00457E44"/>
    <w:rsid w:val="004615D7"/>
    <w:rsid w:val="00461AB1"/>
    <w:rsid w:val="00462241"/>
    <w:rsid w:val="00462473"/>
    <w:rsid w:val="004629DB"/>
    <w:rsid w:val="00463391"/>
    <w:rsid w:val="0046349F"/>
    <w:rsid w:val="00463623"/>
    <w:rsid w:val="004643AD"/>
    <w:rsid w:val="004643B9"/>
    <w:rsid w:val="0046479D"/>
    <w:rsid w:val="00464962"/>
    <w:rsid w:val="00464E9E"/>
    <w:rsid w:val="004658DA"/>
    <w:rsid w:val="0046632D"/>
    <w:rsid w:val="00466723"/>
    <w:rsid w:val="00471CF7"/>
    <w:rsid w:val="004722D5"/>
    <w:rsid w:val="004725E4"/>
    <w:rsid w:val="00472928"/>
    <w:rsid w:val="00472970"/>
    <w:rsid w:val="00472AC5"/>
    <w:rsid w:val="00472EE6"/>
    <w:rsid w:val="004730A5"/>
    <w:rsid w:val="0047416D"/>
    <w:rsid w:val="004742EC"/>
    <w:rsid w:val="00474367"/>
    <w:rsid w:val="00474AB4"/>
    <w:rsid w:val="00476630"/>
    <w:rsid w:val="0047695A"/>
    <w:rsid w:val="00477078"/>
    <w:rsid w:val="00477448"/>
    <w:rsid w:val="00477633"/>
    <w:rsid w:val="00480312"/>
    <w:rsid w:val="0048045D"/>
    <w:rsid w:val="00480C4C"/>
    <w:rsid w:val="0048178D"/>
    <w:rsid w:val="00482CA6"/>
    <w:rsid w:val="00483113"/>
    <w:rsid w:val="00483A59"/>
    <w:rsid w:val="004841B2"/>
    <w:rsid w:val="004842B5"/>
    <w:rsid w:val="00484388"/>
    <w:rsid w:val="00484F0D"/>
    <w:rsid w:val="004850DD"/>
    <w:rsid w:val="004857B6"/>
    <w:rsid w:val="00485C0D"/>
    <w:rsid w:val="00486A5E"/>
    <w:rsid w:val="00486E20"/>
    <w:rsid w:val="0048700B"/>
    <w:rsid w:val="00487B0B"/>
    <w:rsid w:val="00491824"/>
    <w:rsid w:val="004929CB"/>
    <w:rsid w:val="00492CA7"/>
    <w:rsid w:val="00493545"/>
    <w:rsid w:val="004936FF"/>
    <w:rsid w:val="00493B32"/>
    <w:rsid w:val="004942CE"/>
    <w:rsid w:val="0049436F"/>
    <w:rsid w:val="004943F3"/>
    <w:rsid w:val="004945FC"/>
    <w:rsid w:val="00494CDF"/>
    <w:rsid w:val="0049539F"/>
    <w:rsid w:val="00495D03"/>
    <w:rsid w:val="00496784"/>
    <w:rsid w:val="00496D89"/>
    <w:rsid w:val="00496EC5"/>
    <w:rsid w:val="00496FD6"/>
    <w:rsid w:val="0049701F"/>
    <w:rsid w:val="00497427"/>
    <w:rsid w:val="0049770D"/>
    <w:rsid w:val="00497B6A"/>
    <w:rsid w:val="00497D41"/>
    <w:rsid w:val="00497FAC"/>
    <w:rsid w:val="004A0100"/>
    <w:rsid w:val="004A036F"/>
    <w:rsid w:val="004A07A5"/>
    <w:rsid w:val="004A1869"/>
    <w:rsid w:val="004A1F9A"/>
    <w:rsid w:val="004A2705"/>
    <w:rsid w:val="004A3222"/>
    <w:rsid w:val="004A39D2"/>
    <w:rsid w:val="004A4158"/>
    <w:rsid w:val="004A4805"/>
    <w:rsid w:val="004A541F"/>
    <w:rsid w:val="004A6196"/>
    <w:rsid w:val="004A62FE"/>
    <w:rsid w:val="004A6BB4"/>
    <w:rsid w:val="004A7AFB"/>
    <w:rsid w:val="004A7DB9"/>
    <w:rsid w:val="004B0236"/>
    <w:rsid w:val="004B0B11"/>
    <w:rsid w:val="004B0E5C"/>
    <w:rsid w:val="004B18CE"/>
    <w:rsid w:val="004B2F09"/>
    <w:rsid w:val="004B40DC"/>
    <w:rsid w:val="004B428E"/>
    <w:rsid w:val="004B45D2"/>
    <w:rsid w:val="004B4CD4"/>
    <w:rsid w:val="004B4D19"/>
    <w:rsid w:val="004B5587"/>
    <w:rsid w:val="004B5673"/>
    <w:rsid w:val="004B57E0"/>
    <w:rsid w:val="004B5DE9"/>
    <w:rsid w:val="004B6525"/>
    <w:rsid w:val="004C025D"/>
    <w:rsid w:val="004C28E4"/>
    <w:rsid w:val="004C3C62"/>
    <w:rsid w:val="004C4916"/>
    <w:rsid w:val="004C4AA0"/>
    <w:rsid w:val="004C513B"/>
    <w:rsid w:val="004C5B24"/>
    <w:rsid w:val="004C5BF5"/>
    <w:rsid w:val="004C5D77"/>
    <w:rsid w:val="004C602B"/>
    <w:rsid w:val="004C604A"/>
    <w:rsid w:val="004C6CA4"/>
    <w:rsid w:val="004C6D78"/>
    <w:rsid w:val="004C76B9"/>
    <w:rsid w:val="004C7B0F"/>
    <w:rsid w:val="004C7E09"/>
    <w:rsid w:val="004D06B0"/>
    <w:rsid w:val="004D0A0E"/>
    <w:rsid w:val="004D0A3A"/>
    <w:rsid w:val="004D1437"/>
    <w:rsid w:val="004D1CDB"/>
    <w:rsid w:val="004D3D80"/>
    <w:rsid w:val="004D3F5F"/>
    <w:rsid w:val="004D4853"/>
    <w:rsid w:val="004D4B6C"/>
    <w:rsid w:val="004D5846"/>
    <w:rsid w:val="004D69DD"/>
    <w:rsid w:val="004D6E83"/>
    <w:rsid w:val="004D702C"/>
    <w:rsid w:val="004D7820"/>
    <w:rsid w:val="004D7D52"/>
    <w:rsid w:val="004E0362"/>
    <w:rsid w:val="004E0A7D"/>
    <w:rsid w:val="004E100B"/>
    <w:rsid w:val="004E1438"/>
    <w:rsid w:val="004E23C5"/>
    <w:rsid w:val="004E31F7"/>
    <w:rsid w:val="004E328C"/>
    <w:rsid w:val="004E3353"/>
    <w:rsid w:val="004E349D"/>
    <w:rsid w:val="004E3660"/>
    <w:rsid w:val="004E4C4B"/>
    <w:rsid w:val="004E58AF"/>
    <w:rsid w:val="004E608C"/>
    <w:rsid w:val="004E6E9F"/>
    <w:rsid w:val="004E791D"/>
    <w:rsid w:val="004E7A09"/>
    <w:rsid w:val="004F0466"/>
    <w:rsid w:val="004F2250"/>
    <w:rsid w:val="004F2A85"/>
    <w:rsid w:val="004F3BC0"/>
    <w:rsid w:val="004F3D76"/>
    <w:rsid w:val="004F3E83"/>
    <w:rsid w:val="004F4CB4"/>
    <w:rsid w:val="004F4D58"/>
    <w:rsid w:val="004F69EB"/>
    <w:rsid w:val="004F6A78"/>
    <w:rsid w:val="004F73F0"/>
    <w:rsid w:val="00500EC4"/>
    <w:rsid w:val="0050151F"/>
    <w:rsid w:val="00501528"/>
    <w:rsid w:val="00502960"/>
    <w:rsid w:val="005033DF"/>
    <w:rsid w:val="00503BF3"/>
    <w:rsid w:val="0050515F"/>
    <w:rsid w:val="00505422"/>
    <w:rsid w:val="00506B83"/>
    <w:rsid w:val="00506D36"/>
    <w:rsid w:val="00506D4B"/>
    <w:rsid w:val="00506F02"/>
    <w:rsid w:val="00507564"/>
    <w:rsid w:val="00507A59"/>
    <w:rsid w:val="00507EA7"/>
    <w:rsid w:val="00510263"/>
    <w:rsid w:val="005109DA"/>
    <w:rsid w:val="00510B52"/>
    <w:rsid w:val="005118F4"/>
    <w:rsid w:val="005119D6"/>
    <w:rsid w:val="00512D0E"/>
    <w:rsid w:val="00513128"/>
    <w:rsid w:val="005137F5"/>
    <w:rsid w:val="005139D5"/>
    <w:rsid w:val="00513F32"/>
    <w:rsid w:val="005140F7"/>
    <w:rsid w:val="00514226"/>
    <w:rsid w:val="005143F2"/>
    <w:rsid w:val="00514721"/>
    <w:rsid w:val="00515BD0"/>
    <w:rsid w:val="00515C72"/>
    <w:rsid w:val="00516098"/>
    <w:rsid w:val="00516CE1"/>
    <w:rsid w:val="0051748C"/>
    <w:rsid w:val="005178D2"/>
    <w:rsid w:val="00517B54"/>
    <w:rsid w:val="00520298"/>
    <w:rsid w:val="0052095D"/>
    <w:rsid w:val="00520EF6"/>
    <w:rsid w:val="005223CA"/>
    <w:rsid w:val="00522A34"/>
    <w:rsid w:val="00522BC6"/>
    <w:rsid w:val="00522C23"/>
    <w:rsid w:val="0052309C"/>
    <w:rsid w:val="00523670"/>
    <w:rsid w:val="00523878"/>
    <w:rsid w:val="00523ACE"/>
    <w:rsid w:val="0052434A"/>
    <w:rsid w:val="00524ECF"/>
    <w:rsid w:val="00525D8E"/>
    <w:rsid w:val="00526281"/>
    <w:rsid w:val="00527709"/>
    <w:rsid w:val="005308CA"/>
    <w:rsid w:val="00531136"/>
    <w:rsid w:val="0053187E"/>
    <w:rsid w:val="00531A1C"/>
    <w:rsid w:val="00531BDA"/>
    <w:rsid w:val="005321ED"/>
    <w:rsid w:val="005331D8"/>
    <w:rsid w:val="00533341"/>
    <w:rsid w:val="00534996"/>
    <w:rsid w:val="00534EE0"/>
    <w:rsid w:val="005350E8"/>
    <w:rsid w:val="00536A90"/>
    <w:rsid w:val="00536B68"/>
    <w:rsid w:val="00536DCD"/>
    <w:rsid w:val="005376FF"/>
    <w:rsid w:val="005403EA"/>
    <w:rsid w:val="0054058B"/>
    <w:rsid w:val="00540B9E"/>
    <w:rsid w:val="00540BD8"/>
    <w:rsid w:val="00540C2E"/>
    <w:rsid w:val="005418A4"/>
    <w:rsid w:val="005418B2"/>
    <w:rsid w:val="00542273"/>
    <w:rsid w:val="00542568"/>
    <w:rsid w:val="0054306C"/>
    <w:rsid w:val="0054361B"/>
    <w:rsid w:val="00543774"/>
    <w:rsid w:val="005437B3"/>
    <w:rsid w:val="005438F5"/>
    <w:rsid w:val="00544168"/>
    <w:rsid w:val="0054494D"/>
    <w:rsid w:val="00544C51"/>
    <w:rsid w:val="00544D69"/>
    <w:rsid w:val="00544E8F"/>
    <w:rsid w:val="0054568D"/>
    <w:rsid w:val="00545818"/>
    <w:rsid w:val="005463DF"/>
    <w:rsid w:val="00546701"/>
    <w:rsid w:val="005467C8"/>
    <w:rsid w:val="00546DE1"/>
    <w:rsid w:val="005512B9"/>
    <w:rsid w:val="00551A19"/>
    <w:rsid w:val="00551DA6"/>
    <w:rsid w:val="00551F30"/>
    <w:rsid w:val="00552B63"/>
    <w:rsid w:val="00552C6E"/>
    <w:rsid w:val="0055340D"/>
    <w:rsid w:val="00553AC4"/>
    <w:rsid w:val="00553FF8"/>
    <w:rsid w:val="00554B58"/>
    <w:rsid w:val="005558BC"/>
    <w:rsid w:val="00555B2B"/>
    <w:rsid w:val="00555E5D"/>
    <w:rsid w:val="00557A49"/>
    <w:rsid w:val="00560596"/>
    <w:rsid w:val="00561117"/>
    <w:rsid w:val="005612BB"/>
    <w:rsid w:val="00561809"/>
    <w:rsid w:val="0056224E"/>
    <w:rsid w:val="00562930"/>
    <w:rsid w:val="00562EE4"/>
    <w:rsid w:val="0056369F"/>
    <w:rsid w:val="0056488F"/>
    <w:rsid w:val="00564A80"/>
    <w:rsid w:val="00564C68"/>
    <w:rsid w:val="005651F7"/>
    <w:rsid w:val="00565272"/>
    <w:rsid w:val="00565670"/>
    <w:rsid w:val="00565C8F"/>
    <w:rsid w:val="00566054"/>
    <w:rsid w:val="00566CE7"/>
    <w:rsid w:val="00566D2C"/>
    <w:rsid w:val="00570406"/>
    <w:rsid w:val="0057091D"/>
    <w:rsid w:val="00570DD7"/>
    <w:rsid w:val="00571319"/>
    <w:rsid w:val="00571B21"/>
    <w:rsid w:val="00572CA2"/>
    <w:rsid w:val="005739B8"/>
    <w:rsid w:val="0057410C"/>
    <w:rsid w:val="00575524"/>
    <w:rsid w:val="00576442"/>
    <w:rsid w:val="0057689D"/>
    <w:rsid w:val="00576CBB"/>
    <w:rsid w:val="0057754B"/>
    <w:rsid w:val="00577F94"/>
    <w:rsid w:val="0058010D"/>
    <w:rsid w:val="00581763"/>
    <w:rsid w:val="00581F48"/>
    <w:rsid w:val="005842C6"/>
    <w:rsid w:val="00585840"/>
    <w:rsid w:val="005859DA"/>
    <w:rsid w:val="00585EAE"/>
    <w:rsid w:val="00585FC7"/>
    <w:rsid w:val="00586168"/>
    <w:rsid w:val="0058769A"/>
    <w:rsid w:val="005876FE"/>
    <w:rsid w:val="00591855"/>
    <w:rsid w:val="005919EB"/>
    <w:rsid w:val="00591F34"/>
    <w:rsid w:val="00591F57"/>
    <w:rsid w:val="00592249"/>
    <w:rsid w:val="005926FB"/>
    <w:rsid w:val="005934D5"/>
    <w:rsid w:val="00594204"/>
    <w:rsid w:val="00594441"/>
    <w:rsid w:val="0059459A"/>
    <w:rsid w:val="005948BF"/>
    <w:rsid w:val="00594D32"/>
    <w:rsid w:val="00595150"/>
    <w:rsid w:val="005966A1"/>
    <w:rsid w:val="005968C9"/>
    <w:rsid w:val="0059741A"/>
    <w:rsid w:val="005A0126"/>
    <w:rsid w:val="005A0EBE"/>
    <w:rsid w:val="005A14F3"/>
    <w:rsid w:val="005A26B3"/>
    <w:rsid w:val="005A387F"/>
    <w:rsid w:val="005A5209"/>
    <w:rsid w:val="005A52A9"/>
    <w:rsid w:val="005A584E"/>
    <w:rsid w:val="005A5EBB"/>
    <w:rsid w:val="005A6179"/>
    <w:rsid w:val="005A70CE"/>
    <w:rsid w:val="005A7D44"/>
    <w:rsid w:val="005B0EBB"/>
    <w:rsid w:val="005B13FB"/>
    <w:rsid w:val="005B1AB6"/>
    <w:rsid w:val="005B1B91"/>
    <w:rsid w:val="005B1CE3"/>
    <w:rsid w:val="005B2A1D"/>
    <w:rsid w:val="005B38D9"/>
    <w:rsid w:val="005B3A54"/>
    <w:rsid w:val="005B3BD4"/>
    <w:rsid w:val="005B3EA0"/>
    <w:rsid w:val="005B5797"/>
    <w:rsid w:val="005B597E"/>
    <w:rsid w:val="005B6A27"/>
    <w:rsid w:val="005B6A6B"/>
    <w:rsid w:val="005B6C1B"/>
    <w:rsid w:val="005B7122"/>
    <w:rsid w:val="005B7276"/>
    <w:rsid w:val="005B7489"/>
    <w:rsid w:val="005B75F5"/>
    <w:rsid w:val="005C0205"/>
    <w:rsid w:val="005C0A39"/>
    <w:rsid w:val="005C0D68"/>
    <w:rsid w:val="005C13ED"/>
    <w:rsid w:val="005C178C"/>
    <w:rsid w:val="005C1D2E"/>
    <w:rsid w:val="005C22DC"/>
    <w:rsid w:val="005C406F"/>
    <w:rsid w:val="005C438A"/>
    <w:rsid w:val="005C448E"/>
    <w:rsid w:val="005C5292"/>
    <w:rsid w:val="005C54AD"/>
    <w:rsid w:val="005C642D"/>
    <w:rsid w:val="005C65B4"/>
    <w:rsid w:val="005C6FCC"/>
    <w:rsid w:val="005C74FE"/>
    <w:rsid w:val="005C7679"/>
    <w:rsid w:val="005D04C3"/>
    <w:rsid w:val="005D0D25"/>
    <w:rsid w:val="005D11A0"/>
    <w:rsid w:val="005D178C"/>
    <w:rsid w:val="005D1833"/>
    <w:rsid w:val="005D1C74"/>
    <w:rsid w:val="005D1D22"/>
    <w:rsid w:val="005D2B85"/>
    <w:rsid w:val="005D3109"/>
    <w:rsid w:val="005D33C9"/>
    <w:rsid w:val="005D4831"/>
    <w:rsid w:val="005D4CA3"/>
    <w:rsid w:val="005D4CAB"/>
    <w:rsid w:val="005D5A19"/>
    <w:rsid w:val="005D5D97"/>
    <w:rsid w:val="005D6244"/>
    <w:rsid w:val="005D64DE"/>
    <w:rsid w:val="005D683D"/>
    <w:rsid w:val="005D6D2E"/>
    <w:rsid w:val="005D7246"/>
    <w:rsid w:val="005D743F"/>
    <w:rsid w:val="005E0C22"/>
    <w:rsid w:val="005E103E"/>
    <w:rsid w:val="005E2051"/>
    <w:rsid w:val="005E3249"/>
    <w:rsid w:val="005E353E"/>
    <w:rsid w:val="005E3552"/>
    <w:rsid w:val="005E412A"/>
    <w:rsid w:val="005E4820"/>
    <w:rsid w:val="005E4BF2"/>
    <w:rsid w:val="005E574C"/>
    <w:rsid w:val="005E5881"/>
    <w:rsid w:val="005E58CD"/>
    <w:rsid w:val="005E63FF"/>
    <w:rsid w:val="005E65AA"/>
    <w:rsid w:val="005E6EAE"/>
    <w:rsid w:val="005E75CB"/>
    <w:rsid w:val="005E78D4"/>
    <w:rsid w:val="005F04D3"/>
    <w:rsid w:val="005F1B13"/>
    <w:rsid w:val="005F22A6"/>
    <w:rsid w:val="005F2A6D"/>
    <w:rsid w:val="005F33BD"/>
    <w:rsid w:val="005F3A7F"/>
    <w:rsid w:val="005F4072"/>
    <w:rsid w:val="005F42B7"/>
    <w:rsid w:val="005F4321"/>
    <w:rsid w:val="005F45D0"/>
    <w:rsid w:val="005F476E"/>
    <w:rsid w:val="005F59CA"/>
    <w:rsid w:val="005F5A49"/>
    <w:rsid w:val="005F5C3F"/>
    <w:rsid w:val="005F6449"/>
    <w:rsid w:val="005F647E"/>
    <w:rsid w:val="005F6522"/>
    <w:rsid w:val="005F68EE"/>
    <w:rsid w:val="005F6C28"/>
    <w:rsid w:val="005F70E1"/>
    <w:rsid w:val="005F7328"/>
    <w:rsid w:val="005F75A9"/>
    <w:rsid w:val="005F792C"/>
    <w:rsid w:val="005F7CF4"/>
    <w:rsid w:val="00600153"/>
    <w:rsid w:val="006009D8"/>
    <w:rsid w:val="00600B8E"/>
    <w:rsid w:val="00600E1E"/>
    <w:rsid w:val="0060104B"/>
    <w:rsid w:val="00601EFD"/>
    <w:rsid w:val="00602011"/>
    <w:rsid w:val="00602AE9"/>
    <w:rsid w:val="0060460E"/>
    <w:rsid w:val="006049F5"/>
    <w:rsid w:val="00604D65"/>
    <w:rsid w:val="00604E5E"/>
    <w:rsid w:val="00605002"/>
    <w:rsid w:val="0060512E"/>
    <w:rsid w:val="0060586C"/>
    <w:rsid w:val="00605CDA"/>
    <w:rsid w:val="006064F5"/>
    <w:rsid w:val="006070F8"/>
    <w:rsid w:val="00607B85"/>
    <w:rsid w:val="00610401"/>
    <w:rsid w:val="006104A9"/>
    <w:rsid w:val="00610AD2"/>
    <w:rsid w:val="006115E3"/>
    <w:rsid w:val="0061171E"/>
    <w:rsid w:val="006127BC"/>
    <w:rsid w:val="00612A17"/>
    <w:rsid w:val="00612B3D"/>
    <w:rsid w:val="006139E6"/>
    <w:rsid w:val="00613D26"/>
    <w:rsid w:val="0061420A"/>
    <w:rsid w:val="00614694"/>
    <w:rsid w:val="006161D3"/>
    <w:rsid w:val="00616354"/>
    <w:rsid w:val="006173AE"/>
    <w:rsid w:val="00620C1F"/>
    <w:rsid w:val="00621671"/>
    <w:rsid w:val="00622D0E"/>
    <w:rsid w:val="00622FAF"/>
    <w:rsid w:val="00624244"/>
    <w:rsid w:val="00624948"/>
    <w:rsid w:val="00624D0E"/>
    <w:rsid w:val="00624E33"/>
    <w:rsid w:val="00624E40"/>
    <w:rsid w:val="00624FFB"/>
    <w:rsid w:val="006258C6"/>
    <w:rsid w:val="00626C5E"/>
    <w:rsid w:val="00626E42"/>
    <w:rsid w:val="006271E1"/>
    <w:rsid w:val="006276B8"/>
    <w:rsid w:val="00627A25"/>
    <w:rsid w:val="00630DAD"/>
    <w:rsid w:val="00631986"/>
    <w:rsid w:val="006327BA"/>
    <w:rsid w:val="00632900"/>
    <w:rsid w:val="00632ECC"/>
    <w:rsid w:val="0063377A"/>
    <w:rsid w:val="00633C20"/>
    <w:rsid w:val="006343EB"/>
    <w:rsid w:val="006344B1"/>
    <w:rsid w:val="00634CCF"/>
    <w:rsid w:val="00635261"/>
    <w:rsid w:val="00635725"/>
    <w:rsid w:val="00635E07"/>
    <w:rsid w:val="0063621B"/>
    <w:rsid w:val="006364B5"/>
    <w:rsid w:val="006365E6"/>
    <w:rsid w:val="00636846"/>
    <w:rsid w:val="00636AE3"/>
    <w:rsid w:val="006374CA"/>
    <w:rsid w:val="00637DE0"/>
    <w:rsid w:val="00640430"/>
    <w:rsid w:val="00640ACF"/>
    <w:rsid w:val="00641030"/>
    <w:rsid w:val="00641671"/>
    <w:rsid w:val="00642AFF"/>
    <w:rsid w:val="00642BD0"/>
    <w:rsid w:val="00643256"/>
    <w:rsid w:val="00643BDD"/>
    <w:rsid w:val="00643C23"/>
    <w:rsid w:val="00643E64"/>
    <w:rsid w:val="0064404A"/>
    <w:rsid w:val="0064512F"/>
    <w:rsid w:val="00645FA5"/>
    <w:rsid w:val="00645FBE"/>
    <w:rsid w:val="00646212"/>
    <w:rsid w:val="00646C87"/>
    <w:rsid w:val="006476A0"/>
    <w:rsid w:val="006503B7"/>
    <w:rsid w:val="00650714"/>
    <w:rsid w:val="00650CE0"/>
    <w:rsid w:val="00650ED5"/>
    <w:rsid w:val="00652EC2"/>
    <w:rsid w:val="00653C42"/>
    <w:rsid w:val="00654C3E"/>
    <w:rsid w:val="00655283"/>
    <w:rsid w:val="00655BD3"/>
    <w:rsid w:val="00656309"/>
    <w:rsid w:val="0065655B"/>
    <w:rsid w:val="00656615"/>
    <w:rsid w:val="0065691D"/>
    <w:rsid w:val="00656EDD"/>
    <w:rsid w:val="00656F71"/>
    <w:rsid w:val="006570ED"/>
    <w:rsid w:val="0065788C"/>
    <w:rsid w:val="00657A2C"/>
    <w:rsid w:val="00661664"/>
    <w:rsid w:val="00661826"/>
    <w:rsid w:val="00661AF8"/>
    <w:rsid w:val="00661B28"/>
    <w:rsid w:val="00662523"/>
    <w:rsid w:val="006626F2"/>
    <w:rsid w:val="0066314C"/>
    <w:rsid w:val="0066427B"/>
    <w:rsid w:val="00664491"/>
    <w:rsid w:val="00664B89"/>
    <w:rsid w:val="00664DBF"/>
    <w:rsid w:val="00665B62"/>
    <w:rsid w:val="00666A91"/>
    <w:rsid w:val="00667154"/>
    <w:rsid w:val="0066739F"/>
    <w:rsid w:val="0066751B"/>
    <w:rsid w:val="00667542"/>
    <w:rsid w:val="00667A81"/>
    <w:rsid w:val="00667B57"/>
    <w:rsid w:val="00667D87"/>
    <w:rsid w:val="00670150"/>
    <w:rsid w:val="00670692"/>
    <w:rsid w:val="0067083B"/>
    <w:rsid w:val="00670AC1"/>
    <w:rsid w:val="00671A1C"/>
    <w:rsid w:val="006724E5"/>
    <w:rsid w:val="0067252D"/>
    <w:rsid w:val="00672753"/>
    <w:rsid w:val="00673485"/>
    <w:rsid w:val="00673752"/>
    <w:rsid w:val="006746CB"/>
    <w:rsid w:val="00674C5E"/>
    <w:rsid w:val="00674D1B"/>
    <w:rsid w:val="00675BD2"/>
    <w:rsid w:val="006760BF"/>
    <w:rsid w:val="006762F1"/>
    <w:rsid w:val="006770C3"/>
    <w:rsid w:val="0067718F"/>
    <w:rsid w:val="00677412"/>
    <w:rsid w:val="00680116"/>
    <w:rsid w:val="00680D2A"/>
    <w:rsid w:val="006817DB"/>
    <w:rsid w:val="00681EC6"/>
    <w:rsid w:val="006822CC"/>
    <w:rsid w:val="00682651"/>
    <w:rsid w:val="00682A26"/>
    <w:rsid w:val="00683E88"/>
    <w:rsid w:val="00684A70"/>
    <w:rsid w:val="006855CA"/>
    <w:rsid w:val="0068704D"/>
    <w:rsid w:val="006871E7"/>
    <w:rsid w:val="0069033D"/>
    <w:rsid w:val="00690474"/>
    <w:rsid w:val="00690728"/>
    <w:rsid w:val="00690795"/>
    <w:rsid w:val="00691828"/>
    <w:rsid w:val="00692868"/>
    <w:rsid w:val="00692ED2"/>
    <w:rsid w:val="00693749"/>
    <w:rsid w:val="00693CDF"/>
    <w:rsid w:val="00694386"/>
    <w:rsid w:val="00694AB5"/>
    <w:rsid w:val="00695975"/>
    <w:rsid w:val="00695A5A"/>
    <w:rsid w:val="0069684A"/>
    <w:rsid w:val="00696BF1"/>
    <w:rsid w:val="0069761B"/>
    <w:rsid w:val="00697747"/>
    <w:rsid w:val="006A0113"/>
    <w:rsid w:val="006A0184"/>
    <w:rsid w:val="006A019E"/>
    <w:rsid w:val="006A0E4B"/>
    <w:rsid w:val="006A1F6E"/>
    <w:rsid w:val="006A2553"/>
    <w:rsid w:val="006A277F"/>
    <w:rsid w:val="006A3585"/>
    <w:rsid w:val="006A3940"/>
    <w:rsid w:val="006A4218"/>
    <w:rsid w:val="006A47D3"/>
    <w:rsid w:val="006A4CD5"/>
    <w:rsid w:val="006A54B0"/>
    <w:rsid w:val="006A5B1C"/>
    <w:rsid w:val="006A60BD"/>
    <w:rsid w:val="006A657C"/>
    <w:rsid w:val="006A6755"/>
    <w:rsid w:val="006A6A27"/>
    <w:rsid w:val="006A7405"/>
    <w:rsid w:val="006A7424"/>
    <w:rsid w:val="006A773C"/>
    <w:rsid w:val="006A7AB2"/>
    <w:rsid w:val="006A7B9F"/>
    <w:rsid w:val="006A7FC2"/>
    <w:rsid w:val="006B0066"/>
    <w:rsid w:val="006B0109"/>
    <w:rsid w:val="006B060A"/>
    <w:rsid w:val="006B08A9"/>
    <w:rsid w:val="006B1ACD"/>
    <w:rsid w:val="006B213C"/>
    <w:rsid w:val="006B2364"/>
    <w:rsid w:val="006B26AA"/>
    <w:rsid w:val="006B2832"/>
    <w:rsid w:val="006B327F"/>
    <w:rsid w:val="006B37CE"/>
    <w:rsid w:val="006B3AE3"/>
    <w:rsid w:val="006B3E63"/>
    <w:rsid w:val="006B455B"/>
    <w:rsid w:val="006B45C8"/>
    <w:rsid w:val="006B499D"/>
    <w:rsid w:val="006B5265"/>
    <w:rsid w:val="006B546A"/>
    <w:rsid w:val="006B566E"/>
    <w:rsid w:val="006B57CE"/>
    <w:rsid w:val="006B5B2D"/>
    <w:rsid w:val="006B5EE2"/>
    <w:rsid w:val="006B6E4A"/>
    <w:rsid w:val="006B7059"/>
    <w:rsid w:val="006B7698"/>
    <w:rsid w:val="006B793D"/>
    <w:rsid w:val="006C08FB"/>
    <w:rsid w:val="006C0F79"/>
    <w:rsid w:val="006C2233"/>
    <w:rsid w:val="006C2C91"/>
    <w:rsid w:val="006C32D3"/>
    <w:rsid w:val="006C3433"/>
    <w:rsid w:val="006C364C"/>
    <w:rsid w:val="006C39B9"/>
    <w:rsid w:val="006C3A6E"/>
    <w:rsid w:val="006C6A84"/>
    <w:rsid w:val="006C740B"/>
    <w:rsid w:val="006C7E6F"/>
    <w:rsid w:val="006C7F28"/>
    <w:rsid w:val="006D0DC4"/>
    <w:rsid w:val="006D0F32"/>
    <w:rsid w:val="006D1A24"/>
    <w:rsid w:val="006D27E9"/>
    <w:rsid w:val="006D3BCD"/>
    <w:rsid w:val="006D497C"/>
    <w:rsid w:val="006D6DF8"/>
    <w:rsid w:val="006D72E2"/>
    <w:rsid w:val="006D79FA"/>
    <w:rsid w:val="006D7A2B"/>
    <w:rsid w:val="006D7BAC"/>
    <w:rsid w:val="006E07F5"/>
    <w:rsid w:val="006E0C48"/>
    <w:rsid w:val="006E2C56"/>
    <w:rsid w:val="006E34DC"/>
    <w:rsid w:val="006E34F5"/>
    <w:rsid w:val="006E3B0B"/>
    <w:rsid w:val="006E3D85"/>
    <w:rsid w:val="006E4AD6"/>
    <w:rsid w:val="006E4EB5"/>
    <w:rsid w:val="006E5812"/>
    <w:rsid w:val="006E59D0"/>
    <w:rsid w:val="006E5AAC"/>
    <w:rsid w:val="006E5D30"/>
    <w:rsid w:val="006E6014"/>
    <w:rsid w:val="006E62DC"/>
    <w:rsid w:val="006E6412"/>
    <w:rsid w:val="006E7598"/>
    <w:rsid w:val="006E7706"/>
    <w:rsid w:val="006E7BBE"/>
    <w:rsid w:val="006E7DD9"/>
    <w:rsid w:val="006E7F1B"/>
    <w:rsid w:val="006F0159"/>
    <w:rsid w:val="006F04FE"/>
    <w:rsid w:val="006F1E9B"/>
    <w:rsid w:val="006F25E2"/>
    <w:rsid w:val="006F2A53"/>
    <w:rsid w:val="006F2D3C"/>
    <w:rsid w:val="006F30B1"/>
    <w:rsid w:val="006F37B1"/>
    <w:rsid w:val="006F39D8"/>
    <w:rsid w:val="006F4104"/>
    <w:rsid w:val="006F4361"/>
    <w:rsid w:val="006F48CD"/>
    <w:rsid w:val="006F4D8C"/>
    <w:rsid w:val="006F5DEB"/>
    <w:rsid w:val="006F6A14"/>
    <w:rsid w:val="00700005"/>
    <w:rsid w:val="00700169"/>
    <w:rsid w:val="00700478"/>
    <w:rsid w:val="0070054B"/>
    <w:rsid w:val="0070054D"/>
    <w:rsid w:val="007008F7"/>
    <w:rsid w:val="00701564"/>
    <w:rsid w:val="007015C1"/>
    <w:rsid w:val="007016C6"/>
    <w:rsid w:val="007019C1"/>
    <w:rsid w:val="00701A5F"/>
    <w:rsid w:val="0070222C"/>
    <w:rsid w:val="007027C1"/>
    <w:rsid w:val="00702E6B"/>
    <w:rsid w:val="00702F13"/>
    <w:rsid w:val="00703633"/>
    <w:rsid w:val="007046C2"/>
    <w:rsid w:val="007047CE"/>
    <w:rsid w:val="00704A5A"/>
    <w:rsid w:val="00704DDB"/>
    <w:rsid w:val="00705725"/>
    <w:rsid w:val="00705E97"/>
    <w:rsid w:val="00706E58"/>
    <w:rsid w:val="00707978"/>
    <w:rsid w:val="00710693"/>
    <w:rsid w:val="00710EC3"/>
    <w:rsid w:val="00711576"/>
    <w:rsid w:val="0071269E"/>
    <w:rsid w:val="00712A7E"/>
    <w:rsid w:val="00712AF7"/>
    <w:rsid w:val="00714465"/>
    <w:rsid w:val="00715556"/>
    <w:rsid w:val="0071556D"/>
    <w:rsid w:val="00717142"/>
    <w:rsid w:val="00717613"/>
    <w:rsid w:val="00717BC6"/>
    <w:rsid w:val="00720976"/>
    <w:rsid w:val="00721B32"/>
    <w:rsid w:val="00721C16"/>
    <w:rsid w:val="00722A18"/>
    <w:rsid w:val="0072320A"/>
    <w:rsid w:val="007234CA"/>
    <w:rsid w:val="00724303"/>
    <w:rsid w:val="00724548"/>
    <w:rsid w:val="00725904"/>
    <w:rsid w:val="007259F7"/>
    <w:rsid w:val="00725B88"/>
    <w:rsid w:val="00725E0F"/>
    <w:rsid w:val="0072671A"/>
    <w:rsid w:val="007269BC"/>
    <w:rsid w:val="00726A12"/>
    <w:rsid w:val="00726DBA"/>
    <w:rsid w:val="00727062"/>
    <w:rsid w:val="007276F6"/>
    <w:rsid w:val="00727EA6"/>
    <w:rsid w:val="0073087C"/>
    <w:rsid w:val="007312F3"/>
    <w:rsid w:val="007317F5"/>
    <w:rsid w:val="007318BE"/>
    <w:rsid w:val="00731A92"/>
    <w:rsid w:val="00731EA4"/>
    <w:rsid w:val="00732F38"/>
    <w:rsid w:val="00733090"/>
    <w:rsid w:val="00733928"/>
    <w:rsid w:val="00733DE7"/>
    <w:rsid w:val="0073418F"/>
    <w:rsid w:val="00734252"/>
    <w:rsid w:val="00734A50"/>
    <w:rsid w:val="00735A92"/>
    <w:rsid w:val="00735CC8"/>
    <w:rsid w:val="00735D69"/>
    <w:rsid w:val="007371C0"/>
    <w:rsid w:val="00737758"/>
    <w:rsid w:val="007400B4"/>
    <w:rsid w:val="00740208"/>
    <w:rsid w:val="00740373"/>
    <w:rsid w:val="007403A1"/>
    <w:rsid w:val="00741136"/>
    <w:rsid w:val="00741DE5"/>
    <w:rsid w:val="00741E20"/>
    <w:rsid w:val="00741F50"/>
    <w:rsid w:val="00741FE8"/>
    <w:rsid w:val="00742B34"/>
    <w:rsid w:val="00742B87"/>
    <w:rsid w:val="00742BCF"/>
    <w:rsid w:val="00743DF9"/>
    <w:rsid w:val="0074445B"/>
    <w:rsid w:val="00744AEE"/>
    <w:rsid w:val="00744B9E"/>
    <w:rsid w:val="00744E3C"/>
    <w:rsid w:val="00745579"/>
    <w:rsid w:val="00745656"/>
    <w:rsid w:val="0074567F"/>
    <w:rsid w:val="0074597C"/>
    <w:rsid w:val="00745CD9"/>
    <w:rsid w:val="007464C1"/>
    <w:rsid w:val="00746B27"/>
    <w:rsid w:val="00746D46"/>
    <w:rsid w:val="00746F8D"/>
    <w:rsid w:val="00747026"/>
    <w:rsid w:val="007478F5"/>
    <w:rsid w:val="0075065F"/>
    <w:rsid w:val="007507FF"/>
    <w:rsid w:val="00750F67"/>
    <w:rsid w:val="00750FF7"/>
    <w:rsid w:val="007512FF"/>
    <w:rsid w:val="00751366"/>
    <w:rsid w:val="00751381"/>
    <w:rsid w:val="00753BC9"/>
    <w:rsid w:val="00753D68"/>
    <w:rsid w:val="00753DF1"/>
    <w:rsid w:val="0075466C"/>
    <w:rsid w:val="007548A2"/>
    <w:rsid w:val="0075490F"/>
    <w:rsid w:val="00754A7E"/>
    <w:rsid w:val="00755B0F"/>
    <w:rsid w:val="00755CB2"/>
    <w:rsid w:val="00760062"/>
    <w:rsid w:val="0076057B"/>
    <w:rsid w:val="007608A2"/>
    <w:rsid w:val="00760C83"/>
    <w:rsid w:val="00762855"/>
    <w:rsid w:val="007635D1"/>
    <w:rsid w:val="00763B13"/>
    <w:rsid w:val="00763C4C"/>
    <w:rsid w:val="00763FCC"/>
    <w:rsid w:val="00764046"/>
    <w:rsid w:val="00764635"/>
    <w:rsid w:val="00765297"/>
    <w:rsid w:val="00765E88"/>
    <w:rsid w:val="007666EA"/>
    <w:rsid w:val="00766D5C"/>
    <w:rsid w:val="00766EA0"/>
    <w:rsid w:val="00766EA2"/>
    <w:rsid w:val="00767498"/>
    <w:rsid w:val="0077000F"/>
    <w:rsid w:val="007700D1"/>
    <w:rsid w:val="00770B4A"/>
    <w:rsid w:val="00770F1E"/>
    <w:rsid w:val="007711B8"/>
    <w:rsid w:val="00772CAC"/>
    <w:rsid w:val="00772D32"/>
    <w:rsid w:val="00773531"/>
    <w:rsid w:val="007746BB"/>
    <w:rsid w:val="00774A13"/>
    <w:rsid w:val="00774FF2"/>
    <w:rsid w:val="0077677D"/>
    <w:rsid w:val="007775E7"/>
    <w:rsid w:val="007776B1"/>
    <w:rsid w:val="00777A0E"/>
    <w:rsid w:val="00777D2A"/>
    <w:rsid w:val="00777F62"/>
    <w:rsid w:val="007803D5"/>
    <w:rsid w:val="00781C2D"/>
    <w:rsid w:val="00782AC5"/>
    <w:rsid w:val="00782B24"/>
    <w:rsid w:val="00782DFE"/>
    <w:rsid w:val="00783C2E"/>
    <w:rsid w:val="007858EA"/>
    <w:rsid w:val="007860FF"/>
    <w:rsid w:val="00786137"/>
    <w:rsid w:val="00786DF9"/>
    <w:rsid w:val="00787A5C"/>
    <w:rsid w:val="00787B5B"/>
    <w:rsid w:val="00790D37"/>
    <w:rsid w:val="00790D5E"/>
    <w:rsid w:val="00791A74"/>
    <w:rsid w:val="00792427"/>
    <w:rsid w:val="00792DF2"/>
    <w:rsid w:val="0079302F"/>
    <w:rsid w:val="007939A3"/>
    <w:rsid w:val="007945CF"/>
    <w:rsid w:val="00794706"/>
    <w:rsid w:val="0079517F"/>
    <w:rsid w:val="007951C7"/>
    <w:rsid w:val="00796709"/>
    <w:rsid w:val="00796C80"/>
    <w:rsid w:val="00796D91"/>
    <w:rsid w:val="00797150"/>
    <w:rsid w:val="00797254"/>
    <w:rsid w:val="00797F65"/>
    <w:rsid w:val="007A025D"/>
    <w:rsid w:val="007A061E"/>
    <w:rsid w:val="007A06DF"/>
    <w:rsid w:val="007A0758"/>
    <w:rsid w:val="007A097F"/>
    <w:rsid w:val="007A12ED"/>
    <w:rsid w:val="007A1A70"/>
    <w:rsid w:val="007A20CE"/>
    <w:rsid w:val="007A22AE"/>
    <w:rsid w:val="007A24CC"/>
    <w:rsid w:val="007A2E5A"/>
    <w:rsid w:val="007A2FF9"/>
    <w:rsid w:val="007A4370"/>
    <w:rsid w:val="007A4FE5"/>
    <w:rsid w:val="007A53A5"/>
    <w:rsid w:val="007A5B4E"/>
    <w:rsid w:val="007A6086"/>
    <w:rsid w:val="007A6257"/>
    <w:rsid w:val="007A67A9"/>
    <w:rsid w:val="007A75DF"/>
    <w:rsid w:val="007A77E1"/>
    <w:rsid w:val="007A78BD"/>
    <w:rsid w:val="007B0706"/>
    <w:rsid w:val="007B12F8"/>
    <w:rsid w:val="007B2365"/>
    <w:rsid w:val="007B248E"/>
    <w:rsid w:val="007B32CC"/>
    <w:rsid w:val="007B4CFA"/>
    <w:rsid w:val="007B4DA0"/>
    <w:rsid w:val="007B56B8"/>
    <w:rsid w:val="007B5A54"/>
    <w:rsid w:val="007B64CA"/>
    <w:rsid w:val="007B6A30"/>
    <w:rsid w:val="007B6BDC"/>
    <w:rsid w:val="007B6C4A"/>
    <w:rsid w:val="007B6ECB"/>
    <w:rsid w:val="007B722B"/>
    <w:rsid w:val="007C018C"/>
    <w:rsid w:val="007C03F8"/>
    <w:rsid w:val="007C040B"/>
    <w:rsid w:val="007C0586"/>
    <w:rsid w:val="007C0B72"/>
    <w:rsid w:val="007C0D9B"/>
    <w:rsid w:val="007C1D72"/>
    <w:rsid w:val="007C2183"/>
    <w:rsid w:val="007C2501"/>
    <w:rsid w:val="007C3343"/>
    <w:rsid w:val="007C38A5"/>
    <w:rsid w:val="007C5388"/>
    <w:rsid w:val="007C540A"/>
    <w:rsid w:val="007C5DCF"/>
    <w:rsid w:val="007C643B"/>
    <w:rsid w:val="007C6E07"/>
    <w:rsid w:val="007C722A"/>
    <w:rsid w:val="007C72F2"/>
    <w:rsid w:val="007C799A"/>
    <w:rsid w:val="007D106A"/>
    <w:rsid w:val="007D10FE"/>
    <w:rsid w:val="007D2626"/>
    <w:rsid w:val="007D2B42"/>
    <w:rsid w:val="007D2F3A"/>
    <w:rsid w:val="007D327B"/>
    <w:rsid w:val="007D3B85"/>
    <w:rsid w:val="007D5B81"/>
    <w:rsid w:val="007D60D1"/>
    <w:rsid w:val="007D63D6"/>
    <w:rsid w:val="007D643F"/>
    <w:rsid w:val="007D75D9"/>
    <w:rsid w:val="007D7CF8"/>
    <w:rsid w:val="007E0620"/>
    <w:rsid w:val="007E09FE"/>
    <w:rsid w:val="007E0D03"/>
    <w:rsid w:val="007E1D45"/>
    <w:rsid w:val="007E1E65"/>
    <w:rsid w:val="007E247E"/>
    <w:rsid w:val="007E273E"/>
    <w:rsid w:val="007E2844"/>
    <w:rsid w:val="007E290E"/>
    <w:rsid w:val="007E2AD1"/>
    <w:rsid w:val="007E2D9C"/>
    <w:rsid w:val="007E3051"/>
    <w:rsid w:val="007E3303"/>
    <w:rsid w:val="007E4417"/>
    <w:rsid w:val="007E44D1"/>
    <w:rsid w:val="007E45B5"/>
    <w:rsid w:val="007E4D89"/>
    <w:rsid w:val="007E5EB8"/>
    <w:rsid w:val="007E679C"/>
    <w:rsid w:val="007E6803"/>
    <w:rsid w:val="007E74B8"/>
    <w:rsid w:val="007E75DD"/>
    <w:rsid w:val="007E7765"/>
    <w:rsid w:val="007F00ED"/>
    <w:rsid w:val="007F19F0"/>
    <w:rsid w:val="007F22AC"/>
    <w:rsid w:val="007F26F8"/>
    <w:rsid w:val="007F2EBD"/>
    <w:rsid w:val="007F312F"/>
    <w:rsid w:val="007F3698"/>
    <w:rsid w:val="007F4E8E"/>
    <w:rsid w:val="007F5740"/>
    <w:rsid w:val="007F5980"/>
    <w:rsid w:val="007F5F86"/>
    <w:rsid w:val="007F6673"/>
    <w:rsid w:val="007F6D1B"/>
    <w:rsid w:val="007F721D"/>
    <w:rsid w:val="008005C7"/>
    <w:rsid w:val="00800740"/>
    <w:rsid w:val="00800B3E"/>
    <w:rsid w:val="00800C77"/>
    <w:rsid w:val="00801588"/>
    <w:rsid w:val="00801AA9"/>
    <w:rsid w:val="00801E31"/>
    <w:rsid w:val="00802553"/>
    <w:rsid w:val="00802D65"/>
    <w:rsid w:val="0080361E"/>
    <w:rsid w:val="008039CE"/>
    <w:rsid w:val="0080458B"/>
    <w:rsid w:val="00804D00"/>
    <w:rsid w:val="00804D0C"/>
    <w:rsid w:val="00804DFC"/>
    <w:rsid w:val="00805021"/>
    <w:rsid w:val="00805333"/>
    <w:rsid w:val="0080682A"/>
    <w:rsid w:val="008076EC"/>
    <w:rsid w:val="00807974"/>
    <w:rsid w:val="00810E44"/>
    <w:rsid w:val="00810E78"/>
    <w:rsid w:val="00811950"/>
    <w:rsid w:val="0081255B"/>
    <w:rsid w:val="0081287F"/>
    <w:rsid w:val="00812E10"/>
    <w:rsid w:val="00813288"/>
    <w:rsid w:val="008135FF"/>
    <w:rsid w:val="00813933"/>
    <w:rsid w:val="00813EA8"/>
    <w:rsid w:val="00814A16"/>
    <w:rsid w:val="00814C95"/>
    <w:rsid w:val="0081518C"/>
    <w:rsid w:val="00815721"/>
    <w:rsid w:val="008166A7"/>
    <w:rsid w:val="00817331"/>
    <w:rsid w:val="00817909"/>
    <w:rsid w:val="008179C0"/>
    <w:rsid w:val="00820FBC"/>
    <w:rsid w:val="00821614"/>
    <w:rsid w:val="00821D56"/>
    <w:rsid w:val="008223F1"/>
    <w:rsid w:val="00822A20"/>
    <w:rsid w:val="008231AF"/>
    <w:rsid w:val="00824997"/>
    <w:rsid w:val="00824E25"/>
    <w:rsid w:val="008251C8"/>
    <w:rsid w:val="00827E0C"/>
    <w:rsid w:val="008304E6"/>
    <w:rsid w:val="008317F9"/>
    <w:rsid w:val="008318A9"/>
    <w:rsid w:val="00832A45"/>
    <w:rsid w:val="00832AF7"/>
    <w:rsid w:val="00832F73"/>
    <w:rsid w:val="008339F0"/>
    <w:rsid w:val="00833C42"/>
    <w:rsid w:val="008347D7"/>
    <w:rsid w:val="0083489C"/>
    <w:rsid w:val="00834CEE"/>
    <w:rsid w:val="00836904"/>
    <w:rsid w:val="008371B8"/>
    <w:rsid w:val="00837E02"/>
    <w:rsid w:val="00840180"/>
    <w:rsid w:val="00840194"/>
    <w:rsid w:val="0084019C"/>
    <w:rsid w:val="008403F2"/>
    <w:rsid w:val="0084047F"/>
    <w:rsid w:val="00840A37"/>
    <w:rsid w:val="0084110D"/>
    <w:rsid w:val="008436CA"/>
    <w:rsid w:val="00843C9D"/>
    <w:rsid w:val="00844BF5"/>
    <w:rsid w:val="00845B10"/>
    <w:rsid w:val="00845BA4"/>
    <w:rsid w:val="00845E88"/>
    <w:rsid w:val="00846677"/>
    <w:rsid w:val="00847F69"/>
    <w:rsid w:val="00850200"/>
    <w:rsid w:val="00850B85"/>
    <w:rsid w:val="0085412D"/>
    <w:rsid w:val="00855962"/>
    <w:rsid w:val="00855A4D"/>
    <w:rsid w:val="00856183"/>
    <w:rsid w:val="00856416"/>
    <w:rsid w:val="008572AB"/>
    <w:rsid w:val="00857817"/>
    <w:rsid w:val="008578E4"/>
    <w:rsid w:val="00857F93"/>
    <w:rsid w:val="0086013B"/>
    <w:rsid w:val="00860550"/>
    <w:rsid w:val="008605DF"/>
    <w:rsid w:val="008611A2"/>
    <w:rsid w:val="00861805"/>
    <w:rsid w:val="00861CB0"/>
    <w:rsid w:val="00862755"/>
    <w:rsid w:val="00862D76"/>
    <w:rsid w:val="00862E15"/>
    <w:rsid w:val="00863712"/>
    <w:rsid w:val="00864BB9"/>
    <w:rsid w:val="008663F7"/>
    <w:rsid w:val="00866C10"/>
    <w:rsid w:val="00866D97"/>
    <w:rsid w:val="0086750B"/>
    <w:rsid w:val="00867553"/>
    <w:rsid w:val="008679B6"/>
    <w:rsid w:val="00867A13"/>
    <w:rsid w:val="00867E40"/>
    <w:rsid w:val="00867F5B"/>
    <w:rsid w:val="008703FE"/>
    <w:rsid w:val="00871124"/>
    <w:rsid w:val="00871FCC"/>
    <w:rsid w:val="008722AB"/>
    <w:rsid w:val="00873786"/>
    <w:rsid w:val="00873932"/>
    <w:rsid w:val="00873DD3"/>
    <w:rsid w:val="00874152"/>
    <w:rsid w:val="00874519"/>
    <w:rsid w:val="00875E1C"/>
    <w:rsid w:val="008760EB"/>
    <w:rsid w:val="00876175"/>
    <w:rsid w:val="00876367"/>
    <w:rsid w:val="00876623"/>
    <w:rsid w:val="00876AB2"/>
    <w:rsid w:val="00876E2A"/>
    <w:rsid w:val="00880CC4"/>
    <w:rsid w:val="00880D66"/>
    <w:rsid w:val="00880DAF"/>
    <w:rsid w:val="00880E8B"/>
    <w:rsid w:val="008815FA"/>
    <w:rsid w:val="008817BB"/>
    <w:rsid w:val="00881B15"/>
    <w:rsid w:val="00883ACF"/>
    <w:rsid w:val="00883B32"/>
    <w:rsid w:val="00883C2A"/>
    <w:rsid w:val="00884C3A"/>
    <w:rsid w:val="008852DF"/>
    <w:rsid w:val="00885BE6"/>
    <w:rsid w:val="00885C8D"/>
    <w:rsid w:val="00886085"/>
    <w:rsid w:val="008863AA"/>
    <w:rsid w:val="00886CDC"/>
    <w:rsid w:val="008871A9"/>
    <w:rsid w:val="0088780A"/>
    <w:rsid w:val="008900D0"/>
    <w:rsid w:val="008901FD"/>
    <w:rsid w:val="008902BA"/>
    <w:rsid w:val="00890F39"/>
    <w:rsid w:val="0089123C"/>
    <w:rsid w:val="00892E21"/>
    <w:rsid w:val="0089319B"/>
    <w:rsid w:val="0089358F"/>
    <w:rsid w:val="00893E29"/>
    <w:rsid w:val="00894195"/>
    <w:rsid w:val="00894957"/>
    <w:rsid w:val="00894CEF"/>
    <w:rsid w:val="008956D8"/>
    <w:rsid w:val="0089570E"/>
    <w:rsid w:val="008963CA"/>
    <w:rsid w:val="00896E1C"/>
    <w:rsid w:val="00896FF5"/>
    <w:rsid w:val="0089708C"/>
    <w:rsid w:val="00897435"/>
    <w:rsid w:val="0089775A"/>
    <w:rsid w:val="00897925"/>
    <w:rsid w:val="00897DE3"/>
    <w:rsid w:val="008A032E"/>
    <w:rsid w:val="008A1A10"/>
    <w:rsid w:val="008A1A9A"/>
    <w:rsid w:val="008A2328"/>
    <w:rsid w:val="008A321A"/>
    <w:rsid w:val="008A3940"/>
    <w:rsid w:val="008A3DAB"/>
    <w:rsid w:val="008A4BCB"/>
    <w:rsid w:val="008A4E71"/>
    <w:rsid w:val="008A5B31"/>
    <w:rsid w:val="008A6B1B"/>
    <w:rsid w:val="008A7ABC"/>
    <w:rsid w:val="008B0D0C"/>
    <w:rsid w:val="008B2206"/>
    <w:rsid w:val="008B2CDE"/>
    <w:rsid w:val="008B3666"/>
    <w:rsid w:val="008B39A5"/>
    <w:rsid w:val="008B3A06"/>
    <w:rsid w:val="008B3C7C"/>
    <w:rsid w:val="008B49AA"/>
    <w:rsid w:val="008B512C"/>
    <w:rsid w:val="008B52D1"/>
    <w:rsid w:val="008B585D"/>
    <w:rsid w:val="008B68FC"/>
    <w:rsid w:val="008B74F6"/>
    <w:rsid w:val="008B7CF0"/>
    <w:rsid w:val="008C02D2"/>
    <w:rsid w:val="008C0855"/>
    <w:rsid w:val="008C1271"/>
    <w:rsid w:val="008C12A4"/>
    <w:rsid w:val="008C18B0"/>
    <w:rsid w:val="008C1939"/>
    <w:rsid w:val="008C1CE6"/>
    <w:rsid w:val="008C200B"/>
    <w:rsid w:val="008C20F4"/>
    <w:rsid w:val="008C277B"/>
    <w:rsid w:val="008C2DB7"/>
    <w:rsid w:val="008C3B1B"/>
    <w:rsid w:val="008C3CEF"/>
    <w:rsid w:val="008C3D7C"/>
    <w:rsid w:val="008C4AF2"/>
    <w:rsid w:val="008C4D2E"/>
    <w:rsid w:val="008C5C69"/>
    <w:rsid w:val="008C64BA"/>
    <w:rsid w:val="008C6C0D"/>
    <w:rsid w:val="008C6EF8"/>
    <w:rsid w:val="008C7720"/>
    <w:rsid w:val="008C794E"/>
    <w:rsid w:val="008D0570"/>
    <w:rsid w:val="008D0B4F"/>
    <w:rsid w:val="008D0F88"/>
    <w:rsid w:val="008D16FC"/>
    <w:rsid w:val="008D17E5"/>
    <w:rsid w:val="008D26F8"/>
    <w:rsid w:val="008D2B9E"/>
    <w:rsid w:val="008D31BB"/>
    <w:rsid w:val="008D4FF6"/>
    <w:rsid w:val="008D54FC"/>
    <w:rsid w:val="008D5610"/>
    <w:rsid w:val="008D5996"/>
    <w:rsid w:val="008D5B59"/>
    <w:rsid w:val="008D5E03"/>
    <w:rsid w:val="008D6783"/>
    <w:rsid w:val="008D7229"/>
    <w:rsid w:val="008D7368"/>
    <w:rsid w:val="008D7486"/>
    <w:rsid w:val="008D7DD3"/>
    <w:rsid w:val="008D7EE3"/>
    <w:rsid w:val="008E0420"/>
    <w:rsid w:val="008E0D9C"/>
    <w:rsid w:val="008E1C2B"/>
    <w:rsid w:val="008E2125"/>
    <w:rsid w:val="008E286A"/>
    <w:rsid w:val="008E2BA6"/>
    <w:rsid w:val="008E2BDC"/>
    <w:rsid w:val="008E30A9"/>
    <w:rsid w:val="008E30D6"/>
    <w:rsid w:val="008E315E"/>
    <w:rsid w:val="008E3767"/>
    <w:rsid w:val="008E3814"/>
    <w:rsid w:val="008E53F5"/>
    <w:rsid w:val="008E67AB"/>
    <w:rsid w:val="008E757E"/>
    <w:rsid w:val="008F0609"/>
    <w:rsid w:val="008F0CD4"/>
    <w:rsid w:val="008F18DD"/>
    <w:rsid w:val="008F1F47"/>
    <w:rsid w:val="008F316F"/>
    <w:rsid w:val="008F3609"/>
    <w:rsid w:val="008F4378"/>
    <w:rsid w:val="008F4FFF"/>
    <w:rsid w:val="008F528B"/>
    <w:rsid w:val="008F60EE"/>
    <w:rsid w:val="008F60FC"/>
    <w:rsid w:val="008F62FE"/>
    <w:rsid w:val="008F63C4"/>
    <w:rsid w:val="008F664A"/>
    <w:rsid w:val="008F6844"/>
    <w:rsid w:val="008F6F27"/>
    <w:rsid w:val="008F70E9"/>
    <w:rsid w:val="008F7116"/>
    <w:rsid w:val="008F71B2"/>
    <w:rsid w:val="008F71F2"/>
    <w:rsid w:val="008F7C6C"/>
    <w:rsid w:val="00900508"/>
    <w:rsid w:val="00900638"/>
    <w:rsid w:val="00901161"/>
    <w:rsid w:val="009018C8"/>
    <w:rsid w:val="0090212E"/>
    <w:rsid w:val="009024D6"/>
    <w:rsid w:val="009026BF"/>
    <w:rsid w:val="00902D5F"/>
    <w:rsid w:val="00903666"/>
    <w:rsid w:val="00903742"/>
    <w:rsid w:val="009045D5"/>
    <w:rsid w:val="009046B1"/>
    <w:rsid w:val="00904B03"/>
    <w:rsid w:val="009055FB"/>
    <w:rsid w:val="00905A8E"/>
    <w:rsid w:val="00906BBB"/>
    <w:rsid w:val="009070B5"/>
    <w:rsid w:val="00907BF5"/>
    <w:rsid w:val="00910A2C"/>
    <w:rsid w:val="00911CFA"/>
    <w:rsid w:val="009126EC"/>
    <w:rsid w:val="0091363D"/>
    <w:rsid w:val="00913EA4"/>
    <w:rsid w:val="009140A4"/>
    <w:rsid w:val="00914396"/>
    <w:rsid w:val="009146F5"/>
    <w:rsid w:val="009149AB"/>
    <w:rsid w:val="009149D2"/>
    <w:rsid w:val="00914C24"/>
    <w:rsid w:val="00914C59"/>
    <w:rsid w:val="00914CC6"/>
    <w:rsid w:val="00915027"/>
    <w:rsid w:val="009156CA"/>
    <w:rsid w:val="00915934"/>
    <w:rsid w:val="00916CC3"/>
    <w:rsid w:val="0091734A"/>
    <w:rsid w:val="009177AB"/>
    <w:rsid w:val="00917A1C"/>
    <w:rsid w:val="00917FF6"/>
    <w:rsid w:val="009204EA"/>
    <w:rsid w:val="009206FF"/>
    <w:rsid w:val="009212EC"/>
    <w:rsid w:val="0092131E"/>
    <w:rsid w:val="009218CE"/>
    <w:rsid w:val="00921C16"/>
    <w:rsid w:val="00921F00"/>
    <w:rsid w:val="0092226B"/>
    <w:rsid w:val="00923416"/>
    <w:rsid w:val="0092574B"/>
    <w:rsid w:val="00925A58"/>
    <w:rsid w:val="00927219"/>
    <w:rsid w:val="009273A2"/>
    <w:rsid w:val="00927A99"/>
    <w:rsid w:val="00927F51"/>
    <w:rsid w:val="009304D5"/>
    <w:rsid w:val="009306CA"/>
    <w:rsid w:val="00930835"/>
    <w:rsid w:val="00930DD1"/>
    <w:rsid w:val="0093185C"/>
    <w:rsid w:val="00932D89"/>
    <w:rsid w:val="0093433C"/>
    <w:rsid w:val="00934EC1"/>
    <w:rsid w:val="00935484"/>
    <w:rsid w:val="009361FF"/>
    <w:rsid w:val="0093659E"/>
    <w:rsid w:val="0093665E"/>
    <w:rsid w:val="0093666F"/>
    <w:rsid w:val="00936B16"/>
    <w:rsid w:val="00936F1A"/>
    <w:rsid w:val="00936F95"/>
    <w:rsid w:val="00937DAC"/>
    <w:rsid w:val="009418D0"/>
    <w:rsid w:val="00941CBF"/>
    <w:rsid w:val="00941E83"/>
    <w:rsid w:val="0094230C"/>
    <w:rsid w:val="009424C5"/>
    <w:rsid w:val="00942800"/>
    <w:rsid w:val="00943D69"/>
    <w:rsid w:val="00943E96"/>
    <w:rsid w:val="009445E4"/>
    <w:rsid w:val="009446DE"/>
    <w:rsid w:val="0094470B"/>
    <w:rsid w:val="00944D06"/>
    <w:rsid w:val="009454C7"/>
    <w:rsid w:val="00945ADA"/>
    <w:rsid w:val="009462C2"/>
    <w:rsid w:val="009467DD"/>
    <w:rsid w:val="0094694B"/>
    <w:rsid w:val="00947ADC"/>
    <w:rsid w:val="00947F76"/>
    <w:rsid w:val="00950242"/>
    <w:rsid w:val="00950759"/>
    <w:rsid w:val="00950E2C"/>
    <w:rsid w:val="009513AA"/>
    <w:rsid w:val="009513D4"/>
    <w:rsid w:val="00951A2A"/>
    <w:rsid w:val="00951F03"/>
    <w:rsid w:val="00952050"/>
    <w:rsid w:val="009521E9"/>
    <w:rsid w:val="009527B7"/>
    <w:rsid w:val="00952A8A"/>
    <w:rsid w:val="00952B88"/>
    <w:rsid w:val="00952C0C"/>
    <w:rsid w:val="00953312"/>
    <w:rsid w:val="00953FBA"/>
    <w:rsid w:val="00954461"/>
    <w:rsid w:val="00954468"/>
    <w:rsid w:val="00955A98"/>
    <w:rsid w:val="00956BFC"/>
    <w:rsid w:val="00960255"/>
    <w:rsid w:val="00961684"/>
    <w:rsid w:val="00962E3F"/>
    <w:rsid w:val="00963204"/>
    <w:rsid w:val="00964269"/>
    <w:rsid w:val="009645FF"/>
    <w:rsid w:val="00964761"/>
    <w:rsid w:val="009648AC"/>
    <w:rsid w:val="00965497"/>
    <w:rsid w:val="00965949"/>
    <w:rsid w:val="00965FD2"/>
    <w:rsid w:val="0096622D"/>
    <w:rsid w:val="0096663A"/>
    <w:rsid w:val="00967914"/>
    <w:rsid w:val="00967F92"/>
    <w:rsid w:val="00970CD0"/>
    <w:rsid w:val="0097100A"/>
    <w:rsid w:val="009710A5"/>
    <w:rsid w:val="009721DF"/>
    <w:rsid w:val="009723A0"/>
    <w:rsid w:val="00972BDA"/>
    <w:rsid w:val="00972E10"/>
    <w:rsid w:val="009732AA"/>
    <w:rsid w:val="0097489F"/>
    <w:rsid w:val="0097548E"/>
    <w:rsid w:val="00975701"/>
    <w:rsid w:val="00975800"/>
    <w:rsid w:val="00975ED0"/>
    <w:rsid w:val="009765D9"/>
    <w:rsid w:val="00977C70"/>
    <w:rsid w:val="00977DCE"/>
    <w:rsid w:val="00980608"/>
    <w:rsid w:val="009808D7"/>
    <w:rsid w:val="00981A8D"/>
    <w:rsid w:val="00981F28"/>
    <w:rsid w:val="009820DF"/>
    <w:rsid w:val="0098273D"/>
    <w:rsid w:val="00982D4A"/>
    <w:rsid w:val="009837A9"/>
    <w:rsid w:val="00983CD7"/>
    <w:rsid w:val="00983E49"/>
    <w:rsid w:val="00983FD4"/>
    <w:rsid w:val="009859D7"/>
    <w:rsid w:val="00985A46"/>
    <w:rsid w:val="00986155"/>
    <w:rsid w:val="00986495"/>
    <w:rsid w:val="00986E18"/>
    <w:rsid w:val="009873DA"/>
    <w:rsid w:val="00987A96"/>
    <w:rsid w:val="00987D94"/>
    <w:rsid w:val="009902F9"/>
    <w:rsid w:val="0099041D"/>
    <w:rsid w:val="00990B34"/>
    <w:rsid w:val="00990BE8"/>
    <w:rsid w:val="00990F46"/>
    <w:rsid w:val="0099159E"/>
    <w:rsid w:val="009915A9"/>
    <w:rsid w:val="00991EA1"/>
    <w:rsid w:val="00992115"/>
    <w:rsid w:val="00992B1C"/>
    <w:rsid w:val="0099444D"/>
    <w:rsid w:val="00994E83"/>
    <w:rsid w:val="009954AC"/>
    <w:rsid w:val="00995C2B"/>
    <w:rsid w:val="0099617B"/>
    <w:rsid w:val="00996816"/>
    <w:rsid w:val="00997C32"/>
    <w:rsid w:val="009A046C"/>
    <w:rsid w:val="009A1EBD"/>
    <w:rsid w:val="009A292F"/>
    <w:rsid w:val="009A3388"/>
    <w:rsid w:val="009A3423"/>
    <w:rsid w:val="009A3DA3"/>
    <w:rsid w:val="009A421C"/>
    <w:rsid w:val="009A4772"/>
    <w:rsid w:val="009A51E2"/>
    <w:rsid w:val="009A54E1"/>
    <w:rsid w:val="009A5EBD"/>
    <w:rsid w:val="009A63BD"/>
    <w:rsid w:val="009A6E42"/>
    <w:rsid w:val="009A7863"/>
    <w:rsid w:val="009A79D1"/>
    <w:rsid w:val="009A7C3A"/>
    <w:rsid w:val="009B00EB"/>
    <w:rsid w:val="009B0429"/>
    <w:rsid w:val="009B0973"/>
    <w:rsid w:val="009B1815"/>
    <w:rsid w:val="009B19A3"/>
    <w:rsid w:val="009B1CC3"/>
    <w:rsid w:val="009B2ACE"/>
    <w:rsid w:val="009B2D4D"/>
    <w:rsid w:val="009B2ED0"/>
    <w:rsid w:val="009B3681"/>
    <w:rsid w:val="009B50D1"/>
    <w:rsid w:val="009B5A71"/>
    <w:rsid w:val="009B5DFD"/>
    <w:rsid w:val="009C02FA"/>
    <w:rsid w:val="009C0FE0"/>
    <w:rsid w:val="009C2087"/>
    <w:rsid w:val="009C2263"/>
    <w:rsid w:val="009C23EB"/>
    <w:rsid w:val="009C2BB4"/>
    <w:rsid w:val="009C2F89"/>
    <w:rsid w:val="009C386D"/>
    <w:rsid w:val="009C4A83"/>
    <w:rsid w:val="009C4F21"/>
    <w:rsid w:val="009C6033"/>
    <w:rsid w:val="009C66BC"/>
    <w:rsid w:val="009C6865"/>
    <w:rsid w:val="009C6872"/>
    <w:rsid w:val="009C6A4B"/>
    <w:rsid w:val="009C765A"/>
    <w:rsid w:val="009C7734"/>
    <w:rsid w:val="009D020E"/>
    <w:rsid w:val="009D1BA3"/>
    <w:rsid w:val="009D1F03"/>
    <w:rsid w:val="009D2501"/>
    <w:rsid w:val="009D2E15"/>
    <w:rsid w:val="009D33D0"/>
    <w:rsid w:val="009D3B55"/>
    <w:rsid w:val="009D40C0"/>
    <w:rsid w:val="009D461E"/>
    <w:rsid w:val="009D5AB4"/>
    <w:rsid w:val="009D5BBC"/>
    <w:rsid w:val="009D6CA1"/>
    <w:rsid w:val="009D6CAC"/>
    <w:rsid w:val="009D75D2"/>
    <w:rsid w:val="009D769D"/>
    <w:rsid w:val="009D7F5A"/>
    <w:rsid w:val="009E059C"/>
    <w:rsid w:val="009E13CF"/>
    <w:rsid w:val="009E1B37"/>
    <w:rsid w:val="009E1DBA"/>
    <w:rsid w:val="009E28F5"/>
    <w:rsid w:val="009E3675"/>
    <w:rsid w:val="009E3BC1"/>
    <w:rsid w:val="009E43D9"/>
    <w:rsid w:val="009E44AA"/>
    <w:rsid w:val="009E46C5"/>
    <w:rsid w:val="009E47B7"/>
    <w:rsid w:val="009E4983"/>
    <w:rsid w:val="009E4B32"/>
    <w:rsid w:val="009E5009"/>
    <w:rsid w:val="009E649E"/>
    <w:rsid w:val="009E652F"/>
    <w:rsid w:val="009E65F7"/>
    <w:rsid w:val="009E661E"/>
    <w:rsid w:val="009E694E"/>
    <w:rsid w:val="009E6B8D"/>
    <w:rsid w:val="009E70E7"/>
    <w:rsid w:val="009E761E"/>
    <w:rsid w:val="009E77A4"/>
    <w:rsid w:val="009F01E8"/>
    <w:rsid w:val="009F021D"/>
    <w:rsid w:val="009F14C3"/>
    <w:rsid w:val="009F1505"/>
    <w:rsid w:val="009F207A"/>
    <w:rsid w:val="009F245C"/>
    <w:rsid w:val="009F2933"/>
    <w:rsid w:val="009F296E"/>
    <w:rsid w:val="009F29D3"/>
    <w:rsid w:val="009F2C9A"/>
    <w:rsid w:val="009F3548"/>
    <w:rsid w:val="009F3C2D"/>
    <w:rsid w:val="009F53DB"/>
    <w:rsid w:val="009F5AC6"/>
    <w:rsid w:val="009F6289"/>
    <w:rsid w:val="009F6840"/>
    <w:rsid w:val="009F7139"/>
    <w:rsid w:val="009F75B4"/>
    <w:rsid w:val="009F7BDB"/>
    <w:rsid w:val="009F7D60"/>
    <w:rsid w:val="00A00522"/>
    <w:rsid w:val="00A00560"/>
    <w:rsid w:val="00A01134"/>
    <w:rsid w:val="00A01F3D"/>
    <w:rsid w:val="00A02506"/>
    <w:rsid w:val="00A025C9"/>
    <w:rsid w:val="00A027A9"/>
    <w:rsid w:val="00A027D5"/>
    <w:rsid w:val="00A02B08"/>
    <w:rsid w:val="00A03095"/>
    <w:rsid w:val="00A033F5"/>
    <w:rsid w:val="00A03834"/>
    <w:rsid w:val="00A038C1"/>
    <w:rsid w:val="00A03A8E"/>
    <w:rsid w:val="00A03EC3"/>
    <w:rsid w:val="00A04188"/>
    <w:rsid w:val="00A0455D"/>
    <w:rsid w:val="00A0489D"/>
    <w:rsid w:val="00A049F5"/>
    <w:rsid w:val="00A05139"/>
    <w:rsid w:val="00A059C9"/>
    <w:rsid w:val="00A06A22"/>
    <w:rsid w:val="00A06FCA"/>
    <w:rsid w:val="00A07105"/>
    <w:rsid w:val="00A07136"/>
    <w:rsid w:val="00A10485"/>
    <w:rsid w:val="00A1052F"/>
    <w:rsid w:val="00A105CA"/>
    <w:rsid w:val="00A111D1"/>
    <w:rsid w:val="00A11211"/>
    <w:rsid w:val="00A11783"/>
    <w:rsid w:val="00A11C1D"/>
    <w:rsid w:val="00A11C52"/>
    <w:rsid w:val="00A11F89"/>
    <w:rsid w:val="00A124C6"/>
    <w:rsid w:val="00A12B8A"/>
    <w:rsid w:val="00A12DE8"/>
    <w:rsid w:val="00A139B1"/>
    <w:rsid w:val="00A13A68"/>
    <w:rsid w:val="00A13C05"/>
    <w:rsid w:val="00A13C6C"/>
    <w:rsid w:val="00A14EC5"/>
    <w:rsid w:val="00A15669"/>
    <w:rsid w:val="00A15670"/>
    <w:rsid w:val="00A15AC7"/>
    <w:rsid w:val="00A15AF2"/>
    <w:rsid w:val="00A16405"/>
    <w:rsid w:val="00A1648B"/>
    <w:rsid w:val="00A164CE"/>
    <w:rsid w:val="00A16773"/>
    <w:rsid w:val="00A16968"/>
    <w:rsid w:val="00A16BB1"/>
    <w:rsid w:val="00A16CA4"/>
    <w:rsid w:val="00A174A4"/>
    <w:rsid w:val="00A179CB"/>
    <w:rsid w:val="00A17DEC"/>
    <w:rsid w:val="00A21B58"/>
    <w:rsid w:val="00A22138"/>
    <w:rsid w:val="00A22BBF"/>
    <w:rsid w:val="00A22D7B"/>
    <w:rsid w:val="00A23C1D"/>
    <w:rsid w:val="00A24127"/>
    <w:rsid w:val="00A241CC"/>
    <w:rsid w:val="00A242D9"/>
    <w:rsid w:val="00A24902"/>
    <w:rsid w:val="00A25A2F"/>
    <w:rsid w:val="00A26132"/>
    <w:rsid w:val="00A26290"/>
    <w:rsid w:val="00A270D4"/>
    <w:rsid w:val="00A272FC"/>
    <w:rsid w:val="00A27B72"/>
    <w:rsid w:val="00A304C4"/>
    <w:rsid w:val="00A30A71"/>
    <w:rsid w:val="00A31075"/>
    <w:rsid w:val="00A3176C"/>
    <w:rsid w:val="00A3181D"/>
    <w:rsid w:val="00A31845"/>
    <w:rsid w:val="00A318C5"/>
    <w:rsid w:val="00A32461"/>
    <w:rsid w:val="00A32E4D"/>
    <w:rsid w:val="00A342BC"/>
    <w:rsid w:val="00A34392"/>
    <w:rsid w:val="00A34B40"/>
    <w:rsid w:val="00A34D41"/>
    <w:rsid w:val="00A350F5"/>
    <w:rsid w:val="00A3537E"/>
    <w:rsid w:val="00A35E30"/>
    <w:rsid w:val="00A360C7"/>
    <w:rsid w:val="00A361F9"/>
    <w:rsid w:val="00A3629C"/>
    <w:rsid w:val="00A375A4"/>
    <w:rsid w:val="00A40BC1"/>
    <w:rsid w:val="00A40C48"/>
    <w:rsid w:val="00A413C1"/>
    <w:rsid w:val="00A41455"/>
    <w:rsid w:val="00A4172E"/>
    <w:rsid w:val="00A41AC5"/>
    <w:rsid w:val="00A42181"/>
    <w:rsid w:val="00A421AD"/>
    <w:rsid w:val="00A4235E"/>
    <w:rsid w:val="00A423EF"/>
    <w:rsid w:val="00A42A43"/>
    <w:rsid w:val="00A42BAC"/>
    <w:rsid w:val="00A43330"/>
    <w:rsid w:val="00A43422"/>
    <w:rsid w:val="00A43828"/>
    <w:rsid w:val="00A4457F"/>
    <w:rsid w:val="00A44CFB"/>
    <w:rsid w:val="00A44F6C"/>
    <w:rsid w:val="00A45058"/>
    <w:rsid w:val="00A457B0"/>
    <w:rsid w:val="00A45A84"/>
    <w:rsid w:val="00A45DB4"/>
    <w:rsid w:val="00A46D03"/>
    <w:rsid w:val="00A47B2C"/>
    <w:rsid w:val="00A47EF0"/>
    <w:rsid w:val="00A50767"/>
    <w:rsid w:val="00A50E77"/>
    <w:rsid w:val="00A5141D"/>
    <w:rsid w:val="00A51614"/>
    <w:rsid w:val="00A518BB"/>
    <w:rsid w:val="00A51C45"/>
    <w:rsid w:val="00A52415"/>
    <w:rsid w:val="00A528A5"/>
    <w:rsid w:val="00A535DA"/>
    <w:rsid w:val="00A53978"/>
    <w:rsid w:val="00A53F50"/>
    <w:rsid w:val="00A54213"/>
    <w:rsid w:val="00A5539A"/>
    <w:rsid w:val="00A5556F"/>
    <w:rsid w:val="00A55E67"/>
    <w:rsid w:val="00A55FD2"/>
    <w:rsid w:val="00A560F4"/>
    <w:rsid w:val="00A5611B"/>
    <w:rsid w:val="00A561A6"/>
    <w:rsid w:val="00A56207"/>
    <w:rsid w:val="00A563BD"/>
    <w:rsid w:val="00A566B6"/>
    <w:rsid w:val="00A56809"/>
    <w:rsid w:val="00A57BF2"/>
    <w:rsid w:val="00A60BC7"/>
    <w:rsid w:val="00A613FF"/>
    <w:rsid w:val="00A61EAE"/>
    <w:rsid w:val="00A63622"/>
    <w:rsid w:val="00A64E98"/>
    <w:rsid w:val="00A65112"/>
    <w:rsid w:val="00A658F2"/>
    <w:rsid w:val="00A65BE1"/>
    <w:rsid w:val="00A672FD"/>
    <w:rsid w:val="00A67ADA"/>
    <w:rsid w:val="00A705C9"/>
    <w:rsid w:val="00A70801"/>
    <w:rsid w:val="00A70F07"/>
    <w:rsid w:val="00A710D2"/>
    <w:rsid w:val="00A713F8"/>
    <w:rsid w:val="00A72987"/>
    <w:rsid w:val="00A72AD1"/>
    <w:rsid w:val="00A72BD1"/>
    <w:rsid w:val="00A73576"/>
    <w:rsid w:val="00A73655"/>
    <w:rsid w:val="00A736FC"/>
    <w:rsid w:val="00A73DBF"/>
    <w:rsid w:val="00A73F15"/>
    <w:rsid w:val="00A7440C"/>
    <w:rsid w:val="00A74937"/>
    <w:rsid w:val="00A74EC9"/>
    <w:rsid w:val="00A75703"/>
    <w:rsid w:val="00A75992"/>
    <w:rsid w:val="00A76792"/>
    <w:rsid w:val="00A76DFB"/>
    <w:rsid w:val="00A77A0C"/>
    <w:rsid w:val="00A77D5C"/>
    <w:rsid w:val="00A80852"/>
    <w:rsid w:val="00A80C72"/>
    <w:rsid w:val="00A81626"/>
    <w:rsid w:val="00A817B9"/>
    <w:rsid w:val="00A81837"/>
    <w:rsid w:val="00A82826"/>
    <w:rsid w:val="00A82E30"/>
    <w:rsid w:val="00A83FDB"/>
    <w:rsid w:val="00A84C56"/>
    <w:rsid w:val="00A869E5"/>
    <w:rsid w:val="00A86EFD"/>
    <w:rsid w:val="00A874BF"/>
    <w:rsid w:val="00A8753F"/>
    <w:rsid w:val="00A87DD0"/>
    <w:rsid w:val="00A87E3F"/>
    <w:rsid w:val="00A90740"/>
    <w:rsid w:val="00A9096E"/>
    <w:rsid w:val="00A90F6A"/>
    <w:rsid w:val="00A912B6"/>
    <w:rsid w:val="00A9168D"/>
    <w:rsid w:val="00A93159"/>
    <w:rsid w:val="00A93BDC"/>
    <w:rsid w:val="00A94346"/>
    <w:rsid w:val="00A953C6"/>
    <w:rsid w:val="00A95AF2"/>
    <w:rsid w:val="00A95C86"/>
    <w:rsid w:val="00A961A3"/>
    <w:rsid w:val="00A966A4"/>
    <w:rsid w:val="00A96D35"/>
    <w:rsid w:val="00A9784B"/>
    <w:rsid w:val="00A978A8"/>
    <w:rsid w:val="00A97A7B"/>
    <w:rsid w:val="00AA0500"/>
    <w:rsid w:val="00AA098C"/>
    <w:rsid w:val="00AA10D5"/>
    <w:rsid w:val="00AA12E6"/>
    <w:rsid w:val="00AA1A6C"/>
    <w:rsid w:val="00AA1EB3"/>
    <w:rsid w:val="00AA2635"/>
    <w:rsid w:val="00AA4099"/>
    <w:rsid w:val="00AA415F"/>
    <w:rsid w:val="00AA426D"/>
    <w:rsid w:val="00AA4909"/>
    <w:rsid w:val="00AA554C"/>
    <w:rsid w:val="00AA5566"/>
    <w:rsid w:val="00AA58E3"/>
    <w:rsid w:val="00AA5D47"/>
    <w:rsid w:val="00AA6099"/>
    <w:rsid w:val="00AA629B"/>
    <w:rsid w:val="00AA778F"/>
    <w:rsid w:val="00AA7A0A"/>
    <w:rsid w:val="00AA7FC3"/>
    <w:rsid w:val="00AB02B6"/>
    <w:rsid w:val="00AB0549"/>
    <w:rsid w:val="00AB1482"/>
    <w:rsid w:val="00AB238B"/>
    <w:rsid w:val="00AB23AD"/>
    <w:rsid w:val="00AB27B3"/>
    <w:rsid w:val="00AB2EE1"/>
    <w:rsid w:val="00AB37EF"/>
    <w:rsid w:val="00AB4BF8"/>
    <w:rsid w:val="00AB52EB"/>
    <w:rsid w:val="00AB53A6"/>
    <w:rsid w:val="00AB604F"/>
    <w:rsid w:val="00AB7002"/>
    <w:rsid w:val="00AC3506"/>
    <w:rsid w:val="00AC371E"/>
    <w:rsid w:val="00AC3A7D"/>
    <w:rsid w:val="00AC58D2"/>
    <w:rsid w:val="00AC5C49"/>
    <w:rsid w:val="00AC5D6F"/>
    <w:rsid w:val="00AC5D7B"/>
    <w:rsid w:val="00AC6946"/>
    <w:rsid w:val="00AC6B46"/>
    <w:rsid w:val="00AC6F2A"/>
    <w:rsid w:val="00AC7AB8"/>
    <w:rsid w:val="00AD03B2"/>
    <w:rsid w:val="00AD048C"/>
    <w:rsid w:val="00AD07BF"/>
    <w:rsid w:val="00AD1C7E"/>
    <w:rsid w:val="00AD1D94"/>
    <w:rsid w:val="00AD29A5"/>
    <w:rsid w:val="00AD2AE5"/>
    <w:rsid w:val="00AD2B80"/>
    <w:rsid w:val="00AD35CB"/>
    <w:rsid w:val="00AD3636"/>
    <w:rsid w:val="00AD36B0"/>
    <w:rsid w:val="00AD37CD"/>
    <w:rsid w:val="00AD3E48"/>
    <w:rsid w:val="00AD407F"/>
    <w:rsid w:val="00AD43C0"/>
    <w:rsid w:val="00AD44DD"/>
    <w:rsid w:val="00AD55BD"/>
    <w:rsid w:val="00AD6EC3"/>
    <w:rsid w:val="00AD74F4"/>
    <w:rsid w:val="00AD7597"/>
    <w:rsid w:val="00AD7E21"/>
    <w:rsid w:val="00AE016C"/>
    <w:rsid w:val="00AE117C"/>
    <w:rsid w:val="00AE176D"/>
    <w:rsid w:val="00AE1C94"/>
    <w:rsid w:val="00AE214E"/>
    <w:rsid w:val="00AE2B9B"/>
    <w:rsid w:val="00AE2C5C"/>
    <w:rsid w:val="00AE2D8E"/>
    <w:rsid w:val="00AE310A"/>
    <w:rsid w:val="00AE4FEE"/>
    <w:rsid w:val="00AE53B4"/>
    <w:rsid w:val="00AE5523"/>
    <w:rsid w:val="00AE6019"/>
    <w:rsid w:val="00AE667D"/>
    <w:rsid w:val="00AE6B70"/>
    <w:rsid w:val="00AE6C7C"/>
    <w:rsid w:val="00AE6F9F"/>
    <w:rsid w:val="00AE73E8"/>
    <w:rsid w:val="00AF09A1"/>
    <w:rsid w:val="00AF15D2"/>
    <w:rsid w:val="00AF16D7"/>
    <w:rsid w:val="00AF1BD8"/>
    <w:rsid w:val="00AF1E06"/>
    <w:rsid w:val="00AF25A1"/>
    <w:rsid w:val="00AF3A97"/>
    <w:rsid w:val="00AF3AF9"/>
    <w:rsid w:val="00AF4675"/>
    <w:rsid w:val="00AF4B4F"/>
    <w:rsid w:val="00AF4D32"/>
    <w:rsid w:val="00AF6071"/>
    <w:rsid w:val="00B00040"/>
    <w:rsid w:val="00B010DA"/>
    <w:rsid w:val="00B01111"/>
    <w:rsid w:val="00B0133F"/>
    <w:rsid w:val="00B02974"/>
    <w:rsid w:val="00B0390B"/>
    <w:rsid w:val="00B03D38"/>
    <w:rsid w:val="00B03F61"/>
    <w:rsid w:val="00B0448D"/>
    <w:rsid w:val="00B044A0"/>
    <w:rsid w:val="00B04D2B"/>
    <w:rsid w:val="00B05548"/>
    <w:rsid w:val="00B05726"/>
    <w:rsid w:val="00B057F9"/>
    <w:rsid w:val="00B058A1"/>
    <w:rsid w:val="00B05921"/>
    <w:rsid w:val="00B05BCF"/>
    <w:rsid w:val="00B05D2D"/>
    <w:rsid w:val="00B06D01"/>
    <w:rsid w:val="00B06E6F"/>
    <w:rsid w:val="00B072E3"/>
    <w:rsid w:val="00B0730B"/>
    <w:rsid w:val="00B074B0"/>
    <w:rsid w:val="00B10291"/>
    <w:rsid w:val="00B10643"/>
    <w:rsid w:val="00B10EE7"/>
    <w:rsid w:val="00B11134"/>
    <w:rsid w:val="00B11449"/>
    <w:rsid w:val="00B11B2D"/>
    <w:rsid w:val="00B11CFA"/>
    <w:rsid w:val="00B12120"/>
    <w:rsid w:val="00B126CF"/>
    <w:rsid w:val="00B135AA"/>
    <w:rsid w:val="00B147AE"/>
    <w:rsid w:val="00B14AF2"/>
    <w:rsid w:val="00B14E45"/>
    <w:rsid w:val="00B15052"/>
    <w:rsid w:val="00B15B6A"/>
    <w:rsid w:val="00B15CF6"/>
    <w:rsid w:val="00B176EE"/>
    <w:rsid w:val="00B17CF3"/>
    <w:rsid w:val="00B201AD"/>
    <w:rsid w:val="00B202CE"/>
    <w:rsid w:val="00B20769"/>
    <w:rsid w:val="00B21223"/>
    <w:rsid w:val="00B22878"/>
    <w:rsid w:val="00B239A5"/>
    <w:rsid w:val="00B23CD6"/>
    <w:rsid w:val="00B24AB7"/>
    <w:rsid w:val="00B25A8A"/>
    <w:rsid w:val="00B25F6E"/>
    <w:rsid w:val="00B260D8"/>
    <w:rsid w:val="00B261A5"/>
    <w:rsid w:val="00B2642C"/>
    <w:rsid w:val="00B26452"/>
    <w:rsid w:val="00B268D9"/>
    <w:rsid w:val="00B26A6A"/>
    <w:rsid w:val="00B26CD3"/>
    <w:rsid w:val="00B272AC"/>
    <w:rsid w:val="00B277B0"/>
    <w:rsid w:val="00B27C09"/>
    <w:rsid w:val="00B308D1"/>
    <w:rsid w:val="00B30FF7"/>
    <w:rsid w:val="00B32350"/>
    <w:rsid w:val="00B324EB"/>
    <w:rsid w:val="00B33D5D"/>
    <w:rsid w:val="00B34499"/>
    <w:rsid w:val="00B34D37"/>
    <w:rsid w:val="00B351A7"/>
    <w:rsid w:val="00B353D9"/>
    <w:rsid w:val="00B36478"/>
    <w:rsid w:val="00B36801"/>
    <w:rsid w:val="00B36C0A"/>
    <w:rsid w:val="00B36EE8"/>
    <w:rsid w:val="00B3774A"/>
    <w:rsid w:val="00B37F03"/>
    <w:rsid w:val="00B4042A"/>
    <w:rsid w:val="00B404A1"/>
    <w:rsid w:val="00B409AD"/>
    <w:rsid w:val="00B40DD2"/>
    <w:rsid w:val="00B41700"/>
    <w:rsid w:val="00B41BD8"/>
    <w:rsid w:val="00B42DD7"/>
    <w:rsid w:val="00B4495D"/>
    <w:rsid w:val="00B44FFD"/>
    <w:rsid w:val="00B45C90"/>
    <w:rsid w:val="00B4612C"/>
    <w:rsid w:val="00B46933"/>
    <w:rsid w:val="00B46B18"/>
    <w:rsid w:val="00B474B6"/>
    <w:rsid w:val="00B47921"/>
    <w:rsid w:val="00B50CC2"/>
    <w:rsid w:val="00B51280"/>
    <w:rsid w:val="00B51671"/>
    <w:rsid w:val="00B5195F"/>
    <w:rsid w:val="00B52E0E"/>
    <w:rsid w:val="00B5417A"/>
    <w:rsid w:val="00B54457"/>
    <w:rsid w:val="00B547D8"/>
    <w:rsid w:val="00B5493D"/>
    <w:rsid w:val="00B54E5A"/>
    <w:rsid w:val="00B550E8"/>
    <w:rsid w:val="00B55185"/>
    <w:rsid w:val="00B555BA"/>
    <w:rsid w:val="00B556D6"/>
    <w:rsid w:val="00B55C8C"/>
    <w:rsid w:val="00B55E4C"/>
    <w:rsid w:val="00B565CC"/>
    <w:rsid w:val="00B56F9B"/>
    <w:rsid w:val="00B60EDC"/>
    <w:rsid w:val="00B60F92"/>
    <w:rsid w:val="00B618BE"/>
    <w:rsid w:val="00B62358"/>
    <w:rsid w:val="00B62908"/>
    <w:rsid w:val="00B62A97"/>
    <w:rsid w:val="00B62B28"/>
    <w:rsid w:val="00B62C81"/>
    <w:rsid w:val="00B6333C"/>
    <w:rsid w:val="00B63A46"/>
    <w:rsid w:val="00B63F70"/>
    <w:rsid w:val="00B644D9"/>
    <w:rsid w:val="00B64BA3"/>
    <w:rsid w:val="00B64C3C"/>
    <w:rsid w:val="00B652CB"/>
    <w:rsid w:val="00B656AC"/>
    <w:rsid w:val="00B65806"/>
    <w:rsid w:val="00B65B1B"/>
    <w:rsid w:val="00B65B43"/>
    <w:rsid w:val="00B65B95"/>
    <w:rsid w:val="00B66AA2"/>
    <w:rsid w:val="00B66FEB"/>
    <w:rsid w:val="00B67B29"/>
    <w:rsid w:val="00B703CD"/>
    <w:rsid w:val="00B70C7F"/>
    <w:rsid w:val="00B70E7D"/>
    <w:rsid w:val="00B711A4"/>
    <w:rsid w:val="00B711E2"/>
    <w:rsid w:val="00B71497"/>
    <w:rsid w:val="00B715C0"/>
    <w:rsid w:val="00B71C80"/>
    <w:rsid w:val="00B74BC1"/>
    <w:rsid w:val="00B750DE"/>
    <w:rsid w:val="00B759CF"/>
    <w:rsid w:val="00B75FA8"/>
    <w:rsid w:val="00B76313"/>
    <w:rsid w:val="00B76DB3"/>
    <w:rsid w:val="00B77083"/>
    <w:rsid w:val="00B77881"/>
    <w:rsid w:val="00B80353"/>
    <w:rsid w:val="00B803FF"/>
    <w:rsid w:val="00B81147"/>
    <w:rsid w:val="00B81E49"/>
    <w:rsid w:val="00B81F6E"/>
    <w:rsid w:val="00B82D04"/>
    <w:rsid w:val="00B82D58"/>
    <w:rsid w:val="00B836AB"/>
    <w:rsid w:val="00B84743"/>
    <w:rsid w:val="00B84C80"/>
    <w:rsid w:val="00B84E5C"/>
    <w:rsid w:val="00B84EEF"/>
    <w:rsid w:val="00B85904"/>
    <w:rsid w:val="00B85A27"/>
    <w:rsid w:val="00B85D17"/>
    <w:rsid w:val="00B862E8"/>
    <w:rsid w:val="00B86ED6"/>
    <w:rsid w:val="00B86F19"/>
    <w:rsid w:val="00B87D17"/>
    <w:rsid w:val="00B90A7B"/>
    <w:rsid w:val="00B91A58"/>
    <w:rsid w:val="00B92210"/>
    <w:rsid w:val="00B926FE"/>
    <w:rsid w:val="00B92E18"/>
    <w:rsid w:val="00B93046"/>
    <w:rsid w:val="00B93529"/>
    <w:rsid w:val="00B94152"/>
    <w:rsid w:val="00B947C7"/>
    <w:rsid w:val="00B94EED"/>
    <w:rsid w:val="00B94F2F"/>
    <w:rsid w:val="00B9552B"/>
    <w:rsid w:val="00B95B90"/>
    <w:rsid w:val="00B95BD2"/>
    <w:rsid w:val="00B95FA2"/>
    <w:rsid w:val="00B961C4"/>
    <w:rsid w:val="00B963F8"/>
    <w:rsid w:val="00B966C2"/>
    <w:rsid w:val="00B96842"/>
    <w:rsid w:val="00B96D8A"/>
    <w:rsid w:val="00B97BA2"/>
    <w:rsid w:val="00B97BC9"/>
    <w:rsid w:val="00BA036E"/>
    <w:rsid w:val="00BA0732"/>
    <w:rsid w:val="00BA0B2A"/>
    <w:rsid w:val="00BA15A2"/>
    <w:rsid w:val="00BA1B49"/>
    <w:rsid w:val="00BA20A5"/>
    <w:rsid w:val="00BA2480"/>
    <w:rsid w:val="00BA2A92"/>
    <w:rsid w:val="00BA2E71"/>
    <w:rsid w:val="00BA39F4"/>
    <w:rsid w:val="00BA3D05"/>
    <w:rsid w:val="00BA512F"/>
    <w:rsid w:val="00BA5B27"/>
    <w:rsid w:val="00BA6941"/>
    <w:rsid w:val="00BA6DAE"/>
    <w:rsid w:val="00BA70D6"/>
    <w:rsid w:val="00BA7576"/>
    <w:rsid w:val="00BA75A4"/>
    <w:rsid w:val="00BA7961"/>
    <w:rsid w:val="00BA7EF8"/>
    <w:rsid w:val="00BB0DA8"/>
    <w:rsid w:val="00BB11F4"/>
    <w:rsid w:val="00BB1C3D"/>
    <w:rsid w:val="00BB2606"/>
    <w:rsid w:val="00BB3712"/>
    <w:rsid w:val="00BB4461"/>
    <w:rsid w:val="00BB46D3"/>
    <w:rsid w:val="00BB4AE8"/>
    <w:rsid w:val="00BB4FD1"/>
    <w:rsid w:val="00BB5323"/>
    <w:rsid w:val="00BB61FE"/>
    <w:rsid w:val="00BB6D1F"/>
    <w:rsid w:val="00BB7968"/>
    <w:rsid w:val="00BB7ADA"/>
    <w:rsid w:val="00BB7C94"/>
    <w:rsid w:val="00BC10D3"/>
    <w:rsid w:val="00BC1805"/>
    <w:rsid w:val="00BC1BB2"/>
    <w:rsid w:val="00BC1C79"/>
    <w:rsid w:val="00BC1DC3"/>
    <w:rsid w:val="00BC27D1"/>
    <w:rsid w:val="00BC299D"/>
    <w:rsid w:val="00BC3198"/>
    <w:rsid w:val="00BC3795"/>
    <w:rsid w:val="00BC3FED"/>
    <w:rsid w:val="00BC406A"/>
    <w:rsid w:val="00BC4E9A"/>
    <w:rsid w:val="00BC55A3"/>
    <w:rsid w:val="00BC580C"/>
    <w:rsid w:val="00BC5C54"/>
    <w:rsid w:val="00BC6063"/>
    <w:rsid w:val="00BC6379"/>
    <w:rsid w:val="00BC6897"/>
    <w:rsid w:val="00BC69B4"/>
    <w:rsid w:val="00BC6D91"/>
    <w:rsid w:val="00BC7065"/>
    <w:rsid w:val="00BD0237"/>
    <w:rsid w:val="00BD03B5"/>
    <w:rsid w:val="00BD09C6"/>
    <w:rsid w:val="00BD21EA"/>
    <w:rsid w:val="00BD22BA"/>
    <w:rsid w:val="00BD2689"/>
    <w:rsid w:val="00BD284E"/>
    <w:rsid w:val="00BD2FF1"/>
    <w:rsid w:val="00BD3BE6"/>
    <w:rsid w:val="00BD4E01"/>
    <w:rsid w:val="00BD4E1E"/>
    <w:rsid w:val="00BD5A63"/>
    <w:rsid w:val="00BD5C67"/>
    <w:rsid w:val="00BD5D28"/>
    <w:rsid w:val="00BD5D62"/>
    <w:rsid w:val="00BD5FE8"/>
    <w:rsid w:val="00BD6C0D"/>
    <w:rsid w:val="00BD74CD"/>
    <w:rsid w:val="00BD78EC"/>
    <w:rsid w:val="00BE0C3D"/>
    <w:rsid w:val="00BE0DB3"/>
    <w:rsid w:val="00BE1820"/>
    <w:rsid w:val="00BE18FE"/>
    <w:rsid w:val="00BE1BA5"/>
    <w:rsid w:val="00BE2949"/>
    <w:rsid w:val="00BE471C"/>
    <w:rsid w:val="00BE4D01"/>
    <w:rsid w:val="00BE50D0"/>
    <w:rsid w:val="00BE5D40"/>
    <w:rsid w:val="00BE5D70"/>
    <w:rsid w:val="00BE5E2C"/>
    <w:rsid w:val="00BE5F35"/>
    <w:rsid w:val="00BE682E"/>
    <w:rsid w:val="00BE6D7B"/>
    <w:rsid w:val="00BE6F79"/>
    <w:rsid w:val="00BF0E6F"/>
    <w:rsid w:val="00BF178E"/>
    <w:rsid w:val="00BF20C7"/>
    <w:rsid w:val="00BF2152"/>
    <w:rsid w:val="00BF267F"/>
    <w:rsid w:val="00BF2F7B"/>
    <w:rsid w:val="00BF313B"/>
    <w:rsid w:val="00BF36F3"/>
    <w:rsid w:val="00BF46FF"/>
    <w:rsid w:val="00BF4D4D"/>
    <w:rsid w:val="00BF4F7A"/>
    <w:rsid w:val="00BF566D"/>
    <w:rsid w:val="00BF5B06"/>
    <w:rsid w:val="00BF5C62"/>
    <w:rsid w:val="00BF5C8C"/>
    <w:rsid w:val="00BF7AFC"/>
    <w:rsid w:val="00BF7F28"/>
    <w:rsid w:val="00C002BB"/>
    <w:rsid w:val="00C0040B"/>
    <w:rsid w:val="00C00597"/>
    <w:rsid w:val="00C009D0"/>
    <w:rsid w:val="00C01137"/>
    <w:rsid w:val="00C0185A"/>
    <w:rsid w:val="00C027EC"/>
    <w:rsid w:val="00C04390"/>
    <w:rsid w:val="00C053EC"/>
    <w:rsid w:val="00C054DC"/>
    <w:rsid w:val="00C05C6F"/>
    <w:rsid w:val="00C065AF"/>
    <w:rsid w:val="00C06AE7"/>
    <w:rsid w:val="00C06B97"/>
    <w:rsid w:val="00C06EC4"/>
    <w:rsid w:val="00C072D0"/>
    <w:rsid w:val="00C07DA9"/>
    <w:rsid w:val="00C10863"/>
    <w:rsid w:val="00C1099E"/>
    <w:rsid w:val="00C10B69"/>
    <w:rsid w:val="00C10C82"/>
    <w:rsid w:val="00C11E8F"/>
    <w:rsid w:val="00C13052"/>
    <w:rsid w:val="00C1368A"/>
    <w:rsid w:val="00C1389A"/>
    <w:rsid w:val="00C13BB3"/>
    <w:rsid w:val="00C13D6C"/>
    <w:rsid w:val="00C141B7"/>
    <w:rsid w:val="00C14463"/>
    <w:rsid w:val="00C14AB3"/>
    <w:rsid w:val="00C14E30"/>
    <w:rsid w:val="00C15919"/>
    <w:rsid w:val="00C16CF9"/>
    <w:rsid w:val="00C16D9E"/>
    <w:rsid w:val="00C179B6"/>
    <w:rsid w:val="00C17D42"/>
    <w:rsid w:val="00C2074F"/>
    <w:rsid w:val="00C22005"/>
    <w:rsid w:val="00C23B6F"/>
    <w:rsid w:val="00C23ECA"/>
    <w:rsid w:val="00C24862"/>
    <w:rsid w:val="00C248F4"/>
    <w:rsid w:val="00C24F43"/>
    <w:rsid w:val="00C2549D"/>
    <w:rsid w:val="00C25F4E"/>
    <w:rsid w:val="00C26A79"/>
    <w:rsid w:val="00C27D94"/>
    <w:rsid w:val="00C27F72"/>
    <w:rsid w:val="00C3067A"/>
    <w:rsid w:val="00C30767"/>
    <w:rsid w:val="00C309A9"/>
    <w:rsid w:val="00C31489"/>
    <w:rsid w:val="00C31C0D"/>
    <w:rsid w:val="00C31F7B"/>
    <w:rsid w:val="00C33594"/>
    <w:rsid w:val="00C33AE1"/>
    <w:rsid w:val="00C34888"/>
    <w:rsid w:val="00C363CC"/>
    <w:rsid w:val="00C36B2A"/>
    <w:rsid w:val="00C36C26"/>
    <w:rsid w:val="00C3771E"/>
    <w:rsid w:val="00C40798"/>
    <w:rsid w:val="00C40E88"/>
    <w:rsid w:val="00C41328"/>
    <w:rsid w:val="00C41BFA"/>
    <w:rsid w:val="00C42C0E"/>
    <w:rsid w:val="00C42D95"/>
    <w:rsid w:val="00C439B3"/>
    <w:rsid w:val="00C443FC"/>
    <w:rsid w:val="00C4455C"/>
    <w:rsid w:val="00C44C73"/>
    <w:rsid w:val="00C45E82"/>
    <w:rsid w:val="00C4639B"/>
    <w:rsid w:val="00C46F4B"/>
    <w:rsid w:val="00C5045A"/>
    <w:rsid w:val="00C50816"/>
    <w:rsid w:val="00C50A3D"/>
    <w:rsid w:val="00C51165"/>
    <w:rsid w:val="00C51396"/>
    <w:rsid w:val="00C52CCA"/>
    <w:rsid w:val="00C52DB8"/>
    <w:rsid w:val="00C535F6"/>
    <w:rsid w:val="00C54AAA"/>
    <w:rsid w:val="00C55020"/>
    <w:rsid w:val="00C56486"/>
    <w:rsid w:val="00C57071"/>
    <w:rsid w:val="00C57209"/>
    <w:rsid w:val="00C57326"/>
    <w:rsid w:val="00C57596"/>
    <w:rsid w:val="00C57788"/>
    <w:rsid w:val="00C57872"/>
    <w:rsid w:val="00C5796D"/>
    <w:rsid w:val="00C57FC6"/>
    <w:rsid w:val="00C60C25"/>
    <w:rsid w:val="00C61067"/>
    <w:rsid w:val="00C61399"/>
    <w:rsid w:val="00C618F2"/>
    <w:rsid w:val="00C61D96"/>
    <w:rsid w:val="00C62527"/>
    <w:rsid w:val="00C62D7F"/>
    <w:rsid w:val="00C638AF"/>
    <w:rsid w:val="00C64BEA"/>
    <w:rsid w:val="00C64C6D"/>
    <w:rsid w:val="00C65909"/>
    <w:rsid w:val="00C65AD9"/>
    <w:rsid w:val="00C67BB3"/>
    <w:rsid w:val="00C700E5"/>
    <w:rsid w:val="00C70533"/>
    <w:rsid w:val="00C70C60"/>
    <w:rsid w:val="00C719B0"/>
    <w:rsid w:val="00C72314"/>
    <w:rsid w:val="00C72320"/>
    <w:rsid w:val="00C7252E"/>
    <w:rsid w:val="00C72576"/>
    <w:rsid w:val="00C73488"/>
    <w:rsid w:val="00C7473B"/>
    <w:rsid w:val="00C74778"/>
    <w:rsid w:val="00C74EC8"/>
    <w:rsid w:val="00C754C7"/>
    <w:rsid w:val="00C7597A"/>
    <w:rsid w:val="00C75A50"/>
    <w:rsid w:val="00C75C67"/>
    <w:rsid w:val="00C76901"/>
    <w:rsid w:val="00C77083"/>
    <w:rsid w:val="00C77D67"/>
    <w:rsid w:val="00C80175"/>
    <w:rsid w:val="00C807BC"/>
    <w:rsid w:val="00C80C70"/>
    <w:rsid w:val="00C80D8A"/>
    <w:rsid w:val="00C81CD9"/>
    <w:rsid w:val="00C81DB6"/>
    <w:rsid w:val="00C82CA9"/>
    <w:rsid w:val="00C830E7"/>
    <w:rsid w:val="00C83478"/>
    <w:rsid w:val="00C83F65"/>
    <w:rsid w:val="00C86FA8"/>
    <w:rsid w:val="00C87047"/>
    <w:rsid w:val="00C87081"/>
    <w:rsid w:val="00C90244"/>
    <w:rsid w:val="00C90FA4"/>
    <w:rsid w:val="00C91721"/>
    <w:rsid w:val="00C91B88"/>
    <w:rsid w:val="00C91E47"/>
    <w:rsid w:val="00C91FC1"/>
    <w:rsid w:val="00C92956"/>
    <w:rsid w:val="00C92CB9"/>
    <w:rsid w:val="00C93BEF"/>
    <w:rsid w:val="00C93ED4"/>
    <w:rsid w:val="00C94163"/>
    <w:rsid w:val="00C95652"/>
    <w:rsid w:val="00C9566F"/>
    <w:rsid w:val="00C9665D"/>
    <w:rsid w:val="00C97140"/>
    <w:rsid w:val="00C9764B"/>
    <w:rsid w:val="00C97A23"/>
    <w:rsid w:val="00CA0297"/>
    <w:rsid w:val="00CA0572"/>
    <w:rsid w:val="00CA097C"/>
    <w:rsid w:val="00CA0D93"/>
    <w:rsid w:val="00CA1365"/>
    <w:rsid w:val="00CA13FA"/>
    <w:rsid w:val="00CA15BB"/>
    <w:rsid w:val="00CA1E59"/>
    <w:rsid w:val="00CA4201"/>
    <w:rsid w:val="00CA4997"/>
    <w:rsid w:val="00CA4F36"/>
    <w:rsid w:val="00CA510A"/>
    <w:rsid w:val="00CA544F"/>
    <w:rsid w:val="00CA5B83"/>
    <w:rsid w:val="00CA628F"/>
    <w:rsid w:val="00CA6461"/>
    <w:rsid w:val="00CA6797"/>
    <w:rsid w:val="00CA67B7"/>
    <w:rsid w:val="00CA6C5B"/>
    <w:rsid w:val="00CA7766"/>
    <w:rsid w:val="00CB04F5"/>
    <w:rsid w:val="00CB130C"/>
    <w:rsid w:val="00CB21F7"/>
    <w:rsid w:val="00CB25ED"/>
    <w:rsid w:val="00CB2B44"/>
    <w:rsid w:val="00CB2B6F"/>
    <w:rsid w:val="00CB3397"/>
    <w:rsid w:val="00CB45A8"/>
    <w:rsid w:val="00CB4DAD"/>
    <w:rsid w:val="00CB5310"/>
    <w:rsid w:val="00CB6BBB"/>
    <w:rsid w:val="00CB6F68"/>
    <w:rsid w:val="00CB7BA2"/>
    <w:rsid w:val="00CC2AC8"/>
    <w:rsid w:val="00CC313B"/>
    <w:rsid w:val="00CC4591"/>
    <w:rsid w:val="00CC468E"/>
    <w:rsid w:val="00CC4926"/>
    <w:rsid w:val="00CC517C"/>
    <w:rsid w:val="00CC5399"/>
    <w:rsid w:val="00CC5533"/>
    <w:rsid w:val="00CC595F"/>
    <w:rsid w:val="00CC597E"/>
    <w:rsid w:val="00CC64FA"/>
    <w:rsid w:val="00CC658D"/>
    <w:rsid w:val="00CC7A71"/>
    <w:rsid w:val="00CC7D75"/>
    <w:rsid w:val="00CC7F5D"/>
    <w:rsid w:val="00CD01E3"/>
    <w:rsid w:val="00CD0477"/>
    <w:rsid w:val="00CD07C0"/>
    <w:rsid w:val="00CD0FB6"/>
    <w:rsid w:val="00CD0FD8"/>
    <w:rsid w:val="00CD14E0"/>
    <w:rsid w:val="00CD1D40"/>
    <w:rsid w:val="00CD1D59"/>
    <w:rsid w:val="00CD1D80"/>
    <w:rsid w:val="00CD2173"/>
    <w:rsid w:val="00CD269E"/>
    <w:rsid w:val="00CD3553"/>
    <w:rsid w:val="00CD3760"/>
    <w:rsid w:val="00CD4521"/>
    <w:rsid w:val="00CD4926"/>
    <w:rsid w:val="00CD4ED5"/>
    <w:rsid w:val="00CD52E9"/>
    <w:rsid w:val="00CD54AD"/>
    <w:rsid w:val="00CD5744"/>
    <w:rsid w:val="00CD5A9A"/>
    <w:rsid w:val="00CD5E43"/>
    <w:rsid w:val="00CD5F4F"/>
    <w:rsid w:val="00CD6031"/>
    <w:rsid w:val="00CD646E"/>
    <w:rsid w:val="00CD66E4"/>
    <w:rsid w:val="00CD68D4"/>
    <w:rsid w:val="00CD6DFC"/>
    <w:rsid w:val="00CD6E23"/>
    <w:rsid w:val="00CE071A"/>
    <w:rsid w:val="00CE0776"/>
    <w:rsid w:val="00CE0A40"/>
    <w:rsid w:val="00CE0DEE"/>
    <w:rsid w:val="00CE0EAE"/>
    <w:rsid w:val="00CE10FE"/>
    <w:rsid w:val="00CE14F1"/>
    <w:rsid w:val="00CE1B12"/>
    <w:rsid w:val="00CE1ECF"/>
    <w:rsid w:val="00CE200C"/>
    <w:rsid w:val="00CE2353"/>
    <w:rsid w:val="00CE2484"/>
    <w:rsid w:val="00CE2B24"/>
    <w:rsid w:val="00CE30AC"/>
    <w:rsid w:val="00CE3320"/>
    <w:rsid w:val="00CE3977"/>
    <w:rsid w:val="00CE400D"/>
    <w:rsid w:val="00CE4203"/>
    <w:rsid w:val="00CE468E"/>
    <w:rsid w:val="00CE4887"/>
    <w:rsid w:val="00CE4A13"/>
    <w:rsid w:val="00CE4E63"/>
    <w:rsid w:val="00CE4F8E"/>
    <w:rsid w:val="00CE5AA8"/>
    <w:rsid w:val="00CE6C32"/>
    <w:rsid w:val="00CE7414"/>
    <w:rsid w:val="00CE7A22"/>
    <w:rsid w:val="00CE7A89"/>
    <w:rsid w:val="00CF04BB"/>
    <w:rsid w:val="00CF0676"/>
    <w:rsid w:val="00CF1483"/>
    <w:rsid w:val="00CF14D4"/>
    <w:rsid w:val="00CF2758"/>
    <w:rsid w:val="00CF2803"/>
    <w:rsid w:val="00CF3098"/>
    <w:rsid w:val="00CF3A97"/>
    <w:rsid w:val="00CF3C8D"/>
    <w:rsid w:val="00CF3E95"/>
    <w:rsid w:val="00CF3EF5"/>
    <w:rsid w:val="00CF4040"/>
    <w:rsid w:val="00CF4318"/>
    <w:rsid w:val="00CF4437"/>
    <w:rsid w:val="00CF4FAF"/>
    <w:rsid w:val="00CF55F4"/>
    <w:rsid w:val="00CF5F71"/>
    <w:rsid w:val="00CF6C63"/>
    <w:rsid w:val="00CF73DD"/>
    <w:rsid w:val="00CF74FA"/>
    <w:rsid w:val="00CF7E27"/>
    <w:rsid w:val="00D0015A"/>
    <w:rsid w:val="00D002E3"/>
    <w:rsid w:val="00D00D43"/>
    <w:rsid w:val="00D010C7"/>
    <w:rsid w:val="00D01B38"/>
    <w:rsid w:val="00D03944"/>
    <w:rsid w:val="00D04277"/>
    <w:rsid w:val="00D042BB"/>
    <w:rsid w:val="00D04F3E"/>
    <w:rsid w:val="00D05416"/>
    <w:rsid w:val="00D05417"/>
    <w:rsid w:val="00D05C73"/>
    <w:rsid w:val="00D05E4C"/>
    <w:rsid w:val="00D05F89"/>
    <w:rsid w:val="00D06E69"/>
    <w:rsid w:val="00D07D2E"/>
    <w:rsid w:val="00D10C4C"/>
    <w:rsid w:val="00D1172D"/>
    <w:rsid w:val="00D125D5"/>
    <w:rsid w:val="00D125F0"/>
    <w:rsid w:val="00D136B3"/>
    <w:rsid w:val="00D1383D"/>
    <w:rsid w:val="00D14507"/>
    <w:rsid w:val="00D14B0F"/>
    <w:rsid w:val="00D14B6A"/>
    <w:rsid w:val="00D16163"/>
    <w:rsid w:val="00D16378"/>
    <w:rsid w:val="00D16FBA"/>
    <w:rsid w:val="00D16FC7"/>
    <w:rsid w:val="00D174CE"/>
    <w:rsid w:val="00D17629"/>
    <w:rsid w:val="00D17EB8"/>
    <w:rsid w:val="00D202DA"/>
    <w:rsid w:val="00D2068D"/>
    <w:rsid w:val="00D20907"/>
    <w:rsid w:val="00D20A62"/>
    <w:rsid w:val="00D21DE8"/>
    <w:rsid w:val="00D231DD"/>
    <w:rsid w:val="00D23430"/>
    <w:rsid w:val="00D23874"/>
    <w:rsid w:val="00D23EB2"/>
    <w:rsid w:val="00D23F5B"/>
    <w:rsid w:val="00D254D8"/>
    <w:rsid w:val="00D256AA"/>
    <w:rsid w:val="00D25D0E"/>
    <w:rsid w:val="00D265F2"/>
    <w:rsid w:val="00D2725C"/>
    <w:rsid w:val="00D30710"/>
    <w:rsid w:val="00D30740"/>
    <w:rsid w:val="00D30D00"/>
    <w:rsid w:val="00D30DF5"/>
    <w:rsid w:val="00D3145F"/>
    <w:rsid w:val="00D317A2"/>
    <w:rsid w:val="00D31BCB"/>
    <w:rsid w:val="00D31D2C"/>
    <w:rsid w:val="00D320DA"/>
    <w:rsid w:val="00D32606"/>
    <w:rsid w:val="00D32F94"/>
    <w:rsid w:val="00D334EB"/>
    <w:rsid w:val="00D33E37"/>
    <w:rsid w:val="00D343D3"/>
    <w:rsid w:val="00D3442A"/>
    <w:rsid w:val="00D34C59"/>
    <w:rsid w:val="00D351BD"/>
    <w:rsid w:val="00D35C34"/>
    <w:rsid w:val="00D361B8"/>
    <w:rsid w:val="00D3659B"/>
    <w:rsid w:val="00D3670A"/>
    <w:rsid w:val="00D36804"/>
    <w:rsid w:val="00D36BF1"/>
    <w:rsid w:val="00D40195"/>
    <w:rsid w:val="00D40C7A"/>
    <w:rsid w:val="00D416F0"/>
    <w:rsid w:val="00D41E7F"/>
    <w:rsid w:val="00D42093"/>
    <w:rsid w:val="00D42CBD"/>
    <w:rsid w:val="00D42D31"/>
    <w:rsid w:val="00D437B5"/>
    <w:rsid w:val="00D43F22"/>
    <w:rsid w:val="00D44270"/>
    <w:rsid w:val="00D443E9"/>
    <w:rsid w:val="00D446BB"/>
    <w:rsid w:val="00D44B58"/>
    <w:rsid w:val="00D44CB3"/>
    <w:rsid w:val="00D45AF8"/>
    <w:rsid w:val="00D461D5"/>
    <w:rsid w:val="00D46685"/>
    <w:rsid w:val="00D46CBB"/>
    <w:rsid w:val="00D46F7A"/>
    <w:rsid w:val="00D47551"/>
    <w:rsid w:val="00D47FD0"/>
    <w:rsid w:val="00D50221"/>
    <w:rsid w:val="00D5051D"/>
    <w:rsid w:val="00D507BF"/>
    <w:rsid w:val="00D51179"/>
    <w:rsid w:val="00D51426"/>
    <w:rsid w:val="00D514A8"/>
    <w:rsid w:val="00D5161F"/>
    <w:rsid w:val="00D52797"/>
    <w:rsid w:val="00D531B9"/>
    <w:rsid w:val="00D53807"/>
    <w:rsid w:val="00D53919"/>
    <w:rsid w:val="00D54434"/>
    <w:rsid w:val="00D54C53"/>
    <w:rsid w:val="00D54D60"/>
    <w:rsid w:val="00D55632"/>
    <w:rsid w:val="00D55F3A"/>
    <w:rsid w:val="00D55FF1"/>
    <w:rsid w:val="00D56ED7"/>
    <w:rsid w:val="00D57B76"/>
    <w:rsid w:val="00D601AB"/>
    <w:rsid w:val="00D6060A"/>
    <w:rsid w:val="00D60D95"/>
    <w:rsid w:val="00D614F8"/>
    <w:rsid w:val="00D616A8"/>
    <w:rsid w:val="00D620A6"/>
    <w:rsid w:val="00D62150"/>
    <w:rsid w:val="00D62287"/>
    <w:rsid w:val="00D62D35"/>
    <w:rsid w:val="00D62E08"/>
    <w:rsid w:val="00D62E79"/>
    <w:rsid w:val="00D6437E"/>
    <w:rsid w:val="00D645D8"/>
    <w:rsid w:val="00D64BA8"/>
    <w:rsid w:val="00D64C00"/>
    <w:rsid w:val="00D65CA5"/>
    <w:rsid w:val="00D65E69"/>
    <w:rsid w:val="00D66190"/>
    <w:rsid w:val="00D66569"/>
    <w:rsid w:val="00D6683A"/>
    <w:rsid w:val="00D66FF5"/>
    <w:rsid w:val="00D67C94"/>
    <w:rsid w:val="00D70907"/>
    <w:rsid w:val="00D70F5F"/>
    <w:rsid w:val="00D71497"/>
    <w:rsid w:val="00D71691"/>
    <w:rsid w:val="00D718EF"/>
    <w:rsid w:val="00D71BF0"/>
    <w:rsid w:val="00D72BA6"/>
    <w:rsid w:val="00D73898"/>
    <w:rsid w:val="00D7519D"/>
    <w:rsid w:val="00D751BD"/>
    <w:rsid w:val="00D759E2"/>
    <w:rsid w:val="00D76DE5"/>
    <w:rsid w:val="00D770C2"/>
    <w:rsid w:val="00D77128"/>
    <w:rsid w:val="00D77921"/>
    <w:rsid w:val="00D80C53"/>
    <w:rsid w:val="00D80FFE"/>
    <w:rsid w:val="00D81ACE"/>
    <w:rsid w:val="00D81EC4"/>
    <w:rsid w:val="00D82377"/>
    <w:rsid w:val="00D82762"/>
    <w:rsid w:val="00D831FA"/>
    <w:rsid w:val="00D836F5"/>
    <w:rsid w:val="00D83BDD"/>
    <w:rsid w:val="00D84744"/>
    <w:rsid w:val="00D84B71"/>
    <w:rsid w:val="00D851A0"/>
    <w:rsid w:val="00D85723"/>
    <w:rsid w:val="00D858C8"/>
    <w:rsid w:val="00D8637C"/>
    <w:rsid w:val="00D865A8"/>
    <w:rsid w:val="00D86760"/>
    <w:rsid w:val="00D86DD5"/>
    <w:rsid w:val="00D871A8"/>
    <w:rsid w:val="00D8763D"/>
    <w:rsid w:val="00D90689"/>
    <w:rsid w:val="00D908EE"/>
    <w:rsid w:val="00D90F63"/>
    <w:rsid w:val="00D9138F"/>
    <w:rsid w:val="00D917FA"/>
    <w:rsid w:val="00D918B1"/>
    <w:rsid w:val="00D91A1D"/>
    <w:rsid w:val="00D91EDD"/>
    <w:rsid w:val="00D9224F"/>
    <w:rsid w:val="00D92538"/>
    <w:rsid w:val="00D92AA7"/>
    <w:rsid w:val="00D92EAC"/>
    <w:rsid w:val="00D92EF8"/>
    <w:rsid w:val="00D930E5"/>
    <w:rsid w:val="00D934F3"/>
    <w:rsid w:val="00D93CD7"/>
    <w:rsid w:val="00D94481"/>
    <w:rsid w:val="00D94677"/>
    <w:rsid w:val="00D946CF"/>
    <w:rsid w:val="00D94740"/>
    <w:rsid w:val="00D94A1B"/>
    <w:rsid w:val="00D94FC8"/>
    <w:rsid w:val="00D952DD"/>
    <w:rsid w:val="00D95C7F"/>
    <w:rsid w:val="00D96A15"/>
    <w:rsid w:val="00D96DDC"/>
    <w:rsid w:val="00D97234"/>
    <w:rsid w:val="00DA021D"/>
    <w:rsid w:val="00DA06D5"/>
    <w:rsid w:val="00DA0792"/>
    <w:rsid w:val="00DA0A66"/>
    <w:rsid w:val="00DA0FB4"/>
    <w:rsid w:val="00DA199F"/>
    <w:rsid w:val="00DA2DAB"/>
    <w:rsid w:val="00DA33E6"/>
    <w:rsid w:val="00DA3415"/>
    <w:rsid w:val="00DA378D"/>
    <w:rsid w:val="00DA3792"/>
    <w:rsid w:val="00DA3A5F"/>
    <w:rsid w:val="00DA3B35"/>
    <w:rsid w:val="00DA3CD8"/>
    <w:rsid w:val="00DA3E1F"/>
    <w:rsid w:val="00DA40D5"/>
    <w:rsid w:val="00DA43D5"/>
    <w:rsid w:val="00DA486A"/>
    <w:rsid w:val="00DA5067"/>
    <w:rsid w:val="00DA593E"/>
    <w:rsid w:val="00DA606A"/>
    <w:rsid w:val="00DA62C4"/>
    <w:rsid w:val="00DA735B"/>
    <w:rsid w:val="00DA743B"/>
    <w:rsid w:val="00DA777C"/>
    <w:rsid w:val="00DA7AF1"/>
    <w:rsid w:val="00DA7CAD"/>
    <w:rsid w:val="00DB02C1"/>
    <w:rsid w:val="00DB08E9"/>
    <w:rsid w:val="00DB0C63"/>
    <w:rsid w:val="00DB107C"/>
    <w:rsid w:val="00DB1DB4"/>
    <w:rsid w:val="00DB1FA8"/>
    <w:rsid w:val="00DB28E8"/>
    <w:rsid w:val="00DB2B93"/>
    <w:rsid w:val="00DB2FD5"/>
    <w:rsid w:val="00DB343A"/>
    <w:rsid w:val="00DB35A9"/>
    <w:rsid w:val="00DB3973"/>
    <w:rsid w:val="00DB3E1F"/>
    <w:rsid w:val="00DB3E9D"/>
    <w:rsid w:val="00DB45E2"/>
    <w:rsid w:val="00DB566D"/>
    <w:rsid w:val="00DB5A43"/>
    <w:rsid w:val="00DB67A2"/>
    <w:rsid w:val="00DB67F0"/>
    <w:rsid w:val="00DB6D07"/>
    <w:rsid w:val="00DB724B"/>
    <w:rsid w:val="00DB73D4"/>
    <w:rsid w:val="00DB77D9"/>
    <w:rsid w:val="00DB7E44"/>
    <w:rsid w:val="00DB7F3B"/>
    <w:rsid w:val="00DB7F94"/>
    <w:rsid w:val="00DC0124"/>
    <w:rsid w:val="00DC015B"/>
    <w:rsid w:val="00DC0D10"/>
    <w:rsid w:val="00DC0E23"/>
    <w:rsid w:val="00DC1304"/>
    <w:rsid w:val="00DC1B1A"/>
    <w:rsid w:val="00DC21A9"/>
    <w:rsid w:val="00DC24B1"/>
    <w:rsid w:val="00DC27DB"/>
    <w:rsid w:val="00DC292B"/>
    <w:rsid w:val="00DC2B4B"/>
    <w:rsid w:val="00DC2BB6"/>
    <w:rsid w:val="00DC3015"/>
    <w:rsid w:val="00DC36FE"/>
    <w:rsid w:val="00DC383C"/>
    <w:rsid w:val="00DC38D6"/>
    <w:rsid w:val="00DC4254"/>
    <w:rsid w:val="00DC47CE"/>
    <w:rsid w:val="00DC485D"/>
    <w:rsid w:val="00DC4B80"/>
    <w:rsid w:val="00DC537F"/>
    <w:rsid w:val="00DC552B"/>
    <w:rsid w:val="00DC6351"/>
    <w:rsid w:val="00DC76DD"/>
    <w:rsid w:val="00DD019D"/>
    <w:rsid w:val="00DD05CD"/>
    <w:rsid w:val="00DD114F"/>
    <w:rsid w:val="00DD13B4"/>
    <w:rsid w:val="00DD1CDD"/>
    <w:rsid w:val="00DD3219"/>
    <w:rsid w:val="00DD4278"/>
    <w:rsid w:val="00DD4A20"/>
    <w:rsid w:val="00DD4B9A"/>
    <w:rsid w:val="00DD53CB"/>
    <w:rsid w:val="00DD5B10"/>
    <w:rsid w:val="00DD5DA9"/>
    <w:rsid w:val="00DD66D4"/>
    <w:rsid w:val="00DD6A9C"/>
    <w:rsid w:val="00DD75DC"/>
    <w:rsid w:val="00DE0070"/>
    <w:rsid w:val="00DE0DD3"/>
    <w:rsid w:val="00DE16FB"/>
    <w:rsid w:val="00DE24C4"/>
    <w:rsid w:val="00DE26B1"/>
    <w:rsid w:val="00DE2AF6"/>
    <w:rsid w:val="00DE34D0"/>
    <w:rsid w:val="00DE3AA9"/>
    <w:rsid w:val="00DE3B57"/>
    <w:rsid w:val="00DE4A95"/>
    <w:rsid w:val="00DE505E"/>
    <w:rsid w:val="00DE526A"/>
    <w:rsid w:val="00DE5C2A"/>
    <w:rsid w:val="00DE5EB5"/>
    <w:rsid w:val="00DE7728"/>
    <w:rsid w:val="00DF0398"/>
    <w:rsid w:val="00DF07C9"/>
    <w:rsid w:val="00DF1D27"/>
    <w:rsid w:val="00DF3D04"/>
    <w:rsid w:val="00DF43AD"/>
    <w:rsid w:val="00DF5631"/>
    <w:rsid w:val="00DF5703"/>
    <w:rsid w:val="00DF5B57"/>
    <w:rsid w:val="00DF66C4"/>
    <w:rsid w:val="00DF6716"/>
    <w:rsid w:val="00DF67E1"/>
    <w:rsid w:val="00DF6D1F"/>
    <w:rsid w:val="00E00370"/>
    <w:rsid w:val="00E005AC"/>
    <w:rsid w:val="00E00907"/>
    <w:rsid w:val="00E00B41"/>
    <w:rsid w:val="00E00C03"/>
    <w:rsid w:val="00E01871"/>
    <w:rsid w:val="00E037FD"/>
    <w:rsid w:val="00E045FE"/>
    <w:rsid w:val="00E0483B"/>
    <w:rsid w:val="00E04864"/>
    <w:rsid w:val="00E05BB7"/>
    <w:rsid w:val="00E05CB1"/>
    <w:rsid w:val="00E06404"/>
    <w:rsid w:val="00E0650B"/>
    <w:rsid w:val="00E10705"/>
    <w:rsid w:val="00E10E4D"/>
    <w:rsid w:val="00E11712"/>
    <w:rsid w:val="00E11BB0"/>
    <w:rsid w:val="00E1239A"/>
    <w:rsid w:val="00E124EC"/>
    <w:rsid w:val="00E126C7"/>
    <w:rsid w:val="00E12DDE"/>
    <w:rsid w:val="00E12F2E"/>
    <w:rsid w:val="00E13133"/>
    <w:rsid w:val="00E13316"/>
    <w:rsid w:val="00E13B89"/>
    <w:rsid w:val="00E13CC4"/>
    <w:rsid w:val="00E147D0"/>
    <w:rsid w:val="00E149E0"/>
    <w:rsid w:val="00E1510E"/>
    <w:rsid w:val="00E1627B"/>
    <w:rsid w:val="00E1639F"/>
    <w:rsid w:val="00E16A98"/>
    <w:rsid w:val="00E17620"/>
    <w:rsid w:val="00E202C9"/>
    <w:rsid w:val="00E20539"/>
    <w:rsid w:val="00E216C5"/>
    <w:rsid w:val="00E2214F"/>
    <w:rsid w:val="00E22A8D"/>
    <w:rsid w:val="00E22D6D"/>
    <w:rsid w:val="00E23A18"/>
    <w:rsid w:val="00E241E4"/>
    <w:rsid w:val="00E246E4"/>
    <w:rsid w:val="00E24858"/>
    <w:rsid w:val="00E24AB4"/>
    <w:rsid w:val="00E24FB3"/>
    <w:rsid w:val="00E2567C"/>
    <w:rsid w:val="00E25A5E"/>
    <w:rsid w:val="00E25AC7"/>
    <w:rsid w:val="00E2680A"/>
    <w:rsid w:val="00E26F4F"/>
    <w:rsid w:val="00E27ACE"/>
    <w:rsid w:val="00E3094B"/>
    <w:rsid w:val="00E310C8"/>
    <w:rsid w:val="00E318A1"/>
    <w:rsid w:val="00E31EFA"/>
    <w:rsid w:val="00E32156"/>
    <w:rsid w:val="00E323A2"/>
    <w:rsid w:val="00E326D6"/>
    <w:rsid w:val="00E32AF5"/>
    <w:rsid w:val="00E32BDB"/>
    <w:rsid w:val="00E3363B"/>
    <w:rsid w:val="00E33A8F"/>
    <w:rsid w:val="00E34338"/>
    <w:rsid w:val="00E3454B"/>
    <w:rsid w:val="00E354CE"/>
    <w:rsid w:val="00E35863"/>
    <w:rsid w:val="00E35D81"/>
    <w:rsid w:val="00E3636F"/>
    <w:rsid w:val="00E369C8"/>
    <w:rsid w:val="00E37172"/>
    <w:rsid w:val="00E3796B"/>
    <w:rsid w:val="00E37AAA"/>
    <w:rsid w:val="00E37CA6"/>
    <w:rsid w:val="00E41A38"/>
    <w:rsid w:val="00E41B58"/>
    <w:rsid w:val="00E41DF3"/>
    <w:rsid w:val="00E42930"/>
    <w:rsid w:val="00E43C01"/>
    <w:rsid w:val="00E43F2D"/>
    <w:rsid w:val="00E46DDB"/>
    <w:rsid w:val="00E46E50"/>
    <w:rsid w:val="00E47157"/>
    <w:rsid w:val="00E50B16"/>
    <w:rsid w:val="00E51022"/>
    <w:rsid w:val="00E51031"/>
    <w:rsid w:val="00E51219"/>
    <w:rsid w:val="00E519CE"/>
    <w:rsid w:val="00E51BC4"/>
    <w:rsid w:val="00E524B1"/>
    <w:rsid w:val="00E528E3"/>
    <w:rsid w:val="00E52B1A"/>
    <w:rsid w:val="00E52FAE"/>
    <w:rsid w:val="00E53528"/>
    <w:rsid w:val="00E5372E"/>
    <w:rsid w:val="00E5383F"/>
    <w:rsid w:val="00E53B76"/>
    <w:rsid w:val="00E540BF"/>
    <w:rsid w:val="00E544B2"/>
    <w:rsid w:val="00E5565E"/>
    <w:rsid w:val="00E557F5"/>
    <w:rsid w:val="00E55B95"/>
    <w:rsid w:val="00E55DE1"/>
    <w:rsid w:val="00E567E6"/>
    <w:rsid w:val="00E56B06"/>
    <w:rsid w:val="00E5738E"/>
    <w:rsid w:val="00E6000B"/>
    <w:rsid w:val="00E60BDA"/>
    <w:rsid w:val="00E60E2A"/>
    <w:rsid w:val="00E61622"/>
    <w:rsid w:val="00E61732"/>
    <w:rsid w:val="00E61AB2"/>
    <w:rsid w:val="00E630F0"/>
    <w:rsid w:val="00E6317C"/>
    <w:rsid w:val="00E64FC0"/>
    <w:rsid w:val="00E6525A"/>
    <w:rsid w:val="00E667D1"/>
    <w:rsid w:val="00E675A3"/>
    <w:rsid w:val="00E6786B"/>
    <w:rsid w:val="00E67E54"/>
    <w:rsid w:val="00E70538"/>
    <w:rsid w:val="00E7130B"/>
    <w:rsid w:val="00E714F5"/>
    <w:rsid w:val="00E72427"/>
    <w:rsid w:val="00E72739"/>
    <w:rsid w:val="00E72927"/>
    <w:rsid w:val="00E738DD"/>
    <w:rsid w:val="00E73BCD"/>
    <w:rsid w:val="00E73C39"/>
    <w:rsid w:val="00E7414C"/>
    <w:rsid w:val="00E7434D"/>
    <w:rsid w:val="00E74DD0"/>
    <w:rsid w:val="00E75EDC"/>
    <w:rsid w:val="00E761E5"/>
    <w:rsid w:val="00E76449"/>
    <w:rsid w:val="00E76B6D"/>
    <w:rsid w:val="00E776B5"/>
    <w:rsid w:val="00E776CA"/>
    <w:rsid w:val="00E77937"/>
    <w:rsid w:val="00E77999"/>
    <w:rsid w:val="00E77AEA"/>
    <w:rsid w:val="00E801B3"/>
    <w:rsid w:val="00E803BE"/>
    <w:rsid w:val="00E80EDE"/>
    <w:rsid w:val="00E81DCF"/>
    <w:rsid w:val="00E81E6E"/>
    <w:rsid w:val="00E822A2"/>
    <w:rsid w:val="00E8285F"/>
    <w:rsid w:val="00E82FDA"/>
    <w:rsid w:val="00E83D5C"/>
    <w:rsid w:val="00E83D64"/>
    <w:rsid w:val="00E8560E"/>
    <w:rsid w:val="00E85D03"/>
    <w:rsid w:val="00E865D2"/>
    <w:rsid w:val="00E869B5"/>
    <w:rsid w:val="00E86A27"/>
    <w:rsid w:val="00E86C25"/>
    <w:rsid w:val="00E87985"/>
    <w:rsid w:val="00E87A26"/>
    <w:rsid w:val="00E901C4"/>
    <w:rsid w:val="00E90765"/>
    <w:rsid w:val="00E9176F"/>
    <w:rsid w:val="00E9267C"/>
    <w:rsid w:val="00E932D0"/>
    <w:rsid w:val="00E940C2"/>
    <w:rsid w:val="00E94FEA"/>
    <w:rsid w:val="00E95E5B"/>
    <w:rsid w:val="00E96485"/>
    <w:rsid w:val="00E966B3"/>
    <w:rsid w:val="00E96890"/>
    <w:rsid w:val="00E97110"/>
    <w:rsid w:val="00E97791"/>
    <w:rsid w:val="00E97C4A"/>
    <w:rsid w:val="00EA0458"/>
    <w:rsid w:val="00EA1C26"/>
    <w:rsid w:val="00EA310A"/>
    <w:rsid w:val="00EA3749"/>
    <w:rsid w:val="00EA4917"/>
    <w:rsid w:val="00EA4E71"/>
    <w:rsid w:val="00EA6ABC"/>
    <w:rsid w:val="00EA6AE5"/>
    <w:rsid w:val="00EA6F12"/>
    <w:rsid w:val="00EA78F7"/>
    <w:rsid w:val="00EA7978"/>
    <w:rsid w:val="00EB007E"/>
    <w:rsid w:val="00EB0F4A"/>
    <w:rsid w:val="00EB149D"/>
    <w:rsid w:val="00EB1958"/>
    <w:rsid w:val="00EB1A04"/>
    <w:rsid w:val="00EB1A83"/>
    <w:rsid w:val="00EB21FB"/>
    <w:rsid w:val="00EB2328"/>
    <w:rsid w:val="00EB25A6"/>
    <w:rsid w:val="00EB2F56"/>
    <w:rsid w:val="00EB2F72"/>
    <w:rsid w:val="00EB3411"/>
    <w:rsid w:val="00EB3AB9"/>
    <w:rsid w:val="00EB3C7D"/>
    <w:rsid w:val="00EB3F03"/>
    <w:rsid w:val="00EB458B"/>
    <w:rsid w:val="00EB47ED"/>
    <w:rsid w:val="00EB5104"/>
    <w:rsid w:val="00EB54A7"/>
    <w:rsid w:val="00EB59B1"/>
    <w:rsid w:val="00EB5B39"/>
    <w:rsid w:val="00EB5C8E"/>
    <w:rsid w:val="00EB5F65"/>
    <w:rsid w:val="00EB69BC"/>
    <w:rsid w:val="00EB6D48"/>
    <w:rsid w:val="00EB7A5E"/>
    <w:rsid w:val="00EB7B72"/>
    <w:rsid w:val="00EC0475"/>
    <w:rsid w:val="00EC052E"/>
    <w:rsid w:val="00EC134D"/>
    <w:rsid w:val="00EC1BB2"/>
    <w:rsid w:val="00EC1EFC"/>
    <w:rsid w:val="00EC2AA0"/>
    <w:rsid w:val="00EC2E6B"/>
    <w:rsid w:val="00EC352B"/>
    <w:rsid w:val="00EC356E"/>
    <w:rsid w:val="00EC415E"/>
    <w:rsid w:val="00EC42EB"/>
    <w:rsid w:val="00EC4E0E"/>
    <w:rsid w:val="00EC55F9"/>
    <w:rsid w:val="00EC67F7"/>
    <w:rsid w:val="00EC681E"/>
    <w:rsid w:val="00EC6E47"/>
    <w:rsid w:val="00EC6F62"/>
    <w:rsid w:val="00EC70CF"/>
    <w:rsid w:val="00EC712B"/>
    <w:rsid w:val="00ED05F5"/>
    <w:rsid w:val="00ED0B81"/>
    <w:rsid w:val="00ED1943"/>
    <w:rsid w:val="00ED1C6D"/>
    <w:rsid w:val="00ED2079"/>
    <w:rsid w:val="00ED246E"/>
    <w:rsid w:val="00ED3EC8"/>
    <w:rsid w:val="00ED4C1A"/>
    <w:rsid w:val="00ED4E93"/>
    <w:rsid w:val="00ED62C2"/>
    <w:rsid w:val="00ED6CBE"/>
    <w:rsid w:val="00ED72E3"/>
    <w:rsid w:val="00ED7638"/>
    <w:rsid w:val="00ED7B68"/>
    <w:rsid w:val="00EE0156"/>
    <w:rsid w:val="00EE0813"/>
    <w:rsid w:val="00EE1AFF"/>
    <w:rsid w:val="00EE28AA"/>
    <w:rsid w:val="00EE303D"/>
    <w:rsid w:val="00EE4C52"/>
    <w:rsid w:val="00EE5FD2"/>
    <w:rsid w:val="00EE6132"/>
    <w:rsid w:val="00EF074C"/>
    <w:rsid w:val="00EF0FD3"/>
    <w:rsid w:val="00EF139A"/>
    <w:rsid w:val="00EF184A"/>
    <w:rsid w:val="00EF1AB5"/>
    <w:rsid w:val="00EF2271"/>
    <w:rsid w:val="00EF2B0D"/>
    <w:rsid w:val="00EF362F"/>
    <w:rsid w:val="00EF3A23"/>
    <w:rsid w:val="00EF57D0"/>
    <w:rsid w:val="00EF5821"/>
    <w:rsid w:val="00EF5B38"/>
    <w:rsid w:val="00EF6520"/>
    <w:rsid w:val="00EF6A77"/>
    <w:rsid w:val="00EF6D19"/>
    <w:rsid w:val="00EF6DFB"/>
    <w:rsid w:val="00F01D39"/>
    <w:rsid w:val="00F02105"/>
    <w:rsid w:val="00F02CB7"/>
    <w:rsid w:val="00F02DFA"/>
    <w:rsid w:val="00F032D6"/>
    <w:rsid w:val="00F03374"/>
    <w:rsid w:val="00F03C98"/>
    <w:rsid w:val="00F0490C"/>
    <w:rsid w:val="00F04BE0"/>
    <w:rsid w:val="00F0511A"/>
    <w:rsid w:val="00F05889"/>
    <w:rsid w:val="00F058EE"/>
    <w:rsid w:val="00F06420"/>
    <w:rsid w:val="00F070CB"/>
    <w:rsid w:val="00F07151"/>
    <w:rsid w:val="00F072A3"/>
    <w:rsid w:val="00F07F6D"/>
    <w:rsid w:val="00F07F87"/>
    <w:rsid w:val="00F10C4D"/>
    <w:rsid w:val="00F10D0A"/>
    <w:rsid w:val="00F10D1D"/>
    <w:rsid w:val="00F10E39"/>
    <w:rsid w:val="00F11C4B"/>
    <w:rsid w:val="00F11EBC"/>
    <w:rsid w:val="00F125E4"/>
    <w:rsid w:val="00F12614"/>
    <w:rsid w:val="00F1482D"/>
    <w:rsid w:val="00F15FBC"/>
    <w:rsid w:val="00F160F6"/>
    <w:rsid w:val="00F16342"/>
    <w:rsid w:val="00F16B18"/>
    <w:rsid w:val="00F171B3"/>
    <w:rsid w:val="00F17207"/>
    <w:rsid w:val="00F173DA"/>
    <w:rsid w:val="00F20056"/>
    <w:rsid w:val="00F2046B"/>
    <w:rsid w:val="00F20C4D"/>
    <w:rsid w:val="00F2174A"/>
    <w:rsid w:val="00F21FBC"/>
    <w:rsid w:val="00F24036"/>
    <w:rsid w:val="00F241E9"/>
    <w:rsid w:val="00F2571A"/>
    <w:rsid w:val="00F259CA"/>
    <w:rsid w:val="00F26023"/>
    <w:rsid w:val="00F26822"/>
    <w:rsid w:val="00F27598"/>
    <w:rsid w:val="00F27AE1"/>
    <w:rsid w:val="00F31071"/>
    <w:rsid w:val="00F32F18"/>
    <w:rsid w:val="00F33CDE"/>
    <w:rsid w:val="00F34203"/>
    <w:rsid w:val="00F34254"/>
    <w:rsid w:val="00F3451E"/>
    <w:rsid w:val="00F354C9"/>
    <w:rsid w:val="00F35548"/>
    <w:rsid w:val="00F35978"/>
    <w:rsid w:val="00F35DC3"/>
    <w:rsid w:val="00F364C9"/>
    <w:rsid w:val="00F36882"/>
    <w:rsid w:val="00F36D56"/>
    <w:rsid w:val="00F36E29"/>
    <w:rsid w:val="00F37162"/>
    <w:rsid w:val="00F3784F"/>
    <w:rsid w:val="00F40E5B"/>
    <w:rsid w:val="00F42BB2"/>
    <w:rsid w:val="00F42E47"/>
    <w:rsid w:val="00F43195"/>
    <w:rsid w:val="00F43856"/>
    <w:rsid w:val="00F43B20"/>
    <w:rsid w:val="00F452FB"/>
    <w:rsid w:val="00F459AF"/>
    <w:rsid w:val="00F4618F"/>
    <w:rsid w:val="00F46631"/>
    <w:rsid w:val="00F46AFC"/>
    <w:rsid w:val="00F46B53"/>
    <w:rsid w:val="00F46B80"/>
    <w:rsid w:val="00F475C3"/>
    <w:rsid w:val="00F47605"/>
    <w:rsid w:val="00F47652"/>
    <w:rsid w:val="00F47700"/>
    <w:rsid w:val="00F528A6"/>
    <w:rsid w:val="00F5379B"/>
    <w:rsid w:val="00F540F3"/>
    <w:rsid w:val="00F54378"/>
    <w:rsid w:val="00F54A15"/>
    <w:rsid w:val="00F555CC"/>
    <w:rsid w:val="00F562D7"/>
    <w:rsid w:val="00F566EC"/>
    <w:rsid w:val="00F568BA"/>
    <w:rsid w:val="00F57139"/>
    <w:rsid w:val="00F57237"/>
    <w:rsid w:val="00F57258"/>
    <w:rsid w:val="00F57591"/>
    <w:rsid w:val="00F6026C"/>
    <w:rsid w:val="00F60C2F"/>
    <w:rsid w:val="00F619FA"/>
    <w:rsid w:val="00F626A7"/>
    <w:rsid w:val="00F62CB5"/>
    <w:rsid w:val="00F63382"/>
    <w:rsid w:val="00F633AD"/>
    <w:rsid w:val="00F63F77"/>
    <w:rsid w:val="00F64CF2"/>
    <w:rsid w:val="00F64D44"/>
    <w:rsid w:val="00F65350"/>
    <w:rsid w:val="00F6553C"/>
    <w:rsid w:val="00F662E5"/>
    <w:rsid w:val="00F678FD"/>
    <w:rsid w:val="00F67B15"/>
    <w:rsid w:val="00F67E5C"/>
    <w:rsid w:val="00F70089"/>
    <w:rsid w:val="00F7019A"/>
    <w:rsid w:val="00F717C4"/>
    <w:rsid w:val="00F73240"/>
    <w:rsid w:val="00F735D5"/>
    <w:rsid w:val="00F73B41"/>
    <w:rsid w:val="00F73D7A"/>
    <w:rsid w:val="00F73ECD"/>
    <w:rsid w:val="00F73FD0"/>
    <w:rsid w:val="00F7431F"/>
    <w:rsid w:val="00F749D5"/>
    <w:rsid w:val="00F74A6F"/>
    <w:rsid w:val="00F74BC0"/>
    <w:rsid w:val="00F7573B"/>
    <w:rsid w:val="00F759B8"/>
    <w:rsid w:val="00F76650"/>
    <w:rsid w:val="00F8052B"/>
    <w:rsid w:val="00F80CFB"/>
    <w:rsid w:val="00F816C5"/>
    <w:rsid w:val="00F81BBF"/>
    <w:rsid w:val="00F827AE"/>
    <w:rsid w:val="00F827B2"/>
    <w:rsid w:val="00F82A4F"/>
    <w:rsid w:val="00F82A8E"/>
    <w:rsid w:val="00F830A6"/>
    <w:rsid w:val="00F83DE7"/>
    <w:rsid w:val="00F83FD2"/>
    <w:rsid w:val="00F842E3"/>
    <w:rsid w:val="00F84EE6"/>
    <w:rsid w:val="00F85710"/>
    <w:rsid w:val="00F85E53"/>
    <w:rsid w:val="00F86104"/>
    <w:rsid w:val="00F861F3"/>
    <w:rsid w:val="00F86DB5"/>
    <w:rsid w:val="00F86ED5"/>
    <w:rsid w:val="00F874C3"/>
    <w:rsid w:val="00F9039F"/>
    <w:rsid w:val="00F904ED"/>
    <w:rsid w:val="00F9135D"/>
    <w:rsid w:val="00F928F6"/>
    <w:rsid w:val="00F93488"/>
    <w:rsid w:val="00F94899"/>
    <w:rsid w:val="00F94F04"/>
    <w:rsid w:val="00F95072"/>
    <w:rsid w:val="00F951EA"/>
    <w:rsid w:val="00F952C7"/>
    <w:rsid w:val="00F9632B"/>
    <w:rsid w:val="00F9689B"/>
    <w:rsid w:val="00F96BC9"/>
    <w:rsid w:val="00F97020"/>
    <w:rsid w:val="00F9737E"/>
    <w:rsid w:val="00F97746"/>
    <w:rsid w:val="00F97760"/>
    <w:rsid w:val="00F97931"/>
    <w:rsid w:val="00F97FB0"/>
    <w:rsid w:val="00FA04CD"/>
    <w:rsid w:val="00FA0B49"/>
    <w:rsid w:val="00FA0EC8"/>
    <w:rsid w:val="00FA10DC"/>
    <w:rsid w:val="00FA176B"/>
    <w:rsid w:val="00FA1A58"/>
    <w:rsid w:val="00FA27EF"/>
    <w:rsid w:val="00FA31A0"/>
    <w:rsid w:val="00FA3D8A"/>
    <w:rsid w:val="00FA402A"/>
    <w:rsid w:val="00FA68D2"/>
    <w:rsid w:val="00FA6BDC"/>
    <w:rsid w:val="00FA6C16"/>
    <w:rsid w:val="00FA7086"/>
    <w:rsid w:val="00FB00F6"/>
    <w:rsid w:val="00FB0B04"/>
    <w:rsid w:val="00FB0F7B"/>
    <w:rsid w:val="00FB2733"/>
    <w:rsid w:val="00FB2F78"/>
    <w:rsid w:val="00FB3E8D"/>
    <w:rsid w:val="00FB5681"/>
    <w:rsid w:val="00FB6141"/>
    <w:rsid w:val="00FB6ED5"/>
    <w:rsid w:val="00FB6F9F"/>
    <w:rsid w:val="00FB71E1"/>
    <w:rsid w:val="00FB7244"/>
    <w:rsid w:val="00FC01C0"/>
    <w:rsid w:val="00FC24AF"/>
    <w:rsid w:val="00FC30E6"/>
    <w:rsid w:val="00FC31EF"/>
    <w:rsid w:val="00FC32C2"/>
    <w:rsid w:val="00FC415C"/>
    <w:rsid w:val="00FC462A"/>
    <w:rsid w:val="00FC54F0"/>
    <w:rsid w:val="00FC5FEB"/>
    <w:rsid w:val="00FC60D6"/>
    <w:rsid w:val="00FC6667"/>
    <w:rsid w:val="00FC741B"/>
    <w:rsid w:val="00FD144E"/>
    <w:rsid w:val="00FD1826"/>
    <w:rsid w:val="00FD2B26"/>
    <w:rsid w:val="00FD2DBA"/>
    <w:rsid w:val="00FD4612"/>
    <w:rsid w:val="00FD4746"/>
    <w:rsid w:val="00FD5063"/>
    <w:rsid w:val="00FD55B2"/>
    <w:rsid w:val="00FD5768"/>
    <w:rsid w:val="00FD6748"/>
    <w:rsid w:val="00FD6A92"/>
    <w:rsid w:val="00FD7095"/>
    <w:rsid w:val="00FD7109"/>
    <w:rsid w:val="00FD7409"/>
    <w:rsid w:val="00FD7441"/>
    <w:rsid w:val="00FD7B40"/>
    <w:rsid w:val="00FE0527"/>
    <w:rsid w:val="00FE05A7"/>
    <w:rsid w:val="00FE0EC9"/>
    <w:rsid w:val="00FE19EA"/>
    <w:rsid w:val="00FE1A20"/>
    <w:rsid w:val="00FE2173"/>
    <w:rsid w:val="00FE2278"/>
    <w:rsid w:val="00FE22C4"/>
    <w:rsid w:val="00FE22F3"/>
    <w:rsid w:val="00FE3B96"/>
    <w:rsid w:val="00FE3E76"/>
    <w:rsid w:val="00FE4D0D"/>
    <w:rsid w:val="00FE577F"/>
    <w:rsid w:val="00FE59C5"/>
    <w:rsid w:val="00FE5BF3"/>
    <w:rsid w:val="00FE5D25"/>
    <w:rsid w:val="00FE5DF7"/>
    <w:rsid w:val="00FE77E7"/>
    <w:rsid w:val="00FE7AC8"/>
    <w:rsid w:val="00FE7C04"/>
    <w:rsid w:val="00FE7D88"/>
    <w:rsid w:val="00FF06A2"/>
    <w:rsid w:val="00FF09AE"/>
    <w:rsid w:val="00FF0B10"/>
    <w:rsid w:val="00FF0E5D"/>
    <w:rsid w:val="00FF2AB0"/>
    <w:rsid w:val="00FF2D83"/>
    <w:rsid w:val="00FF494A"/>
    <w:rsid w:val="00FF507C"/>
    <w:rsid w:val="00FF5947"/>
    <w:rsid w:val="00FF62EB"/>
    <w:rsid w:val="00FF6EE8"/>
    <w:rsid w:val="00FF726E"/>
    <w:rsid w:val="00FF72BE"/>
    <w:rsid w:val="00FF784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CD8FFE3"/>
  <w15:chartTrackingRefBased/>
  <w15:docId w15:val="{2F94A2C1-15FD-4474-A8E7-AE3D36D623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sz w:val="24"/>
        <w:szCs w:val="22"/>
        <w:lang w:val="en-US" w:eastAsia="en-US" w:bidi="ar-SA"/>
      </w:rPr>
    </w:rPrDefault>
    <w:pPrDefault>
      <w:pPr>
        <w:spacing w:after="16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04C4F"/>
    <w:pPr>
      <w:widowControl w:val="0"/>
      <w:overflowPunct w:val="0"/>
      <w:autoSpaceDE w:val="0"/>
      <w:autoSpaceDN w:val="0"/>
      <w:adjustRightInd w:val="0"/>
      <w:spacing w:after="0"/>
      <w:contextualSpacing/>
    </w:pPr>
    <w:rPr>
      <w:rFonts w:eastAsia="Times New Roman"/>
      <w:kern w:val="28"/>
      <w:szCs w:val="20"/>
    </w:rPr>
  </w:style>
  <w:style w:type="paragraph" w:styleId="Heading1">
    <w:name w:val="heading 1"/>
    <w:basedOn w:val="Title"/>
    <w:next w:val="Normal"/>
    <w:link w:val="Heading1Char"/>
    <w:uiPriority w:val="9"/>
    <w:qFormat/>
    <w:rsid w:val="002950FE"/>
    <w:pPr>
      <w:keepNext/>
      <w:keepLines/>
      <w:spacing w:line="480" w:lineRule="auto"/>
      <w:jc w:val="center"/>
      <w:outlineLvl w:val="0"/>
    </w:pPr>
    <w:rPr>
      <w:rFonts w:ascii="Times New Roman" w:hAnsi="Times New Roman"/>
      <w:caps/>
      <w:sz w:val="24"/>
      <w:szCs w:val="32"/>
    </w:rPr>
  </w:style>
  <w:style w:type="paragraph" w:styleId="Heading2">
    <w:name w:val="heading 2"/>
    <w:basedOn w:val="Normal"/>
    <w:next w:val="Normal"/>
    <w:link w:val="Heading2Char"/>
    <w:uiPriority w:val="9"/>
    <w:unhideWhenUsed/>
    <w:qFormat/>
    <w:rsid w:val="002950FE"/>
    <w:pPr>
      <w:keepNext/>
      <w:keepLines/>
      <w:spacing w:before="120" w:line="480" w:lineRule="auto"/>
      <w:outlineLvl w:val="1"/>
    </w:pPr>
    <w:rPr>
      <w:rFonts w:eastAsiaTheme="majorEastAsia" w:cstheme="majorBidi"/>
      <w:szCs w:val="26"/>
    </w:rPr>
  </w:style>
  <w:style w:type="paragraph" w:styleId="Heading3">
    <w:name w:val="heading 3"/>
    <w:basedOn w:val="Normal"/>
    <w:next w:val="Normal"/>
    <w:link w:val="Heading3Char"/>
    <w:uiPriority w:val="9"/>
    <w:unhideWhenUsed/>
    <w:qFormat/>
    <w:rsid w:val="002950FE"/>
    <w:pPr>
      <w:keepNext/>
      <w:keepLines/>
      <w:numPr>
        <w:numId w:val="1"/>
      </w:numPr>
      <w:spacing w:line="480" w:lineRule="auto"/>
      <w:outlineLvl w:val="2"/>
    </w:pPr>
    <w:rPr>
      <w:rFonts w:eastAsiaTheme="majorEastAsia" w:cstheme="majorBidi"/>
      <w:szCs w:val="24"/>
    </w:rPr>
  </w:style>
  <w:style w:type="paragraph" w:styleId="Heading4">
    <w:name w:val="heading 4"/>
    <w:basedOn w:val="Normal"/>
    <w:next w:val="Normal"/>
    <w:link w:val="Heading4Char"/>
    <w:uiPriority w:val="9"/>
    <w:semiHidden/>
    <w:unhideWhenUsed/>
    <w:qFormat/>
    <w:rsid w:val="00885C8D"/>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950FE"/>
    <w:rPr>
      <w:rFonts w:eastAsiaTheme="majorEastAsia" w:cstheme="majorBidi"/>
      <w:caps/>
      <w:spacing w:val="-10"/>
      <w:kern w:val="28"/>
      <w:szCs w:val="32"/>
    </w:rPr>
  </w:style>
  <w:style w:type="character" w:customStyle="1" w:styleId="Heading2Char">
    <w:name w:val="Heading 2 Char"/>
    <w:basedOn w:val="DefaultParagraphFont"/>
    <w:link w:val="Heading2"/>
    <w:uiPriority w:val="9"/>
    <w:rsid w:val="002950FE"/>
    <w:rPr>
      <w:rFonts w:eastAsiaTheme="majorEastAsia" w:cstheme="majorBidi"/>
      <w:kern w:val="28"/>
      <w:szCs w:val="26"/>
    </w:rPr>
  </w:style>
  <w:style w:type="character" w:customStyle="1" w:styleId="Heading3Char">
    <w:name w:val="Heading 3 Char"/>
    <w:basedOn w:val="DefaultParagraphFont"/>
    <w:link w:val="Heading3"/>
    <w:uiPriority w:val="9"/>
    <w:rsid w:val="002950FE"/>
    <w:rPr>
      <w:rFonts w:eastAsiaTheme="majorEastAsia" w:cstheme="majorBidi"/>
      <w:kern w:val="28"/>
      <w:szCs w:val="24"/>
    </w:rPr>
  </w:style>
  <w:style w:type="paragraph" w:styleId="NoSpacing">
    <w:name w:val="No Spacing"/>
    <w:aliases w:val="BodyText"/>
    <w:uiPriority w:val="1"/>
    <w:qFormat/>
    <w:rsid w:val="002950FE"/>
    <w:pPr>
      <w:spacing w:after="0" w:line="480" w:lineRule="auto"/>
      <w:ind w:firstLine="720"/>
    </w:pPr>
    <w:rPr>
      <w:rFonts w:eastAsia="Calibri" w:cs="Calibri"/>
    </w:rPr>
  </w:style>
  <w:style w:type="paragraph" w:styleId="Title">
    <w:name w:val="Title"/>
    <w:basedOn w:val="Normal"/>
    <w:next w:val="Normal"/>
    <w:link w:val="TitleChar"/>
    <w:uiPriority w:val="10"/>
    <w:qFormat/>
    <w:rsid w:val="002950FE"/>
    <w:rPr>
      <w:rFonts w:asciiTheme="majorHAnsi" w:eastAsiaTheme="majorEastAsia" w:hAnsiTheme="majorHAnsi" w:cstheme="majorBidi"/>
      <w:spacing w:val="-10"/>
      <w:sz w:val="56"/>
      <w:szCs w:val="56"/>
    </w:rPr>
  </w:style>
  <w:style w:type="character" w:customStyle="1" w:styleId="TitleChar">
    <w:name w:val="Title Char"/>
    <w:basedOn w:val="DefaultParagraphFont"/>
    <w:link w:val="Title"/>
    <w:uiPriority w:val="10"/>
    <w:rsid w:val="002950FE"/>
    <w:rPr>
      <w:rFonts w:asciiTheme="majorHAnsi" w:eastAsiaTheme="majorEastAsia" w:hAnsiTheme="majorHAnsi" w:cstheme="majorBidi"/>
      <w:spacing w:val="-10"/>
      <w:kern w:val="28"/>
      <w:sz w:val="56"/>
      <w:szCs w:val="56"/>
    </w:rPr>
  </w:style>
  <w:style w:type="paragraph" w:styleId="Header">
    <w:name w:val="header"/>
    <w:basedOn w:val="Normal"/>
    <w:link w:val="HeaderChar"/>
    <w:uiPriority w:val="99"/>
    <w:unhideWhenUsed/>
    <w:rsid w:val="002950FE"/>
    <w:pPr>
      <w:tabs>
        <w:tab w:val="center" w:pos="4680"/>
        <w:tab w:val="right" w:pos="9360"/>
      </w:tabs>
    </w:pPr>
  </w:style>
  <w:style w:type="character" w:customStyle="1" w:styleId="HeaderChar">
    <w:name w:val="Header Char"/>
    <w:basedOn w:val="DefaultParagraphFont"/>
    <w:link w:val="Header"/>
    <w:uiPriority w:val="99"/>
    <w:rsid w:val="002950FE"/>
    <w:rPr>
      <w:rFonts w:eastAsia="Times New Roman"/>
      <w:kern w:val="28"/>
      <w:szCs w:val="20"/>
    </w:rPr>
  </w:style>
  <w:style w:type="paragraph" w:styleId="Footer">
    <w:name w:val="footer"/>
    <w:basedOn w:val="Normal"/>
    <w:link w:val="FooterChar"/>
    <w:uiPriority w:val="99"/>
    <w:unhideWhenUsed/>
    <w:rsid w:val="002950FE"/>
    <w:pPr>
      <w:tabs>
        <w:tab w:val="center" w:pos="4680"/>
        <w:tab w:val="right" w:pos="9360"/>
      </w:tabs>
    </w:pPr>
  </w:style>
  <w:style w:type="character" w:customStyle="1" w:styleId="FooterChar">
    <w:name w:val="Footer Char"/>
    <w:basedOn w:val="DefaultParagraphFont"/>
    <w:link w:val="Footer"/>
    <w:uiPriority w:val="99"/>
    <w:rsid w:val="002950FE"/>
    <w:rPr>
      <w:rFonts w:eastAsia="Times New Roman"/>
      <w:kern w:val="28"/>
      <w:szCs w:val="20"/>
    </w:rPr>
  </w:style>
  <w:style w:type="paragraph" w:styleId="Bibliography">
    <w:name w:val="Bibliography"/>
    <w:basedOn w:val="Normal"/>
    <w:next w:val="Normal"/>
    <w:uiPriority w:val="37"/>
    <w:unhideWhenUsed/>
    <w:rsid w:val="002950FE"/>
    <w:pPr>
      <w:spacing w:line="480" w:lineRule="auto"/>
      <w:ind w:left="720" w:hanging="720"/>
    </w:pPr>
  </w:style>
  <w:style w:type="paragraph" w:styleId="ListParagraph">
    <w:name w:val="List Paragraph"/>
    <w:basedOn w:val="Normal"/>
    <w:uiPriority w:val="34"/>
    <w:qFormat/>
    <w:rsid w:val="002950FE"/>
    <w:pPr>
      <w:ind w:left="720"/>
    </w:pPr>
  </w:style>
  <w:style w:type="character" w:styleId="CommentReference">
    <w:name w:val="annotation reference"/>
    <w:basedOn w:val="DefaultParagraphFont"/>
    <w:uiPriority w:val="99"/>
    <w:semiHidden/>
    <w:unhideWhenUsed/>
    <w:rsid w:val="000003D6"/>
    <w:rPr>
      <w:sz w:val="16"/>
      <w:szCs w:val="16"/>
    </w:rPr>
  </w:style>
  <w:style w:type="paragraph" w:styleId="CommentText">
    <w:name w:val="annotation text"/>
    <w:basedOn w:val="Normal"/>
    <w:link w:val="CommentTextChar"/>
    <w:uiPriority w:val="99"/>
    <w:unhideWhenUsed/>
    <w:rsid w:val="000003D6"/>
    <w:rPr>
      <w:sz w:val="20"/>
    </w:rPr>
  </w:style>
  <w:style w:type="character" w:customStyle="1" w:styleId="CommentTextChar">
    <w:name w:val="Comment Text Char"/>
    <w:basedOn w:val="DefaultParagraphFont"/>
    <w:link w:val="CommentText"/>
    <w:uiPriority w:val="99"/>
    <w:rsid w:val="000003D6"/>
    <w:rPr>
      <w:rFonts w:eastAsia="Times New Roman"/>
      <w:kern w:val="28"/>
      <w:sz w:val="20"/>
      <w:szCs w:val="20"/>
    </w:rPr>
  </w:style>
  <w:style w:type="paragraph" w:styleId="CommentSubject">
    <w:name w:val="annotation subject"/>
    <w:basedOn w:val="CommentText"/>
    <w:next w:val="CommentText"/>
    <w:link w:val="CommentSubjectChar"/>
    <w:uiPriority w:val="99"/>
    <w:semiHidden/>
    <w:unhideWhenUsed/>
    <w:rsid w:val="000003D6"/>
    <w:rPr>
      <w:b/>
      <w:bCs/>
    </w:rPr>
  </w:style>
  <w:style w:type="character" w:customStyle="1" w:styleId="CommentSubjectChar">
    <w:name w:val="Comment Subject Char"/>
    <w:basedOn w:val="CommentTextChar"/>
    <w:link w:val="CommentSubject"/>
    <w:uiPriority w:val="99"/>
    <w:semiHidden/>
    <w:rsid w:val="000003D6"/>
    <w:rPr>
      <w:rFonts w:eastAsia="Times New Roman"/>
      <w:b/>
      <w:bCs/>
      <w:kern w:val="28"/>
      <w:sz w:val="20"/>
      <w:szCs w:val="20"/>
    </w:rPr>
  </w:style>
  <w:style w:type="paragraph" w:styleId="HTMLPreformatted">
    <w:name w:val="HTML Preformatted"/>
    <w:basedOn w:val="Normal"/>
    <w:link w:val="HTMLPreformattedChar"/>
    <w:uiPriority w:val="99"/>
    <w:semiHidden/>
    <w:unhideWhenUsed/>
    <w:rsid w:val="0044034D"/>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contextualSpacing w:val="0"/>
    </w:pPr>
    <w:rPr>
      <w:rFonts w:ascii="Courier New" w:hAnsi="Courier New" w:cs="Courier New"/>
      <w:kern w:val="0"/>
      <w:sz w:val="20"/>
    </w:rPr>
  </w:style>
  <w:style w:type="character" w:customStyle="1" w:styleId="HTMLPreformattedChar">
    <w:name w:val="HTML Preformatted Char"/>
    <w:basedOn w:val="DefaultParagraphFont"/>
    <w:link w:val="HTMLPreformatted"/>
    <w:uiPriority w:val="99"/>
    <w:semiHidden/>
    <w:rsid w:val="0044034D"/>
    <w:rPr>
      <w:rFonts w:ascii="Courier New" w:eastAsia="Times New Roman" w:hAnsi="Courier New" w:cs="Courier New"/>
      <w:sz w:val="20"/>
      <w:szCs w:val="20"/>
    </w:rPr>
  </w:style>
  <w:style w:type="character" w:customStyle="1" w:styleId="gnd-iwgdo3b">
    <w:name w:val="gnd-iwgdo3b"/>
    <w:basedOn w:val="DefaultParagraphFont"/>
    <w:rsid w:val="0044034D"/>
  </w:style>
  <w:style w:type="character" w:customStyle="1" w:styleId="gnd-iwgdn2b">
    <w:name w:val="gnd-iwgdn2b"/>
    <w:basedOn w:val="DefaultParagraphFont"/>
    <w:rsid w:val="0044034D"/>
  </w:style>
  <w:style w:type="character" w:customStyle="1" w:styleId="gnd-iwgdh3b">
    <w:name w:val="gnd-iwgdh3b"/>
    <w:basedOn w:val="DefaultParagraphFont"/>
    <w:rsid w:val="0044034D"/>
  </w:style>
  <w:style w:type="character" w:styleId="Hyperlink">
    <w:name w:val="Hyperlink"/>
    <w:basedOn w:val="DefaultParagraphFont"/>
    <w:uiPriority w:val="99"/>
    <w:unhideWhenUsed/>
    <w:rsid w:val="00886CDC"/>
    <w:rPr>
      <w:color w:val="0563C1" w:themeColor="hyperlink"/>
      <w:u w:val="single"/>
    </w:rPr>
  </w:style>
  <w:style w:type="paragraph" w:styleId="Revision">
    <w:name w:val="Revision"/>
    <w:hidden/>
    <w:uiPriority w:val="99"/>
    <w:semiHidden/>
    <w:rsid w:val="000A5F94"/>
    <w:pPr>
      <w:spacing w:after="0"/>
    </w:pPr>
    <w:rPr>
      <w:rFonts w:eastAsia="Times New Roman"/>
      <w:kern w:val="28"/>
      <w:szCs w:val="20"/>
    </w:rPr>
  </w:style>
  <w:style w:type="character" w:styleId="UnresolvedMention">
    <w:name w:val="Unresolved Mention"/>
    <w:basedOn w:val="DefaultParagraphFont"/>
    <w:uiPriority w:val="99"/>
    <w:semiHidden/>
    <w:unhideWhenUsed/>
    <w:rsid w:val="00453197"/>
    <w:rPr>
      <w:color w:val="605E5C"/>
      <w:shd w:val="clear" w:color="auto" w:fill="E1DFDD"/>
    </w:rPr>
  </w:style>
  <w:style w:type="character" w:styleId="LineNumber">
    <w:name w:val="line number"/>
    <w:basedOn w:val="DefaultParagraphFont"/>
    <w:uiPriority w:val="99"/>
    <w:semiHidden/>
    <w:unhideWhenUsed/>
    <w:rsid w:val="008900D0"/>
  </w:style>
  <w:style w:type="character" w:styleId="FollowedHyperlink">
    <w:name w:val="FollowedHyperlink"/>
    <w:basedOn w:val="DefaultParagraphFont"/>
    <w:uiPriority w:val="99"/>
    <w:semiHidden/>
    <w:unhideWhenUsed/>
    <w:rsid w:val="00AD07BF"/>
    <w:rPr>
      <w:color w:val="954F72" w:themeColor="followedHyperlink"/>
      <w:u w:val="single"/>
    </w:rPr>
  </w:style>
  <w:style w:type="character" w:customStyle="1" w:styleId="Heading4Char">
    <w:name w:val="Heading 4 Char"/>
    <w:basedOn w:val="DefaultParagraphFont"/>
    <w:link w:val="Heading4"/>
    <w:uiPriority w:val="9"/>
    <w:semiHidden/>
    <w:rsid w:val="00885C8D"/>
    <w:rPr>
      <w:rFonts w:asciiTheme="majorHAnsi" w:eastAsiaTheme="majorEastAsia" w:hAnsiTheme="majorHAnsi" w:cstheme="majorBidi"/>
      <w:i/>
      <w:iCs/>
      <w:color w:val="2F5496" w:themeColor="accent1" w:themeShade="BF"/>
      <w:kern w:val="28"/>
      <w:szCs w:val="20"/>
    </w:rPr>
  </w:style>
  <w:style w:type="table" w:styleId="TableGrid">
    <w:name w:val="Table Grid"/>
    <w:basedOn w:val="TableNormal"/>
    <w:uiPriority w:val="39"/>
    <w:rsid w:val="00345EB6"/>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4629DB"/>
    <w:rPr>
      <w:color w:val="666666"/>
    </w:rPr>
  </w:style>
  <w:style w:type="paragraph" w:styleId="NormalWeb">
    <w:name w:val="Normal (Web)"/>
    <w:basedOn w:val="Normal"/>
    <w:uiPriority w:val="99"/>
    <w:unhideWhenUsed/>
    <w:rsid w:val="00CC7F5D"/>
    <w:pPr>
      <w:widowControl/>
      <w:overflowPunct/>
      <w:autoSpaceDE/>
      <w:autoSpaceDN/>
      <w:adjustRightInd/>
      <w:spacing w:before="100" w:beforeAutospacing="1" w:after="100" w:afterAutospacing="1"/>
      <w:contextualSpacing w:val="0"/>
    </w:pPr>
    <w:rPr>
      <w:kern w:val="0"/>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9664956">
      <w:bodyDiv w:val="1"/>
      <w:marLeft w:val="0"/>
      <w:marRight w:val="0"/>
      <w:marTop w:val="0"/>
      <w:marBottom w:val="0"/>
      <w:divBdr>
        <w:top w:val="none" w:sz="0" w:space="0" w:color="auto"/>
        <w:left w:val="none" w:sz="0" w:space="0" w:color="auto"/>
        <w:bottom w:val="none" w:sz="0" w:space="0" w:color="auto"/>
        <w:right w:val="none" w:sz="0" w:space="0" w:color="auto"/>
      </w:divBdr>
    </w:div>
    <w:div w:id="89862315">
      <w:bodyDiv w:val="1"/>
      <w:marLeft w:val="0"/>
      <w:marRight w:val="0"/>
      <w:marTop w:val="0"/>
      <w:marBottom w:val="0"/>
      <w:divBdr>
        <w:top w:val="none" w:sz="0" w:space="0" w:color="auto"/>
        <w:left w:val="none" w:sz="0" w:space="0" w:color="auto"/>
        <w:bottom w:val="none" w:sz="0" w:space="0" w:color="auto"/>
        <w:right w:val="none" w:sz="0" w:space="0" w:color="auto"/>
      </w:divBdr>
    </w:div>
    <w:div w:id="241137500">
      <w:bodyDiv w:val="1"/>
      <w:marLeft w:val="0"/>
      <w:marRight w:val="0"/>
      <w:marTop w:val="0"/>
      <w:marBottom w:val="0"/>
      <w:divBdr>
        <w:top w:val="none" w:sz="0" w:space="0" w:color="auto"/>
        <w:left w:val="none" w:sz="0" w:space="0" w:color="auto"/>
        <w:bottom w:val="none" w:sz="0" w:space="0" w:color="auto"/>
        <w:right w:val="none" w:sz="0" w:space="0" w:color="auto"/>
      </w:divBdr>
    </w:div>
    <w:div w:id="314257961">
      <w:bodyDiv w:val="1"/>
      <w:marLeft w:val="0"/>
      <w:marRight w:val="0"/>
      <w:marTop w:val="0"/>
      <w:marBottom w:val="0"/>
      <w:divBdr>
        <w:top w:val="none" w:sz="0" w:space="0" w:color="auto"/>
        <w:left w:val="none" w:sz="0" w:space="0" w:color="auto"/>
        <w:bottom w:val="none" w:sz="0" w:space="0" w:color="auto"/>
        <w:right w:val="none" w:sz="0" w:space="0" w:color="auto"/>
      </w:divBdr>
    </w:div>
    <w:div w:id="391386801">
      <w:bodyDiv w:val="1"/>
      <w:marLeft w:val="0"/>
      <w:marRight w:val="0"/>
      <w:marTop w:val="0"/>
      <w:marBottom w:val="0"/>
      <w:divBdr>
        <w:top w:val="none" w:sz="0" w:space="0" w:color="auto"/>
        <w:left w:val="none" w:sz="0" w:space="0" w:color="auto"/>
        <w:bottom w:val="none" w:sz="0" w:space="0" w:color="auto"/>
        <w:right w:val="none" w:sz="0" w:space="0" w:color="auto"/>
      </w:divBdr>
    </w:div>
    <w:div w:id="608700400">
      <w:bodyDiv w:val="1"/>
      <w:marLeft w:val="0"/>
      <w:marRight w:val="0"/>
      <w:marTop w:val="0"/>
      <w:marBottom w:val="0"/>
      <w:divBdr>
        <w:top w:val="none" w:sz="0" w:space="0" w:color="auto"/>
        <w:left w:val="none" w:sz="0" w:space="0" w:color="auto"/>
        <w:bottom w:val="none" w:sz="0" w:space="0" w:color="auto"/>
        <w:right w:val="none" w:sz="0" w:space="0" w:color="auto"/>
      </w:divBdr>
    </w:div>
    <w:div w:id="639306740">
      <w:bodyDiv w:val="1"/>
      <w:marLeft w:val="0"/>
      <w:marRight w:val="0"/>
      <w:marTop w:val="0"/>
      <w:marBottom w:val="0"/>
      <w:divBdr>
        <w:top w:val="none" w:sz="0" w:space="0" w:color="auto"/>
        <w:left w:val="none" w:sz="0" w:space="0" w:color="auto"/>
        <w:bottom w:val="none" w:sz="0" w:space="0" w:color="auto"/>
        <w:right w:val="none" w:sz="0" w:space="0" w:color="auto"/>
      </w:divBdr>
    </w:div>
    <w:div w:id="658076081">
      <w:bodyDiv w:val="1"/>
      <w:marLeft w:val="0"/>
      <w:marRight w:val="0"/>
      <w:marTop w:val="0"/>
      <w:marBottom w:val="0"/>
      <w:divBdr>
        <w:top w:val="none" w:sz="0" w:space="0" w:color="auto"/>
        <w:left w:val="none" w:sz="0" w:space="0" w:color="auto"/>
        <w:bottom w:val="none" w:sz="0" w:space="0" w:color="auto"/>
        <w:right w:val="none" w:sz="0" w:space="0" w:color="auto"/>
      </w:divBdr>
    </w:div>
    <w:div w:id="728964223">
      <w:bodyDiv w:val="1"/>
      <w:marLeft w:val="0"/>
      <w:marRight w:val="0"/>
      <w:marTop w:val="0"/>
      <w:marBottom w:val="0"/>
      <w:divBdr>
        <w:top w:val="none" w:sz="0" w:space="0" w:color="auto"/>
        <w:left w:val="none" w:sz="0" w:space="0" w:color="auto"/>
        <w:bottom w:val="none" w:sz="0" w:space="0" w:color="auto"/>
        <w:right w:val="none" w:sz="0" w:space="0" w:color="auto"/>
      </w:divBdr>
    </w:div>
    <w:div w:id="836118027">
      <w:bodyDiv w:val="1"/>
      <w:marLeft w:val="0"/>
      <w:marRight w:val="0"/>
      <w:marTop w:val="0"/>
      <w:marBottom w:val="0"/>
      <w:divBdr>
        <w:top w:val="none" w:sz="0" w:space="0" w:color="auto"/>
        <w:left w:val="none" w:sz="0" w:space="0" w:color="auto"/>
        <w:bottom w:val="none" w:sz="0" w:space="0" w:color="auto"/>
        <w:right w:val="none" w:sz="0" w:space="0" w:color="auto"/>
      </w:divBdr>
    </w:div>
    <w:div w:id="912619469">
      <w:bodyDiv w:val="1"/>
      <w:marLeft w:val="0"/>
      <w:marRight w:val="0"/>
      <w:marTop w:val="0"/>
      <w:marBottom w:val="0"/>
      <w:divBdr>
        <w:top w:val="none" w:sz="0" w:space="0" w:color="auto"/>
        <w:left w:val="none" w:sz="0" w:space="0" w:color="auto"/>
        <w:bottom w:val="none" w:sz="0" w:space="0" w:color="auto"/>
        <w:right w:val="none" w:sz="0" w:space="0" w:color="auto"/>
      </w:divBdr>
    </w:div>
    <w:div w:id="1002512576">
      <w:bodyDiv w:val="1"/>
      <w:marLeft w:val="0"/>
      <w:marRight w:val="0"/>
      <w:marTop w:val="0"/>
      <w:marBottom w:val="0"/>
      <w:divBdr>
        <w:top w:val="none" w:sz="0" w:space="0" w:color="auto"/>
        <w:left w:val="none" w:sz="0" w:space="0" w:color="auto"/>
        <w:bottom w:val="none" w:sz="0" w:space="0" w:color="auto"/>
        <w:right w:val="none" w:sz="0" w:space="0" w:color="auto"/>
      </w:divBdr>
    </w:div>
    <w:div w:id="1040787990">
      <w:bodyDiv w:val="1"/>
      <w:marLeft w:val="0"/>
      <w:marRight w:val="0"/>
      <w:marTop w:val="0"/>
      <w:marBottom w:val="0"/>
      <w:divBdr>
        <w:top w:val="none" w:sz="0" w:space="0" w:color="auto"/>
        <w:left w:val="none" w:sz="0" w:space="0" w:color="auto"/>
        <w:bottom w:val="none" w:sz="0" w:space="0" w:color="auto"/>
        <w:right w:val="none" w:sz="0" w:space="0" w:color="auto"/>
      </w:divBdr>
    </w:div>
    <w:div w:id="1042247589">
      <w:bodyDiv w:val="1"/>
      <w:marLeft w:val="0"/>
      <w:marRight w:val="0"/>
      <w:marTop w:val="0"/>
      <w:marBottom w:val="0"/>
      <w:divBdr>
        <w:top w:val="none" w:sz="0" w:space="0" w:color="auto"/>
        <w:left w:val="none" w:sz="0" w:space="0" w:color="auto"/>
        <w:bottom w:val="none" w:sz="0" w:space="0" w:color="auto"/>
        <w:right w:val="none" w:sz="0" w:space="0" w:color="auto"/>
      </w:divBdr>
    </w:div>
    <w:div w:id="1125391340">
      <w:bodyDiv w:val="1"/>
      <w:marLeft w:val="0"/>
      <w:marRight w:val="0"/>
      <w:marTop w:val="0"/>
      <w:marBottom w:val="0"/>
      <w:divBdr>
        <w:top w:val="none" w:sz="0" w:space="0" w:color="auto"/>
        <w:left w:val="none" w:sz="0" w:space="0" w:color="auto"/>
        <w:bottom w:val="none" w:sz="0" w:space="0" w:color="auto"/>
        <w:right w:val="none" w:sz="0" w:space="0" w:color="auto"/>
      </w:divBdr>
    </w:div>
    <w:div w:id="1140878590">
      <w:bodyDiv w:val="1"/>
      <w:marLeft w:val="0"/>
      <w:marRight w:val="0"/>
      <w:marTop w:val="0"/>
      <w:marBottom w:val="0"/>
      <w:divBdr>
        <w:top w:val="none" w:sz="0" w:space="0" w:color="auto"/>
        <w:left w:val="none" w:sz="0" w:space="0" w:color="auto"/>
        <w:bottom w:val="none" w:sz="0" w:space="0" w:color="auto"/>
        <w:right w:val="none" w:sz="0" w:space="0" w:color="auto"/>
      </w:divBdr>
    </w:div>
    <w:div w:id="1184711896">
      <w:bodyDiv w:val="1"/>
      <w:marLeft w:val="0"/>
      <w:marRight w:val="0"/>
      <w:marTop w:val="0"/>
      <w:marBottom w:val="0"/>
      <w:divBdr>
        <w:top w:val="none" w:sz="0" w:space="0" w:color="auto"/>
        <w:left w:val="none" w:sz="0" w:space="0" w:color="auto"/>
        <w:bottom w:val="none" w:sz="0" w:space="0" w:color="auto"/>
        <w:right w:val="none" w:sz="0" w:space="0" w:color="auto"/>
      </w:divBdr>
    </w:div>
    <w:div w:id="1233349898">
      <w:bodyDiv w:val="1"/>
      <w:marLeft w:val="0"/>
      <w:marRight w:val="0"/>
      <w:marTop w:val="0"/>
      <w:marBottom w:val="0"/>
      <w:divBdr>
        <w:top w:val="none" w:sz="0" w:space="0" w:color="auto"/>
        <w:left w:val="none" w:sz="0" w:space="0" w:color="auto"/>
        <w:bottom w:val="none" w:sz="0" w:space="0" w:color="auto"/>
        <w:right w:val="none" w:sz="0" w:space="0" w:color="auto"/>
      </w:divBdr>
    </w:div>
    <w:div w:id="1273629877">
      <w:bodyDiv w:val="1"/>
      <w:marLeft w:val="0"/>
      <w:marRight w:val="0"/>
      <w:marTop w:val="0"/>
      <w:marBottom w:val="0"/>
      <w:divBdr>
        <w:top w:val="none" w:sz="0" w:space="0" w:color="auto"/>
        <w:left w:val="none" w:sz="0" w:space="0" w:color="auto"/>
        <w:bottom w:val="none" w:sz="0" w:space="0" w:color="auto"/>
        <w:right w:val="none" w:sz="0" w:space="0" w:color="auto"/>
      </w:divBdr>
    </w:div>
    <w:div w:id="1279293817">
      <w:bodyDiv w:val="1"/>
      <w:marLeft w:val="0"/>
      <w:marRight w:val="0"/>
      <w:marTop w:val="0"/>
      <w:marBottom w:val="0"/>
      <w:divBdr>
        <w:top w:val="none" w:sz="0" w:space="0" w:color="auto"/>
        <w:left w:val="none" w:sz="0" w:space="0" w:color="auto"/>
        <w:bottom w:val="none" w:sz="0" w:space="0" w:color="auto"/>
        <w:right w:val="none" w:sz="0" w:space="0" w:color="auto"/>
      </w:divBdr>
    </w:div>
    <w:div w:id="1333023620">
      <w:bodyDiv w:val="1"/>
      <w:marLeft w:val="0"/>
      <w:marRight w:val="0"/>
      <w:marTop w:val="0"/>
      <w:marBottom w:val="0"/>
      <w:divBdr>
        <w:top w:val="none" w:sz="0" w:space="0" w:color="auto"/>
        <w:left w:val="none" w:sz="0" w:space="0" w:color="auto"/>
        <w:bottom w:val="none" w:sz="0" w:space="0" w:color="auto"/>
        <w:right w:val="none" w:sz="0" w:space="0" w:color="auto"/>
      </w:divBdr>
    </w:div>
    <w:div w:id="1391612880">
      <w:bodyDiv w:val="1"/>
      <w:marLeft w:val="0"/>
      <w:marRight w:val="0"/>
      <w:marTop w:val="0"/>
      <w:marBottom w:val="0"/>
      <w:divBdr>
        <w:top w:val="none" w:sz="0" w:space="0" w:color="auto"/>
        <w:left w:val="none" w:sz="0" w:space="0" w:color="auto"/>
        <w:bottom w:val="none" w:sz="0" w:space="0" w:color="auto"/>
        <w:right w:val="none" w:sz="0" w:space="0" w:color="auto"/>
      </w:divBdr>
    </w:div>
    <w:div w:id="1426420762">
      <w:bodyDiv w:val="1"/>
      <w:marLeft w:val="0"/>
      <w:marRight w:val="0"/>
      <w:marTop w:val="0"/>
      <w:marBottom w:val="0"/>
      <w:divBdr>
        <w:top w:val="none" w:sz="0" w:space="0" w:color="auto"/>
        <w:left w:val="none" w:sz="0" w:space="0" w:color="auto"/>
        <w:bottom w:val="none" w:sz="0" w:space="0" w:color="auto"/>
        <w:right w:val="none" w:sz="0" w:space="0" w:color="auto"/>
      </w:divBdr>
    </w:div>
    <w:div w:id="1432555719">
      <w:bodyDiv w:val="1"/>
      <w:marLeft w:val="0"/>
      <w:marRight w:val="0"/>
      <w:marTop w:val="0"/>
      <w:marBottom w:val="0"/>
      <w:divBdr>
        <w:top w:val="none" w:sz="0" w:space="0" w:color="auto"/>
        <w:left w:val="none" w:sz="0" w:space="0" w:color="auto"/>
        <w:bottom w:val="none" w:sz="0" w:space="0" w:color="auto"/>
        <w:right w:val="none" w:sz="0" w:space="0" w:color="auto"/>
      </w:divBdr>
    </w:div>
    <w:div w:id="1584148616">
      <w:bodyDiv w:val="1"/>
      <w:marLeft w:val="0"/>
      <w:marRight w:val="0"/>
      <w:marTop w:val="0"/>
      <w:marBottom w:val="0"/>
      <w:divBdr>
        <w:top w:val="none" w:sz="0" w:space="0" w:color="auto"/>
        <w:left w:val="none" w:sz="0" w:space="0" w:color="auto"/>
        <w:bottom w:val="none" w:sz="0" w:space="0" w:color="auto"/>
        <w:right w:val="none" w:sz="0" w:space="0" w:color="auto"/>
      </w:divBdr>
    </w:div>
    <w:div w:id="1787193951">
      <w:bodyDiv w:val="1"/>
      <w:marLeft w:val="0"/>
      <w:marRight w:val="0"/>
      <w:marTop w:val="0"/>
      <w:marBottom w:val="0"/>
      <w:divBdr>
        <w:top w:val="none" w:sz="0" w:space="0" w:color="auto"/>
        <w:left w:val="none" w:sz="0" w:space="0" w:color="auto"/>
        <w:bottom w:val="none" w:sz="0" w:space="0" w:color="auto"/>
        <w:right w:val="none" w:sz="0" w:space="0" w:color="auto"/>
      </w:divBdr>
    </w:div>
    <w:div w:id="1801460009">
      <w:bodyDiv w:val="1"/>
      <w:marLeft w:val="0"/>
      <w:marRight w:val="0"/>
      <w:marTop w:val="0"/>
      <w:marBottom w:val="0"/>
      <w:divBdr>
        <w:top w:val="none" w:sz="0" w:space="0" w:color="auto"/>
        <w:left w:val="none" w:sz="0" w:space="0" w:color="auto"/>
        <w:bottom w:val="none" w:sz="0" w:space="0" w:color="auto"/>
        <w:right w:val="none" w:sz="0" w:space="0" w:color="auto"/>
      </w:divBdr>
    </w:div>
    <w:div w:id="19201416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adrian721@ufl.edu" TargetMode="External"/><Relationship Id="rId13" Type="http://schemas.openxmlformats.org/officeDocument/2006/relationships/image" Target="media/image2.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1.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github.com/AdrianEcology/GT_Seasonal_Frugivory" TargetMode="External"/><Relationship Id="rId5" Type="http://schemas.openxmlformats.org/officeDocument/2006/relationships/webSettings" Target="webSettings.xml"/><Relationship Id="rId15" Type="http://schemas.openxmlformats.org/officeDocument/2006/relationships/image" Target="media/image4.png"/><Relationship Id="rId10" Type="http://schemas.openxmlformats.org/officeDocument/2006/relationships/hyperlink" Target="mailto:adr.fig.phd@gmail.com" TargetMode="External"/><Relationship Id="rId4" Type="http://schemas.openxmlformats.org/officeDocument/2006/relationships/settings" Target="settings.xml"/><Relationship Id="rId9" Type="http://schemas.openxmlformats.org/officeDocument/2006/relationships/hyperlink" Target="mailto:afigu083@fiu.edu" TargetMode="External"/><Relationship Id="rId14"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7210930-BD97-40BB-8FEE-8A20960B3C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17868</TotalTime>
  <Pages>42</Pages>
  <Words>42777</Words>
  <Characters>243829</Characters>
  <Application>Microsoft Office Word</Application>
  <DocSecurity>0</DocSecurity>
  <Lines>2031</Lines>
  <Paragraphs>572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286034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Adrian Figueroa</dc:creator>
  <cp:keywords/>
  <dc:description/>
  <cp:lastModifiedBy>Adrian Figueroa</cp:lastModifiedBy>
  <cp:revision>1590</cp:revision>
  <dcterms:created xsi:type="dcterms:W3CDTF">2023-09-14T13:54:00Z</dcterms:created>
  <dcterms:modified xsi:type="dcterms:W3CDTF">2024-10-29T17:16:00Z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zotero-version="6.0.36"&gt;&lt;session id="DpMS4TBD"/&gt;&lt;style id="http://www.zotero.org/styles/ecology" hasBibliography="1" bibliographyStyleHasBeenSet="1"/&gt;&lt;prefs&gt;&lt;pref name="fieldType" value="Field"/&gt;&lt;/prefs&gt;&lt;/data&gt;</vt:lpwstr>
  </property>
</Properties>
</file>