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7A1" w:rsidRPr="00EB1B45" w:rsidRDefault="004842C7" w:rsidP="00EB1B45">
      <w:r w:rsidRPr="001F5EE2">
        <w:rPr>
          <w:rFonts w:ascii="Calibri" w:eastAsia="Calibri" w:hAnsi="Calibri" w:cs="Calibri"/>
          <w:noProof/>
          <w:sz w:val="24"/>
          <w:szCs w:val="24"/>
          <w:lang w:val="en-IN" w:eastAsia="en-IN"/>
        </w:rPr>
        <w:drawing>
          <wp:anchor distT="0" distB="0" distL="114300" distR="114300" simplePos="0" relativeHeight="251659264" behindDoc="0" locked="0" layoutInCell="1" allowOverlap="1" wp14:anchorId="6DF4EFA1" wp14:editId="6899D412">
            <wp:simplePos x="0" y="0"/>
            <wp:positionH relativeFrom="margin">
              <wp:posOffset>-748665</wp:posOffset>
            </wp:positionH>
            <wp:positionV relativeFrom="paragraph">
              <wp:posOffset>16510</wp:posOffset>
            </wp:positionV>
            <wp:extent cx="14214475" cy="10140950"/>
            <wp:effectExtent l="0" t="0" r="15875" b="1270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p w:rsidR="00CF737A" w:rsidRPr="00792DDB" w:rsidRDefault="00E44AB1" w:rsidP="0021060C">
      <w:pPr>
        <w:jc w:val="both"/>
        <w:rPr>
          <w:sz w:val="36"/>
        </w:rPr>
      </w:pPr>
      <w:r w:rsidRPr="00792DDB">
        <w:rPr>
          <w:rFonts w:ascii="Calibri" w:eastAsia="Calibri" w:hAnsi="Calibri" w:cs="Calibri"/>
          <w:b/>
          <w:sz w:val="40"/>
        </w:rPr>
        <w:t>Fig 2</w:t>
      </w:r>
      <w:r w:rsidR="00EB1B45" w:rsidRPr="00792DDB">
        <w:rPr>
          <w:rFonts w:ascii="Calibri" w:eastAsia="Calibri" w:hAnsi="Calibri" w:cs="Calibri"/>
          <w:b/>
          <w:sz w:val="40"/>
        </w:rPr>
        <w:t>:</w:t>
      </w:r>
      <w:r w:rsidR="00EB1B45" w:rsidRPr="00792DDB">
        <w:rPr>
          <w:rFonts w:ascii="Calibri" w:eastAsia="Calibri" w:hAnsi="Calibri" w:cs="Calibri"/>
          <w:sz w:val="40"/>
        </w:rPr>
        <w:t xml:space="preserve"> Line graph showing the daily trends in serum </w:t>
      </w:r>
      <w:proofErr w:type="spellStart"/>
      <w:r w:rsidR="00EB1B45" w:rsidRPr="00792DDB">
        <w:rPr>
          <w:rFonts w:ascii="Calibri" w:eastAsia="Calibri" w:hAnsi="Calibri" w:cs="Calibri"/>
          <w:sz w:val="40"/>
        </w:rPr>
        <w:t>creatine</w:t>
      </w:r>
      <w:proofErr w:type="spellEnd"/>
      <w:r w:rsidR="00EB1B45" w:rsidRPr="00792DDB">
        <w:rPr>
          <w:rFonts w:ascii="Calibri" w:eastAsia="Calibri" w:hAnsi="Calibri" w:cs="Calibri"/>
          <w:sz w:val="40"/>
        </w:rPr>
        <w:t xml:space="preserve"> kinase (CK) and serum creatinine levels. While CK shows an overall downward trend, creatinine values initially fall with ongoing intravenous hydration, but rise on day 13 as a response to additional diuretics to reduce edema, to eventually fall again.</w:t>
      </w:r>
    </w:p>
    <w:sectPr w:rsidR="00CF737A" w:rsidRPr="00792DDB" w:rsidSect="004577A1">
      <w:pgSz w:w="22907" w:h="31242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462"/>
    <w:rsid w:val="000B5DA3"/>
    <w:rsid w:val="0021060C"/>
    <w:rsid w:val="002B672B"/>
    <w:rsid w:val="003F6181"/>
    <w:rsid w:val="004577A1"/>
    <w:rsid w:val="004842C7"/>
    <w:rsid w:val="00792DDB"/>
    <w:rsid w:val="009B6637"/>
    <w:rsid w:val="00A55530"/>
    <w:rsid w:val="00B92462"/>
    <w:rsid w:val="00C95EFE"/>
    <w:rsid w:val="00CF737A"/>
    <w:rsid w:val="00E44AB1"/>
    <w:rsid w:val="00EB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3E9C3F-95A6-4884-842D-C8DC27F8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55061172908942"/>
          <c:y val="3.1073446327683617E-2"/>
          <c:w val="0.80903831465511256"/>
          <c:h val="0.82455920951057593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Creatine Kinase (U/L)</c:v>
                </c:pt>
              </c:strCache>
            </c:strRef>
          </c:tx>
          <c:spPr>
            <a:ln w="3810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8"/>
            <c:spPr>
              <a:solidFill>
                <a:schemeClr val="accent1"/>
              </a:solidFill>
              <a:ln>
                <a:noFill/>
              </a:ln>
              <a:effectLst/>
            </c:spPr>
          </c:marker>
          <c:cat>
            <c:strRef>
              <c:f>Sheet1!$A$2:$A$16</c:f>
              <c:strCache>
                <c:ptCount val="15"/>
                <c:pt idx="0">
                  <c:v>Day 1 </c:v>
                </c:pt>
                <c:pt idx="1">
                  <c:v>Day 2</c:v>
                </c:pt>
                <c:pt idx="2">
                  <c:v>Day 3</c:v>
                </c:pt>
                <c:pt idx="3">
                  <c:v>Day 4</c:v>
                </c:pt>
                <c:pt idx="4">
                  <c:v>Day 5</c:v>
                </c:pt>
                <c:pt idx="5">
                  <c:v>Day 6</c:v>
                </c:pt>
                <c:pt idx="6">
                  <c:v>Day 7</c:v>
                </c:pt>
                <c:pt idx="7">
                  <c:v>Day 8</c:v>
                </c:pt>
                <c:pt idx="8">
                  <c:v>Day 9</c:v>
                </c:pt>
                <c:pt idx="9">
                  <c:v>Day 10</c:v>
                </c:pt>
                <c:pt idx="10">
                  <c:v>Day 11</c:v>
                </c:pt>
                <c:pt idx="11">
                  <c:v>Day 12</c:v>
                </c:pt>
                <c:pt idx="12">
                  <c:v>Day 13</c:v>
                </c:pt>
                <c:pt idx="13">
                  <c:v>Day 14</c:v>
                </c:pt>
                <c:pt idx="14">
                  <c:v>Day 15</c:v>
                </c:pt>
              </c:strCache>
            </c:strRef>
          </c:cat>
          <c:val>
            <c:numRef>
              <c:f>Sheet1!$B$2:$B$16</c:f>
              <c:numCache>
                <c:formatCode>#,##0</c:formatCode>
                <c:ptCount val="15"/>
                <c:pt idx="0">
                  <c:v>22000</c:v>
                </c:pt>
                <c:pt idx="1">
                  <c:v>22000</c:v>
                </c:pt>
                <c:pt idx="2" formatCode="General">
                  <c:v>11671</c:v>
                </c:pt>
                <c:pt idx="3" formatCode="General">
                  <c:v>13359</c:v>
                </c:pt>
                <c:pt idx="4" formatCode="General">
                  <c:v>9699</c:v>
                </c:pt>
                <c:pt idx="5" formatCode="General">
                  <c:v>8156</c:v>
                </c:pt>
                <c:pt idx="6" formatCode="General">
                  <c:v>6668</c:v>
                </c:pt>
                <c:pt idx="7" formatCode="General">
                  <c:v>7639</c:v>
                </c:pt>
                <c:pt idx="8" formatCode="General">
                  <c:v>5932</c:v>
                </c:pt>
                <c:pt idx="9" formatCode="General">
                  <c:v>5103</c:v>
                </c:pt>
                <c:pt idx="10" formatCode="General">
                  <c:v>3250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A84-4A89-B10C-216D16CEEB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85213599"/>
        <c:axId val="1585214847"/>
      </c:line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Creatinine (mg/dL)</c:v>
                </c:pt>
              </c:strCache>
            </c:strRef>
          </c:tx>
          <c:spPr>
            <a:ln w="3810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8"/>
            <c:spPr>
              <a:solidFill>
                <a:schemeClr val="accent2"/>
              </a:solidFill>
              <a:ln>
                <a:noFill/>
              </a:ln>
              <a:effectLst/>
            </c:spPr>
          </c:marker>
          <c:cat>
            <c:strRef>
              <c:f>Sheet1!$A$2:$A$16</c:f>
              <c:strCache>
                <c:ptCount val="15"/>
                <c:pt idx="0">
                  <c:v>Day 1 </c:v>
                </c:pt>
                <c:pt idx="1">
                  <c:v>Day 2</c:v>
                </c:pt>
                <c:pt idx="2">
                  <c:v>Day 3</c:v>
                </c:pt>
                <c:pt idx="3">
                  <c:v>Day 4</c:v>
                </c:pt>
                <c:pt idx="4">
                  <c:v>Day 5</c:v>
                </c:pt>
                <c:pt idx="5">
                  <c:v>Day 6</c:v>
                </c:pt>
                <c:pt idx="6">
                  <c:v>Day 7</c:v>
                </c:pt>
                <c:pt idx="7">
                  <c:v>Day 8</c:v>
                </c:pt>
                <c:pt idx="8">
                  <c:v>Day 9</c:v>
                </c:pt>
                <c:pt idx="9">
                  <c:v>Day 10</c:v>
                </c:pt>
                <c:pt idx="10">
                  <c:v>Day 11</c:v>
                </c:pt>
                <c:pt idx="11">
                  <c:v>Day 12</c:v>
                </c:pt>
                <c:pt idx="12">
                  <c:v>Day 13</c:v>
                </c:pt>
                <c:pt idx="13">
                  <c:v>Day 14</c:v>
                </c:pt>
                <c:pt idx="14">
                  <c:v>Day 15</c:v>
                </c:pt>
              </c:strCache>
            </c:strRef>
          </c:cat>
          <c:val>
            <c:numRef>
              <c:f>Sheet1!$C$2:$C$16</c:f>
              <c:numCache>
                <c:formatCode>General</c:formatCode>
                <c:ptCount val="15"/>
                <c:pt idx="0">
                  <c:v>3.53</c:v>
                </c:pt>
                <c:pt idx="1">
                  <c:v>3.41</c:v>
                </c:pt>
                <c:pt idx="2">
                  <c:v>3</c:v>
                </c:pt>
                <c:pt idx="3">
                  <c:v>2.78</c:v>
                </c:pt>
                <c:pt idx="4">
                  <c:v>2.67</c:v>
                </c:pt>
                <c:pt idx="5">
                  <c:v>2.2000000000000002</c:v>
                </c:pt>
                <c:pt idx="6">
                  <c:v>2.08</c:v>
                </c:pt>
                <c:pt idx="7">
                  <c:v>1.93</c:v>
                </c:pt>
                <c:pt idx="8">
                  <c:v>2.16</c:v>
                </c:pt>
                <c:pt idx="9">
                  <c:v>2.3199999999999998</c:v>
                </c:pt>
                <c:pt idx="10">
                  <c:v>2.2599999999999998</c:v>
                </c:pt>
                <c:pt idx="11">
                  <c:v>1.49</c:v>
                </c:pt>
                <c:pt idx="12">
                  <c:v>2.4900000000000002</c:v>
                </c:pt>
                <c:pt idx="13">
                  <c:v>2.69</c:v>
                </c:pt>
                <c:pt idx="14">
                  <c:v>2.65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A84-4A89-B10C-216D16CEEB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99057903"/>
        <c:axId val="1599060399"/>
      </c:lineChart>
      <c:catAx>
        <c:axId val="1585213599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5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N"/>
                  <a:t>Day of Admission</a:t>
                </a:r>
              </a:p>
            </c:rich>
          </c:tx>
          <c:layout>
            <c:manualLayout>
              <c:xMode val="edge"/>
              <c:yMode val="edge"/>
              <c:x val="0.44876973711619383"/>
              <c:y val="0.8255947969739077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5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500" b="1" i="0" u="none" strike="noStrike" kern="1200" cap="none" spc="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5214847"/>
        <c:crosses val="autoZero"/>
        <c:auto val="1"/>
        <c:lblAlgn val="ctr"/>
        <c:lblOffset val="100"/>
        <c:noMultiLvlLbl val="0"/>
      </c:catAx>
      <c:valAx>
        <c:axId val="15852148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5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N"/>
                  <a:t>Serum Creatine Kinase (U/L)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5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5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5213599"/>
        <c:crosses val="autoZero"/>
        <c:crossBetween val="between"/>
      </c:valAx>
      <c:valAx>
        <c:axId val="1599060399"/>
        <c:scaling>
          <c:orientation val="minMax"/>
        </c:scaling>
        <c:delete val="0"/>
        <c:axPos val="r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500" b="1" i="0" u="none" strike="noStrike" kern="1200" cap="all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IN"/>
                  <a:t>Serum Creatinine (mg/dL)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500" b="1" i="0" u="none" strike="noStrike" kern="1200" cap="all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5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99057903"/>
        <c:crosses val="max"/>
        <c:crossBetween val="between"/>
      </c:valAx>
      <c:catAx>
        <c:axId val="1599057903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599060399"/>
        <c:crosses val="autoZero"/>
        <c:auto val="1"/>
        <c:lblAlgn val="ctr"/>
        <c:lblOffset val="100"/>
        <c:noMultiLvlLbl val="0"/>
      </c:cat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15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500" b="1" i="0" baseline="0"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b="0" kern="1200" cap="none" spc="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dk1">
          <a:lumMod val="15000"/>
          <a:lumOff val="8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8100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8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tx1">
        <a:lumMod val="65000"/>
        <a:lumOff val="35000"/>
      </a:schemeClr>
    </cs:fontRef>
    <cs:defRPr sz="2000" b="0" kern="1200" cap="none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round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</Words>
  <Characters>265</Characters>
  <Application>Microsoft Office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12</cp:revision>
  <dcterms:created xsi:type="dcterms:W3CDTF">2024-06-17T16:44:00Z</dcterms:created>
  <dcterms:modified xsi:type="dcterms:W3CDTF">2024-07-17T13:43:00Z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08e26e70e7364a0041d55ff929b73b92301f39bcb25f6b86e2def2ee64ad06db</vt:lpwstr>
  </property>
</Properties>
</file>