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5F6D1DF0" w14:textId="3C2E0040" w:rsidR="00A978EF" w:rsidRPr="007C4E68" w:rsidRDefault="00DF1C8E" w:rsidP="007C4E68">
      <w:pPr>
        <w:pStyle w:val="Ttulo1"/>
        <w:spacing w:line="360" w:lineRule="auto"/>
        <w:ind w:left="0"/>
        <w:rPr>
          <w:sz w:val="24"/>
          <w:szCs w:val="24"/>
        </w:rPr>
      </w:pPr>
      <w:r w:rsidRPr="007C4E68">
        <w:rPr>
          <w:sz w:val="24"/>
          <w:szCs w:val="24"/>
        </w:rPr>
        <w:t>TITLE PAGE</w:t>
      </w:r>
    </w:p>
    <w:p w14:paraId="78225F45" w14:textId="77777777" w:rsidR="00A978EF" w:rsidRPr="007C4E68" w:rsidRDefault="00A978EF" w:rsidP="007C4E68">
      <w:pPr>
        <w:widowControl w:val="0"/>
        <w:pBdr>
          <w:top w:val="nil"/>
          <w:left w:val="nil"/>
          <w:bottom w:val="nil"/>
          <w:right w:val="nil"/>
          <w:between w:val="nil"/>
        </w:pBdr>
        <w:spacing w:line="360" w:lineRule="auto"/>
        <w:rPr>
          <w:rFonts w:ascii="Calibri" w:eastAsia="Calibri" w:hAnsi="Calibri" w:cs="Calibri"/>
          <w:b/>
          <w:color w:val="000000"/>
        </w:rPr>
      </w:pPr>
    </w:p>
    <w:p w14:paraId="59ADC729" w14:textId="77777777" w:rsidR="00A978EF" w:rsidRPr="007C4E68" w:rsidRDefault="00C707B3" w:rsidP="007C4E68">
      <w:pPr>
        <w:widowControl w:val="0"/>
        <w:pBdr>
          <w:top w:val="nil"/>
          <w:left w:val="nil"/>
          <w:bottom w:val="nil"/>
          <w:right w:val="nil"/>
          <w:between w:val="nil"/>
        </w:pBdr>
        <w:spacing w:line="360" w:lineRule="auto"/>
        <w:rPr>
          <w:rFonts w:ascii="Calibri" w:eastAsia="Calibri" w:hAnsi="Calibri" w:cs="Calibri"/>
          <w:color w:val="000000"/>
        </w:rPr>
      </w:pPr>
      <w:r w:rsidRPr="007C4E68">
        <w:rPr>
          <w:rFonts w:ascii="Calibri" w:eastAsia="Calibri" w:hAnsi="Calibri" w:cs="Calibri"/>
          <w:b/>
          <w:color w:val="000000"/>
        </w:rPr>
        <w:t xml:space="preserve">Title: </w:t>
      </w:r>
      <w:r w:rsidRPr="007C4E68">
        <w:rPr>
          <w:rFonts w:ascii="Calibri" w:eastAsia="Calibri" w:hAnsi="Calibri" w:cs="Calibri"/>
          <w:color w:val="000000"/>
        </w:rPr>
        <w:t>Spindle epithelial tumor with thymus-like element (SETTLE) – report of a rare thyroid carcinoma</w:t>
      </w:r>
    </w:p>
    <w:p w14:paraId="7ABE5BB7" w14:textId="77777777" w:rsidR="00A978EF" w:rsidRPr="007C4E68" w:rsidRDefault="00A978EF" w:rsidP="007C4E68">
      <w:pPr>
        <w:widowControl w:val="0"/>
        <w:pBdr>
          <w:top w:val="nil"/>
          <w:left w:val="nil"/>
          <w:bottom w:val="nil"/>
          <w:right w:val="nil"/>
          <w:between w:val="nil"/>
        </w:pBdr>
        <w:spacing w:line="360" w:lineRule="auto"/>
        <w:rPr>
          <w:rFonts w:ascii="Calibri" w:eastAsia="Calibri" w:hAnsi="Calibri" w:cs="Calibri"/>
          <w:color w:val="000000"/>
        </w:rPr>
      </w:pPr>
    </w:p>
    <w:p w14:paraId="73D163ED" w14:textId="77777777" w:rsidR="00A978EF" w:rsidRPr="007C4E68" w:rsidRDefault="00C707B3" w:rsidP="007C4E68">
      <w:pPr>
        <w:pStyle w:val="Ttulo1"/>
        <w:spacing w:line="360" w:lineRule="auto"/>
        <w:ind w:left="0"/>
        <w:rPr>
          <w:sz w:val="24"/>
          <w:szCs w:val="24"/>
          <w:lang w:val="pt-BR"/>
        </w:rPr>
      </w:pPr>
      <w:proofErr w:type="spellStart"/>
      <w:r w:rsidRPr="007C4E68">
        <w:rPr>
          <w:sz w:val="24"/>
          <w:szCs w:val="24"/>
          <w:lang w:val="pt-BR"/>
        </w:rPr>
        <w:t>Authors</w:t>
      </w:r>
      <w:proofErr w:type="spellEnd"/>
    </w:p>
    <w:p w14:paraId="42F38364" w14:textId="5A4FE05C" w:rsidR="00A978EF" w:rsidRPr="007C4E68" w:rsidRDefault="00C707B3" w:rsidP="007C4E68">
      <w:pPr>
        <w:widowControl w:val="0"/>
        <w:pBdr>
          <w:top w:val="nil"/>
          <w:left w:val="nil"/>
          <w:bottom w:val="nil"/>
          <w:right w:val="nil"/>
          <w:between w:val="nil"/>
        </w:pBdr>
        <w:spacing w:line="360" w:lineRule="auto"/>
        <w:ind w:right="257"/>
        <w:rPr>
          <w:rFonts w:ascii="Calibri" w:eastAsia="Calibri" w:hAnsi="Calibri" w:cs="Calibri"/>
          <w:color w:val="000000"/>
          <w:lang w:val="pt-BR"/>
        </w:rPr>
      </w:pPr>
      <w:r w:rsidRPr="007C4E68">
        <w:rPr>
          <w:rFonts w:ascii="Calibri" w:eastAsia="Calibri" w:hAnsi="Calibri" w:cs="Calibri"/>
          <w:color w:val="000000"/>
          <w:lang w:val="pt-BR"/>
        </w:rPr>
        <w:t>Patrícia Bernardo</w:t>
      </w:r>
      <w:r w:rsidRPr="007C4E68">
        <w:rPr>
          <w:rFonts w:ascii="Calibri" w:eastAsia="Calibri" w:hAnsi="Calibri" w:cs="Calibri"/>
          <w:color w:val="000000"/>
          <w:vertAlign w:val="superscript"/>
          <w:lang w:val="pt-BR"/>
        </w:rPr>
        <w:t>1</w:t>
      </w:r>
      <w:r w:rsidRPr="007C4E68">
        <w:rPr>
          <w:rFonts w:ascii="Calibri" w:eastAsia="Calibri" w:hAnsi="Calibri" w:cs="Calibri"/>
          <w:color w:val="000000"/>
          <w:lang w:val="pt-BR"/>
        </w:rPr>
        <w:t>, Henrique Messias</w:t>
      </w:r>
      <w:proofErr w:type="gramStart"/>
      <w:r w:rsidR="007C4E68" w:rsidRPr="007C4E68">
        <w:rPr>
          <w:rFonts w:ascii="Calibri" w:eastAsia="Calibri" w:hAnsi="Calibri" w:cs="Calibri"/>
          <w:color w:val="000000"/>
          <w:vertAlign w:val="superscript"/>
          <w:lang w:val="pt-BR"/>
        </w:rPr>
        <w:t>2,</w:t>
      </w:r>
      <w:r w:rsidRPr="007C4E68">
        <w:rPr>
          <w:rFonts w:ascii="Calibri" w:eastAsia="Calibri" w:hAnsi="Calibri" w:cs="Calibri"/>
          <w:color w:val="000000"/>
          <w:lang w:val="pt-BR"/>
        </w:rPr>
        <w:t>*</w:t>
      </w:r>
      <w:proofErr w:type="gramEnd"/>
      <w:r w:rsidRPr="007C4E68">
        <w:rPr>
          <w:rFonts w:ascii="Calibri" w:eastAsia="Calibri" w:hAnsi="Calibri" w:cs="Calibri"/>
          <w:color w:val="000000"/>
          <w:lang w:val="pt-BR"/>
        </w:rPr>
        <w:t>, Ricardo Nogueira</w:t>
      </w:r>
      <w:r w:rsidR="007C4E68" w:rsidRPr="007C4E68">
        <w:rPr>
          <w:rFonts w:ascii="Calibri" w:eastAsia="Calibri" w:hAnsi="Calibri" w:cs="Calibri"/>
          <w:color w:val="000000"/>
          <w:vertAlign w:val="superscript"/>
          <w:lang w:val="pt-BR"/>
        </w:rPr>
        <w:t>2</w:t>
      </w:r>
      <w:r w:rsidRPr="007C4E68">
        <w:rPr>
          <w:rFonts w:ascii="Calibri" w:eastAsia="Calibri" w:hAnsi="Calibri" w:cs="Calibri"/>
          <w:color w:val="000000"/>
          <w:lang w:val="pt-BR"/>
        </w:rPr>
        <w:t xml:space="preserve">, </w:t>
      </w:r>
      <w:proofErr w:type="spellStart"/>
      <w:r w:rsidRPr="007C4E68">
        <w:rPr>
          <w:rFonts w:ascii="Calibri" w:eastAsia="Calibri" w:hAnsi="Calibri" w:cs="Calibri"/>
          <w:color w:val="000000"/>
          <w:lang w:val="pt-BR"/>
        </w:rPr>
        <w:t>Brazão</w:t>
      </w:r>
      <w:proofErr w:type="spellEnd"/>
      <w:r w:rsidRPr="007C4E68">
        <w:rPr>
          <w:rFonts w:ascii="Calibri" w:eastAsia="Calibri" w:hAnsi="Calibri" w:cs="Calibri"/>
          <w:color w:val="000000"/>
          <w:lang w:val="pt-BR"/>
        </w:rPr>
        <w:t xml:space="preserve"> Lopes</w:t>
      </w:r>
      <w:r w:rsidRPr="007C4E68">
        <w:rPr>
          <w:rFonts w:ascii="Calibri" w:eastAsia="Calibri" w:hAnsi="Calibri" w:cs="Calibri"/>
          <w:color w:val="000000"/>
          <w:vertAlign w:val="superscript"/>
          <w:lang w:val="pt-BR"/>
        </w:rPr>
        <w:t>3</w:t>
      </w:r>
      <w:r w:rsidRPr="007C4E68">
        <w:rPr>
          <w:rFonts w:ascii="Calibri" w:eastAsia="Calibri" w:hAnsi="Calibri" w:cs="Calibri"/>
          <w:color w:val="000000"/>
          <w:lang w:val="pt-BR"/>
        </w:rPr>
        <w:t>, Pedro Gomes</w:t>
      </w:r>
      <w:r w:rsidR="007C4E68" w:rsidRPr="007C4E68">
        <w:rPr>
          <w:rFonts w:ascii="Calibri" w:eastAsia="Calibri" w:hAnsi="Calibri" w:cs="Calibri"/>
          <w:color w:val="000000"/>
          <w:vertAlign w:val="superscript"/>
          <w:lang w:val="pt-BR"/>
        </w:rPr>
        <w:t>2</w:t>
      </w:r>
    </w:p>
    <w:p w14:paraId="13047CC1" w14:textId="77777777" w:rsidR="00A978EF" w:rsidRPr="007C4E68" w:rsidRDefault="00A978EF" w:rsidP="007C4E68">
      <w:pPr>
        <w:widowControl w:val="0"/>
        <w:pBdr>
          <w:top w:val="nil"/>
          <w:left w:val="nil"/>
          <w:bottom w:val="nil"/>
          <w:right w:val="nil"/>
          <w:between w:val="nil"/>
        </w:pBdr>
        <w:spacing w:line="360" w:lineRule="auto"/>
        <w:rPr>
          <w:rFonts w:ascii="Calibri" w:eastAsia="Calibri" w:hAnsi="Calibri" w:cs="Calibri"/>
          <w:color w:val="000000"/>
          <w:lang w:val="pt-BR"/>
        </w:rPr>
      </w:pPr>
    </w:p>
    <w:p w14:paraId="53F26881" w14:textId="06B5ACA3" w:rsidR="007C4E68" w:rsidRPr="007C4E68" w:rsidRDefault="00C707B3" w:rsidP="00606994">
      <w:pPr>
        <w:widowControl w:val="0"/>
        <w:pBdr>
          <w:top w:val="nil"/>
          <w:left w:val="nil"/>
          <w:bottom w:val="nil"/>
          <w:right w:val="nil"/>
          <w:between w:val="nil"/>
        </w:pBdr>
        <w:spacing w:line="360" w:lineRule="auto"/>
        <w:ind w:right="257"/>
        <w:rPr>
          <w:rFonts w:ascii="Calibri" w:eastAsia="Calibri" w:hAnsi="Calibri" w:cs="Calibri"/>
          <w:color w:val="000000"/>
          <w:lang w:val="pt-BR"/>
        </w:rPr>
      </w:pPr>
      <w:r w:rsidRPr="007C4E68">
        <w:rPr>
          <w:rFonts w:ascii="Calibri" w:eastAsia="Calibri" w:hAnsi="Calibri" w:cs="Calibri"/>
          <w:color w:val="000000"/>
          <w:vertAlign w:val="superscript"/>
          <w:lang w:val="pt-BR"/>
        </w:rPr>
        <w:t xml:space="preserve">1 </w:t>
      </w:r>
      <w:r w:rsidR="007C4E68" w:rsidRPr="007C4E68">
        <w:rPr>
          <w:rFonts w:ascii="Calibri" w:eastAsia="Calibri" w:hAnsi="Calibri" w:cs="Calibri"/>
          <w:color w:val="000000"/>
          <w:lang w:val="pt-BR"/>
        </w:rPr>
        <w:t xml:space="preserve">General </w:t>
      </w:r>
      <w:proofErr w:type="spellStart"/>
      <w:r w:rsidR="007C4E68" w:rsidRPr="007C4E68">
        <w:rPr>
          <w:rFonts w:ascii="Calibri" w:eastAsia="Calibri" w:hAnsi="Calibri" w:cs="Calibri"/>
          <w:color w:val="000000"/>
          <w:lang w:val="pt-BR"/>
        </w:rPr>
        <w:t>Surgery</w:t>
      </w:r>
      <w:proofErr w:type="spellEnd"/>
      <w:r w:rsidR="007C4E68" w:rsidRPr="007C4E68">
        <w:rPr>
          <w:rFonts w:ascii="Calibri" w:eastAsia="Calibri" w:hAnsi="Calibri" w:cs="Calibri"/>
          <w:color w:val="000000"/>
          <w:lang w:val="pt-BR"/>
        </w:rPr>
        <w:t xml:space="preserve"> </w:t>
      </w:r>
      <w:proofErr w:type="spellStart"/>
      <w:r w:rsidR="007C4E68" w:rsidRPr="007C4E68">
        <w:rPr>
          <w:rFonts w:ascii="Calibri" w:eastAsia="Calibri" w:hAnsi="Calibri" w:cs="Calibri"/>
          <w:color w:val="000000"/>
          <w:lang w:val="pt-BR"/>
        </w:rPr>
        <w:t>Department</w:t>
      </w:r>
      <w:proofErr w:type="spellEnd"/>
      <w:r w:rsidR="007C4E68" w:rsidRPr="007C4E68">
        <w:rPr>
          <w:rFonts w:ascii="Calibri" w:eastAsia="Calibri" w:hAnsi="Calibri" w:cs="Calibri"/>
          <w:color w:val="000000"/>
          <w:lang w:val="pt-BR"/>
        </w:rPr>
        <w:t xml:space="preserve">, </w:t>
      </w:r>
      <w:r w:rsidR="0025068A">
        <w:rPr>
          <w:rFonts w:ascii="Calibri" w:eastAsia="Calibri" w:hAnsi="Calibri" w:cs="Calibri"/>
          <w:color w:val="000000"/>
          <w:lang w:val="pt-BR"/>
        </w:rPr>
        <w:t>ULS Arco Ribeirinho</w:t>
      </w:r>
      <w:r w:rsidR="007C4E68" w:rsidRPr="007C4E68">
        <w:rPr>
          <w:rFonts w:ascii="Calibri" w:eastAsia="Calibri" w:hAnsi="Calibri" w:cs="Calibri"/>
          <w:color w:val="000000"/>
          <w:lang w:val="pt-BR"/>
        </w:rPr>
        <w:t>, Barreiro, Portugal.</w:t>
      </w:r>
    </w:p>
    <w:p w14:paraId="2E32C165" w14:textId="4F431486" w:rsidR="00A978EF" w:rsidRPr="007C4E68" w:rsidRDefault="007C4E68" w:rsidP="00606994">
      <w:pPr>
        <w:widowControl w:val="0"/>
        <w:pBdr>
          <w:top w:val="nil"/>
          <w:left w:val="nil"/>
          <w:bottom w:val="nil"/>
          <w:right w:val="nil"/>
          <w:between w:val="nil"/>
        </w:pBdr>
        <w:spacing w:line="360" w:lineRule="auto"/>
        <w:rPr>
          <w:rFonts w:ascii="Calibri" w:eastAsia="Calibri" w:hAnsi="Calibri" w:cs="Calibri"/>
          <w:color w:val="000000"/>
          <w:lang w:val="pt-BR"/>
        </w:rPr>
      </w:pPr>
      <w:r w:rsidRPr="007C4E68">
        <w:rPr>
          <w:rFonts w:ascii="Calibri" w:eastAsia="Calibri" w:hAnsi="Calibri" w:cs="Calibri"/>
          <w:color w:val="000000"/>
          <w:vertAlign w:val="superscript"/>
          <w:lang w:val="pt-BR"/>
        </w:rPr>
        <w:t xml:space="preserve">2 </w:t>
      </w:r>
      <w:r w:rsidRPr="007C4E68">
        <w:rPr>
          <w:rFonts w:ascii="Calibri" w:eastAsia="Calibri" w:hAnsi="Calibri" w:cs="Calibri"/>
          <w:color w:val="000000"/>
          <w:lang w:val="pt-BR"/>
        </w:rPr>
        <w:t>He</w:t>
      </w:r>
      <w:r w:rsidR="00C707B3" w:rsidRPr="007C4E68">
        <w:rPr>
          <w:rFonts w:ascii="Calibri" w:eastAsia="Calibri" w:hAnsi="Calibri" w:cs="Calibri"/>
          <w:color w:val="000000"/>
          <w:lang w:val="pt-BR"/>
        </w:rPr>
        <w:t xml:space="preserve">ad </w:t>
      </w:r>
      <w:proofErr w:type="spellStart"/>
      <w:r w:rsidR="00C707B3" w:rsidRPr="007C4E68">
        <w:rPr>
          <w:rFonts w:ascii="Calibri" w:eastAsia="Calibri" w:hAnsi="Calibri" w:cs="Calibri"/>
          <w:color w:val="000000"/>
          <w:lang w:val="pt-BR"/>
        </w:rPr>
        <w:t>and</w:t>
      </w:r>
      <w:proofErr w:type="spellEnd"/>
      <w:r w:rsidR="00C707B3" w:rsidRPr="007C4E68">
        <w:rPr>
          <w:rFonts w:ascii="Calibri" w:eastAsia="Calibri" w:hAnsi="Calibri" w:cs="Calibri"/>
          <w:color w:val="000000"/>
          <w:lang w:val="pt-BR"/>
        </w:rPr>
        <w:t xml:space="preserve"> </w:t>
      </w:r>
      <w:proofErr w:type="spellStart"/>
      <w:r w:rsidR="00C707B3" w:rsidRPr="007C4E68">
        <w:rPr>
          <w:rFonts w:ascii="Calibri" w:eastAsia="Calibri" w:hAnsi="Calibri" w:cs="Calibri"/>
          <w:color w:val="000000"/>
          <w:lang w:val="pt-BR"/>
        </w:rPr>
        <w:t>Neck</w:t>
      </w:r>
      <w:proofErr w:type="spellEnd"/>
      <w:r w:rsidR="00C707B3" w:rsidRPr="007C4E68">
        <w:rPr>
          <w:rFonts w:ascii="Calibri" w:eastAsia="Calibri" w:hAnsi="Calibri" w:cs="Calibri"/>
          <w:color w:val="000000"/>
          <w:lang w:val="pt-BR"/>
        </w:rPr>
        <w:t xml:space="preserve"> </w:t>
      </w:r>
      <w:proofErr w:type="spellStart"/>
      <w:r w:rsidR="00C707B3" w:rsidRPr="007C4E68">
        <w:rPr>
          <w:rFonts w:ascii="Calibri" w:eastAsia="Calibri" w:hAnsi="Calibri" w:cs="Calibri"/>
          <w:color w:val="000000"/>
          <w:lang w:val="pt-BR"/>
        </w:rPr>
        <w:t>Surgery</w:t>
      </w:r>
      <w:proofErr w:type="spellEnd"/>
      <w:r w:rsidR="00C707B3" w:rsidRPr="007C4E68">
        <w:rPr>
          <w:rFonts w:ascii="Calibri" w:eastAsia="Calibri" w:hAnsi="Calibri" w:cs="Calibri"/>
          <w:color w:val="000000"/>
          <w:lang w:val="pt-BR"/>
        </w:rPr>
        <w:t xml:space="preserve"> </w:t>
      </w:r>
      <w:proofErr w:type="spellStart"/>
      <w:r w:rsidR="00C707B3" w:rsidRPr="007C4E68">
        <w:rPr>
          <w:rFonts w:ascii="Calibri" w:eastAsia="Calibri" w:hAnsi="Calibri" w:cs="Calibri"/>
          <w:color w:val="000000"/>
          <w:lang w:val="pt-BR"/>
        </w:rPr>
        <w:t>Department</w:t>
      </w:r>
      <w:proofErr w:type="spellEnd"/>
      <w:r w:rsidR="00C707B3" w:rsidRPr="007C4E68">
        <w:rPr>
          <w:rFonts w:ascii="Calibri" w:eastAsia="Calibri" w:hAnsi="Calibri" w:cs="Calibri"/>
          <w:color w:val="000000"/>
          <w:lang w:val="pt-BR"/>
        </w:rPr>
        <w:t>, Instituto Português de Oncologia de Lisboa Francisco Gentil, Lisboa, Portugal.</w:t>
      </w:r>
    </w:p>
    <w:p w14:paraId="56FF1F9D" w14:textId="25C1EE18" w:rsidR="00A978EF" w:rsidRPr="007C4E68" w:rsidRDefault="00C707B3" w:rsidP="00606994">
      <w:pPr>
        <w:widowControl w:val="0"/>
        <w:pBdr>
          <w:top w:val="nil"/>
          <w:left w:val="nil"/>
          <w:bottom w:val="nil"/>
          <w:right w:val="nil"/>
          <w:between w:val="nil"/>
        </w:pBdr>
        <w:spacing w:line="360" w:lineRule="auto"/>
        <w:rPr>
          <w:rFonts w:ascii="Calibri" w:eastAsia="Calibri" w:hAnsi="Calibri" w:cs="Calibri"/>
          <w:color w:val="000000"/>
          <w:lang w:val="pt-BR"/>
        </w:rPr>
      </w:pPr>
      <w:r w:rsidRPr="007C4E68">
        <w:rPr>
          <w:rFonts w:ascii="Calibri" w:eastAsia="Calibri" w:hAnsi="Calibri" w:cs="Calibri"/>
          <w:color w:val="000000"/>
          <w:vertAlign w:val="superscript"/>
          <w:lang w:val="pt-BR"/>
        </w:rPr>
        <w:t xml:space="preserve">3 </w:t>
      </w:r>
      <w:proofErr w:type="spellStart"/>
      <w:r w:rsidRPr="007C4E68">
        <w:rPr>
          <w:rFonts w:ascii="Calibri" w:eastAsia="Calibri" w:hAnsi="Calibri" w:cs="Calibri"/>
          <w:color w:val="000000"/>
          <w:lang w:val="pt-BR"/>
        </w:rPr>
        <w:t>Pathologic</w:t>
      </w:r>
      <w:r w:rsidR="00C42349">
        <w:rPr>
          <w:rFonts w:ascii="Calibri" w:eastAsia="Calibri" w:hAnsi="Calibri" w:cs="Calibri"/>
          <w:color w:val="000000"/>
          <w:lang w:val="pt-BR"/>
        </w:rPr>
        <w:t>al</w:t>
      </w:r>
      <w:proofErr w:type="spellEnd"/>
      <w:r w:rsidRPr="007C4E68">
        <w:rPr>
          <w:rFonts w:ascii="Calibri" w:eastAsia="Calibri" w:hAnsi="Calibri" w:cs="Calibri"/>
          <w:color w:val="000000"/>
          <w:lang w:val="pt-BR"/>
        </w:rPr>
        <w:t xml:space="preserve"> </w:t>
      </w:r>
      <w:proofErr w:type="spellStart"/>
      <w:r w:rsidRPr="007C4E68">
        <w:rPr>
          <w:rFonts w:ascii="Calibri" w:eastAsia="Calibri" w:hAnsi="Calibri" w:cs="Calibri"/>
          <w:color w:val="000000"/>
          <w:lang w:val="pt-BR"/>
        </w:rPr>
        <w:t>Anatomy</w:t>
      </w:r>
      <w:proofErr w:type="spellEnd"/>
      <w:r w:rsidRPr="007C4E68">
        <w:rPr>
          <w:rFonts w:ascii="Calibri" w:eastAsia="Calibri" w:hAnsi="Calibri" w:cs="Calibri"/>
          <w:color w:val="000000"/>
          <w:lang w:val="pt-BR"/>
        </w:rPr>
        <w:t xml:space="preserve"> </w:t>
      </w:r>
      <w:proofErr w:type="spellStart"/>
      <w:r w:rsidRPr="007C4E68">
        <w:rPr>
          <w:rFonts w:ascii="Calibri" w:eastAsia="Calibri" w:hAnsi="Calibri" w:cs="Calibri"/>
          <w:color w:val="000000"/>
          <w:lang w:val="pt-BR"/>
        </w:rPr>
        <w:t>Department</w:t>
      </w:r>
      <w:proofErr w:type="spellEnd"/>
      <w:r w:rsidRPr="007C4E68">
        <w:rPr>
          <w:rFonts w:ascii="Calibri" w:eastAsia="Calibri" w:hAnsi="Calibri" w:cs="Calibri"/>
          <w:color w:val="000000"/>
          <w:lang w:val="pt-BR"/>
        </w:rPr>
        <w:t>, Instituto Português de Oncologia de Lisboa Francisco Gentil, Lisboa, Portugal.</w:t>
      </w:r>
    </w:p>
    <w:p w14:paraId="29F0F65B" w14:textId="77777777" w:rsidR="00A978EF" w:rsidRPr="007C4E68" w:rsidRDefault="00A978EF" w:rsidP="00606994">
      <w:pPr>
        <w:widowControl w:val="0"/>
        <w:pBdr>
          <w:top w:val="nil"/>
          <w:left w:val="nil"/>
          <w:bottom w:val="nil"/>
          <w:right w:val="nil"/>
          <w:between w:val="nil"/>
        </w:pBdr>
        <w:spacing w:line="360" w:lineRule="auto"/>
        <w:rPr>
          <w:rFonts w:ascii="Calibri" w:eastAsia="Calibri" w:hAnsi="Calibri" w:cs="Calibri"/>
          <w:color w:val="000000"/>
          <w:lang w:val="pt-BR"/>
        </w:rPr>
      </w:pPr>
    </w:p>
    <w:p w14:paraId="1C27C193" w14:textId="77777777" w:rsidR="00A978EF" w:rsidRPr="0025068A" w:rsidRDefault="00C707B3" w:rsidP="00606994">
      <w:pPr>
        <w:widowControl w:val="0"/>
        <w:pBdr>
          <w:top w:val="nil"/>
          <w:left w:val="nil"/>
          <w:bottom w:val="nil"/>
          <w:right w:val="nil"/>
          <w:between w:val="nil"/>
        </w:pBdr>
        <w:spacing w:line="360" w:lineRule="auto"/>
        <w:rPr>
          <w:rFonts w:ascii="Calibri" w:eastAsia="Calibri" w:hAnsi="Calibri" w:cs="Calibri"/>
          <w:color w:val="000000"/>
          <w:lang w:val="pt-BR"/>
        </w:rPr>
      </w:pPr>
      <w:r w:rsidRPr="0025068A">
        <w:rPr>
          <w:rFonts w:ascii="Calibri" w:eastAsia="Calibri" w:hAnsi="Calibri" w:cs="Calibri"/>
          <w:color w:val="000000"/>
          <w:lang w:val="pt-BR"/>
        </w:rPr>
        <w:t xml:space="preserve">* </w:t>
      </w:r>
      <w:proofErr w:type="spellStart"/>
      <w:r w:rsidRPr="0025068A">
        <w:rPr>
          <w:rFonts w:ascii="Calibri" w:eastAsia="Calibri" w:hAnsi="Calibri" w:cs="Calibri"/>
          <w:color w:val="000000"/>
          <w:lang w:val="pt-BR"/>
        </w:rPr>
        <w:t>Corresponding</w:t>
      </w:r>
      <w:proofErr w:type="spellEnd"/>
      <w:r w:rsidRPr="0025068A">
        <w:rPr>
          <w:rFonts w:ascii="Calibri" w:eastAsia="Calibri" w:hAnsi="Calibri" w:cs="Calibri"/>
          <w:color w:val="000000"/>
          <w:lang w:val="pt-BR"/>
        </w:rPr>
        <w:t xml:space="preserve"> </w:t>
      </w:r>
      <w:proofErr w:type="spellStart"/>
      <w:r w:rsidRPr="0025068A">
        <w:rPr>
          <w:rFonts w:ascii="Calibri" w:eastAsia="Calibri" w:hAnsi="Calibri" w:cs="Calibri"/>
          <w:color w:val="000000"/>
          <w:lang w:val="pt-BR"/>
        </w:rPr>
        <w:t>author</w:t>
      </w:r>
      <w:proofErr w:type="spellEnd"/>
      <w:r w:rsidRPr="0025068A">
        <w:rPr>
          <w:rFonts w:ascii="Calibri" w:eastAsia="Calibri" w:hAnsi="Calibri" w:cs="Calibri"/>
          <w:color w:val="000000"/>
          <w:lang w:val="pt-BR"/>
        </w:rPr>
        <w:t>:</w:t>
      </w:r>
    </w:p>
    <w:p w14:paraId="2E21FE80" w14:textId="692D33F6" w:rsidR="007C4E68" w:rsidRPr="007C4E68" w:rsidRDefault="007C4E68" w:rsidP="00606994">
      <w:pPr>
        <w:widowControl w:val="0"/>
        <w:pBdr>
          <w:top w:val="nil"/>
          <w:left w:val="nil"/>
          <w:bottom w:val="nil"/>
          <w:right w:val="nil"/>
          <w:between w:val="nil"/>
        </w:pBdr>
        <w:spacing w:line="360" w:lineRule="auto"/>
        <w:rPr>
          <w:rFonts w:ascii="Calibri" w:eastAsia="Calibri" w:hAnsi="Calibri" w:cs="Calibri"/>
          <w:color w:val="000000"/>
          <w:lang w:val="pt-BR"/>
        </w:rPr>
      </w:pPr>
      <w:r w:rsidRPr="007C4E68">
        <w:rPr>
          <w:rFonts w:ascii="Calibri" w:eastAsia="Calibri" w:hAnsi="Calibri" w:cs="Calibri"/>
          <w:color w:val="000000"/>
          <w:lang w:val="pt-BR"/>
        </w:rPr>
        <w:t xml:space="preserve">Henrique Messias, MD </w:t>
      </w:r>
      <w:proofErr w:type="spellStart"/>
      <w:r w:rsidRPr="007C4E68">
        <w:rPr>
          <w:rFonts w:ascii="Calibri" w:eastAsia="Calibri" w:hAnsi="Calibri" w:cs="Calibri"/>
          <w:color w:val="000000"/>
          <w:lang w:val="pt-BR"/>
        </w:rPr>
        <w:t>MSc</w:t>
      </w:r>
      <w:proofErr w:type="spellEnd"/>
    </w:p>
    <w:p w14:paraId="145D6A6B" w14:textId="4B5B607B" w:rsidR="00A978EF" w:rsidRPr="007C4E68" w:rsidRDefault="00C707B3" w:rsidP="00606994">
      <w:pPr>
        <w:widowControl w:val="0"/>
        <w:pBdr>
          <w:top w:val="nil"/>
          <w:left w:val="nil"/>
          <w:bottom w:val="nil"/>
          <w:right w:val="nil"/>
          <w:between w:val="nil"/>
        </w:pBdr>
        <w:spacing w:line="360" w:lineRule="auto"/>
        <w:rPr>
          <w:rFonts w:ascii="Calibri" w:eastAsia="Calibri" w:hAnsi="Calibri" w:cs="Calibri"/>
          <w:color w:val="000000"/>
          <w:lang w:val="pt-BR"/>
        </w:rPr>
      </w:pPr>
      <w:r w:rsidRPr="007C4E68">
        <w:rPr>
          <w:rFonts w:ascii="Calibri" w:eastAsia="Calibri" w:hAnsi="Calibri" w:cs="Calibri"/>
          <w:color w:val="000000"/>
          <w:lang w:val="pt-BR"/>
        </w:rPr>
        <w:t>E-mail:</w:t>
      </w:r>
      <w:r w:rsidR="007C4E68" w:rsidRPr="007C4E68">
        <w:rPr>
          <w:rFonts w:ascii="Calibri" w:eastAsia="Calibri" w:hAnsi="Calibri" w:cs="Calibri"/>
          <w:color w:val="000000"/>
          <w:lang w:val="pt-BR"/>
        </w:rPr>
        <w:t xml:space="preserve"> v1hmessi@ed.ac.uk</w:t>
      </w:r>
    </w:p>
    <w:p w14:paraId="1325784E" w14:textId="77777777" w:rsidR="007C4E68" w:rsidRDefault="00C707B3" w:rsidP="00606994">
      <w:pPr>
        <w:widowControl w:val="0"/>
        <w:pBdr>
          <w:top w:val="nil"/>
          <w:left w:val="nil"/>
          <w:bottom w:val="nil"/>
          <w:right w:val="nil"/>
          <w:between w:val="nil"/>
        </w:pBdr>
        <w:spacing w:line="360" w:lineRule="auto"/>
        <w:ind w:right="257"/>
        <w:rPr>
          <w:rFonts w:ascii="Calibri" w:eastAsia="Calibri" w:hAnsi="Calibri" w:cs="Calibri"/>
          <w:color w:val="000000"/>
          <w:lang w:val="pt-BR"/>
        </w:rPr>
      </w:pPr>
      <w:r w:rsidRPr="007C4E68">
        <w:rPr>
          <w:rFonts w:ascii="Calibri" w:eastAsia="Calibri" w:hAnsi="Calibri" w:cs="Calibri"/>
          <w:color w:val="000000"/>
          <w:lang w:val="pt-BR"/>
        </w:rPr>
        <w:t xml:space="preserve">Head </w:t>
      </w:r>
      <w:proofErr w:type="spellStart"/>
      <w:r w:rsidRPr="007C4E68">
        <w:rPr>
          <w:rFonts w:ascii="Calibri" w:eastAsia="Calibri" w:hAnsi="Calibri" w:cs="Calibri"/>
          <w:color w:val="000000"/>
          <w:lang w:val="pt-BR"/>
        </w:rPr>
        <w:t>and</w:t>
      </w:r>
      <w:proofErr w:type="spellEnd"/>
      <w:r w:rsidRPr="007C4E68">
        <w:rPr>
          <w:rFonts w:ascii="Calibri" w:eastAsia="Calibri" w:hAnsi="Calibri" w:cs="Calibri"/>
          <w:color w:val="000000"/>
          <w:lang w:val="pt-BR"/>
        </w:rPr>
        <w:t xml:space="preserve"> </w:t>
      </w:r>
      <w:proofErr w:type="spellStart"/>
      <w:r w:rsidRPr="007C4E68">
        <w:rPr>
          <w:rFonts w:ascii="Calibri" w:eastAsia="Calibri" w:hAnsi="Calibri" w:cs="Calibri"/>
          <w:color w:val="000000"/>
          <w:lang w:val="pt-BR"/>
        </w:rPr>
        <w:t>Neck</w:t>
      </w:r>
      <w:proofErr w:type="spellEnd"/>
      <w:r w:rsidRPr="007C4E68">
        <w:rPr>
          <w:rFonts w:ascii="Calibri" w:eastAsia="Calibri" w:hAnsi="Calibri" w:cs="Calibri"/>
          <w:color w:val="000000"/>
          <w:lang w:val="pt-BR"/>
        </w:rPr>
        <w:t xml:space="preserve"> </w:t>
      </w:r>
      <w:proofErr w:type="spellStart"/>
      <w:r w:rsidRPr="007C4E68">
        <w:rPr>
          <w:rFonts w:ascii="Calibri" w:eastAsia="Calibri" w:hAnsi="Calibri" w:cs="Calibri"/>
          <w:color w:val="000000"/>
          <w:lang w:val="pt-BR"/>
        </w:rPr>
        <w:t>Surgery</w:t>
      </w:r>
      <w:proofErr w:type="spellEnd"/>
      <w:r w:rsidRPr="007C4E68">
        <w:rPr>
          <w:rFonts w:ascii="Calibri" w:eastAsia="Calibri" w:hAnsi="Calibri" w:cs="Calibri"/>
          <w:color w:val="000000"/>
          <w:lang w:val="pt-BR"/>
        </w:rPr>
        <w:t xml:space="preserve">, Instituto Português de Oncologia de Lisboa Francisco Gentil, </w:t>
      </w:r>
    </w:p>
    <w:p w14:paraId="5EC84D8E" w14:textId="5AC6AE9C" w:rsidR="00A978EF" w:rsidRPr="007C4E68" w:rsidRDefault="00C707B3" w:rsidP="00606994">
      <w:pPr>
        <w:widowControl w:val="0"/>
        <w:pBdr>
          <w:top w:val="nil"/>
          <w:left w:val="nil"/>
          <w:bottom w:val="nil"/>
          <w:right w:val="nil"/>
          <w:between w:val="nil"/>
        </w:pBdr>
        <w:spacing w:line="360" w:lineRule="auto"/>
        <w:ind w:right="257"/>
        <w:rPr>
          <w:rFonts w:ascii="Calibri" w:eastAsia="Calibri" w:hAnsi="Calibri" w:cs="Calibri"/>
          <w:color w:val="000000"/>
          <w:lang w:val="pt-BR"/>
        </w:rPr>
      </w:pPr>
      <w:r w:rsidRPr="007C4E68">
        <w:rPr>
          <w:rFonts w:ascii="Calibri" w:eastAsia="Calibri" w:hAnsi="Calibri" w:cs="Calibri"/>
          <w:color w:val="000000"/>
          <w:lang w:val="pt-BR"/>
        </w:rPr>
        <w:t>Rua Professor Lima Basto, 1099-023 Lisboa, Portugal.</w:t>
      </w:r>
    </w:p>
    <w:p w14:paraId="4FA29F5C" w14:textId="77777777" w:rsidR="007C4E68" w:rsidRPr="0025068A" w:rsidRDefault="007C4E68" w:rsidP="007C4E68">
      <w:pPr>
        <w:pStyle w:val="Ttulo1"/>
        <w:spacing w:line="360" w:lineRule="auto"/>
        <w:ind w:firstLine="100"/>
        <w:rPr>
          <w:sz w:val="24"/>
          <w:szCs w:val="24"/>
          <w:lang w:val="pt-BR"/>
        </w:rPr>
      </w:pPr>
    </w:p>
    <w:p w14:paraId="1BC2FEDB" w14:textId="51F3FCA6" w:rsidR="0096768C" w:rsidRDefault="0096768C" w:rsidP="00606994">
      <w:pPr>
        <w:pStyle w:val="Ttulo1"/>
        <w:spacing w:line="360" w:lineRule="auto"/>
        <w:ind w:left="0"/>
        <w:rPr>
          <w:sz w:val="24"/>
          <w:szCs w:val="24"/>
        </w:rPr>
      </w:pPr>
      <w:r>
        <w:rPr>
          <w:sz w:val="24"/>
          <w:szCs w:val="24"/>
        </w:rPr>
        <w:t>Author Contribution Statement</w:t>
      </w:r>
    </w:p>
    <w:p w14:paraId="18304EC3" w14:textId="20867AA1" w:rsidR="0096768C" w:rsidRDefault="0096768C" w:rsidP="00606994">
      <w:pPr>
        <w:widowControl w:val="0"/>
        <w:pBdr>
          <w:top w:val="nil"/>
          <w:left w:val="nil"/>
          <w:bottom w:val="nil"/>
          <w:right w:val="nil"/>
          <w:between w:val="nil"/>
        </w:pBdr>
        <w:spacing w:line="360" w:lineRule="auto"/>
        <w:jc w:val="both"/>
        <w:rPr>
          <w:rFonts w:ascii="Calibri" w:eastAsia="Calibri" w:hAnsi="Calibri" w:cs="Calibri"/>
          <w:color w:val="000000"/>
        </w:rPr>
      </w:pPr>
      <w:proofErr w:type="spellStart"/>
      <w:r w:rsidRPr="0096768C">
        <w:rPr>
          <w:rFonts w:ascii="Calibri" w:eastAsia="Calibri" w:hAnsi="Calibri" w:cs="Calibri"/>
          <w:b/>
          <w:bCs/>
          <w:color w:val="000000"/>
        </w:rPr>
        <w:t>Patrícia</w:t>
      </w:r>
      <w:proofErr w:type="spellEnd"/>
      <w:r w:rsidRPr="0096768C">
        <w:rPr>
          <w:rFonts w:ascii="Calibri" w:eastAsia="Calibri" w:hAnsi="Calibri" w:cs="Calibri"/>
          <w:b/>
          <w:bCs/>
          <w:color w:val="000000"/>
        </w:rPr>
        <w:t xml:space="preserve"> Bernardo:</w:t>
      </w:r>
      <w:r>
        <w:rPr>
          <w:rFonts w:ascii="Calibri" w:eastAsia="Calibri" w:hAnsi="Calibri" w:cs="Calibri"/>
          <w:color w:val="000000"/>
        </w:rPr>
        <w:t xml:space="preserve"> </w:t>
      </w:r>
      <w:r w:rsidRPr="0096768C">
        <w:rPr>
          <w:rFonts w:ascii="Calibri" w:eastAsia="Calibri" w:hAnsi="Calibri" w:cs="Calibri"/>
          <w:color w:val="000000"/>
        </w:rPr>
        <w:t>Conceptualization</w:t>
      </w:r>
      <w:r w:rsidRPr="0096768C">
        <w:rPr>
          <w:rFonts w:ascii="Calibri" w:eastAsia="Calibri" w:hAnsi="Calibri" w:cs="Calibri"/>
          <w:color w:val="000000"/>
        </w:rPr>
        <w:t>, D</w:t>
      </w:r>
      <w:r w:rsidRPr="0096768C">
        <w:rPr>
          <w:rFonts w:ascii="Calibri" w:eastAsia="Calibri" w:hAnsi="Calibri" w:cs="Calibri"/>
          <w:color w:val="000000"/>
        </w:rPr>
        <w:t>ata curation</w:t>
      </w:r>
      <w:r w:rsidRPr="0096768C">
        <w:rPr>
          <w:rFonts w:ascii="Calibri" w:eastAsia="Calibri" w:hAnsi="Calibri" w:cs="Calibri"/>
          <w:color w:val="000000"/>
        </w:rPr>
        <w:t xml:space="preserve">, </w:t>
      </w:r>
      <w:r w:rsidRPr="0096768C">
        <w:rPr>
          <w:rFonts w:ascii="Calibri" w:eastAsia="Calibri" w:hAnsi="Calibri" w:cs="Calibri"/>
          <w:color w:val="000000"/>
        </w:rPr>
        <w:t>Formal analysis</w:t>
      </w:r>
      <w:r>
        <w:rPr>
          <w:rFonts w:ascii="Calibri" w:eastAsia="Calibri" w:hAnsi="Calibri" w:cs="Calibri"/>
          <w:color w:val="000000"/>
        </w:rPr>
        <w:t xml:space="preserve">, </w:t>
      </w:r>
      <w:r w:rsidRPr="0096768C">
        <w:rPr>
          <w:rFonts w:ascii="Calibri" w:eastAsia="Calibri" w:hAnsi="Calibri" w:cs="Calibri"/>
          <w:color w:val="000000"/>
        </w:rPr>
        <w:t>Investigation</w:t>
      </w:r>
      <w:r>
        <w:rPr>
          <w:rFonts w:ascii="Calibri" w:eastAsia="Calibri" w:hAnsi="Calibri" w:cs="Calibri"/>
          <w:color w:val="000000"/>
        </w:rPr>
        <w:t xml:space="preserve">, </w:t>
      </w:r>
      <w:r w:rsidRPr="0096768C">
        <w:rPr>
          <w:rFonts w:ascii="Calibri" w:eastAsia="Calibri" w:hAnsi="Calibri" w:cs="Calibri"/>
          <w:color w:val="000000"/>
        </w:rPr>
        <w:t>Methodology</w:t>
      </w:r>
      <w:r>
        <w:rPr>
          <w:rFonts w:ascii="Calibri" w:eastAsia="Calibri" w:hAnsi="Calibri" w:cs="Calibri"/>
          <w:color w:val="000000"/>
        </w:rPr>
        <w:t xml:space="preserve">, </w:t>
      </w:r>
      <w:r w:rsidRPr="0096768C">
        <w:rPr>
          <w:rFonts w:ascii="Calibri" w:eastAsia="Calibri" w:hAnsi="Calibri" w:cs="Calibri"/>
          <w:color w:val="000000"/>
        </w:rPr>
        <w:t>Project administration</w:t>
      </w:r>
      <w:r>
        <w:rPr>
          <w:rFonts w:ascii="Calibri" w:eastAsia="Calibri" w:hAnsi="Calibri" w:cs="Calibri"/>
          <w:color w:val="000000"/>
        </w:rPr>
        <w:t xml:space="preserve">, </w:t>
      </w:r>
      <w:r w:rsidRPr="0096768C">
        <w:rPr>
          <w:rFonts w:ascii="Calibri" w:eastAsia="Calibri" w:hAnsi="Calibri" w:cs="Calibri"/>
          <w:color w:val="000000"/>
        </w:rPr>
        <w:t>Validation</w:t>
      </w:r>
      <w:r>
        <w:rPr>
          <w:rFonts w:ascii="Calibri" w:eastAsia="Calibri" w:hAnsi="Calibri" w:cs="Calibri"/>
          <w:color w:val="000000"/>
        </w:rPr>
        <w:t xml:space="preserve">, </w:t>
      </w:r>
      <w:r w:rsidRPr="0096768C">
        <w:rPr>
          <w:rFonts w:ascii="Calibri" w:eastAsia="Calibri" w:hAnsi="Calibri" w:cs="Calibri"/>
          <w:color w:val="000000"/>
        </w:rPr>
        <w:t>Writing – original draft</w:t>
      </w:r>
      <w:r>
        <w:rPr>
          <w:rFonts w:ascii="Calibri" w:eastAsia="Calibri" w:hAnsi="Calibri" w:cs="Calibri"/>
          <w:color w:val="000000"/>
        </w:rPr>
        <w:t xml:space="preserve">, </w:t>
      </w:r>
      <w:r w:rsidRPr="0096768C">
        <w:rPr>
          <w:rFonts w:ascii="Calibri" w:eastAsia="Calibri" w:hAnsi="Calibri" w:cs="Calibri"/>
          <w:color w:val="000000"/>
        </w:rPr>
        <w:t>Writing – review &amp; editing</w:t>
      </w:r>
      <w:r w:rsidRPr="0096768C">
        <w:rPr>
          <w:rFonts w:ascii="Calibri" w:eastAsia="Calibri" w:hAnsi="Calibri" w:cs="Calibri"/>
          <w:color w:val="000000"/>
        </w:rPr>
        <w:t>)</w:t>
      </w:r>
      <w:r>
        <w:rPr>
          <w:rFonts w:ascii="Calibri" w:eastAsia="Calibri" w:hAnsi="Calibri" w:cs="Calibri"/>
          <w:color w:val="000000"/>
        </w:rPr>
        <w:t xml:space="preserve">; </w:t>
      </w:r>
      <w:r w:rsidRPr="0096768C">
        <w:rPr>
          <w:rFonts w:ascii="Calibri" w:eastAsia="Calibri" w:hAnsi="Calibri" w:cs="Calibri"/>
          <w:b/>
          <w:bCs/>
          <w:color w:val="000000"/>
        </w:rPr>
        <w:t xml:space="preserve">Henrique </w:t>
      </w:r>
      <w:proofErr w:type="spellStart"/>
      <w:r w:rsidRPr="0096768C">
        <w:rPr>
          <w:rFonts w:ascii="Calibri" w:eastAsia="Calibri" w:hAnsi="Calibri" w:cs="Calibri"/>
          <w:b/>
          <w:bCs/>
          <w:color w:val="000000"/>
        </w:rPr>
        <w:t>Messias</w:t>
      </w:r>
      <w:proofErr w:type="spellEnd"/>
      <w:r w:rsidRPr="0096768C">
        <w:rPr>
          <w:rFonts w:ascii="Calibri" w:eastAsia="Calibri" w:hAnsi="Calibri" w:cs="Calibri"/>
          <w:b/>
          <w:bCs/>
          <w:color w:val="000000"/>
        </w:rPr>
        <w:t>:</w:t>
      </w:r>
      <w:r>
        <w:rPr>
          <w:rFonts w:ascii="Calibri" w:eastAsia="Calibri" w:hAnsi="Calibri" w:cs="Calibri"/>
          <w:color w:val="000000"/>
        </w:rPr>
        <w:t xml:space="preserve"> </w:t>
      </w:r>
      <w:r w:rsidRPr="0096768C">
        <w:rPr>
          <w:rFonts w:ascii="Calibri" w:eastAsia="Calibri" w:hAnsi="Calibri" w:cs="Calibri"/>
          <w:color w:val="000000"/>
        </w:rPr>
        <w:t>Funding acquisition</w:t>
      </w:r>
      <w:r>
        <w:rPr>
          <w:rFonts w:ascii="Calibri" w:eastAsia="Calibri" w:hAnsi="Calibri" w:cs="Calibri"/>
          <w:color w:val="000000"/>
        </w:rPr>
        <w:t xml:space="preserve">, </w:t>
      </w:r>
      <w:r w:rsidRPr="0096768C">
        <w:rPr>
          <w:rFonts w:ascii="Calibri" w:eastAsia="Calibri" w:hAnsi="Calibri" w:cs="Calibri"/>
          <w:color w:val="000000"/>
        </w:rPr>
        <w:t>Methodology</w:t>
      </w:r>
      <w:r>
        <w:rPr>
          <w:rFonts w:ascii="Calibri" w:eastAsia="Calibri" w:hAnsi="Calibri" w:cs="Calibri"/>
          <w:color w:val="000000"/>
        </w:rPr>
        <w:t xml:space="preserve">, </w:t>
      </w:r>
      <w:r w:rsidRPr="0096768C">
        <w:rPr>
          <w:rFonts w:ascii="Calibri" w:eastAsia="Calibri" w:hAnsi="Calibri" w:cs="Calibri"/>
          <w:color w:val="000000"/>
        </w:rPr>
        <w:t>Supervision</w:t>
      </w:r>
      <w:r>
        <w:rPr>
          <w:rFonts w:ascii="Calibri" w:eastAsia="Calibri" w:hAnsi="Calibri" w:cs="Calibri"/>
          <w:color w:val="000000"/>
        </w:rPr>
        <w:t xml:space="preserve">, </w:t>
      </w:r>
      <w:r w:rsidRPr="0096768C">
        <w:rPr>
          <w:rFonts w:ascii="Calibri" w:eastAsia="Calibri" w:hAnsi="Calibri" w:cs="Calibri"/>
          <w:color w:val="000000"/>
        </w:rPr>
        <w:t>Validation</w:t>
      </w:r>
      <w:r>
        <w:rPr>
          <w:rFonts w:ascii="Calibri" w:eastAsia="Calibri" w:hAnsi="Calibri" w:cs="Calibri"/>
          <w:color w:val="000000"/>
        </w:rPr>
        <w:t xml:space="preserve">, </w:t>
      </w:r>
      <w:r w:rsidRPr="0096768C">
        <w:rPr>
          <w:rFonts w:ascii="Calibri" w:eastAsia="Calibri" w:hAnsi="Calibri" w:cs="Calibri"/>
          <w:color w:val="000000"/>
        </w:rPr>
        <w:t>Visualization</w:t>
      </w:r>
      <w:r>
        <w:rPr>
          <w:rFonts w:ascii="Calibri" w:eastAsia="Calibri" w:hAnsi="Calibri" w:cs="Calibri"/>
          <w:color w:val="000000"/>
        </w:rPr>
        <w:t xml:space="preserve">, </w:t>
      </w:r>
      <w:r w:rsidRPr="0096768C">
        <w:rPr>
          <w:rFonts w:ascii="Calibri" w:eastAsia="Calibri" w:hAnsi="Calibri" w:cs="Calibri"/>
          <w:color w:val="000000"/>
        </w:rPr>
        <w:t>Writing – original draft</w:t>
      </w:r>
      <w:r>
        <w:rPr>
          <w:rFonts w:ascii="Calibri" w:eastAsia="Calibri" w:hAnsi="Calibri" w:cs="Calibri"/>
          <w:color w:val="000000"/>
        </w:rPr>
        <w:t xml:space="preserve">, </w:t>
      </w:r>
      <w:r w:rsidRPr="0096768C">
        <w:rPr>
          <w:rFonts w:ascii="Calibri" w:eastAsia="Calibri" w:hAnsi="Calibri" w:cs="Calibri"/>
          <w:color w:val="000000"/>
        </w:rPr>
        <w:t>Writing – review &amp; editing</w:t>
      </w:r>
      <w:r>
        <w:rPr>
          <w:rFonts w:ascii="Calibri" w:eastAsia="Calibri" w:hAnsi="Calibri" w:cs="Calibri"/>
          <w:color w:val="000000"/>
        </w:rPr>
        <w:t xml:space="preserve">; </w:t>
      </w:r>
      <w:r w:rsidRPr="0096768C">
        <w:rPr>
          <w:rFonts w:ascii="Calibri" w:eastAsia="Calibri" w:hAnsi="Calibri" w:cs="Calibri"/>
          <w:b/>
          <w:bCs/>
          <w:color w:val="000000"/>
        </w:rPr>
        <w:t>Ricardo Nogueira:</w:t>
      </w:r>
      <w:r>
        <w:rPr>
          <w:rFonts w:ascii="Calibri" w:eastAsia="Calibri" w:hAnsi="Calibri" w:cs="Calibri"/>
          <w:color w:val="000000"/>
        </w:rPr>
        <w:t xml:space="preserve"> </w:t>
      </w:r>
      <w:r w:rsidRPr="0096768C">
        <w:rPr>
          <w:rFonts w:ascii="Calibri" w:eastAsia="Calibri" w:hAnsi="Calibri" w:cs="Calibri"/>
          <w:color w:val="000000"/>
        </w:rPr>
        <w:t>Conceptualization</w:t>
      </w:r>
      <w:r>
        <w:rPr>
          <w:rFonts w:ascii="Calibri" w:eastAsia="Calibri" w:hAnsi="Calibri" w:cs="Calibri"/>
          <w:color w:val="000000"/>
        </w:rPr>
        <w:t xml:space="preserve">, </w:t>
      </w:r>
      <w:r w:rsidRPr="0096768C">
        <w:rPr>
          <w:rFonts w:ascii="Calibri" w:eastAsia="Calibri" w:hAnsi="Calibri" w:cs="Calibri"/>
          <w:color w:val="000000"/>
        </w:rPr>
        <w:t>Methodology</w:t>
      </w:r>
      <w:r>
        <w:rPr>
          <w:rFonts w:ascii="Calibri" w:eastAsia="Calibri" w:hAnsi="Calibri" w:cs="Calibri"/>
          <w:color w:val="000000"/>
        </w:rPr>
        <w:t xml:space="preserve">, </w:t>
      </w:r>
      <w:r w:rsidRPr="0096768C">
        <w:rPr>
          <w:rFonts w:ascii="Calibri" w:eastAsia="Calibri" w:hAnsi="Calibri" w:cs="Calibri"/>
          <w:color w:val="000000"/>
        </w:rPr>
        <w:t>Project administration</w:t>
      </w:r>
      <w:r>
        <w:rPr>
          <w:rFonts w:ascii="Calibri" w:eastAsia="Calibri" w:hAnsi="Calibri" w:cs="Calibri"/>
          <w:color w:val="000000"/>
        </w:rPr>
        <w:t xml:space="preserve">, </w:t>
      </w:r>
      <w:r w:rsidRPr="0096768C">
        <w:rPr>
          <w:rFonts w:ascii="Calibri" w:eastAsia="Calibri" w:hAnsi="Calibri" w:cs="Calibri"/>
          <w:color w:val="000000"/>
        </w:rPr>
        <w:t>Supervision</w:t>
      </w:r>
      <w:r>
        <w:rPr>
          <w:rFonts w:ascii="Calibri" w:eastAsia="Calibri" w:hAnsi="Calibri" w:cs="Calibri"/>
          <w:color w:val="000000"/>
        </w:rPr>
        <w:t>, V</w:t>
      </w:r>
      <w:r w:rsidRPr="0096768C">
        <w:rPr>
          <w:rFonts w:ascii="Calibri" w:eastAsia="Calibri" w:hAnsi="Calibri" w:cs="Calibri"/>
          <w:color w:val="000000"/>
        </w:rPr>
        <w:t>alidation</w:t>
      </w:r>
      <w:r>
        <w:rPr>
          <w:rFonts w:ascii="Calibri" w:eastAsia="Calibri" w:hAnsi="Calibri" w:cs="Calibri"/>
          <w:color w:val="000000"/>
        </w:rPr>
        <w:t xml:space="preserve">, </w:t>
      </w:r>
      <w:r w:rsidRPr="0096768C">
        <w:rPr>
          <w:rFonts w:ascii="Calibri" w:eastAsia="Calibri" w:hAnsi="Calibri" w:cs="Calibri"/>
          <w:color w:val="000000"/>
        </w:rPr>
        <w:t xml:space="preserve">Writing – </w:t>
      </w:r>
      <w:r w:rsidRPr="0096768C">
        <w:rPr>
          <w:rFonts w:ascii="Calibri" w:eastAsia="Calibri" w:hAnsi="Calibri" w:cs="Calibri"/>
          <w:color w:val="000000"/>
        </w:rPr>
        <w:lastRenderedPageBreak/>
        <w:t>review &amp; editing</w:t>
      </w:r>
      <w:r>
        <w:rPr>
          <w:rFonts w:ascii="Calibri" w:eastAsia="Calibri" w:hAnsi="Calibri" w:cs="Calibri"/>
          <w:color w:val="000000"/>
        </w:rPr>
        <w:t xml:space="preserve">; </w:t>
      </w:r>
      <w:proofErr w:type="spellStart"/>
      <w:r w:rsidRPr="0096768C">
        <w:rPr>
          <w:rFonts w:ascii="Calibri" w:eastAsia="Calibri" w:hAnsi="Calibri" w:cs="Calibri"/>
          <w:b/>
          <w:bCs/>
          <w:color w:val="000000"/>
        </w:rPr>
        <w:t>Brazão</w:t>
      </w:r>
      <w:proofErr w:type="spellEnd"/>
      <w:r w:rsidRPr="0096768C">
        <w:rPr>
          <w:rFonts w:ascii="Calibri" w:eastAsia="Calibri" w:hAnsi="Calibri" w:cs="Calibri"/>
          <w:b/>
          <w:bCs/>
          <w:color w:val="000000"/>
        </w:rPr>
        <w:t xml:space="preserve"> Lopes:</w:t>
      </w:r>
      <w:r>
        <w:rPr>
          <w:rFonts w:ascii="Calibri" w:eastAsia="Calibri" w:hAnsi="Calibri" w:cs="Calibri"/>
          <w:color w:val="000000"/>
        </w:rPr>
        <w:t xml:space="preserve"> </w:t>
      </w:r>
      <w:r w:rsidRPr="0096768C">
        <w:rPr>
          <w:rFonts w:ascii="Calibri" w:eastAsia="Calibri" w:hAnsi="Calibri" w:cs="Calibri"/>
          <w:color w:val="000000"/>
        </w:rPr>
        <w:t>Data curation</w:t>
      </w:r>
      <w:r>
        <w:rPr>
          <w:rFonts w:ascii="Calibri" w:eastAsia="Calibri" w:hAnsi="Calibri" w:cs="Calibri"/>
          <w:color w:val="000000"/>
        </w:rPr>
        <w:t xml:space="preserve">, </w:t>
      </w:r>
      <w:r w:rsidRPr="0096768C">
        <w:rPr>
          <w:rFonts w:ascii="Calibri" w:eastAsia="Calibri" w:hAnsi="Calibri" w:cs="Calibri"/>
          <w:color w:val="000000"/>
        </w:rPr>
        <w:t>Formal analysis</w:t>
      </w:r>
      <w:r>
        <w:rPr>
          <w:rFonts w:ascii="Calibri" w:eastAsia="Calibri" w:hAnsi="Calibri" w:cs="Calibri"/>
          <w:color w:val="000000"/>
        </w:rPr>
        <w:t xml:space="preserve">, </w:t>
      </w:r>
      <w:r w:rsidRPr="0096768C">
        <w:rPr>
          <w:rFonts w:ascii="Calibri" w:eastAsia="Calibri" w:hAnsi="Calibri" w:cs="Calibri"/>
          <w:color w:val="000000"/>
        </w:rPr>
        <w:t>Investigation</w:t>
      </w:r>
      <w:r>
        <w:rPr>
          <w:rFonts w:ascii="Calibri" w:eastAsia="Calibri" w:hAnsi="Calibri" w:cs="Calibri"/>
          <w:color w:val="000000"/>
        </w:rPr>
        <w:t xml:space="preserve">, </w:t>
      </w:r>
      <w:r w:rsidRPr="0096768C">
        <w:rPr>
          <w:rFonts w:ascii="Calibri" w:eastAsia="Calibri" w:hAnsi="Calibri" w:cs="Calibri"/>
          <w:color w:val="000000"/>
        </w:rPr>
        <w:t>Writing – original draft</w:t>
      </w:r>
      <w:r>
        <w:rPr>
          <w:rFonts w:ascii="Calibri" w:eastAsia="Calibri" w:hAnsi="Calibri" w:cs="Calibri"/>
          <w:color w:val="000000"/>
        </w:rPr>
        <w:t xml:space="preserve">; </w:t>
      </w:r>
      <w:r w:rsidRPr="0096768C">
        <w:rPr>
          <w:rFonts w:ascii="Calibri" w:eastAsia="Calibri" w:hAnsi="Calibri" w:cs="Calibri"/>
          <w:b/>
          <w:bCs/>
          <w:color w:val="000000"/>
        </w:rPr>
        <w:t>Pedro Gomes:</w:t>
      </w:r>
      <w:r>
        <w:rPr>
          <w:rFonts w:ascii="Calibri" w:eastAsia="Calibri" w:hAnsi="Calibri" w:cs="Calibri"/>
          <w:color w:val="000000"/>
        </w:rPr>
        <w:t xml:space="preserve"> </w:t>
      </w:r>
      <w:r w:rsidRPr="0096768C">
        <w:rPr>
          <w:rFonts w:ascii="Calibri" w:eastAsia="Calibri" w:hAnsi="Calibri" w:cs="Calibri"/>
          <w:color w:val="000000"/>
        </w:rPr>
        <w:t>Project administration</w:t>
      </w:r>
      <w:r>
        <w:rPr>
          <w:rFonts w:ascii="Calibri" w:eastAsia="Calibri" w:hAnsi="Calibri" w:cs="Calibri"/>
          <w:color w:val="000000"/>
        </w:rPr>
        <w:t xml:space="preserve">, </w:t>
      </w:r>
      <w:r w:rsidRPr="0096768C">
        <w:rPr>
          <w:rFonts w:ascii="Calibri" w:eastAsia="Calibri" w:hAnsi="Calibri" w:cs="Calibri"/>
          <w:color w:val="000000"/>
        </w:rPr>
        <w:t>Supervision</w:t>
      </w:r>
      <w:r>
        <w:rPr>
          <w:rFonts w:ascii="Calibri" w:eastAsia="Calibri" w:hAnsi="Calibri" w:cs="Calibri"/>
          <w:color w:val="000000"/>
        </w:rPr>
        <w:t xml:space="preserve">, </w:t>
      </w:r>
      <w:r w:rsidRPr="0096768C">
        <w:rPr>
          <w:rFonts w:ascii="Calibri" w:eastAsia="Calibri" w:hAnsi="Calibri" w:cs="Calibri"/>
          <w:color w:val="000000"/>
        </w:rPr>
        <w:t>Validation</w:t>
      </w:r>
      <w:r>
        <w:rPr>
          <w:rFonts w:ascii="Calibri" w:eastAsia="Calibri" w:hAnsi="Calibri" w:cs="Calibri"/>
          <w:color w:val="000000"/>
        </w:rPr>
        <w:t xml:space="preserve">, </w:t>
      </w:r>
      <w:r w:rsidRPr="0096768C">
        <w:rPr>
          <w:rFonts w:ascii="Calibri" w:eastAsia="Calibri" w:hAnsi="Calibri" w:cs="Calibri"/>
          <w:color w:val="000000"/>
        </w:rPr>
        <w:t>Visualization</w:t>
      </w:r>
      <w:r>
        <w:rPr>
          <w:rFonts w:ascii="Calibri" w:eastAsia="Calibri" w:hAnsi="Calibri" w:cs="Calibri"/>
          <w:color w:val="000000"/>
        </w:rPr>
        <w:t>.</w:t>
      </w:r>
    </w:p>
    <w:p w14:paraId="621B4415" w14:textId="4B0FD26A" w:rsidR="00606994" w:rsidRDefault="00606994" w:rsidP="00606994">
      <w:pPr>
        <w:widowControl w:val="0"/>
        <w:pBdr>
          <w:top w:val="nil"/>
          <w:left w:val="nil"/>
          <w:bottom w:val="nil"/>
          <w:right w:val="nil"/>
          <w:between w:val="nil"/>
        </w:pBdr>
        <w:spacing w:line="360" w:lineRule="auto"/>
        <w:jc w:val="both"/>
        <w:rPr>
          <w:rFonts w:ascii="Calibri" w:eastAsia="Calibri" w:hAnsi="Calibri" w:cs="Calibri"/>
          <w:color w:val="000000"/>
        </w:rPr>
      </w:pPr>
    </w:p>
    <w:p w14:paraId="3907FEDB" w14:textId="60CD1A91" w:rsidR="00606994" w:rsidRPr="00CC1A92" w:rsidRDefault="00606994" w:rsidP="00606994">
      <w:pPr>
        <w:widowControl w:val="0"/>
        <w:pBdr>
          <w:top w:val="nil"/>
          <w:left w:val="nil"/>
          <w:bottom w:val="nil"/>
          <w:right w:val="nil"/>
          <w:between w:val="nil"/>
        </w:pBdr>
        <w:spacing w:line="360" w:lineRule="auto"/>
        <w:jc w:val="both"/>
        <w:rPr>
          <w:rFonts w:ascii="Calibri" w:eastAsia="Calibri" w:hAnsi="Calibri" w:cs="Calibri"/>
          <w:b/>
          <w:bCs/>
          <w:color w:val="000000"/>
        </w:rPr>
      </w:pPr>
      <w:r w:rsidRPr="00CC1A92">
        <w:rPr>
          <w:rFonts w:ascii="Calibri" w:eastAsia="Calibri" w:hAnsi="Calibri" w:cs="Calibri"/>
          <w:b/>
          <w:bCs/>
          <w:color w:val="000000"/>
        </w:rPr>
        <w:t>ORCID</w:t>
      </w:r>
    </w:p>
    <w:p w14:paraId="3781192C" w14:textId="09D3984E" w:rsidR="0070444D" w:rsidRPr="0070444D" w:rsidRDefault="0070444D" w:rsidP="00606994">
      <w:pPr>
        <w:widowControl w:val="0"/>
        <w:pBdr>
          <w:top w:val="nil"/>
          <w:left w:val="nil"/>
          <w:bottom w:val="nil"/>
          <w:right w:val="nil"/>
          <w:between w:val="nil"/>
        </w:pBdr>
        <w:spacing w:line="360" w:lineRule="auto"/>
        <w:jc w:val="both"/>
        <w:rPr>
          <w:rFonts w:ascii="Calibri" w:eastAsia="Calibri" w:hAnsi="Calibri" w:cs="Calibri"/>
          <w:color w:val="000000"/>
          <w:lang w:val="pt-BR"/>
        </w:rPr>
      </w:pPr>
      <w:r w:rsidRPr="0070444D">
        <w:rPr>
          <w:rFonts w:ascii="Calibri" w:eastAsia="Calibri" w:hAnsi="Calibri" w:cs="Calibri"/>
          <w:color w:val="000000"/>
          <w:lang w:val="pt-BR"/>
        </w:rPr>
        <w:t>Patrícia Bernardo:</w:t>
      </w:r>
      <w:r>
        <w:rPr>
          <w:rFonts w:ascii="Calibri" w:eastAsia="Calibri" w:hAnsi="Calibri" w:cs="Calibri"/>
          <w:color w:val="000000"/>
          <w:lang w:val="pt-BR"/>
        </w:rPr>
        <w:t xml:space="preserve"> </w:t>
      </w:r>
      <w:r w:rsidRPr="0070444D">
        <w:rPr>
          <w:rFonts w:ascii="Calibri" w:eastAsia="Calibri" w:hAnsi="Calibri" w:cs="Calibri"/>
          <w:color w:val="000000"/>
          <w:lang w:val="pt-BR"/>
        </w:rPr>
        <w:t>https://orcid.org/</w:t>
      </w:r>
      <w:r w:rsidRPr="0070444D">
        <w:rPr>
          <w:lang w:val="pt-BR"/>
        </w:rPr>
        <w:t xml:space="preserve"> </w:t>
      </w:r>
      <w:r w:rsidRPr="0070444D">
        <w:rPr>
          <w:rFonts w:ascii="Calibri" w:eastAsia="Calibri" w:hAnsi="Calibri" w:cs="Calibri"/>
          <w:color w:val="000000"/>
          <w:lang w:val="pt-BR"/>
        </w:rPr>
        <w:t>0000-0001-7021-8994</w:t>
      </w:r>
    </w:p>
    <w:p w14:paraId="14BF1BDA" w14:textId="2B133329" w:rsidR="00606994" w:rsidRPr="0070444D" w:rsidRDefault="0070444D" w:rsidP="00606994">
      <w:pPr>
        <w:widowControl w:val="0"/>
        <w:pBdr>
          <w:top w:val="nil"/>
          <w:left w:val="nil"/>
          <w:bottom w:val="nil"/>
          <w:right w:val="nil"/>
          <w:between w:val="nil"/>
        </w:pBdr>
        <w:spacing w:line="360" w:lineRule="auto"/>
        <w:jc w:val="both"/>
        <w:rPr>
          <w:rFonts w:ascii="Calibri" w:eastAsia="Calibri" w:hAnsi="Calibri" w:cs="Calibri"/>
          <w:color w:val="000000"/>
          <w:lang w:val="pt-BR"/>
        </w:rPr>
      </w:pPr>
      <w:r w:rsidRPr="0070444D">
        <w:rPr>
          <w:rFonts w:ascii="Calibri" w:eastAsia="Calibri" w:hAnsi="Calibri" w:cs="Calibri"/>
          <w:color w:val="000000"/>
          <w:lang w:val="pt-BR"/>
        </w:rPr>
        <w:t xml:space="preserve">Henrique Messias: </w:t>
      </w:r>
      <w:r w:rsidRPr="0070444D">
        <w:rPr>
          <w:rFonts w:ascii="Calibri" w:eastAsia="Calibri" w:hAnsi="Calibri" w:cs="Calibri"/>
          <w:color w:val="000000"/>
          <w:lang w:val="pt-BR"/>
        </w:rPr>
        <w:t>https://orcid.org/0000-0002-8349-8857</w:t>
      </w:r>
    </w:p>
    <w:p w14:paraId="01E8091A" w14:textId="77777777" w:rsidR="007C272E" w:rsidRPr="0070444D" w:rsidRDefault="007C272E" w:rsidP="007C4E68">
      <w:pPr>
        <w:pStyle w:val="Ttulo1"/>
        <w:spacing w:line="360" w:lineRule="auto"/>
        <w:ind w:firstLine="100"/>
        <w:rPr>
          <w:sz w:val="24"/>
          <w:szCs w:val="24"/>
          <w:lang w:val="pt-BR"/>
        </w:rPr>
      </w:pPr>
    </w:p>
    <w:p w14:paraId="4A522D8F" w14:textId="40B1D93E" w:rsidR="00A978EF" w:rsidRPr="007C4E68" w:rsidRDefault="00C707B3" w:rsidP="00606994">
      <w:pPr>
        <w:pStyle w:val="Ttulo1"/>
        <w:spacing w:line="360" w:lineRule="auto"/>
        <w:ind w:left="0"/>
        <w:rPr>
          <w:sz w:val="24"/>
          <w:szCs w:val="24"/>
        </w:rPr>
      </w:pPr>
      <w:r w:rsidRPr="007C4E68">
        <w:rPr>
          <w:sz w:val="24"/>
          <w:szCs w:val="24"/>
        </w:rPr>
        <w:t>Funding information</w:t>
      </w:r>
    </w:p>
    <w:p w14:paraId="4DAA9480" w14:textId="77777777" w:rsidR="00A978EF" w:rsidRPr="007C4E68" w:rsidRDefault="00C707B3" w:rsidP="00606994">
      <w:pPr>
        <w:widowControl w:val="0"/>
        <w:pBdr>
          <w:top w:val="nil"/>
          <w:left w:val="nil"/>
          <w:bottom w:val="nil"/>
          <w:right w:val="nil"/>
          <w:between w:val="nil"/>
        </w:pBdr>
        <w:spacing w:line="360" w:lineRule="auto"/>
        <w:rPr>
          <w:rFonts w:ascii="Calibri" w:eastAsia="Calibri" w:hAnsi="Calibri" w:cs="Calibri"/>
          <w:color w:val="000000"/>
        </w:rPr>
      </w:pPr>
      <w:r w:rsidRPr="007C4E68">
        <w:rPr>
          <w:rFonts w:ascii="Calibri" w:eastAsia="Calibri" w:hAnsi="Calibri" w:cs="Calibri"/>
          <w:color w:val="000000"/>
        </w:rPr>
        <w:t>The authors declare that they have not received any funding for the development of this scientific work.</w:t>
      </w:r>
    </w:p>
    <w:p w14:paraId="240FCC44" w14:textId="77777777" w:rsidR="00A978EF" w:rsidRPr="007C4E68" w:rsidRDefault="00A978EF" w:rsidP="00606994">
      <w:pPr>
        <w:widowControl w:val="0"/>
        <w:pBdr>
          <w:top w:val="nil"/>
          <w:left w:val="nil"/>
          <w:bottom w:val="nil"/>
          <w:right w:val="nil"/>
          <w:between w:val="nil"/>
        </w:pBdr>
        <w:spacing w:line="360" w:lineRule="auto"/>
        <w:rPr>
          <w:rFonts w:ascii="Calibri" w:eastAsia="Calibri" w:hAnsi="Calibri" w:cs="Calibri"/>
          <w:color w:val="000000"/>
        </w:rPr>
      </w:pPr>
    </w:p>
    <w:p w14:paraId="0D1C1769" w14:textId="77777777" w:rsidR="00A978EF" w:rsidRPr="007C4E68" w:rsidRDefault="00C707B3" w:rsidP="00606994">
      <w:pPr>
        <w:pStyle w:val="Ttulo1"/>
        <w:spacing w:line="360" w:lineRule="auto"/>
        <w:ind w:left="0"/>
        <w:rPr>
          <w:sz w:val="24"/>
          <w:szCs w:val="24"/>
        </w:rPr>
      </w:pPr>
      <w:r w:rsidRPr="007C4E68">
        <w:rPr>
          <w:sz w:val="24"/>
          <w:szCs w:val="24"/>
        </w:rPr>
        <w:t>Conﬂict of interest statement</w:t>
      </w:r>
    </w:p>
    <w:p w14:paraId="09BACE4C" w14:textId="77777777" w:rsidR="00A978EF" w:rsidRPr="007C4E68" w:rsidRDefault="00C707B3" w:rsidP="00606994">
      <w:pPr>
        <w:widowControl w:val="0"/>
        <w:pBdr>
          <w:top w:val="nil"/>
          <w:left w:val="nil"/>
          <w:bottom w:val="nil"/>
          <w:right w:val="nil"/>
          <w:between w:val="nil"/>
        </w:pBdr>
        <w:spacing w:line="360" w:lineRule="auto"/>
        <w:rPr>
          <w:rFonts w:ascii="Calibri" w:eastAsia="Calibri" w:hAnsi="Calibri" w:cs="Calibri"/>
          <w:color w:val="000000"/>
        </w:rPr>
      </w:pPr>
      <w:r w:rsidRPr="007C4E68">
        <w:rPr>
          <w:rFonts w:ascii="Calibri" w:eastAsia="Calibri" w:hAnsi="Calibri" w:cs="Calibri"/>
          <w:color w:val="000000"/>
        </w:rPr>
        <w:t>The authors declare to have no conﬂicts of interest in connection with this scientific work.</w:t>
      </w:r>
    </w:p>
    <w:p w14:paraId="5E88E118" w14:textId="77777777" w:rsidR="00A978EF" w:rsidRPr="007C4E68" w:rsidRDefault="00A978EF" w:rsidP="00606994">
      <w:pPr>
        <w:widowControl w:val="0"/>
        <w:pBdr>
          <w:top w:val="nil"/>
          <w:left w:val="nil"/>
          <w:bottom w:val="nil"/>
          <w:right w:val="nil"/>
          <w:between w:val="nil"/>
        </w:pBdr>
        <w:spacing w:line="360" w:lineRule="auto"/>
        <w:rPr>
          <w:rFonts w:ascii="Calibri" w:eastAsia="Calibri" w:hAnsi="Calibri" w:cs="Calibri"/>
          <w:color w:val="000000"/>
        </w:rPr>
      </w:pPr>
    </w:p>
    <w:p w14:paraId="44304B5B" w14:textId="77777777" w:rsidR="00A978EF" w:rsidRPr="007C4E68" w:rsidRDefault="00C707B3" w:rsidP="00606994">
      <w:pPr>
        <w:pStyle w:val="Ttulo1"/>
        <w:spacing w:line="360" w:lineRule="auto"/>
        <w:ind w:left="0"/>
        <w:rPr>
          <w:sz w:val="24"/>
          <w:szCs w:val="24"/>
        </w:rPr>
      </w:pPr>
      <w:r w:rsidRPr="007C4E68">
        <w:rPr>
          <w:sz w:val="24"/>
          <w:szCs w:val="24"/>
        </w:rPr>
        <w:t>Data availability statement</w:t>
      </w:r>
    </w:p>
    <w:p w14:paraId="0BC7C2A5" w14:textId="77777777" w:rsidR="00A978EF" w:rsidRPr="007C4E68" w:rsidRDefault="00C707B3" w:rsidP="00606994">
      <w:pPr>
        <w:widowControl w:val="0"/>
        <w:pBdr>
          <w:top w:val="nil"/>
          <w:left w:val="nil"/>
          <w:bottom w:val="nil"/>
          <w:right w:val="nil"/>
          <w:between w:val="nil"/>
        </w:pBdr>
        <w:spacing w:line="360" w:lineRule="auto"/>
        <w:ind w:right="253"/>
        <w:rPr>
          <w:rFonts w:ascii="Calibri" w:eastAsia="Calibri" w:hAnsi="Calibri" w:cs="Calibri"/>
          <w:color w:val="000000"/>
        </w:rPr>
      </w:pPr>
      <w:r w:rsidRPr="007C4E68">
        <w:rPr>
          <w:rFonts w:ascii="Calibri" w:eastAsia="Calibri" w:hAnsi="Calibri" w:cs="Calibri"/>
          <w:color w:val="000000"/>
        </w:rPr>
        <w:t>The authors declare that all data supporting the findings of this study are available within the article and its supplementary information files.</w:t>
      </w:r>
    </w:p>
    <w:p w14:paraId="0982EC97" w14:textId="77777777" w:rsidR="00A978EF" w:rsidRPr="007C4E68" w:rsidRDefault="00A978EF" w:rsidP="007C4E68">
      <w:pPr>
        <w:widowControl w:val="0"/>
        <w:pBdr>
          <w:top w:val="nil"/>
          <w:left w:val="nil"/>
          <w:bottom w:val="nil"/>
          <w:right w:val="nil"/>
          <w:between w:val="nil"/>
        </w:pBdr>
        <w:spacing w:line="360" w:lineRule="auto"/>
        <w:rPr>
          <w:rFonts w:ascii="Calibri" w:eastAsia="Calibri" w:hAnsi="Calibri" w:cs="Calibri"/>
          <w:color w:val="000000"/>
        </w:rPr>
      </w:pPr>
    </w:p>
    <w:p w14:paraId="3B3A808D" w14:textId="77777777" w:rsidR="007C4E68" w:rsidRDefault="00C707B3" w:rsidP="00606994">
      <w:pPr>
        <w:pStyle w:val="Ttulo1"/>
        <w:spacing w:line="360" w:lineRule="auto"/>
        <w:ind w:left="0"/>
        <w:rPr>
          <w:sz w:val="24"/>
          <w:szCs w:val="24"/>
        </w:rPr>
      </w:pPr>
      <w:r w:rsidRPr="007C4E68">
        <w:rPr>
          <w:sz w:val="24"/>
          <w:szCs w:val="24"/>
        </w:rPr>
        <w:t>Consent statement</w:t>
      </w:r>
    </w:p>
    <w:p w14:paraId="6B45C957" w14:textId="1D615D06" w:rsidR="00A978EF" w:rsidRPr="007C4E68" w:rsidRDefault="00C707B3" w:rsidP="00606994">
      <w:pPr>
        <w:pStyle w:val="Ttulo1"/>
        <w:spacing w:line="360" w:lineRule="auto"/>
        <w:ind w:left="0"/>
        <w:rPr>
          <w:rFonts w:eastAsia="Calibri" w:cs="Calibri"/>
          <w:sz w:val="24"/>
          <w:szCs w:val="24"/>
        </w:rPr>
      </w:pPr>
      <w:r w:rsidRPr="007C4E68">
        <w:rPr>
          <w:rFonts w:eastAsia="Calibri" w:cs="Calibri"/>
          <w:b w:val="0"/>
          <w:sz w:val="24"/>
          <w:szCs w:val="24"/>
        </w:rPr>
        <w:t>Written informed consent was obtained from the patient to publish this report in accordance with the journal's patient consent policy.</w:t>
      </w:r>
    </w:p>
    <w:p w14:paraId="098E727D" w14:textId="77777777" w:rsidR="007C272E" w:rsidRDefault="007C272E" w:rsidP="007C4E68">
      <w:pPr>
        <w:pStyle w:val="Ttulo1"/>
        <w:spacing w:line="360" w:lineRule="auto"/>
        <w:ind w:firstLine="100"/>
        <w:jc w:val="both"/>
        <w:rPr>
          <w:sz w:val="24"/>
          <w:szCs w:val="24"/>
        </w:rPr>
      </w:pPr>
    </w:p>
    <w:p w14:paraId="038F1656" w14:textId="32C6A400" w:rsidR="00A978EF" w:rsidRPr="007C4E68" w:rsidRDefault="00C707B3" w:rsidP="00606994">
      <w:pPr>
        <w:pStyle w:val="Ttulo1"/>
        <w:spacing w:line="360" w:lineRule="auto"/>
        <w:ind w:left="0"/>
        <w:jc w:val="both"/>
        <w:rPr>
          <w:sz w:val="24"/>
          <w:szCs w:val="24"/>
        </w:rPr>
      </w:pPr>
      <w:r w:rsidRPr="007C4E68">
        <w:rPr>
          <w:sz w:val="24"/>
          <w:szCs w:val="24"/>
        </w:rPr>
        <w:t>Key Clinical Message</w:t>
      </w:r>
    </w:p>
    <w:p w14:paraId="15B34686" w14:textId="1F7DB270" w:rsidR="00A978EF" w:rsidRPr="007C4E68" w:rsidRDefault="004D0CEF" w:rsidP="00606994">
      <w:pPr>
        <w:widowControl w:val="0"/>
        <w:pBdr>
          <w:top w:val="nil"/>
          <w:left w:val="nil"/>
          <w:bottom w:val="nil"/>
          <w:right w:val="nil"/>
          <w:between w:val="nil"/>
        </w:pBdr>
        <w:spacing w:line="360" w:lineRule="auto"/>
        <w:ind w:right="257"/>
        <w:jc w:val="both"/>
        <w:rPr>
          <w:rFonts w:ascii="Calibri" w:eastAsia="Calibri" w:hAnsi="Calibri" w:cs="Calibri"/>
          <w:color w:val="000000"/>
        </w:rPr>
      </w:pPr>
      <w:r w:rsidRPr="007C4E68">
        <w:rPr>
          <w:rFonts w:ascii="Calibri" w:eastAsia="Calibri" w:hAnsi="Calibri" w:cs="Calibri"/>
          <w:color w:val="000000"/>
        </w:rPr>
        <w:t>Spindle epithelial tumor with thymus-like element (SETTLE) is a very rare thyroid malignancy. Initially suspected of medullary carcinoma, the histopathological and immunochemistry analysis were decisive for the final diagnosis.</w:t>
      </w:r>
    </w:p>
    <w:p w14:paraId="71973426" w14:textId="2CA6D219" w:rsidR="00A978EF" w:rsidRPr="007C4E68" w:rsidRDefault="00C707B3" w:rsidP="00606994">
      <w:pPr>
        <w:widowControl w:val="0"/>
        <w:pBdr>
          <w:top w:val="nil"/>
          <w:left w:val="nil"/>
          <w:bottom w:val="nil"/>
          <w:right w:val="nil"/>
          <w:between w:val="nil"/>
        </w:pBdr>
        <w:spacing w:line="360" w:lineRule="auto"/>
        <w:ind w:right="257"/>
        <w:jc w:val="both"/>
        <w:rPr>
          <w:rFonts w:ascii="Calibri" w:eastAsia="Calibri" w:hAnsi="Calibri" w:cs="Calibri"/>
          <w:color w:val="000000"/>
        </w:rPr>
      </w:pPr>
      <w:r w:rsidRPr="007C4E68">
        <w:rPr>
          <w:rFonts w:ascii="Calibri" w:eastAsia="Calibri" w:hAnsi="Calibri" w:cs="Calibri"/>
          <w:b/>
          <w:color w:val="000000"/>
        </w:rPr>
        <w:lastRenderedPageBreak/>
        <w:t>Keywords</w:t>
      </w:r>
      <w:r w:rsidRPr="007C4E68">
        <w:rPr>
          <w:rFonts w:ascii="Calibri" w:eastAsia="Calibri" w:hAnsi="Calibri" w:cs="Calibri"/>
          <w:color w:val="000000"/>
        </w:rPr>
        <w:t xml:space="preserve">: </w:t>
      </w:r>
      <w:r w:rsidR="004D0CEF" w:rsidRPr="007C4E68">
        <w:rPr>
          <w:rFonts w:ascii="Calibri" w:eastAsia="Calibri" w:hAnsi="Calibri" w:cs="Calibri"/>
          <w:color w:val="000000"/>
        </w:rPr>
        <w:t xml:space="preserve">Surgery, Endocrinology and Metabolic Disorders, Oncology, Pathology and Laboratory Medicine </w:t>
      </w:r>
    </w:p>
    <w:p w14:paraId="2213F893" w14:textId="77777777" w:rsidR="00820047" w:rsidRPr="007C4E68" w:rsidRDefault="00820047" w:rsidP="007C4E68">
      <w:pPr>
        <w:spacing w:line="360" w:lineRule="auto"/>
        <w:rPr>
          <w:rFonts w:ascii="Calibri" w:hAnsi="Calibri" w:cs="Arial Unicode MS"/>
          <w:b/>
          <w:bCs/>
          <w:color w:val="000000"/>
          <w:u w:color="000000"/>
          <w:lang w:eastAsia="zh-TW"/>
        </w:rPr>
      </w:pPr>
      <w:r w:rsidRPr="007C4E68">
        <w:br w:type="page"/>
      </w:r>
    </w:p>
    <w:p w14:paraId="50B8934F" w14:textId="7C019DB3" w:rsidR="00A978EF" w:rsidRPr="007C4E68" w:rsidRDefault="00DF1C8E" w:rsidP="00584BAF">
      <w:pPr>
        <w:pStyle w:val="Ttulo1"/>
        <w:spacing w:line="360" w:lineRule="auto"/>
        <w:rPr>
          <w:sz w:val="24"/>
          <w:szCs w:val="24"/>
        </w:rPr>
      </w:pPr>
      <w:r w:rsidRPr="007C4E68">
        <w:rPr>
          <w:sz w:val="24"/>
          <w:szCs w:val="24"/>
        </w:rPr>
        <w:lastRenderedPageBreak/>
        <w:t>INTRODUCTION</w:t>
      </w:r>
    </w:p>
    <w:p w14:paraId="53F82121" w14:textId="72CB49DA" w:rsidR="00A978EF" w:rsidRPr="007C4E68" w:rsidRDefault="00C707B3" w:rsidP="007C4E6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vertAlign w:val="superscript"/>
        </w:rPr>
      </w:pPr>
      <w:r w:rsidRPr="007C4E68">
        <w:rPr>
          <w:rFonts w:ascii="Calibri" w:eastAsia="Calibri" w:hAnsi="Calibri" w:cs="Calibri"/>
          <w:color w:val="000000"/>
        </w:rPr>
        <w:t xml:space="preserve">Spindle epithelial tumor with thymus-like element (SETTLE) is a clinical entity first proposed by Chan and </w:t>
      </w:r>
      <w:proofErr w:type="spellStart"/>
      <w:r w:rsidRPr="007C4E68">
        <w:rPr>
          <w:rFonts w:ascii="Calibri" w:eastAsia="Calibri" w:hAnsi="Calibri" w:cs="Calibri"/>
          <w:color w:val="000000"/>
        </w:rPr>
        <w:t>Rosai</w:t>
      </w:r>
      <w:proofErr w:type="spellEnd"/>
      <w:r w:rsidRPr="007C4E68">
        <w:rPr>
          <w:rFonts w:ascii="Calibri" w:eastAsia="Calibri" w:hAnsi="Calibri" w:cs="Calibri"/>
          <w:color w:val="000000"/>
        </w:rPr>
        <w:t>, in 1991.</w:t>
      </w:r>
      <w:r w:rsidRPr="007C4E68">
        <w:rPr>
          <w:rFonts w:ascii="Calibri" w:eastAsia="Calibri" w:hAnsi="Calibri" w:cs="Calibri"/>
          <w:color w:val="000000"/>
          <w:vertAlign w:val="superscript"/>
        </w:rPr>
        <w:t xml:space="preserve">1 </w:t>
      </w:r>
      <w:r w:rsidR="009F258F" w:rsidRPr="007C4E68">
        <w:rPr>
          <w:rFonts w:ascii="Calibri" w:eastAsia="Calibri" w:hAnsi="Calibri" w:cs="Calibri"/>
          <w:color w:val="000000"/>
        </w:rPr>
        <w:t>I</w:t>
      </w:r>
      <w:r w:rsidRPr="007C4E68">
        <w:rPr>
          <w:rFonts w:ascii="Calibri" w:eastAsia="Calibri" w:hAnsi="Calibri" w:cs="Calibri"/>
          <w:color w:val="000000"/>
        </w:rPr>
        <w:t>t is considered part of a group of cervical lesions sharing a common histogenesis related to thymic or branchial pouch remnants that also includes thymoma and carcinoma showing thymus-like diﬀerentiation (CASTLE).</w:t>
      </w:r>
      <w:r w:rsidRPr="007C4E68">
        <w:rPr>
          <w:rFonts w:ascii="Calibri" w:eastAsia="Calibri" w:hAnsi="Calibri" w:cs="Calibri"/>
          <w:color w:val="000000"/>
          <w:vertAlign w:val="superscript"/>
        </w:rPr>
        <w:t>1</w:t>
      </w:r>
    </w:p>
    <w:p w14:paraId="711BCA40" w14:textId="7E84B8EE" w:rsidR="00A978EF" w:rsidRPr="007C4E68" w:rsidRDefault="00C707B3" w:rsidP="007C4E6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r w:rsidRPr="007C4E68">
        <w:rPr>
          <w:rFonts w:ascii="Calibri" w:eastAsia="Calibri" w:hAnsi="Calibri" w:cs="Calibri"/>
          <w:color w:val="000000"/>
        </w:rPr>
        <w:t>SETTLE is a very rare thyroid carcinoma predominantly occurring in the early decades of life.</w:t>
      </w:r>
      <w:r w:rsidRPr="007C4E68">
        <w:rPr>
          <w:rFonts w:ascii="Calibri" w:eastAsia="Calibri" w:hAnsi="Calibri" w:cs="Calibri"/>
          <w:color w:val="000000"/>
          <w:vertAlign w:val="superscript"/>
        </w:rPr>
        <w:t>1,2</w:t>
      </w:r>
      <w:r w:rsidR="009F258F" w:rsidRPr="007C4E68">
        <w:rPr>
          <w:rFonts w:ascii="Calibri" w:eastAsia="Calibri" w:hAnsi="Calibri" w:cs="Calibri"/>
          <w:color w:val="000000"/>
        </w:rPr>
        <w:t xml:space="preserve"> T</w:t>
      </w:r>
      <w:r w:rsidRPr="007C4E68">
        <w:rPr>
          <w:rFonts w:ascii="Calibri" w:eastAsia="Calibri" w:hAnsi="Calibri" w:cs="Calibri"/>
          <w:color w:val="000000"/>
        </w:rPr>
        <w:t>o date, no genetic or environmental predisposing factor has been found to be related to this neoplasm although single cases have been reported to show mutation of KRAS, NRAS, KMT3D or KMT2C.</w:t>
      </w:r>
      <w:r w:rsidRPr="007C4E68">
        <w:rPr>
          <w:rFonts w:ascii="Calibri" w:eastAsia="Calibri" w:hAnsi="Calibri" w:cs="Calibri"/>
          <w:color w:val="000000"/>
          <w:vertAlign w:val="superscript"/>
        </w:rPr>
        <w:t>3,4</w:t>
      </w:r>
      <w:r w:rsidRPr="007C4E68">
        <w:rPr>
          <w:rFonts w:ascii="Calibri" w:eastAsia="Calibri" w:hAnsi="Calibri" w:cs="Calibri"/>
          <w:color w:val="000000"/>
        </w:rPr>
        <w:t xml:space="preserve"> It is classified as a low-grade malignancy usually presenting as a slow growing thyroid mass without distant metastasis.</w:t>
      </w:r>
      <w:r w:rsidRPr="007C4E68">
        <w:rPr>
          <w:rFonts w:ascii="Calibri" w:eastAsia="Calibri" w:hAnsi="Calibri" w:cs="Calibri"/>
          <w:color w:val="000000"/>
          <w:vertAlign w:val="superscript"/>
        </w:rPr>
        <w:t xml:space="preserve">5 </w:t>
      </w:r>
      <w:r w:rsidRPr="007C4E68">
        <w:rPr>
          <w:rFonts w:ascii="Calibri" w:eastAsia="Calibri" w:hAnsi="Calibri" w:cs="Calibri"/>
          <w:color w:val="000000"/>
        </w:rPr>
        <w:t>Also, patients are usually euthyroid and with normal serum calcitonin.</w:t>
      </w:r>
      <w:r w:rsidRPr="007C4E68">
        <w:rPr>
          <w:rFonts w:ascii="Calibri" w:eastAsia="Calibri" w:hAnsi="Calibri" w:cs="Calibri"/>
          <w:color w:val="000000"/>
          <w:vertAlign w:val="superscript"/>
        </w:rPr>
        <w:t xml:space="preserve">2 </w:t>
      </w:r>
      <w:r w:rsidRPr="007C4E68">
        <w:rPr>
          <w:rFonts w:ascii="Calibri" w:eastAsia="Calibri" w:hAnsi="Calibri" w:cs="Calibri"/>
          <w:color w:val="000000"/>
        </w:rPr>
        <w:t>Since it is very rare, no clinical guidelines have been established yet. Diagnosis can be challenging, requires high clinical suspicion and is confirmed by histopathological features.</w:t>
      </w:r>
      <w:r w:rsidRPr="007C4E68">
        <w:rPr>
          <w:rFonts w:ascii="Calibri" w:eastAsia="Calibri" w:hAnsi="Calibri" w:cs="Calibri"/>
          <w:color w:val="000000"/>
          <w:vertAlign w:val="superscript"/>
        </w:rPr>
        <w:t xml:space="preserve">6 </w:t>
      </w:r>
      <w:r w:rsidRPr="007C4E68">
        <w:rPr>
          <w:rFonts w:ascii="Calibri" w:eastAsia="Calibri" w:hAnsi="Calibri" w:cs="Calibri"/>
          <w:color w:val="000000"/>
        </w:rPr>
        <w:t>Surgery is the mainstay of therapy, with or without adjuvant treatment.</w:t>
      </w:r>
      <w:r w:rsidRPr="007C4E68">
        <w:rPr>
          <w:rFonts w:ascii="Calibri" w:eastAsia="Calibri" w:hAnsi="Calibri" w:cs="Calibri"/>
          <w:color w:val="000000"/>
          <w:vertAlign w:val="superscript"/>
        </w:rPr>
        <w:t xml:space="preserve">5,7 </w:t>
      </w:r>
      <w:r w:rsidRPr="007C4E68">
        <w:rPr>
          <w:rFonts w:ascii="Calibri" w:eastAsia="Calibri" w:hAnsi="Calibri" w:cs="Calibri"/>
          <w:color w:val="000000"/>
        </w:rPr>
        <w:t>Despite being indolent, SETTLE may develop late metastasis, thus long- term follow-up is recommended.</w:t>
      </w:r>
      <w:r w:rsidRPr="007C4E68">
        <w:rPr>
          <w:rFonts w:ascii="Calibri" w:eastAsia="Calibri" w:hAnsi="Calibri" w:cs="Calibri"/>
          <w:color w:val="000000"/>
          <w:vertAlign w:val="superscript"/>
        </w:rPr>
        <w:t>2,5,6</w:t>
      </w:r>
    </w:p>
    <w:p w14:paraId="522ADC3B" w14:textId="77777777" w:rsidR="00A978EF" w:rsidRPr="007C4E68" w:rsidRDefault="00C707B3" w:rsidP="007C4E6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r w:rsidRPr="007C4E68">
        <w:rPr>
          <w:rFonts w:ascii="Calibri" w:eastAsia="Calibri" w:hAnsi="Calibri" w:cs="Calibri"/>
          <w:color w:val="000000"/>
        </w:rPr>
        <w:t>The authors report a rare case of SETTLE of the thyroid gland, which was initially misdiagnosed as the more common medullary thyroid carcinoma. Additionally, the important clinical implications of the diﬀerential diagnosis are described, along with a review of current scientific literature.</w:t>
      </w:r>
    </w:p>
    <w:p w14:paraId="7686F5AD" w14:textId="62815A81" w:rsidR="00A978EF" w:rsidRDefault="00A978EF" w:rsidP="007C4E6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p>
    <w:p w14:paraId="177A0126" w14:textId="77777777" w:rsidR="00DF1C8E" w:rsidRPr="007C4E68" w:rsidRDefault="00DF1C8E" w:rsidP="007C4E6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p>
    <w:p w14:paraId="328BD8C5" w14:textId="6ADEBABE" w:rsidR="00A978EF" w:rsidRPr="007C4E68" w:rsidRDefault="00DF1C8E" w:rsidP="007C4E68">
      <w:pPr>
        <w:pStyle w:val="Ttulo1"/>
        <w:spacing w:line="360" w:lineRule="auto"/>
        <w:ind w:left="0"/>
        <w:jc w:val="both"/>
        <w:rPr>
          <w:sz w:val="24"/>
          <w:szCs w:val="24"/>
        </w:rPr>
      </w:pPr>
      <w:r w:rsidRPr="007C4E68">
        <w:rPr>
          <w:sz w:val="24"/>
          <w:szCs w:val="24"/>
        </w:rPr>
        <w:t>CASE HISTORY</w:t>
      </w:r>
      <w:r>
        <w:rPr>
          <w:sz w:val="24"/>
          <w:szCs w:val="24"/>
        </w:rPr>
        <w:t>/EXAMINATION</w:t>
      </w:r>
    </w:p>
    <w:p w14:paraId="3C40A4FF" w14:textId="77777777" w:rsidR="00DF1C8E" w:rsidRDefault="00C707B3" w:rsidP="007C4E6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r w:rsidRPr="007C4E68">
        <w:rPr>
          <w:rFonts w:ascii="Calibri" w:eastAsia="Calibri" w:hAnsi="Calibri" w:cs="Calibri"/>
          <w:color w:val="000000"/>
        </w:rPr>
        <w:t xml:space="preserve">A 20-year-old female patient was referred to the Head and Neck surgery department with a history of a cervical mass that had been growing progressively for 10 months and associated with compressive symptoms. The patient denied dysphonia, dysphagia or other complaints. There was no relevant past medical </w:t>
      </w:r>
      <w:r w:rsidR="009F258F" w:rsidRPr="007C4E68">
        <w:rPr>
          <w:rFonts w:ascii="Calibri" w:eastAsia="Calibri" w:hAnsi="Calibri" w:cs="Calibri"/>
          <w:color w:val="000000"/>
        </w:rPr>
        <w:t>or</w:t>
      </w:r>
      <w:r w:rsidRPr="007C4E68">
        <w:rPr>
          <w:rFonts w:ascii="Calibri" w:eastAsia="Calibri" w:hAnsi="Calibri" w:cs="Calibri"/>
          <w:color w:val="000000"/>
        </w:rPr>
        <w:t xml:space="preserve"> family history. Physical examination </w:t>
      </w:r>
      <w:r w:rsidRPr="007C4E68">
        <w:rPr>
          <w:rFonts w:ascii="Calibri" w:eastAsia="Calibri" w:hAnsi="Calibri" w:cs="Calibri"/>
          <w:color w:val="000000"/>
        </w:rPr>
        <w:lastRenderedPageBreak/>
        <w:t xml:space="preserve">detected an anterior midline cervical mass that was firm and solid. Remaining head and neck and general </w:t>
      </w:r>
      <w:r w:rsidR="009F258F" w:rsidRPr="007C4E68">
        <w:rPr>
          <w:rFonts w:ascii="Calibri" w:eastAsia="Calibri" w:hAnsi="Calibri" w:cs="Calibri"/>
          <w:color w:val="000000"/>
        </w:rPr>
        <w:t xml:space="preserve">physical </w:t>
      </w:r>
      <w:r w:rsidRPr="007C4E68">
        <w:rPr>
          <w:rFonts w:ascii="Calibri" w:eastAsia="Calibri" w:hAnsi="Calibri" w:cs="Calibri"/>
          <w:color w:val="000000"/>
        </w:rPr>
        <w:t xml:space="preserve">examination was unremarkable. </w:t>
      </w:r>
    </w:p>
    <w:p w14:paraId="715FD657" w14:textId="594088AB" w:rsidR="00DF1C8E" w:rsidRDefault="00DF1C8E" w:rsidP="007C4E6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p>
    <w:p w14:paraId="1BC7FEA9" w14:textId="77777777" w:rsidR="00DF1C8E" w:rsidRDefault="00DF1C8E" w:rsidP="007C4E6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p>
    <w:p w14:paraId="3D5A02CC" w14:textId="3B8AE6EA" w:rsidR="00DF1C8E" w:rsidRDefault="00DF1C8E" w:rsidP="00DF1C8E">
      <w:pPr>
        <w:pStyle w:val="Ttulo1"/>
        <w:spacing w:line="360" w:lineRule="auto"/>
        <w:ind w:left="0"/>
        <w:jc w:val="both"/>
        <w:rPr>
          <w:sz w:val="24"/>
          <w:szCs w:val="24"/>
        </w:rPr>
      </w:pPr>
      <w:r w:rsidRPr="00DF1C8E">
        <w:rPr>
          <w:sz w:val="24"/>
          <w:szCs w:val="24"/>
        </w:rPr>
        <w:t>METHODS</w:t>
      </w:r>
      <w:r>
        <w:rPr>
          <w:sz w:val="24"/>
          <w:szCs w:val="24"/>
        </w:rPr>
        <w:t xml:space="preserve"> </w:t>
      </w:r>
      <w:r w:rsidRPr="00DF1C8E">
        <w:rPr>
          <w:sz w:val="24"/>
          <w:szCs w:val="24"/>
        </w:rPr>
        <w:t>(DIFFERENTIAL DIAGNOSIS, INVESTIGATIONS AND TREATMENT)</w:t>
      </w:r>
    </w:p>
    <w:p w14:paraId="3A07DF33" w14:textId="04AEB4C8" w:rsidR="00A978EF" w:rsidRPr="007C4E68" w:rsidRDefault="00C707B3" w:rsidP="007C4E6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r w:rsidRPr="007C4E68">
        <w:rPr>
          <w:rFonts w:ascii="Calibri" w:eastAsia="Calibri" w:hAnsi="Calibri" w:cs="Calibri"/>
          <w:color w:val="000000"/>
        </w:rPr>
        <w:t xml:space="preserve">All blood tests, including serum TSH, T4, thyroid antibodies and calcitonin were within normal value range. Ultrasonography of the neck identified a heterogeneous, hypoechoic solid nodule filling almost the entire left lobe, with 80×40×40mm in size. No neck </w:t>
      </w:r>
      <w:r w:rsidR="00463BC1" w:rsidRPr="007C4E68">
        <w:rPr>
          <w:rFonts w:ascii="Calibri" w:eastAsia="Calibri" w:hAnsi="Calibri" w:cs="Calibri"/>
          <w:color w:val="000000"/>
        </w:rPr>
        <w:t xml:space="preserve">lymphadenopathies </w:t>
      </w:r>
      <w:r w:rsidRPr="007C4E68">
        <w:rPr>
          <w:rFonts w:ascii="Calibri" w:eastAsia="Calibri" w:hAnsi="Calibri" w:cs="Calibri"/>
          <w:color w:val="000000"/>
        </w:rPr>
        <w:t xml:space="preserve">were detected.  </w:t>
      </w:r>
      <w:r w:rsidR="009F258F" w:rsidRPr="007C4E68">
        <w:rPr>
          <w:rFonts w:ascii="Calibri" w:eastAsia="Calibri" w:hAnsi="Calibri" w:cs="Calibri"/>
          <w:color w:val="000000"/>
        </w:rPr>
        <w:t>Fine</w:t>
      </w:r>
      <w:r w:rsidR="009F258F" w:rsidRPr="007C4E68">
        <w:t xml:space="preserve"> </w:t>
      </w:r>
      <w:r w:rsidR="009F258F" w:rsidRPr="007C4E68">
        <w:rPr>
          <w:rFonts w:ascii="Calibri" w:eastAsia="Calibri" w:hAnsi="Calibri" w:cs="Calibri"/>
          <w:color w:val="000000"/>
        </w:rPr>
        <w:t>needle aspiration cytology (</w:t>
      </w:r>
      <w:r w:rsidRPr="007C4E68">
        <w:rPr>
          <w:rFonts w:ascii="Calibri" w:eastAsia="Calibri" w:hAnsi="Calibri" w:cs="Calibri"/>
          <w:color w:val="000000"/>
        </w:rPr>
        <w:t>FNAC</w:t>
      </w:r>
      <w:r w:rsidR="009F258F" w:rsidRPr="007C4E68">
        <w:rPr>
          <w:rFonts w:ascii="Calibri" w:eastAsia="Calibri" w:hAnsi="Calibri" w:cs="Calibri"/>
          <w:color w:val="000000"/>
        </w:rPr>
        <w:t>)</w:t>
      </w:r>
      <w:r w:rsidRPr="007C4E68">
        <w:rPr>
          <w:rFonts w:ascii="Calibri" w:eastAsia="Calibri" w:hAnsi="Calibri" w:cs="Calibri"/>
          <w:color w:val="000000"/>
        </w:rPr>
        <w:t xml:space="preserve"> of the same nodule was suggestive of medullary carcinoma.</w:t>
      </w:r>
      <w:r w:rsidR="00820047" w:rsidRPr="007C4E68">
        <w:rPr>
          <w:rFonts w:ascii="Calibri" w:eastAsia="Calibri" w:hAnsi="Calibri" w:cs="Calibri"/>
          <w:color w:val="000000"/>
        </w:rPr>
        <w:t xml:space="preserve"> </w:t>
      </w:r>
      <w:r w:rsidR="00820047" w:rsidRPr="007C4E68">
        <w:rPr>
          <w:rFonts w:ascii="Calibri" w:eastAsia="Calibri" w:hAnsi="Calibri" w:cs="Calibri"/>
          <w:b/>
          <w:bCs/>
          <w:color w:val="000000"/>
        </w:rPr>
        <w:t>[Figure 1]</w:t>
      </w:r>
      <w:r w:rsidRPr="007C4E68">
        <w:rPr>
          <w:rFonts w:ascii="Calibri" w:eastAsia="Calibri" w:hAnsi="Calibri" w:cs="Calibri"/>
          <w:color w:val="000000"/>
        </w:rPr>
        <w:t xml:space="preserve"> Further diagnostic workup detected right deviation of the trachea, tracheal lumen reduction greater than 50% and erasing</w:t>
      </w:r>
      <w:r w:rsidR="009F258F" w:rsidRPr="007C4E68">
        <w:rPr>
          <w:rFonts w:ascii="Calibri" w:eastAsia="Calibri" w:hAnsi="Calibri" w:cs="Calibri"/>
          <w:color w:val="000000"/>
        </w:rPr>
        <w:t xml:space="preserve"> </w:t>
      </w:r>
      <w:r w:rsidRPr="007C4E68">
        <w:rPr>
          <w:rFonts w:ascii="Calibri" w:eastAsia="Calibri" w:hAnsi="Calibri" w:cs="Calibri"/>
          <w:color w:val="000000"/>
        </w:rPr>
        <w:t>of peri-esophageal fat on CT scan</w:t>
      </w:r>
      <w:r w:rsidR="00820047" w:rsidRPr="007C4E68">
        <w:rPr>
          <w:rFonts w:ascii="Calibri" w:eastAsia="Calibri" w:hAnsi="Calibri" w:cs="Calibri"/>
          <w:color w:val="000000"/>
        </w:rPr>
        <w:t xml:space="preserve"> </w:t>
      </w:r>
      <w:r w:rsidR="00820047" w:rsidRPr="007C4E68">
        <w:rPr>
          <w:rFonts w:ascii="Calibri" w:eastAsia="Calibri" w:hAnsi="Calibri" w:cs="Calibri"/>
          <w:b/>
          <w:bCs/>
          <w:color w:val="000000"/>
        </w:rPr>
        <w:t>[Figure 2]</w:t>
      </w:r>
      <w:r w:rsidRPr="007C4E68">
        <w:rPr>
          <w:rFonts w:ascii="Calibri" w:eastAsia="Calibri" w:hAnsi="Calibri" w:cs="Calibri"/>
          <w:color w:val="000000"/>
        </w:rPr>
        <w:t>, but no signs of lumen invasion on bronchoscopy.</w:t>
      </w:r>
    </w:p>
    <w:p w14:paraId="5A5645B8" w14:textId="5AC97480" w:rsidR="00A978EF" w:rsidRDefault="00C707B3" w:rsidP="007C4E6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r w:rsidRPr="007C4E68">
        <w:rPr>
          <w:rFonts w:ascii="Calibri" w:eastAsia="Calibri" w:hAnsi="Calibri" w:cs="Calibri"/>
          <w:color w:val="000000"/>
        </w:rPr>
        <w:t>The case, which was initially suggestive of medullary thyroid carcinoma, was discussed in a thyroid oncology multidisciplinary team meeting and proposed for surgical treatment with total thyroidectomy and central compartment lymph node dissection. During surgery, however, it was decided not to perform the lymphadenectomy due to the absence of suspicious lymph nodes. The patient was discharged on the third postoperative day with no immediate complications.</w:t>
      </w:r>
    </w:p>
    <w:p w14:paraId="7D873600" w14:textId="472FA698" w:rsidR="00DF1C8E" w:rsidRDefault="00DF1C8E" w:rsidP="007C4E6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p>
    <w:p w14:paraId="0A16F428" w14:textId="2DA15B54" w:rsidR="00DF1C8E" w:rsidRDefault="00DF1C8E" w:rsidP="007C4E6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p>
    <w:p w14:paraId="22397338" w14:textId="6BB672CD" w:rsidR="00DF1C8E" w:rsidRPr="00DF1C8E" w:rsidRDefault="00DF1C8E" w:rsidP="00DF1C8E">
      <w:pPr>
        <w:pStyle w:val="Ttulo1"/>
        <w:spacing w:line="360" w:lineRule="auto"/>
        <w:ind w:left="0"/>
        <w:jc w:val="both"/>
        <w:rPr>
          <w:sz w:val="24"/>
          <w:szCs w:val="24"/>
        </w:rPr>
      </w:pPr>
      <w:r w:rsidRPr="00DF1C8E">
        <w:rPr>
          <w:sz w:val="24"/>
          <w:szCs w:val="24"/>
        </w:rPr>
        <w:t>CONCLUSION AND RESULTS (OUTCOME AND FOLLOW-UP)</w:t>
      </w:r>
    </w:p>
    <w:p w14:paraId="3ABD80FB" w14:textId="2BB9ACBB" w:rsidR="00A978EF" w:rsidRPr="007C4E68" w:rsidRDefault="00DF1C8E" w:rsidP="007C4E6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r>
        <w:rPr>
          <w:rFonts w:ascii="Calibri" w:eastAsia="Calibri" w:hAnsi="Calibri" w:cs="Calibri"/>
          <w:color w:val="000000"/>
        </w:rPr>
        <w:t>The</w:t>
      </w:r>
      <w:r w:rsidR="00C707B3" w:rsidRPr="007C4E68">
        <w:rPr>
          <w:rFonts w:ascii="Calibri" w:eastAsia="Calibri" w:hAnsi="Calibri" w:cs="Calibri"/>
          <w:color w:val="000000"/>
        </w:rPr>
        <w:t xml:space="preserve"> </w:t>
      </w:r>
      <w:r w:rsidR="007D5365">
        <w:rPr>
          <w:rFonts w:ascii="Calibri" w:eastAsia="Calibri" w:hAnsi="Calibri" w:cs="Calibri"/>
          <w:color w:val="000000"/>
        </w:rPr>
        <w:t xml:space="preserve">macroscopic </w:t>
      </w:r>
      <w:r>
        <w:rPr>
          <w:rFonts w:ascii="Calibri" w:eastAsia="Calibri" w:hAnsi="Calibri" w:cs="Calibri"/>
          <w:color w:val="000000"/>
        </w:rPr>
        <w:t>anatom</w:t>
      </w:r>
      <w:r w:rsidR="007D5365">
        <w:rPr>
          <w:rFonts w:ascii="Calibri" w:eastAsia="Calibri" w:hAnsi="Calibri" w:cs="Calibri"/>
          <w:color w:val="000000"/>
        </w:rPr>
        <w:t>o</w:t>
      </w:r>
      <w:r>
        <w:rPr>
          <w:rFonts w:ascii="Calibri" w:eastAsia="Calibri" w:hAnsi="Calibri" w:cs="Calibri"/>
          <w:color w:val="000000"/>
        </w:rPr>
        <w:t>patholog</w:t>
      </w:r>
      <w:r w:rsidR="007D5365">
        <w:rPr>
          <w:rFonts w:ascii="Calibri" w:eastAsia="Calibri" w:hAnsi="Calibri" w:cs="Calibri"/>
          <w:color w:val="000000"/>
        </w:rPr>
        <w:t>ical</w:t>
      </w:r>
      <w:r>
        <w:rPr>
          <w:rFonts w:ascii="Calibri" w:eastAsia="Calibri" w:hAnsi="Calibri" w:cs="Calibri"/>
          <w:color w:val="000000"/>
        </w:rPr>
        <w:t xml:space="preserve"> </w:t>
      </w:r>
      <w:r w:rsidR="00C707B3" w:rsidRPr="007C4E68">
        <w:rPr>
          <w:rFonts w:ascii="Calibri" w:eastAsia="Calibri" w:hAnsi="Calibri" w:cs="Calibri"/>
          <w:color w:val="000000"/>
        </w:rPr>
        <w:t>examination</w:t>
      </w:r>
      <w:r>
        <w:rPr>
          <w:rFonts w:ascii="Calibri" w:eastAsia="Calibri" w:hAnsi="Calibri" w:cs="Calibri"/>
          <w:color w:val="000000"/>
        </w:rPr>
        <w:t xml:space="preserve"> identified</w:t>
      </w:r>
      <w:r w:rsidR="00C707B3" w:rsidRPr="007C4E68">
        <w:rPr>
          <w:rFonts w:ascii="Calibri" w:eastAsia="Calibri" w:hAnsi="Calibri" w:cs="Calibri"/>
          <w:color w:val="000000"/>
        </w:rPr>
        <w:t xml:space="preserve"> a</w:t>
      </w:r>
      <w:r w:rsidR="00C1346C">
        <w:rPr>
          <w:rFonts w:ascii="Calibri" w:eastAsia="Calibri" w:hAnsi="Calibri" w:cs="Calibri"/>
          <w:color w:val="000000"/>
        </w:rPr>
        <w:t xml:space="preserve"> </w:t>
      </w:r>
      <w:r w:rsidR="007D5365">
        <w:rPr>
          <w:rFonts w:ascii="Calibri" w:eastAsia="Calibri" w:hAnsi="Calibri" w:cs="Calibri"/>
          <w:color w:val="000000"/>
        </w:rPr>
        <w:t>solid</w:t>
      </w:r>
      <w:r w:rsidR="007D5365">
        <w:rPr>
          <w:rFonts w:ascii="Calibri" w:eastAsia="Calibri" w:hAnsi="Calibri" w:cs="Calibri"/>
          <w:color w:val="000000"/>
        </w:rPr>
        <w:t>, b</w:t>
      </w:r>
      <w:r w:rsidR="007D5365">
        <w:rPr>
          <w:rFonts w:ascii="Calibri" w:eastAsia="Calibri" w:hAnsi="Calibri" w:cs="Calibri"/>
          <w:color w:val="000000"/>
        </w:rPr>
        <w:t>rown</w:t>
      </w:r>
      <w:r w:rsidR="007D5365">
        <w:rPr>
          <w:rFonts w:ascii="Calibri" w:eastAsia="Calibri" w:hAnsi="Calibri" w:cs="Calibri"/>
          <w:color w:val="000000"/>
        </w:rPr>
        <w:t xml:space="preserve">, </w:t>
      </w:r>
      <w:r w:rsidR="007D5365" w:rsidRPr="007C4E68">
        <w:rPr>
          <w:rFonts w:ascii="Calibri" w:eastAsia="Calibri" w:hAnsi="Calibri" w:cs="Calibri"/>
          <w:color w:val="000000"/>
        </w:rPr>
        <w:t>well-defined</w:t>
      </w:r>
      <w:r w:rsidR="007D5365">
        <w:rPr>
          <w:rFonts w:ascii="Calibri" w:eastAsia="Calibri" w:hAnsi="Calibri" w:cs="Calibri"/>
          <w:color w:val="000000"/>
        </w:rPr>
        <w:t xml:space="preserve"> </w:t>
      </w:r>
      <w:r w:rsidR="00C1346C">
        <w:rPr>
          <w:rFonts w:ascii="Calibri" w:eastAsia="Calibri" w:hAnsi="Calibri" w:cs="Calibri"/>
          <w:color w:val="000000"/>
        </w:rPr>
        <w:t>tumor in the left thyroid lobe, measuring</w:t>
      </w:r>
      <w:r w:rsidR="00C707B3" w:rsidRPr="007C4E68">
        <w:rPr>
          <w:rFonts w:ascii="Calibri" w:eastAsia="Calibri" w:hAnsi="Calibri" w:cs="Calibri"/>
          <w:color w:val="000000"/>
        </w:rPr>
        <w:t xml:space="preserve"> 8 cm</w:t>
      </w:r>
      <w:r w:rsidR="00C1346C">
        <w:rPr>
          <w:rFonts w:ascii="Calibri" w:eastAsia="Calibri" w:hAnsi="Calibri" w:cs="Calibri"/>
          <w:color w:val="000000"/>
        </w:rPr>
        <w:t xml:space="preserve">. </w:t>
      </w:r>
      <w:r w:rsidR="00C707B3" w:rsidRPr="007C4E68">
        <w:rPr>
          <w:rFonts w:ascii="Calibri" w:eastAsia="Calibri" w:hAnsi="Calibri" w:cs="Calibri"/>
          <w:color w:val="000000"/>
        </w:rPr>
        <w:t>Microscopic examination revealed a predominantly spindle-cell biphasic neoplasm, with areas of stromal hyalinization</w:t>
      </w:r>
      <w:r w:rsidR="00820047" w:rsidRPr="007C4E68">
        <w:rPr>
          <w:rFonts w:ascii="Calibri" w:eastAsia="Calibri" w:hAnsi="Calibri" w:cs="Calibri"/>
          <w:color w:val="000000"/>
        </w:rPr>
        <w:t xml:space="preserve"> </w:t>
      </w:r>
      <w:r w:rsidR="00820047" w:rsidRPr="007C4E68">
        <w:rPr>
          <w:rFonts w:ascii="Calibri" w:eastAsia="Calibri" w:hAnsi="Calibri" w:cs="Calibri"/>
          <w:b/>
          <w:bCs/>
          <w:color w:val="000000"/>
        </w:rPr>
        <w:t>[Figure 3]</w:t>
      </w:r>
      <w:r w:rsidR="00C707B3" w:rsidRPr="007C4E68">
        <w:rPr>
          <w:rFonts w:ascii="Calibri" w:eastAsia="Calibri" w:hAnsi="Calibri" w:cs="Calibri"/>
          <w:color w:val="000000"/>
        </w:rPr>
        <w:t xml:space="preserve">. The spindle cells had scant cytoplasm and elongated nuclei with fine chromatin and </w:t>
      </w:r>
      <w:r w:rsidR="00C707B3" w:rsidRPr="007C4E68">
        <w:rPr>
          <w:rFonts w:ascii="Calibri" w:eastAsia="Calibri" w:hAnsi="Calibri" w:cs="Calibri"/>
          <w:color w:val="000000"/>
        </w:rPr>
        <w:lastRenderedPageBreak/>
        <w:t xml:space="preserve">inconspicuous nucleoli. The glandular component showed microcystic glandular-like structures. Mitotic figures were rare, and no necrosis was seen. Both components were positive for </w:t>
      </w:r>
      <w:proofErr w:type="spellStart"/>
      <w:r w:rsidR="00C707B3" w:rsidRPr="007C4E68">
        <w:rPr>
          <w:rFonts w:ascii="Calibri" w:eastAsia="Calibri" w:hAnsi="Calibri" w:cs="Calibri"/>
          <w:color w:val="000000"/>
        </w:rPr>
        <w:t>cytokeratins</w:t>
      </w:r>
      <w:proofErr w:type="spellEnd"/>
      <w:r w:rsidR="00C707B3" w:rsidRPr="007C4E68">
        <w:rPr>
          <w:rFonts w:ascii="Calibri" w:eastAsia="Calibri" w:hAnsi="Calibri" w:cs="Calibri"/>
          <w:color w:val="000000"/>
        </w:rPr>
        <w:t xml:space="preserve"> (AE1/AE3 and CAM5.2), P63 and P40. TTF-1, calcitonin A and thyroglobulin were negative</w:t>
      </w:r>
      <w:r w:rsidR="00820047" w:rsidRPr="007C4E68">
        <w:rPr>
          <w:rFonts w:ascii="Calibri" w:eastAsia="Calibri" w:hAnsi="Calibri" w:cs="Calibri"/>
          <w:color w:val="000000"/>
        </w:rPr>
        <w:t xml:space="preserve"> </w:t>
      </w:r>
      <w:r w:rsidR="00820047" w:rsidRPr="007C4E68">
        <w:rPr>
          <w:rFonts w:ascii="Calibri" w:eastAsia="Calibri" w:hAnsi="Calibri" w:cs="Calibri"/>
          <w:b/>
          <w:bCs/>
          <w:color w:val="000000"/>
        </w:rPr>
        <w:t>[Figure 4]</w:t>
      </w:r>
      <w:r w:rsidR="00C707B3" w:rsidRPr="007C4E68">
        <w:rPr>
          <w:rFonts w:ascii="Calibri" w:eastAsia="Calibri" w:hAnsi="Calibri" w:cs="Calibri"/>
          <w:color w:val="000000"/>
        </w:rPr>
        <w:t>. No SS18 gene rearrangements were detected by FISH. A final histopathological diagnosis of SETTLE was rendered. Subsequently, it was decided that no adjuvant treatment was needed. At 6 months of postoperative follow-up, the patient remained asymptomatic and with no detected disease recurrence by physical and radiologic examination.</w:t>
      </w:r>
    </w:p>
    <w:p w14:paraId="30696073" w14:textId="77777777" w:rsidR="00A978EF" w:rsidRPr="007C4E68" w:rsidRDefault="00A978EF" w:rsidP="007C4E68">
      <w:pPr>
        <w:widowControl w:val="0"/>
        <w:pBdr>
          <w:top w:val="nil"/>
          <w:left w:val="nil"/>
          <w:bottom w:val="nil"/>
          <w:right w:val="nil"/>
          <w:between w:val="nil"/>
        </w:pBdr>
        <w:spacing w:line="360" w:lineRule="auto"/>
        <w:rPr>
          <w:rFonts w:ascii="Calibri" w:eastAsia="Calibri" w:hAnsi="Calibri" w:cs="Calibri"/>
          <w:color w:val="000000"/>
        </w:rPr>
      </w:pPr>
    </w:p>
    <w:p w14:paraId="55A5EF9F" w14:textId="6ECFF8DB" w:rsidR="00A978EF" w:rsidRPr="007C4E68" w:rsidRDefault="00DF1C8E" w:rsidP="007C4E68">
      <w:pPr>
        <w:pStyle w:val="Ttulo1"/>
        <w:spacing w:line="360" w:lineRule="auto"/>
        <w:ind w:left="0"/>
        <w:rPr>
          <w:sz w:val="24"/>
          <w:szCs w:val="24"/>
        </w:rPr>
      </w:pPr>
      <w:r w:rsidRPr="007C4E68">
        <w:rPr>
          <w:sz w:val="24"/>
          <w:szCs w:val="24"/>
        </w:rPr>
        <w:t>DISCUSSION</w:t>
      </w:r>
    </w:p>
    <w:p w14:paraId="59E68A6A" w14:textId="77777777" w:rsidR="00A978EF" w:rsidRPr="007C4E68" w:rsidRDefault="00C707B3" w:rsidP="007C4E6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r w:rsidRPr="007C4E68">
        <w:rPr>
          <w:rFonts w:ascii="Calibri" w:eastAsia="Calibri" w:hAnsi="Calibri" w:cs="Calibri"/>
          <w:color w:val="000000"/>
        </w:rPr>
        <w:t>SETTLE is a malignant intrathyroidal tumor believed to arise from ectopic thymic tissue or embryonic remnants of branchial pouches.</w:t>
      </w:r>
      <w:r w:rsidRPr="007C4E68">
        <w:rPr>
          <w:rFonts w:ascii="Calibri" w:eastAsia="Calibri" w:hAnsi="Calibri" w:cs="Calibri"/>
          <w:color w:val="000000"/>
          <w:vertAlign w:val="superscript"/>
        </w:rPr>
        <w:t xml:space="preserve">1 </w:t>
      </w:r>
      <w:r w:rsidRPr="007C4E68">
        <w:rPr>
          <w:rFonts w:ascii="Calibri" w:eastAsia="Calibri" w:hAnsi="Calibri" w:cs="Calibri"/>
          <w:color w:val="000000"/>
        </w:rPr>
        <w:t>It typically occurs in children and young adults, the mean age being 15 years.</w:t>
      </w:r>
      <w:r w:rsidRPr="007C4E68">
        <w:rPr>
          <w:rFonts w:ascii="Calibri" w:eastAsia="Calibri" w:hAnsi="Calibri" w:cs="Calibri"/>
          <w:color w:val="000000"/>
          <w:vertAlign w:val="superscript"/>
        </w:rPr>
        <w:t xml:space="preserve">1,6 </w:t>
      </w:r>
      <w:r w:rsidRPr="007C4E68">
        <w:rPr>
          <w:rFonts w:ascii="Calibri" w:eastAsia="Calibri" w:hAnsi="Calibri" w:cs="Calibri"/>
          <w:color w:val="000000"/>
        </w:rPr>
        <w:t>It is a clinically indolent thyroid cancer, asymptomatic at presentation.</w:t>
      </w:r>
      <w:r w:rsidRPr="007C4E68">
        <w:rPr>
          <w:rFonts w:ascii="Calibri" w:eastAsia="Calibri" w:hAnsi="Calibri" w:cs="Calibri"/>
          <w:color w:val="000000"/>
          <w:vertAlign w:val="superscript"/>
        </w:rPr>
        <w:t xml:space="preserve">5,6 </w:t>
      </w:r>
      <w:r w:rsidRPr="007C4E68">
        <w:rPr>
          <w:rFonts w:ascii="Calibri" w:eastAsia="Calibri" w:hAnsi="Calibri" w:cs="Calibri"/>
          <w:color w:val="000000"/>
        </w:rPr>
        <w:t>There are only few cases reporting tracheal compression at diagnosis.</w:t>
      </w:r>
      <w:r w:rsidRPr="007C4E68">
        <w:rPr>
          <w:rFonts w:ascii="Calibri" w:eastAsia="Calibri" w:hAnsi="Calibri" w:cs="Calibri"/>
          <w:color w:val="000000"/>
          <w:vertAlign w:val="superscript"/>
        </w:rPr>
        <w:t xml:space="preserve">1,7,8 </w:t>
      </w:r>
      <w:r w:rsidRPr="007C4E68">
        <w:rPr>
          <w:rFonts w:ascii="Calibri" w:eastAsia="Calibri" w:hAnsi="Calibri" w:cs="Calibri"/>
          <w:color w:val="000000"/>
        </w:rPr>
        <w:t>In this case, SETTLE presented with compressive symptoms and tracheal obstruction with significant lumen reduction. Clinically, nodular goiter, diﬀerentiated thyroid malignancy and medullary carcinoma of the thyroid were considered.</w:t>
      </w:r>
    </w:p>
    <w:p w14:paraId="7C58F4AC" w14:textId="6D632D12" w:rsidR="00A978EF" w:rsidRPr="007C4E68" w:rsidRDefault="00C707B3" w:rsidP="007C4E6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r w:rsidRPr="007C4E68">
        <w:rPr>
          <w:rFonts w:ascii="Calibri" w:eastAsia="Calibri" w:hAnsi="Calibri" w:cs="Calibri"/>
          <w:color w:val="000000"/>
        </w:rPr>
        <w:t>Diagnostic cytomorphological features of SETTLE include a highly or moderate cellular aspirate with cohesive and single dissociated spindle cells with bland oval nuclei and absence of amyloid.</w:t>
      </w:r>
      <w:r w:rsidRPr="007C4E68">
        <w:rPr>
          <w:rFonts w:ascii="Calibri" w:eastAsia="Calibri" w:hAnsi="Calibri" w:cs="Calibri"/>
          <w:color w:val="000000"/>
          <w:vertAlign w:val="superscript"/>
        </w:rPr>
        <w:t xml:space="preserve">9 </w:t>
      </w:r>
      <w:r w:rsidRPr="007C4E68">
        <w:rPr>
          <w:rFonts w:ascii="Calibri" w:eastAsia="Calibri" w:hAnsi="Calibri" w:cs="Calibri"/>
          <w:color w:val="000000"/>
        </w:rPr>
        <w:t>However, FNAC hyaline material resembling amyloid may lead to misdiagnosis.</w:t>
      </w:r>
      <w:r w:rsidRPr="007C4E68">
        <w:rPr>
          <w:rFonts w:ascii="Calibri" w:eastAsia="Calibri" w:hAnsi="Calibri" w:cs="Calibri"/>
          <w:color w:val="000000"/>
          <w:vertAlign w:val="superscript"/>
        </w:rPr>
        <w:t xml:space="preserve">10 </w:t>
      </w:r>
      <w:r w:rsidRPr="007C4E68">
        <w:rPr>
          <w:rFonts w:ascii="Calibri" w:eastAsia="Calibri" w:hAnsi="Calibri" w:cs="Calibri"/>
          <w:color w:val="000000"/>
        </w:rPr>
        <w:t>Histologically, this tumor is a highly cellular biphasic tumor, predominantly composed of spindle cells with gland-like epithelial structures without significant atypia.</w:t>
      </w:r>
      <w:r w:rsidRPr="007C4E68">
        <w:rPr>
          <w:rFonts w:ascii="Calibri" w:eastAsia="Calibri" w:hAnsi="Calibri" w:cs="Calibri"/>
          <w:color w:val="000000"/>
          <w:vertAlign w:val="superscript"/>
        </w:rPr>
        <w:t xml:space="preserve">1 </w:t>
      </w:r>
      <w:r w:rsidRPr="007C4E68">
        <w:rPr>
          <w:rFonts w:ascii="Calibri" w:eastAsia="Calibri" w:hAnsi="Calibri" w:cs="Calibri"/>
          <w:color w:val="000000"/>
        </w:rPr>
        <w:t xml:space="preserve">Also, </w:t>
      </w:r>
      <w:r w:rsidR="00230AF9" w:rsidRPr="007C4E68">
        <w:rPr>
          <w:rFonts w:ascii="Calibri" w:eastAsia="Calibri" w:hAnsi="Calibri" w:cs="Calibri"/>
          <w:color w:val="000000"/>
        </w:rPr>
        <w:t xml:space="preserve">it </w:t>
      </w:r>
      <w:r w:rsidRPr="007C4E68">
        <w:rPr>
          <w:rFonts w:ascii="Calibri" w:eastAsia="Calibri" w:hAnsi="Calibri" w:cs="Calibri"/>
          <w:color w:val="000000"/>
        </w:rPr>
        <w:t xml:space="preserve">exhibits positivity for </w:t>
      </w:r>
      <w:proofErr w:type="spellStart"/>
      <w:r w:rsidRPr="007C4E68">
        <w:rPr>
          <w:rFonts w:ascii="Calibri" w:eastAsia="Calibri" w:hAnsi="Calibri" w:cs="Calibri"/>
          <w:color w:val="000000"/>
        </w:rPr>
        <w:t>cytokeratins</w:t>
      </w:r>
      <w:proofErr w:type="spellEnd"/>
      <w:r w:rsidRPr="007C4E68">
        <w:rPr>
          <w:rFonts w:ascii="Calibri" w:eastAsia="Calibri" w:hAnsi="Calibri" w:cs="Calibri"/>
          <w:color w:val="000000"/>
        </w:rPr>
        <w:t xml:space="preserve"> and negativity for thyroid gland and neuroendocrine markers.</w:t>
      </w:r>
      <w:r w:rsidRPr="007C4E68">
        <w:rPr>
          <w:rFonts w:ascii="Calibri" w:eastAsia="Calibri" w:hAnsi="Calibri" w:cs="Calibri"/>
          <w:color w:val="000000"/>
          <w:vertAlign w:val="superscript"/>
        </w:rPr>
        <w:t xml:space="preserve">9 </w:t>
      </w:r>
      <w:r w:rsidRPr="007C4E68">
        <w:rPr>
          <w:rFonts w:ascii="Calibri" w:eastAsia="Calibri" w:hAnsi="Calibri" w:cs="Calibri"/>
          <w:color w:val="000000"/>
        </w:rPr>
        <w:t>Immunohistochemistry is, therefore, a well-established tool for diﬀerential diagnosis.</w:t>
      </w:r>
      <w:r w:rsidRPr="007C4E68">
        <w:rPr>
          <w:rFonts w:ascii="Calibri" w:eastAsia="Calibri" w:hAnsi="Calibri" w:cs="Calibri"/>
          <w:color w:val="000000"/>
          <w:vertAlign w:val="superscript"/>
        </w:rPr>
        <w:t>7</w:t>
      </w:r>
    </w:p>
    <w:p w14:paraId="7BAF6776" w14:textId="4F41CCF6" w:rsidR="00A978EF" w:rsidRPr="007C4E68" w:rsidRDefault="00C707B3" w:rsidP="007C4E6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r w:rsidRPr="007C4E68">
        <w:rPr>
          <w:rFonts w:ascii="Calibri" w:eastAsia="Calibri" w:hAnsi="Calibri" w:cs="Calibri"/>
          <w:color w:val="000000"/>
        </w:rPr>
        <w:t xml:space="preserve">In the reported case, cytological examination was suggestive of a medullary thyroid carcinoma. This carcinoma accounts for less than 10% of thyroid cancers, </w:t>
      </w:r>
      <w:r w:rsidR="00230AF9" w:rsidRPr="007C4E68">
        <w:rPr>
          <w:rFonts w:ascii="Calibri" w:eastAsia="Calibri" w:hAnsi="Calibri" w:cs="Calibri"/>
          <w:color w:val="000000"/>
        </w:rPr>
        <w:t>typically</w:t>
      </w:r>
      <w:r w:rsidRPr="007C4E68">
        <w:rPr>
          <w:rFonts w:ascii="Calibri" w:eastAsia="Calibri" w:hAnsi="Calibri" w:cs="Calibri"/>
          <w:color w:val="000000"/>
        </w:rPr>
        <w:t xml:space="preserve"> present</w:t>
      </w:r>
      <w:r w:rsidR="00230AF9" w:rsidRPr="007C4E68">
        <w:rPr>
          <w:rFonts w:ascii="Calibri" w:eastAsia="Calibri" w:hAnsi="Calibri" w:cs="Calibri"/>
          <w:color w:val="000000"/>
        </w:rPr>
        <w:t>ing</w:t>
      </w:r>
      <w:r w:rsidRPr="007C4E68">
        <w:rPr>
          <w:rFonts w:ascii="Calibri" w:eastAsia="Calibri" w:hAnsi="Calibri" w:cs="Calibri"/>
          <w:color w:val="000000"/>
        </w:rPr>
        <w:t xml:space="preserve"> </w:t>
      </w:r>
      <w:r w:rsidRPr="007C4E68">
        <w:rPr>
          <w:rFonts w:ascii="Calibri" w:eastAsia="Calibri" w:hAnsi="Calibri" w:cs="Calibri"/>
          <w:color w:val="000000"/>
        </w:rPr>
        <w:lastRenderedPageBreak/>
        <w:t>between the fourth to sixth decades of life and is characterized by elevated serum calcitonin levels, contrary to the present case.</w:t>
      </w:r>
      <w:r w:rsidRPr="007C4E68">
        <w:rPr>
          <w:rFonts w:ascii="Calibri" w:eastAsia="Calibri" w:hAnsi="Calibri" w:cs="Calibri"/>
          <w:color w:val="000000"/>
          <w:vertAlign w:val="superscript"/>
        </w:rPr>
        <w:t xml:space="preserve">11 </w:t>
      </w:r>
      <w:r w:rsidRPr="007C4E68">
        <w:rPr>
          <w:rFonts w:ascii="Calibri" w:eastAsia="Calibri" w:hAnsi="Calibri" w:cs="Calibri"/>
          <w:color w:val="000000"/>
        </w:rPr>
        <w:t xml:space="preserve">The recommended treatment for medullary thyroid carcinoma is surgery and the currently accepted approach is to remove the entire gland along with neck and upper chest lymph nodes, if </w:t>
      </w:r>
      <w:r w:rsidR="00230AF9" w:rsidRPr="007C4E68">
        <w:rPr>
          <w:rFonts w:ascii="Calibri" w:eastAsia="Calibri" w:hAnsi="Calibri" w:cs="Calibri"/>
          <w:color w:val="000000"/>
        </w:rPr>
        <w:t>required</w:t>
      </w:r>
      <w:r w:rsidRPr="007C4E68">
        <w:rPr>
          <w:rFonts w:ascii="Calibri" w:eastAsia="Calibri" w:hAnsi="Calibri" w:cs="Calibri"/>
          <w:color w:val="000000"/>
        </w:rPr>
        <w:t>.</w:t>
      </w:r>
      <w:r w:rsidRPr="007C4E68">
        <w:rPr>
          <w:rFonts w:ascii="Calibri" w:eastAsia="Calibri" w:hAnsi="Calibri" w:cs="Calibri"/>
          <w:color w:val="000000"/>
          <w:vertAlign w:val="superscript"/>
        </w:rPr>
        <w:t>11</w:t>
      </w:r>
    </w:p>
    <w:p w14:paraId="1321192C" w14:textId="2A60DC80" w:rsidR="00A978EF" w:rsidRPr="007C4E68" w:rsidRDefault="00C707B3" w:rsidP="007C4E6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r w:rsidRPr="007C4E68">
        <w:rPr>
          <w:rFonts w:ascii="Calibri" w:eastAsia="Calibri" w:hAnsi="Calibri" w:cs="Calibri"/>
          <w:color w:val="000000"/>
        </w:rPr>
        <w:t>The main histological diﬀerential diagnosis includes ectopic cervical thymoma, synovial sarcoma, anaplastic carcinoma and spindle cell variant of papillary and medullary thyroid carcinoma.</w:t>
      </w:r>
      <w:r w:rsidRPr="007C4E68">
        <w:rPr>
          <w:rFonts w:ascii="Calibri" w:eastAsia="Calibri" w:hAnsi="Calibri" w:cs="Calibri"/>
          <w:color w:val="000000"/>
          <w:vertAlign w:val="superscript"/>
        </w:rPr>
        <w:t xml:space="preserve">6,10 </w:t>
      </w:r>
      <w:r w:rsidRPr="007C4E68">
        <w:rPr>
          <w:rFonts w:ascii="Calibri" w:eastAsia="Calibri" w:hAnsi="Calibri" w:cs="Calibri"/>
          <w:color w:val="000000"/>
        </w:rPr>
        <w:t>Ectopic cervical thymoma is composed of lymphoblasts admixed with the tumor cells, which are absent in SETTLE.</w:t>
      </w:r>
      <w:r w:rsidRPr="007C4E68">
        <w:rPr>
          <w:rFonts w:ascii="Calibri" w:eastAsia="Calibri" w:hAnsi="Calibri" w:cs="Calibri"/>
          <w:color w:val="000000"/>
          <w:vertAlign w:val="superscript"/>
        </w:rPr>
        <w:t xml:space="preserve">4,9,10 </w:t>
      </w:r>
      <w:r w:rsidRPr="007C4E68">
        <w:rPr>
          <w:rFonts w:ascii="Calibri" w:eastAsia="Calibri" w:hAnsi="Calibri" w:cs="Calibri"/>
          <w:color w:val="000000"/>
        </w:rPr>
        <w:t>In synovial sarcoma, the spindle cells are generally more monomorphic, with more mitoses and immunopositivity for CK is patchy, while in SETTLE CK staining is strong and diﬀuse.</w:t>
      </w:r>
      <w:r w:rsidRPr="007C4E68">
        <w:rPr>
          <w:rFonts w:ascii="Calibri" w:eastAsia="Calibri" w:hAnsi="Calibri" w:cs="Calibri"/>
          <w:color w:val="000000"/>
          <w:vertAlign w:val="superscript"/>
        </w:rPr>
        <w:t xml:space="preserve">4,9  </w:t>
      </w:r>
      <w:r w:rsidRPr="007C4E68">
        <w:rPr>
          <w:rFonts w:ascii="Calibri" w:eastAsia="Calibri" w:hAnsi="Calibri" w:cs="Calibri"/>
          <w:color w:val="000000"/>
        </w:rPr>
        <w:t xml:space="preserve">Also, </w:t>
      </w:r>
      <w:proofErr w:type="spellStart"/>
      <w:r w:rsidRPr="007C4E68">
        <w:rPr>
          <w:rFonts w:ascii="Calibri" w:eastAsia="Calibri" w:hAnsi="Calibri" w:cs="Calibri"/>
          <w:color w:val="000000"/>
        </w:rPr>
        <w:t>Folpe</w:t>
      </w:r>
      <w:proofErr w:type="spellEnd"/>
      <w:r w:rsidRPr="007C4E68">
        <w:rPr>
          <w:rFonts w:ascii="Calibri" w:eastAsia="Calibri" w:hAnsi="Calibri" w:cs="Calibri"/>
          <w:color w:val="000000"/>
        </w:rPr>
        <w:t xml:space="preserve"> et al.</w:t>
      </w:r>
      <w:r w:rsidR="00463BC1" w:rsidRPr="007C4E68">
        <w:rPr>
          <w:rFonts w:ascii="Calibri" w:eastAsia="Calibri" w:hAnsi="Calibri" w:cs="Calibri"/>
          <w:color w:val="000000"/>
        </w:rPr>
        <w:t xml:space="preserve"> </w:t>
      </w:r>
      <w:r w:rsidRPr="007C4E68">
        <w:rPr>
          <w:rFonts w:ascii="Calibri" w:eastAsia="Calibri" w:hAnsi="Calibri" w:cs="Calibri"/>
          <w:color w:val="000000"/>
          <w:vertAlign w:val="superscript"/>
        </w:rPr>
        <w:t xml:space="preserve"> </w:t>
      </w:r>
      <w:r w:rsidRPr="007C4E68">
        <w:rPr>
          <w:rFonts w:ascii="Calibri" w:eastAsia="Calibri" w:hAnsi="Calibri" w:cs="Calibri"/>
          <w:color w:val="000000"/>
        </w:rPr>
        <w:t>concluded that molecular genetic detection of synovial sarcoma-associated fusion genes resulting from the chromosomal translocation t(X;18), can be used for this distinction.</w:t>
      </w:r>
      <w:r w:rsidR="00463BC1" w:rsidRPr="007C4E68">
        <w:rPr>
          <w:rFonts w:ascii="Calibri" w:eastAsia="Calibri" w:hAnsi="Calibri" w:cs="Calibri"/>
          <w:color w:val="000000"/>
          <w:vertAlign w:val="superscript"/>
        </w:rPr>
        <w:t xml:space="preserve"> 4</w:t>
      </w:r>
      <w:r w:rsidRPr="007C4E68">
        <w:rPr>
          <w:rFonts w:ascii="Calibri" w:eastAsia="Calibri" w:hAnsi="Calibri" w:cs="Calibri"/>
          <w:color w:val="000000"/>
        </w:rPr>
        <w:t xml:space="preserve"> Contrarily to SETTLE, anaplastic carcinoma reveals extrathyroidal invasion and extensive pleomorphism, mitoses and necrosis and does not usually present in young people.</w:t>
      </w:r>
      <w:r w:rsidRPr="007C4E68">
        <w:rPr>
          <w:rFonts w:ascii="Calibri" w:eastAsia="Calibri" w:hAnsi="Calibri" w:cs="Calibri"/>
          <w:color w:val="000000"/>
          <w:vertAlign w:val="superscript"/>
        </w:rPr>
        <w:t xml:space="preserve">10 </w:t>
      </w:r>
      <w:r w:rsidRPr="007C4E68">
        <w:rPr>
          <w:rFonts w:ascii="Calibri" w:eastAsia="Calibri" w:hAnsi="Calibri" w:cs="Calibri"/>
          <w:color w:val="000000"/>
        </w:rPr>
        <w:t>The striking diﬀerence between the medullary or papillary carcinoma and SETTLE is observed in the positive staining of CK and negative staining of typical thyroid gland markers.</w:t>
      </w:r>
      <w:r w:rsidRPr="007C4E68">
        <w:rPr>
          <w:rFonts w:ascii="Calibri" w:eastAsia="Calibri" w:hAnsi="Calibri" w:cs="Calibri"/>
          <w:color w:val="000000"/>
          <w:vertAlign w:val="superscript"/>
        </w:rPr>
        <w:t>4,9,10</w:t>
      </w:r>
    </w:p>
    <w:p w14:paraId="77CF77D6" w14:textId="257CDEBF" w:rsidR="00A978EF" w:rsidRPr="007C4E68" w:rsidRDefault="00C707B3" w:rsidP="007C4E6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r w:rsidRPr="007C4E68">
        <w:rPr>
          <w:rFonts w:ascii="Calibri" w:eastAsia="Calibri" w:hAnsi="Calibri" w:cs="Calibri"/>
          <w:color w:val="000000"/>
        </w:rPr>
        <w:t>Non-metastatic SETTLE most frequent reported surgical treatment is hemithyroidectomy.</w:t>
      </w:r>
      <w:r w:rsidRPr="007C4E68">
        <w:rPr>
          <w:rFonts w:ascii="Calibri" w:eastAsia="Calibri" w:hAnsi="Calibri" w:cs="Calibri"/>
          <w:color w:val="000000"/>
          <w:vertAlign w:val="superscript"/>
        </w:rPr>
        <w:t xml:space="preserve">5 </w:t>
      </w:r>
      <w:r w:rsidR="00230AF9" w:rsidRPr="007C4E68">
        <w:rPr>
          <w:rFonts w:ascii="Calibri" w:eastAsia="Calibri" w:hAnsi="Calibri" w:cs="Calibri"/>
          <w:color w:val="000000"/>
        </w:rPr>
        <w:t xml:space="preserve">When in </w:t>
      </w:r>
      <w:r w:rsidRPr="007C4E68">
        <w:rPr>
          <w:rFonts w:ascii="Calibri" w:eastAsia="Calibri" w:hAnsi="Calibri" w:cs="Calibri"/>
          <w:color w:val="000000"/>
        </w:rPr>
        <w:t>doubt, further investigation with frozen section analysis may help to manage the intraoperative strategy.</w:t>
      </w:r>
      <w:r w:rsidRPr="007C4E68">
        <w:rPr>
          <w:rFonts w:ascii="Calibri" w:eastAsia="Calibri" w:hAnsi="Calibri" w:cs="Calibri"/>
          <w:color w:val="000000"/>
          <w:vertAlign w:val="superscript"/>
        </w:rPr>
        <w:t>12</w:t>
      </w:r>
    </w:p>
    <w:p w14:paraId="6D353830" w14:textId="0566D7D0" w:rsidR="00A978EF" w:rsidRPr="007C4E68" w:rsidRDefault="00C707B3" w:rsidP="007C4E6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r w:rsidRPr="007C4E68">
        <w:rPr>
          <w:rFonts w:ascii="Calibri" w:eastAsia="Calibri" w:hAnsi="Calibri" w:cs="Calibri"/>
          <w:color w:val="000000"/>
        </w:rPr>
        <w:t>Despite the low malignant potential, SETTLE has a tendency for late metastasis and the incidence increases significantly as the period of follow-up overtakes 5 years.</w:t>
      </w:r>
      <w:r w:rsidRPr="007C4E68">
        <w:rPr>
          <w:rFonts w:ascii="Calibri" w:eastAsia="Calibri" w:hAnsi="Calibri" w:cs="Calibri"/>
          <w:color w:val="000000"/>
          <w:vertAlign w:val="superscript"/>
        </w:rPr>
        <w:t xml:space="preserve">2,13 </w:t>
      </w:r>
      <w:r w:rsidRPr="007C4E68">
        <w:rPr>
          <w:rFonts w:ascii="Calibri" w:eastAsia="Calibri" w:hAnsi="Calibri" w:cs="Calibri"/>
          <w:color w:val="000000"/>
        </w:rPr>
        <w:t>To date, the latency between diagnosis and detection of metastasis varies from a few months after the primary tumor manifestation to</w:t>
      </w:r>
      <w:r w:rsidRPr="007C4E68">
        <w:rPr>
          <w:rFonts w:ascii="Calibri" w:eastAsia="Calibri" w:hAnsi="Calibri" w:cs="Calibri"/>
        </w:rPr>
        <w:t xml:space="preserve"> </w:t>
      </w:r>
      <w:r w:rsidRPr="007C4E68">
        <w:rPr>
          <w:rFonts w:ascii="Calibri" w:eastAsia="Calibri" w:hAnsi="Calibri" w:cs="Calibri"/>
          <w:color w:val="000000"/>
        </w:rPr>
        <w:t>25 years.</w:t>
      </w:r>
      <w:r w:rsidRPr="007C4E68">
        <w:rPr>
          <w:rFonts w:ascii="Calibri" w:eastAsia="Calibri" w:hAnsi="Calibri" w:cs="Calibri"/>
          <w:color w:val="000000"/>
          <w:vertAlign w:val="superscript"/>
        </w:rPr>
        <w:t xml:space="preserve">7,8 </w:t>
      </w:r>
      <w:r w:rsidRPr="007C4E68">
        <w:rPr>
          <w:rFonts w:ascii="Calibri" w:eastAsia="Calibri" w:hAnsi="Calibri" w:cs="Calibri"/>
          <w:color w:val="000000"/>
        </w:rPr>
        <w:t>Hence, long-term follow-up is</w:t>
      </w:r>
      <w:r w:rsidR="00230AF9" w:rsidRPr="007C4E68">
        <w:rPr>
          <w:rFonts w:ascii="Calibri" w:eastAsia="Calibri" w:hAnsi="Calibri" w:cs="Calibri"/>
          <w:color w:val="000000"/>
        </w:rPr>
        <w:t xml:space="preserve"> </w:t>
      </w:r>
      <w:r w:rsidRPr="007C4E68">
        <w:rPr>
          <w:rFonts w:ascii="Calibri" w:eastAsia="Calibri" w:hAnsi="Calibri" w:cs="Calibri"/>
          <w:color w:val="000000"/>
        </w:rPr>
        <w:t>recommended to detect possible distant metastasis, in particular to the lungs.</w:t>
      </w:r>
      <w:r w:rsidRPr="007C4E68">
        <w:rPr>
          <w:rFonts w:ascii="Calibri" w:eastAsia="Calibri" w:hAnsi="Calibri" w:cs="Calibri"/>
          <w:color w:val="000000"/>
          <w:vertAlign w:val="superscript"/>
        </w:rPr>
        <w:t>6-8</w:t>
      </w:r>
    </w:p>
    <w:p w14:paraId="2DB9758F" w14:textId="0330ECC6" w:rsidR="00A978EF" w:rsidRPr="007C4E68" w:rsidRDefault="00C707B3" w:rsidP="007C4E6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sectPr w:rsidR="00A978EF" w:rsidRPr="007C4E68" w:rsidSect="00584BAF">
          <w:headerReference w:type="default" r:id="rId8"/>
          <w:pgSz w:w="12240" w:h="14240"/>
          <w:pgMar w:top="1440" w:right="1440" w:bottom="1440" w:left="1440" w:header="720" w:footer="720" w:gutter="0"/>
          <w:cols w:space="720"/>
          <w:docGrid w:linePitch="326"/>
        </w:sectPr>
      </w:pPr>
      <w:r w:rsidRPr="007C4E68">
        <w:rPr>
          <w:rFonts w:ascii="Calibri" w:eastAsia="Calibri" w:hAnsi="Calibri" w:cs="Calibri"/>
          <w:color w:val="000000"/>
        </w:rPr>
        <w:t xml:space="preserve">In conclusion, SETTLE should be considered in the diﬀerential diagnosis of thyroid gland malignancies, specially, as in the present case, the patient presents at a younger age, </w:t>
      </w:r>
      <w:r w:rsidRPr="007C4E68">
        <w:rPr>
          <w:rFonts w:ascii="Calibri" w:eastAsia="Calibri" w:hAnsi="Calibri" w:cs="Calibri"/>
          <w:color w:val="000000"/>
        </w:rPr>
        <w:lastRenderedPageBreak/>
        <w:t xml:space="preserve">with normal serum calcitonin and FNAC of thyroid nodule suggestive of medullary carcinoma. The clinical implications for treatment, as well as for prognosis, </w:t>
      </w:r>
      <w:r w:rsidR="00230AF9" w:rsidRPr="007C4E68">
        <w:rPr>
          <w:rFonts w:ascii="Calibri" w:eastAsia="Calibri" w:hAnsi="Calibri" w:cs="Calibri"/>
          <w:color w:val="000000"/>
        </w:rPr>
        <w:t xml:space="preserve">may be significantly </w:t>
      </w:r>
      <w:r w:rsidRPr="007C4E68">
        <w:rPr>
          <w:rFonts w:ascii="Calibri" w:eastAsia="Calibri" w:hAnsi="Calibri" w:cs="Calibri"/>
          <w:color w:val="000000"/>
        </w:rPr>
        <w:t>diﬀerent.</w:t>
      </w:r>
      <w:r w:rsidR="00230AF9" w:rsidRPr="007C4E68">
        <w:rPr>
          <w:rFonts w:ascii="Calibri" w:eastAsia="Calibri" w:hAnsi="Calibri" w:cs="Calibri"/>
          <w:color w:val="000000"/>
        </w:rPr>
        <w:t xml:space="preserve"> </w:t>
      </w:r>
      <w:r w:rsidRPr="007C4E68">
        <w:rPr>
          <w:rFonts w:ascii="Calibri" w:eastAsia="Calibri" w:hAnsi="Calibri" w:cs="Calibri"/>
          <w:color w:val="000000"/>
        </w:rPr>
        <w:t>This case also highlights the importance of histopathological examination in the diagnosis of thyroid cancer. Finally, SETTLE is a rare clinical entity, so future studies are necessary to better understand the pathophysiology, therapeutic choices and prognosis.</w:t>
      </w:r>
    </w:p>
    <w:p w14:paraId="3EDFCCFC" w14:textId="1ABF6D4D" w:rsidR="00A978EF" w:rsidRPr="007C4E68" w:rsidRDefault="00F42997" w:rsidP="007C4E68">
      <w:pPr>
        <w:pStyle w:val="Ttulo1"/>
        <w:spacing w:line="360" w:lineRule="auto"/>
        <w:ind w:left="0"/>
        <w:rPr>
          <w:sz w:val="24"/>
          <w:szCs w:val="24"/>
        </w:rPr>
      </w:pPr>
      <w:r w:rsidRPr="007C4E68">
        <w:rPr>
          <w:sz w:val="24"/>
          <w:szCs w:val="24"/>
        </w:rPr>
        <w:lastRenderedPageBreak/>
        <w:t>REFERENCES</w:t>
      </w:r>
    </w:p>
    <w:p w14:paraId="2AC7B7D0" w14:textId="77777777" w:rsidR="00A978EF" w:rsidRPr="007C4E68" w:rsidRDefault="00A978EF" w:rsidP="007C4E68">
      <w:pPr>
        <w:widowControl w:val="0"/>
        <w:pBdr>
          <w:top w:val="nil"/>
          <w:left w:val="nil"/>
          <w:bottom w:val="nil"/>
          <w:right w:val="nil"/>
          <w:between w:val="nil"/>
        </w:pBdr>
        <w:spacing w:line="360" w:lineRule="auto"/>
        <w:rPr>
          <w:rFonts w:ascii="Calibri" w:eastAsia="Calibri" w:hAnsi="Calibri" w:cs="Calibri"/>
          <w:b/>
          <w:color w:val="000000"/>
        </w:rPr>
      </w:pPr>
    </w:p>
    <w:p w14:paraId="4AE37F5A" w14:textId="77777777" w:rsidR="00A978EF" w:rsidRPr="007C4E68" w:rsidRDefault="00A978EF" w:rsidP="007C4E68">
      <w:pPr>
        <w:widowControl w:val="0"/>
        <w:pBdr>
          <w:top w:val="nil"/>
          <w:left w:val="nil"/>
          <w:bottom w:val="nil"/>
          <w:right w:val="nil"/>
          <w:between w:val="nil"/>
        </w:pBdr>
        <w:spacing w:line="360" w:lineRule="auto"/>
        <w:rPr>
          <w:rFonts w:ascii="Calibri" w:eastAsia="Calibri" w:hAnsi="Calibri" w:cs="Calibri"/>
          <w:b/>
          <w:color w:val="000000"/>
        </w:rPr>
      </w:pPr>
    </w:p>
    <w:p w14:paraId="149982E7" w14:textId="77777777" w:rsidR="00A978EF" w:rsidRPr="007C4E68" w:rsidRDefault="00C707B3" w:rsidP="007C4E68">
      <w:pPr>
        <w:widowControl w:val="0"/>
        <w:numPr>
          <w:ilvl w:val="0"/>
          <w:numId w:val="1"/>
        </w:numPr>
        <w:pBdr>
          <w:top w:val="nil"/>
          <w:left w:val="nil"/>
          <w:bottom w:val="nil"/>
          <w:right w:val="nil"/>
          <w:between w:val="nil"/>
        </w:pBdr>
        <w:spacing w:line="360" w:lineRule="auto"/>
        <w:ind w:right="258"/>
        <w:jc w:val="both"/>
      </w:pPr>
      <w:r w:rsidRPr="007C4E68">
        <w:rPr>
          <w:rFonts w:ascii="Calibri" w:eastAsia="Calibri" w:hAnsi="Calibri" w:cs="Calibri"/>
          <w:color w:val="000000"/>
        </w:rPr>
        <w:t xml:space="preserve">Chan J, </w:t>
      </w:r>
      <w:proofErr w:type="spellStart"/>
      <w:r w:rsidRPr="007C4E68">
        <w:rPr>
          <w:rFonts w:ascii="Calibri" w:eastAsia="Calibri" w:hAnsi="Calibri" w:cs="Calibri"/>
          <w:color w:val="000000"/>
        </w:rPr>
        <w:t>Rosal</w:t>
      </w:r>
      <w:proofErr w:type="spellEnd"/>
      <w:r w:rsidRPr="007C4E68">
        <w:rPr>
          <w:rFonts w:ascii="Calibri" w:eastAsia="Calibri" w:hAnsi="Calibri" w:cs="Calibri"/>
          <w:color w:val="000000"/>
        </w:rPr>
        <w:t xml:space="preserve"> J. Tumors of the neck showing thymic or related branchial pouch differentiation: a unifying concept. Human pathology. 1991;22 4:349-67. https://doi.org/10.1016/0046-8177(91)90083-2.</w:t>
      </w:r>
    </w:p>
    <w:p w14:paraId="603F9E46" w14:textId="77777777" w:rsidR="00A978EF" w:rsidRPr="007C4E68" w:rsidRDefault="00C707B3" w:rsidP="007C4E68">
      <w:pPr>
        <w:widowControl w:val="0"/>
        <w:numPr>
          <w:ilvl w:val="0"/>
          <w:numId w:val="1"/>
        </w:numPr>
        <w:pBdr>
          <w:top w:val="nil"/>
          <w:left w:val="nil"/>
          <w:bottom w:val="nil"/>
          <w:right w:val="nil"/>
          <w:between w:val="nil"/>
        </w:pBdr>
        <w:spacing w:line="360" w:lineRule="auto"/>
        <w:ind w:right="257"/>
        <w:jc w:val="both"/>
      </w:pPr>
      <w:r w:rsidRPr="007C4E68">
        <w:rPr>
          <w:rFonts w:ascii="Calibri" w:eastAsia="Calibri" w:hAnsi="Calibri" w:cs="Calibri"/>
          <w:color w:val="000000"/>
        </w:rPr>
        <w:t xml:space="preserve">Ippolito S, </w:t>
      </w:r>
      <w:proofErr w:type="spellStart"/>
      <w:r w:rsidRPr="007C4E68">
        <w:rPr>
          <w:rFonts w:ascii="Calibri" w:eastAsia="Calibri" w:hAnsi="Calibri" w:cs="Calibri"/>
          <w:color w:val="000000"/>
        </w:rPr>
        <w:t>Bellevicine</w:t>
      </w:r>
      <w:proofErr w:type="spellEnd"/>
      <w:r w:rsidRPr="007C4E68">
        <w:rPr>
          <w:rFonts w:ascii="Calibri" w:eastAsia="Calibri" w:hAnsi="Calibri" w:cs="Calibri"/>
          <w:color w:val="000000"/>
        </w:rPr>
        <w:t xml:space="preserve"> C, </w:t>
      </w:r>
      <w:proofErr w:type="spellStart"/>
      <w:r w:rsidRPr="007C4E68">
        <w:rPr>
          <w:rFonts w:ascii="Calibri" w:eastAsia="Calibri" w:hAnsi="Calibri" w:cs="Calibri"/>
          <w:color w:val="000000"/>
        </w:rPr>
        <w:t>Arpaia</w:t>
      </w:r>
      <w:proofErr w:type="spellEnd"/>
      <w:r w:rsidRPr="007C4E68">
        <w:rPr>
          <w:rFonts w:ascii="Calibri" w:eastAsia="Calibri" w:hAnsi="Calibri" w:cs="Calibri"/>
          <w:color w:val="000000"/>
        </w:rPr>
        <w:t xml:space="preserve"> D, et al. Spindle epithelial tumor with thymus-like differentiation (SETTLE): clinical-pathological features, differential pathological diagnosis and therapy. Endocrine. </w:t>
      </w:r>
      <w:proofErr w:type="gramStart"/>
      <w:r w:rsidRPr="007C4E68">
        <w:rPr>
          <w:rFonts w:ascii="Calibri" w:eastAsia="Calibri" w:hAnsi="Calibri" w:cs="Calibri"/>
          <w:color w:val="000000"/>
        </w:rPr>
        <w:t>2016;51:402</w:t>
      </w:r>
      <w:proofErr w:type="gramEnd"/>
      <w:r w:rsidRPr="007C4E68">
        <w:rPr>
          <w:rFonts w:ascii="Calibri" w:eastAsia="Calibri" w:hAnsi="Calibri" w:cs="Calibri"/>
          <w:color w:val="000000"/>
        </w:rPr>
        <w:t>-412. https://doi.org/10.1007/s12020-015-0716-5.</w:t>
      </w:r>
    </w:p>
    <w:p w14:paraId="03A7D2C7" w14:textId="77777777" w:rsidR="00A978EF" w:rsidRPr="007C4E68" w:rsidRDefault="00C707B3" w:rsidP="007C4E68">
      <w:pPr>
        <w:widowControl w:val="0"/>
        <w:numPr>
          <w:ilvl w:val="0"/>
          <w:numId w:val="1"/>
        </w:numPr>
        <w:pBdr>
          <w:top w:val="nil"/>
          <w:left w:val="nil"/>
          <w:bottom w:val="nil"/>
          <w:right w:val="nil"/>
          <w:between w:val="nil"/>
        </w:pBdr>
        <w:spacing w:line="360" w:lineRule="auto"/>
        <w:ind w:right="257"/>
        <w:jc w:val="both"/>
      </w:pPr>
      <w:r w:rsidRPr="007C4E68">
        <w:rPr>
          <w:rFonts w:ascii="Calibri" w:eastAsia="Calibri" w:hAnsi="Calibri" w:cs="Calibri"/>
          <w:color w:val="000000"/>
          <w:lang w:val="da-DK"/>
        </w:rPr>
        <w:t xml:space="preserve">Stevens T, </w:t>
      </w:r>
      <w:proofErr w:type="spellStart"/>
      <w:r w:rsidRPr="007C4E68">
        <w:rPr>
          <w:rFonts w:ascii="Calibri" w:eastAsia="Calibri" w:hAnsi="Calibri" w:cs="Calibri"/>
          <w:color w:val="000000"/>
          <w:lang w:val="da-DK"/>
        </w:rPr>
        <w:t>Morlote</w:t>
      </w:r>
      <w:proofErr w:type="spellEnd"/>
      <w:r w:rsidRPr="007C4E68">
        <w:rPr>
          <w:rFonts w:ascii="Calibri" w:eastAsia="Calibri" w:hAnsi="Calibri" w:cs="Calibri"/>
          <w:color w:val="000000"/>
          <w:lang w:val="da-DK"/>
        </w:rPr>
        <w:t xml:space="preserve"> D, </w:t>
      </w:r>
      <w:proofErr w:type="spellStart"/>
      <w:r w:rsidRPr="007C4E68">
        <w:rPr>
          <w:rFonts w:ascii="Calibri" w:eastAsia="Calibri" w:hAnsi="Calibri" w:cs="Calibri"/>
          <w:color w:val="000000"/>
          <w:lang w:val="da-DK"/>
        </w:rPr>
        <w:t>Swensen</w:t>
      </w:r>
      <w:proofErr w:type="spellEnd"/>
      <w:r w:rsidRPr="007C4E68">
        <w:rPr>
          <w:rFonts w:ascii="Calibri" w:eastAsia="Calibri" w:hAnsi="Calibri" w:cs="Calibri"/>
          <w:color w:val="000000"/>
          <w:lang w:val="da-DK"/>
        </w:rPr>
        <w:t xml:space="preserve"> J, et al. </w:t>
      </w:r>
      <w:r w:rsidRPr="007C4E68">
        <w:rPr>
          <w:rFonts w:ascii="Calibri" w:eastAsia="Calibri" w:hAnsi="Calibri" w:cs="Calibri"/>
          <w:color w:val="000000"/>
        </w:rPr>
        <w:t xml:space="preserve">Spindle Epithelial Tumor with Thymus-Like Differentiation (SETTLE): A Next-Generation Sequencing Study. Head and Neck Pathology. </w:t>
      </w:r>
      <w:proofErr w:type="gramStart"/>
      <w:r w:rsidRPr="007C4E68">
        <w:rPr>
          <w:rFonts w:ascii="Calibri" w:eastAsia="Calibri" w:hAnsi="Calibri" w:cs="Calibri"/>
          <w:color w:val="000000"/>
        </w:rPr>
        <w:t>2019;13:162</w:t>
      </w:r>
      <w:proofErr w:type="gramEnd"/>
      <w:r w:rsidRPr="007C4E68">
        <w:rPr>
          <w:rFonts w:ascii="Calibri" w:eastAsia="Calibri" w:hAnsi="Calibri" w:cs="Calibri"/>
          <w:color w:val="000000"/>
        </w:rPr>
        <w:t xml:space="preserve">-168. </w:t>
      </w:r>
      <w:hyperlink r:id="rId9">
        <w:r w:rsidRPr="007C4E68">
          <w:rPr>
            <w:rFonts w:ascii="Calibri" w:eastAsia="Calibri" w:hAnsi="Calibri" w:cs="Calibri"/>
            <w:color w:val="000000"/>
          </w:rPr>
          <w:t>https://doi.org/10.1007/s12105-018-0927-1</w:t>
        </w:r>
      </w:hyperlink>
      <w:r w:rsidRPr="007C4E68">
        <w:rPr>
          <w:rFonts w:ascii="Calibri" w:eastAsia="Calibri" w:hAnsi="Calibri" w:cs="Calibri"/>
          <w:color w:val="000000"/>
        </w:rPr>
        <w:t>.</w:t>
      </w:r>
    </w:p>
    <w:p w14:paraId="584DCC9F" w14:textId="77777777" w:rsidR="00A978EF" w:rsidRPr="007C4E68" w:rsidRDefault="00C707B3" w:rsidP="007C4E68">
      <w:pPr>
        <w:widowControl w:val="0"/>
        <w:numPr>
          <w:ilvl w:val="0"/>
          <w:numId w:val="1"/>
        </w:numPr>
        <w:pBdr>
          <w:top w:val="nil"/>
          <w:left w:val="nil"/>
          <w:bottom w:val="nil"/>
          <w:right w:val="nil"/>
          <w:between w:val="nil"/>
        </w:pBdr>
        <w:spacing w:line="360" w:lineRule="auto"/>
        <w:ind w:right="257"/>
        <w:jc w:val="both"/>
      </w:pPr>
      <w:proofErr w:type="spellStart"/>
      <w:r w:rsidRPr="007C4E68">
        <w:rPr>
          <w:rFonts w:ascii="Calibri" w:eastAsia="Calibri" w:hAnsi="Calibri" w:cs="Calibri"/>
          <w:color w:val="000000"/>
        </w:rPr>
        <w:t>Folpe</w:t>
      </w:r>
      <w:proofErr w:type="spellEnd"/>
      <w:r w:rsidRPr="007C4E68">
        <w:rPr>
          <w:rFonts w:ascii="Calibri" w:eastAsia="Calibri" w:hAnsi="Calibri" w:cs="Calibri"/>
          <w:color w:val="000000"/>
        </w:rPr>
        <w:t xml:space="preserve"> A, Lloyd R, </w:t>
      </w:r>
      <w:proofErr w:type="spellStart"/>
      <w:r w:rsidRPr="007C4E68">
        <w:rPr>
          <w:rFonts w:ascii="Calibri" w:eastAsia="Calibri" w:hAnsi="Calibri" w:cs="Calibri"/>
          <w:color w:val="000000"/>
        </w:rPr>
        <w:t>Bacchi</w:t>
      </w:r>
      <w:proofErr w:type="spellEnd"/>
      <w:r w:rsidRPr="007C4E68">
        <w:rPr>
          <w:rFonts w:ascii="Calibri" w:eastAsia="Calibri" w:hAnsi="Calibri" w:cs="Calibri"/>
          <w:color w:val="000000"/>
        </w:rPr>
        <w:t xml:space="preserve"> C, </w:t>
      </w:r>
      <w:proofErr w:type="spellStart"/>
      <w:r w:rsidRPr="007C4E68">
        <w:rPr>
          <w:rFonts w:ascii="Calibri" w:eastAsia="Calibri" w:hAnsi="Calibri" w:cs="Calibri"/>
          <w:color w:val="000000"/>
        </w:rPr>
        <w:t>Rosai</w:t>
      </w:r>
      <w:proofErr w:type="spellEnd"/>
      <w:r w:rsidRPr="007C4E68">
        <w:rPr>
          <w:rFonts w:ascii="Calibri" w:eastAsia="Calibri" w:hAnsi="Calibri" w:cs="Calibri"/>
          <w:color w:val="000000"/>
        </w:rPr>
        <w:t xml:space="preserve"> J. Spindle Epithelial Tumor </w:t>
      </w:r>
      <w:proofErr w:type="gramStart"/>
      <w:r w:rsidRPr="007C4E68">
        <w:rPr>
          <w:rFonts w:ascii="Calibri" w:eastAsia="Calibri" w:hAnsi="Calibri" w:cs="Calibri"/>
          <w:color w:val="000000"/>
        </w:rPr>
        <w:t>With</w:t>
      </w:r>
      <w:proofErr w:type="gramEnd"/>
      <w:r w:rsidRPr="007C4E68">
        <w:rPr>
          <w:rFonts w:ascii="Calibri" w:eastAsia="Calibri" w:hAnsi="Calibri" w:cs="Calibri"/>
          <w:color w:val="000000"/>
        </w:rPr>
        <w:t xml:space="preserve"> Thymus-like Differentiation: A Morphologic, Immunohistochemical, and Molecular Genetic Study of 11 Cases. The American Journal of Surgical Pathology. </w:t>
      </w:r>
      <w:proofErr w:type="gramStart"/>
      <w:r w:rsidRPr="007C4E68">
        <w:rPr>
          <w:rFonts w:ascii="Calibri" w:eastAsia="Calibri" w:hAnsi="Calibri" w:cs="Calibri"/>
          <w:color w:val="000000"/>
        </w:rPr>
        <w:t>2009;33:1179</w:t>
      </w:r>
      <w:proofErr w:type="gramEnd"/>
      <w:r w:rsidRPr="007C4E68">
        <w:rPr>
          <w:rFonts w:ascii="Calibri" w:eastAsia="Calibri" w:hAnsi="Calibri" w:cs="Calibri"/>
          <w:color w:val="000000"/>
        </w:rPr>
        <w:t xml:space="preserve">-1186. </w:t>
      </w:r>
      <w:hyperlink r:id="rId10">
        <w:r w:rsidRPr="007C4E68">
          <w:rPr>
            <w:rFonts w:ascii="Calibri" w:eastAsia="Calibri" w:hAnsi="Calibri" w:cs="Calibri"/>
            <w:color w:val="000000"/>
          </w:rPr>
          <w:t>https://doi.org/10.1097/PAS.0b013e31819e61c8</w:t>
        </w:r>
      </w:hyperlink>
      <w:r w:rsidRPr="007C4E68">
        <w:rPr>
          <w:rFonts w:ascii="Calibri" w:eastAsia="Calibri" w:hAnsi="Calibri" w:cs="Calibri"/>
          <w:color w:val="000000"/>
        </w:rPr>
        <w:t>.</w:t>
      </w:r>
    </w:p>
    <w:p w14:paraId="3BAFCFAC" w14:textId="77777777" w:rsidR="00A978EF" w:rsidRPr="007C4E68" w:rsidRDefault="00C707B3" w:rsidP="007C4E68">
      <w:pPr>
        <w:widowControl w:val="0"/>
        <w:numPr>
          <w:ilvl w:val="0"/>
          <w:numId w:val="1"/>
        </w:numPr>
        <w:pBdr>
          <w:top w:val="nil"/>
          <w:left w:val="nil"/>
          <w:bottom w:val="nil"/>
          <w:right w:val="nil"/>
          <w:between w:val="nil"/>
        </w:pBdr>
        <w:spacing w:line="360" w:lineRule="auto"/>
        <w:ind w:right="257"/>
        <w:jc w:val="both"/>
      </w:pPr>
      <w:proofErr w:type="spellStart"/>
      <w:r w:rsidRPr="007C4E68">
        <w:rPr>
          <w:rFonts w:ascii="Calibri" w:eastAsia="Calibri" w:hAnsi="Calibri" w:cs="Calibri"/>
          <w:color w:val="000000"/>
        </w:rPr>
        <w:t>Recondo</w:t>
      </w:r>
      <w:proofErr w:type="spellEnd"/>
      <w:r w:rsidRPr="007C4E68">
        <w:rPr>
          <w:rFonts w:ascii="Calibri" w:eastAsia="Calibri" w:hAnsi="Calibri" w:cs="Calibri"/>
          <w:color w:val="000000"/>
        </w:rPr>
        <w:t xml:space="preserve"> G, </w:t>
      </w:r>
      <w:proofErr w:type="spellStart"/>
      <w:r w:rsidRPr="007C4E68">
        <w:rPr>
          <w:rFonts w:ascii="Calibri" w:eastAsia="Calibri" w:hAnsi="Calibri" w:cs="Calibri"/>
          <w:color w:val="000000"/>
        </w:rPr>
        <w:t>Busaidy</w:t>
      </w:r>
      <w:proofErr w:type="spellEnd"/>
      <w:r w:rsidRPr="007C4E68">
        <w:rPr>
          <w:rFonts w:ascii="Calibri" w:eastAsia="Calibri" w:hAnsi="Calibri" w:cs="Calibri"/>
          <w:color w:val="000000"/>
        </w:rPr>
        <w:t xml:space="preserve"> N, Erasmus J, Williams M, Johnson F. Spindle epithelial tumor with thymus‐like differentiation: A case report and comprehensive review of the literature and treatment options. Head &amp; Neck. 2015;37. https://doi.org/10.1002/hed.23634.</w:t>
      </w:r>
    </w:p>
    <w:p w14:paraId="4F30C862" w14:textId="60797BA8" w:rsidR="00735414" w:rsidRPr="007C4E68" w:rsidRDefault="00C707B3" w:rsidP="007C4E68">
      <w:pPr>
        <w:widowControl w:val="0"/>
        <w:numPr>
          <w:ilvl w:val="0"/>
          <w:numId w:val="1"/>
        </w:numPr>
        <w:pBdr>
          <w:top w:val="nil"/>
          <w:left w:val="nil"/>
          <w:bottom w:val="nil"/>
          <w:right w:val="nil"/>
          <w:between w:val="nil"/>
        </w:pBdr>
        <w:spacing w:line="360" w:lineRule="auto"/>
        <w:ind w:right="257"/>
        <w:jc w:val="both"/>
        <w:rPr>
          <w:rFonts w:ascii="Calibri" w:eastAsia="Calibri" w:hAnsi="Calibri" w:cs="Calibri"/>
          <w:color w:val="000000"/>
        </w:rPr>
      </w:pPr>
      <w:r w:rsidRPr="007C4E68">
        <w:rPr>
          <w:rFonts w:ascii="Calibri" w:eastAsia="Calibri" w:hAnsi="Calibri" w:cs="Calibri"/>
          <w:color w:val="000000"/>
        </w:rPr>
        <w:t xml:space="preserve">Cheuk W, Jacobson AA, Chan J. Spindle Epithelial Tumor with Thymus-Like Differentiation (SETTLE): A Distinctive Malignant Thyroid Neoplasm with Significant Metastatic Potential. Modern Pathology. </w:t>
      </w:r>
      <w:proofErr w:type="gramStart"/>
      <w:r w:rsidRPr="007C4E68">
        <w:rPr>
          <w:rFonts w:ascii="Calibri" w:eastAsia="Calibri" w:hAnsi="Calibri" w:cs="Calibri"/>
          <w:color w:val="000000"/>
        </w:rPr>
        <w:t>2000;13:1150</w:t>
      </w:r>
      <w:proofErr w:type="gramEnd"/>
      <w:r w:rsidRPr="007C4E68">
        <w:rPr>
          <w:rFonts w:ascii="Calibri" w:eastAsia="Calibri" w:hAnsi="Calibri" w:cs="Calibri"/>
          <w:color w:val="000000"/>
        </w:rPr>
        <w:t xml:space="preserve">-1155. </w:t>
      </w:r>
      <w:hyperlink r:id="rId11" w:history="1">
        <w:r w:rsidR="00735414" w:rsidRPr="007C4E68">
          <w:rPr>
            <w:rStyle w:val="Hiperligao"/>
            <w:rFonts w:ascii="Calibri" w:eastAsia="Calibri" w:hAnsi="Calibri" w:cs="Calibri"/>
          </w:rPr>
          <w:t>https://doi.org/10.1038/modpathol.3880212</w:t>
        </w:r>
      </w:hyperlink>
      <w:r w:rsidRPr="007C4E68">
        <w:rPr>
          <w:rFonts w:ascii="Calibri" w:eastAsia="Calibri" w:hAnsi="Calibri" w:cs="Calibri"/>
          <w:color w:val="000000"/>
        </w:rPr>
        <w:t>.</w:t>
      </w:r>
    </w:p>
    <w:p w14:paraId="7054C59C" w14:textId="31E55F8F" w:rsidR="00735414" w:rsidRPr="007C4E68" w:rsidRDefault="00C707B3" w:rsidP="007C4E68">
      <w:pPr>
        <w:widowControl w:val="0"/>
        <w:numPr>
          <w:ilvl w:val="0"/>
          <w:numId w:val="1"/>
        </w:numPr>
        <w:pBdr>
          <w:top w:val="nil"/>
          <w:left w:val="nil"/>
          <w:bottom w:val="nil"/>
          <w:right w:val="nil"/>
          <w:between w:val="nil"/>
        </w:pBdr>
        <w:spacing w:line="360" w:lineRule="auto"/>
        <w:ind w:right="257"/>
        <w:jc w:val="both"/>
        <w:rPr>
          <w:rFonts w:ascii="Calibri" w:eastAsia="Calibri" w:hAnsi="Calibri" w:cs="Calibri"/>
          <w:color w:val="000000"/>
        </w:rPr>
      </w:pPr>
      <w:r w:rsidRPr="007C4E68">
        <w:rPr>
          <w:rFonts w:ascii="Calibri" w:eastAsia="Calibri" w:hAnsi="Calibri" w:cs="Calibri"/>
          <w:color w:val="000000"/>
        </w:rPr>
        <w:t xml:space="preserve">Lee S, Kim YS, Lee JH, et al. Spindle epithelial tumor with thymus-like differentiation of the thyroid in a 70-year-old man. Annals of Surgical Treatment and Research. </w:t>
      </w:r>
      <w:proofErr w:type="gramStart"/>
      <w:r w:rsidRPr="007C4E68">
        <w:rPr>
          <w:rFonts w:ascii="Calibri" w:eastAsia="Calibri" w:hAnsi="Calibri" w:cs="Calibri"/>
          <w:color w:val="000000"/>
        </w:rPr>
        <w:t>2018;94:337</w:t>
      </w:r>
      <w:proofErr w:type="gramEnd"/>
      <w:r w:rsidRPr="007C4E68">
        <w:rPr>
          <w:rFonts w:ascii="Calibri" w:eastAsia="Calibri" w:hAnsi="Calibri" w:cs="Calibri"/>
          <w:color w:val="000000"/>
        </w:rPr>
        <w:t xml:space="preserve">-341. </w:t>
      </w:r>
      <w:hyperlink r:id="rId12" w:history="1">
        <w:r w:rsidR="00735414" w:rsidRPr="007C4E68">
          <w:rPr>
            <w:rStyle w:val="Hiperligao"/>
            <w:rFonts w:ascii="Calibri" w:eastAsia="Calibri" w:hAnsi="Calibri" w:cs="Calibri"/>
          </w:rPr>
          <w:t>https://doi.org/10.4174/astr.2018.94.6.337</w:t>
        </w:r>
      </w:hyperlink>
      <w:r w:rsidRPr="007C4E68">
        <w:rPr>
          <w:rFonts w:ascii="Calibri" w:eastAsia="Calibri" w:hAnsi="Calibri" w:cs="Calibri"/>
          <w:color w:val="000000"/>
        </w:rPr>
        <w:t>.</w:t>
      </w:r>
    </w:p>
    <w:p w14:paraId="0CD0B9E7" w14:textId="23E1F070" w:rsidR="00735414" w:rsidRPr="007C4E68" w:rsidRDefault="00C707B3" w:rsidP="007C4E68">
      <w:pPr>
        <w:widowControl w:val="0"/>
        <w:numPr>
          <w:ilvl w:val="0"/>
          <w:numId w:val="1"/>
        </w:numPr>
        <w:pBdr>
          <w:top w:val="nil"/>
          <w:left w:val="nil"/>
          <w:bottom w:val="nil"/>
          <w:right w:val="nil"/>
          <w:between w:val="nil"/>
        </w:pBdr>
        <w:spacing w:line="360" w:lineRule="auto"/>
        <w:ind w:right="257"/>
        <w:jc w:val="both"/>
        <w:rPr>
          <w:rFonts w:ascii="Calibri" w:eastAsia="Calibri" w:hAnsi="Calibri" w:cs="Calibri"/>
          <w:color w:val="000000"/>
        </w:rPr>
      </w:pPr>
      <w:r w:rsidRPr="007C4E68">
        <w:rPr>
          <w:rFonts w:ascii="Calibri" w:eastAsia="Calibri" w:hAnsi="Calibri" w:cs="Calibri"/>
          <w:color w:val="000000"/>
        </w:rPr>
        <w:t xml:space="preserve">Abdulrahman AA, </w:t>
      </w:r>
      <w:proofErr w:type="spellStart"/>
      <w:r w:rsidRPr="007C4E68">
        <w:rPr>
          <w:rFonts w:ascii="Calibri" w:eastAsia="Calibri" w:hAnsi="Calibri" w:cs="Calibri"/>
          <w:color w:val="000000"/>
        </w:rPr>
        <w:t>Ashi</w:t>
      </w:r>
      <w:proofErr w:type="spellEnd"/>
      <w:r w:rsidRPr="007C4E68">
        <w:rPr>
          <w:rFonts w:ascii="Calibri" w:eastAsia="Calibri" w:hAnsi="Calibri" w:cs="Calibri"/>
          <w:color w:val="000000"/>
        </w:rPr>
        <w:t xml:space="preserve"> S, Jain M, Hou J. Spindle epithelial tumor with thymus-like differentiation (SETTLE): Case report with longest follow up &amp; latency to metastasis. Human Pathology: Case Reports. </w:t>
      </w:r>
      <w:proofErr w:type="gramStart"/>
      <w:r w:rsidRPr="007C4E68">
        <w:rPr>
          <w:rFonts w:ascii="Calibri" w:eastAsia="Calibri" w:hAnsi="Calibri" w:cs="Calibri"/>
          <w:color w:val="000000"/>
        </w:rPr>
        <w:t>2018;11:60</w:t>
      </w:r>
      <w:proofErr w:type="gramEnd"/>
      <w:r w:rsidRPr="007C4E68">
        <w:rPr>
          <w:rFonts w:ascii="Calibri" w:eastAsia="Calibri" w:hAnsi="Calibri" w:cs="Calibri"/>
          <w:color w:val="000000"/>
        </w:rPr>
        <w:t xml:space="preserve">-64. </w:t>
      </w:r>
      <w:hyperlink r:id="rId13" w:history="1">
        <w:r w:rsidR="00735414" w:rsidRPr="007C4E68">
          <w:rPr>
            <w:rStyle w:val="Hiperligao"/>
            <w:rFonts w:ascii="Calibri" w:eastAsia="Calibri" w:hAnsi="Calibri" w:cs="Calibri"/>
          </w:rPr>
          <w:t>https://doi.org/10.1016/J.EHPC.2017.10.006</w:t>
        </w:r>
      </w:hyperlink>
      <w:r w:rsidRPr="007C4E68">
        <w:rPr>
          <w:rFonts w:ascii="Calibri" w:eastAsia="Calibri" w:hAnsi="Calibri" w:cs="Calibri"/>
          <w:color w:val="000000"/>
        </w:rPr>
        <w:t>.</w:t>
      </w:r>
    </w:p>
    <w:p w14:paraId="66A4356A" w14:textId="6DD361CB" w:rsidR="00735414" w:rsidRPr="007C4E68" w:rsidRDefault="00C707B3" w:rsidP="007C4E68">
      <w:pPr>
        <w:widowControl w:val="0"/>
        <w:numPr>
          <w:ilvl w:val="0"/>
          <w:numId w:val="1"/>
        </w:numPr>
        <w:pBdr>
          <w:top w:val="nil"/>
          <w:left w:val="nil"/>
          <w:bottom w:val="nil"/>
          <w:right w:val="nil"/>
          <w:between w:val="nil"/>
        </w:pBdr>
        <w:spacing w:line="360" w:lineRule="auto"/>
        <w:ind w:right="257"/>
        <w:jc w:val="both"/>
        <w:rPr>
          <w:rFonts w:ascii="Calibri" w:eastAsia="Calibri" w:hAnsi="Calibri" w:cs="Calibri"/>
          <w:color w:val="000000"/>
        </w:rPr>
      </w:pPr>
      <w:proofErr w:type="spellStart"/>
      <w:r w:rsidRPr="007C4E68">
        <w:rPr>
          <w:rFonts w:ascii="Calibri" w:eastAsia="Calibri" w:hAnsi="Calibri" w:cs="Calibri"/>
          <w:color w:val="000000"/>
        </w:rPr>
        <w:lastRenderedPageBreak/>
        <w:t>Misra</w:t>
      </w:r>
      <w:proofErr w:type="spellEnd"/>
      <w:r w:rsidRPr="007C4E68">
        <w:rPr>
          <w:rFonts w:ascii="Calibri" w:eastAsia="Calibri" w:hAnsi="Calibri" w:cs="Calibri"/>
          <w:color w:val="000000"/>
        </w:rPr>
        <w:t xml:space="preserve"> R, Mitra S, Yadav R, </w:t>
      </w:r>
      <w:proofErr w:type="spellStart"/>
      <w:r w:rsidRPr="007C4E68">
        <w:rPr>
          <w:rFonts w:ascii="Calibri" w:eastAsia="Calibri" w:hAnsi="Calibri" w:cs="Calibri"/>
          <w:color w:val="000000"/>
        </w:rPr>
        <w:t>Bundela</w:t>
      </w:r>
      <w:proofErr w:type="spellEnd"/>
      <w:r w:rsidRPr="007C4E68">
        <w:rPr>
          <w:rFonts w:ascii="Calibri" w:eastAsia="Calibri" w:hAnsi="Calibri" w:cs="Calibri"/>
          <w:color w:val="000000"/>
        </w:rPr>
        <w:t xml:space="preserve"> A. Spindle Epithelial Tumor with Thymus-Like Differentiation: A Case Report and Review of Literature. Acta </w:t>
      </w:r>
      <w:proofErr w:type="spellStart"/>
      <w:r w:rsidRPr="007C4E68">
        <w:rPr>
          <w:rFonts w:ascii="Calibri" w:eastAsia="Calibri" w:hAnsi="Calibri" w:cs="Calibri"/>
          <w:color w:val="000000"/>
        </w:rPr>
        <w:t>Cytologica</w:t>
      </w:r>
      <w:proofErr w:type="spellEnd"/>
      <w:r w:rsidRPr="007C4E68">
        <w:rPr>
          <w:rFonts w:ascii="Calibri" w:eastAsia="Calibri" w:hAnsi="Calibri" w:cs="Calibri"/>
          <w:color w:val="000000"/>
        </w:rPr>
        <w:t xml:space="preserve">. </w:t>
      </w:r>
      <w:proofErr w:type="gramStart"/>
      <w:r w:rsidRPr="007C4E68">
        <w:rPr>
          <w:rFonts w:ascii="Calibri" w:eastAsia="Calibri" w:hAnsi="Calibri" w:cs="Calibri"/>
          <w:color w:val="000000"/>
        </w:rPr>
        <w:t>2013;57:303</w:t>
      </w:r>
      <w:proofErr w:type="gramEnd"/>
      <w:r w:rsidRPr="007C4E68">
        <w:rPr>
          <w:rFonts w:ascii="Calibri" w:eastAsia="Calibri" w:hAnsi="Calibri" w:cs="Calibri"/>
          <w:color w:val="000000"/>
        </w:rPr>
        <w:t xml:space="preserve">-308. </w:t>
      </w:r>
      <w:hyperlink r:id="rId14" w:history="1">
        <w:r w:rsidR="00735414" w:rsidRPr="007C4E68">
          <w:rPr>
            <w:rStyle w:val="Hiperligao"/>
            <w:rFonts w:ascii="Calibri" w:eastAsia="Calibri" w:hAnsi="Calibri" w:cs="Calibri"/>
          </w:rPr>
          <w:t>https://doi.org/10.1159/000346704</w:t>
        </w:r>
      </w:hyperlink>
      <w:r w:rsidRPr="007C4E68">
        <w:rPr>
          <w:rFonts w:ascii="Calibri" w:eastAsia="Calibri" w:hAnsi="Calibri" w:cs="Calibri"/>
          <w:color w:val="000000"/>
        </w:rPr>
        <w:t>.</w:t>
      </w:r>
    </w:p>
    <w:p w14:paraId="47EC9797" w14:textId="77777777" w:rsidR="00735414" w:rsidRPr="007C4E68" w:rsidRDefault="00C707B3" w:rsidP="007C4E68">
      <w:pPr>
        <w:widowControl w:val="0"/>
        <w:numPr>
          <w:ilvl w:val="0"/>
          <w:numId w:val="1"/>
        </w:numPr>
        <w:pBdr>
          <w:top w:val="nil"/>
          <w:left w:val="nil"/>
          <w:bottom w:val="nil"/>
          <w:right w:val="nil"/>
          <w:between w:val="nil"/>
        </w:pBdr>
        <w:spacing w:line="360" w:lineRule="auto"/>
        <w:ind w:right="257"/>
        <w:jc w:val="both"/>
        <w:rPr>
          <w:rFonts w:ascii="Calibri" w:eastAsia="Calibri" w:hAnsi="Calibri" w:cs="Calibri"/>
          <w:color w:val="000000"/>
        </w:rPr>
      </w:pPr>
      <w:proofErr w:type="spellStart"/>
      <w:r w:rsidRPr="007C4E68">
        <w:rPr>
          <w:rFonts w:ascii="Calibri" w:eastAsia="Calibri" w:hAnsi="Calibri" w:cs="Calibri"/>
          <w:color w:val="222222"/>
        </w:rPr>
        <w:t>Cameselle-Teijeiro</w:t>
      </w:r>
      <w:proofErr w:type="spellEnd"/>
      <w:r w:rsidRPr="007C4E68">
        <w:rPr>
          <w:rFonts w:ascii="Calibri" w:eastAsia="Calibri" w:hAnsi="Calibri" w:cs="Calibri"/>
          <w:color w:val="222222"/>
        </w:rPr>
        <w:t xml:space="preserve"> J, Eloy C, </w:t>
      </w:r>
      <w:proofErr w:type="spellStart"/>
      <w:r w:rsidRPr="007C4E68">
        <w:rPr>
          <w:rFonts w:ascii="Calibri" w:eastAsia="Calibri" w:hAnsi="Calibri" w:cs="Calibri"/>
          <w:color w:val="222222"/>
        </w:rPr>
        <w:t>Sobrinho-Simões</w:t>
      </w:r>
      <w:proofErr w:type="spellEnd"/>
      <w:r w:rsidRPr="007C4E68">
        <w:rPr>
          <w:rFonts w:ascii="Calibri" w:eastAsia="Calibri" w:hAnsi="Calibri" w:cs="Calibri"/>
          <w:color w:val="222222"/>
        </w:rPr>
        <w:t xml:space="preserve"> M. Pitfalls in Challenging Thyroid Tumors: Emphasis on Differential Diagnosis and Ancillary Biomarkers. Endocrine Pathology. </w:t>
      </w:r>
      <w:proofErr w:type="gramStart"/>
      <w:r w:rsidRPr="007C4E68">
        <w:rPr>
          <w:rFonts w:ascii="Calibri" w:eastAsia="Calibri" w:hAnsi="Calibri" w:cs="Calibri"/>
          <w:color w:val="222222"/>
        </w:rPr>
        <w:t>2020;31:197</w:t>
      </w:r>
      <w:proofErr w:type="gramEnd"/>
      <w:r w:rsidRPr="007C4E68">
        <w:rPr>
          <w:rFonts w:ascii="Calibri" w:eastAsia="Calibri" w:hAnsi="Calibri" w:cs="Calibri"/>
          <w:color w:val="222222"/>
        </w:rPr>
        <w:t xml:space="preserve">-217. </w:t>
      </w:r>
      <w:hyperlink r:id="rId15">
        <w:r w:rsidRPr="007C4E68">
          <w:rPr>
            <w:rFonts w:ascii="Calibri" w:eastAsia="Calibri" w:hAnsi="Calibri" w:cs="Calibri"/>
            <w:color w:val="000000"/>
          </w:rPr>
          <w:t>https://doi.org/10.1007/s12022-020-09638-x</w:t>
        </w:r>
      </w:hyperlink>
      <w:r w:rsidRPr="007C4E68">
        <w:rPr>
          <w:rFonts w:ascii="Calibri" w:eastAsia="Calibri" w:hAnsi="Calibri" w:cs="Calibri"/>
          <w:color w:val="222222"/>
        </w:rPr>
        <w:t>.</w:t>
      </w:r>
    </w:p>
    <w:p w14:paraId="2B1A0C46" w14:textId="77777777" w:rsidR="00735414" w:rsidRPr="007C4E68" w:rsidRDefault="00C707B3" w:rsidP="007C4E68">
      <w:pPr>
        <w:widowControl w:val="0"/>
        <w:numPr>
          <w:ilvl w:val="0"/>
          <w:numId w:val="1"/>
        </w:numPr>
        <w:pBdr>
          <w:top w:val="nil"/>
          <w:left w:val="nil"/>
          <w:bottom w:val="nil"/>
          <w:right w:val="nil"/>
          <w:between w:val="nil"/>
        </w:pBdr>
        <w:spacing w:line="360" w:lineRule="auto"/>
        <w:ind w:right="257"/>
        <w:jc w:val="both"/>
        <w:rPr>
          <w:rFonts w:ascii="Calibri" w:eastAsia="Calibri" w:hAnsi="Calibri" w:cs="Calibri"/>
          <w:color w:val="000000"/>
        </w:rPr>
      </w:pPr>
      <w:r w:rsidRPr="007C4E68">
        <w:rPr>
          <w:rFonts w:ascii="Calibri" w:eastAsia="Calibri" w:hAnsi="Calibri" w:cs="Calibri"/>
          <w:color w:val="000000"/>
          <w:lang w:val="fr-FR"/>
        </w:rPr>
        <w:t xml:space="preserve">Wells SA, Asa SL, </w:t>
      </w:r>
      <w:proofErr w:type="spellStart"/>
      <w:r w:rsidRPr="007C4E68">
        <w:rPr>
          <w:rFonts w:ascii="Calibri" w:eastAsia="Calibri" w:hAnsi="Calibri" w:cs="Calibri"/>
          <w:color w:val="000000"/>
          <w:lang w:val="fr-FR"/>
        </w:rPr>
        <w:t>Dralle</w:t>
      </w:r>
      <w:proofErr w:type="spellEnd"/>
      <w:r w:rsidRPr="007C4E68">
        <w:rPr>
          <w:rFonts w:ascii="Calibri" w:eastAsia="Calibri" w:hAnsi="Calibri" w:cs="Calibri"/>
          <w:color w:val="000000"/>
          <w:lang w:val="fr-FR"/>
        </w:rPr>
        <w:t xml:space="preserve"> H, et al. </w:t>
      </w:r>
      <w:r w:rsidRPr="007C4E68">
        <w:rPr>
          <w:rFonts w:ascii="Calibri" w:eastAsia="Calibri" w:hAnsi="Calibri" w:cs="Calibri"/>
          <w:color w:val="000000"/>
        </w:rPr>
        <w:t xml:space="preserve">Revised American Thyroid Association guidelines for the management of medullary thyroid carcinoma. Thyroid: official journal of the American Thyroid Association. 2015;25 6:567-610. </w:t>
      </w:r>
      <w:hyperlink r:id="rId16">
        <w:r w:rsidRPr="007C4E68">
          <w:rPr>
            <w:rFonts w:ascii="Calibri" w:eastAsia="Calibri" w:hAnsi="Calibri" w:cs="Calibri"/>
            <w:color w:val="000000"/>
          </w:rPr>
          <w:t>https://doi.org/10.1089/thy.2014.0335</w:t>
        </w:r>
      </w:hyperlink>
      <w:r w:rsidRPr="007C4E68">
        <w:rPr>
          <w:rFonts w:ascii="Calibri" w:eastAsia="Calibri" w:hAnsi="Calibri" w:cs="Calibri"/>
          <w:color w:val="000000"/>
        </w:rPr>
        <w:t>.</w:t>
      </w:r>
    </w:p>
    <w:p w14:paraId="6349ED0F" w14:textId="03BDF2E1" w:rsidR="00735414" w:rsidRPr="007C4E68" w:rsidRDefault="00C707B3" w:rsidP="007C4E68">
      <w:pPr>
        <w:widowControl w:val="0"/>
        <w:numPr>
          <w:ilvl w:val="0"/>
          <w:numId w:val="1"/>
        </w:numPr>
        <w:pBdr>
          <w:top w:val="nil"/>
          <w:left w:val="nil"/>
          <w:bottom w:val="nil"/>
          <w:right w:val="nil"/>
          <w:between w:val="nil"/>
        </w:pBdr>
        <w:spacing w:line="360" w:lineRule="auto"/>
        <w:ind w:right="257"/>
        <w:jc w:val="both"/>
        <w:rPr>
          <w:rFonts w:ascii="Calibri" w:eastAsia="Calibri" w:hAnsi="Calibri" w:cs="Calibri"/>
          <w:color w:val="000000"/>
        </w:rPr>
      </w:pPr>
      <w:proofErr w:type="spellStart"/>
      <w:r w:rsidRPr="007C4E68">
        <w:rPr>
          <w:rFonts w:ascii="Calibri" w:eastAsia="Calibri" w:hAnsi="Calibri" w:cs="Calibri"/>
          <w:color w:val="000000"/>
        </w:rPr>
        <w:t>Karaisli</w:t>
      </w:r>
      <w:proofErr w:type="spellEnd"/>
      <w:r w:rsidRPr="007C4E68">
        <w:rPr>
          <w:rFonts w:ascii="Calibri" w:eastAsia="Calibri" w:hAnsi="Calibri" w:cs="Calibri"/>
          <w:color w:val="000000"/>
        </w:rPr>
        <w:t xml:space="preserve"> S, </w:t>
      </w:r>
      <w:proofErr w:type="spellStart"/>
      <w:r w:rsidRPr="007C4E68">
        <w:rPr>
          <w:rFonts w:ascii="Calibri" w:eastAsia="Calibri" w:hAnsi="Calibri" w:cs="Calibri"/>
          <w:color w:val="000000"/>
        </w:rPr>
        <w:t>Hacıyanlı</w:t>
      </w:r>
      <w:proofErr w:type="spellEnd"/>
      <w:r w:rsidRPr="007C4E68">
        <w:rPr>
          <w:rFonts w:ascii="Calibri" w:eastAsia="Calibri" w:hAnsi="Calibri" w:cs="Calibri"/>
          <w:color w:val="000000"/>
        </w:rPr>
        <w:t xml:space="preserve"> M, </w:t>
      </w:r>
      <w:proofErr w:type="spellStart"/>
      <w:r w:rsidRPr="007C4E68">
        <w:rPr>
          <w:rFonts w:ascii="Calibri" w:eastAsia="Calibri" w:hAnsi="Calibri" w:cs="Calibri"/>
          <w:color w:val="000000"/>
        </w:rPr>
        <w:t>GücekHaciyanli</w:t>
      </w:r>
      <w:proofErr w:type="spellEnd"/>
      <w:r w:rsidRPr="007C4E68">
        <w:rPr>
          <w:rFonts w:ascii="Calibri" w:eastAsia="Calibri" w:hAnsi="Calibri" w:cs="Calibri"/>
          <w:color w:val="000000"/>
        </w:rPr>
        <w:t xml:space="preserve"> S, et al. Spindle epithelial </w:t>
      </w:r>
      <w:proofErr w:type="spellStart"/>
      <w:r w:rsidRPr="007C4E68">
        <w:rPr>
          <w:rFonts w:ascii="Calibri" w:eastAsia="Calibri" w:hAnsi="Calibri" w:cs="Calibri"/>
          <w:color w:val="000000"/>
        </w:rPr>
        <w:t>tumour</w:t>
      </w:r>
      <w:proofErr w:type="spellEnd"/>
      <w:r w:rsidRPr="007C4E68">
        <w:rPr>
          <w:rFonts w:ascii="Calibri" w:eastAsia="Calibri" w:hAnsi="Calibri" w:cs="Calibri"/>
          <w:color w:val="000000"/>
        </w:rPr>
        <w:t xml:space="preserve"> with thymus-like differentiation: report of two cases. Annals of the Royal College of Surgeons of England. Published online February 1, </w:t>
      </w:r>
      <w:proofErr w:type="gramStart"/>
      <w:r w:rsidRPr="007C4E68">
        <w:rPr>
          <w:rFonts w:ascii="Calibri" w:eastAsia="Calibri" w:hAnsi="Calibri" w:cs="Calibri"/>
          <w:color w:val="000000"/>
        </w:rPr>
        <w:t>2020:e</w:t>
      </w:r>
      <w:proofErr w:type="gramEnd"/>
      <w:r w:rsidRPr="007C4E68">
        <w:rPr>
          <w:rFonts w:ascii="Calibri" w:eastAsia="Calibri" w:hAnsi="Calibri" w:cs="Calibri"/>
          <w:color w:val="000000"/>
        </w:rPr>
        <w:t xml:space="preserve">1-e3. </w:t>
      </w:r>
      <w:hyperlink r:id="rId17" w:history="1">
        <w:r w:rsidR="00735414" w:rsidRPr="007C4E68">
          <w:rPr>
            <w:rStyle w:val="Hiperligao"/>
            <w:rFonts w:ascii="Calibri" w:eastAsia="Calibri" w:hAnsi="Calibri" w:cs="Calibri"/>
          </w:rPr>
          <w:t>https://doi.org/10.1308/rcsann.2019.0116</w:t>
        </w:r>
      </w:hyperlink>
      <w:r w:rsidRPr="007C4E68">
        <w:rPr>
          <w:rFonts w:ascii="Calibri" w:eastAsia="Calibri" w:hAnsi="Calibri" w:cs="Calibri"/>
          <w:color w:val="000000"/>
        </w:rPr>
        <w:t>.</w:t>
      </w:r>
    </w:p>
    <w:p w14:paraId="2E6C88FF" w14:textId="36BBD361" w:rsidR="00A978EF" w:rsidRPr="006B2998" w:rsidRDefault="00C707B3" w:rsidP="007C4E68">
      <w:pPr>
        <w:widowControl w:val="0"/>
        <w:numPr>
          <w:ilvl w:val="0"/>
          <w:numId w:val="1"/>
        </w:numPr>
        <w:pBdr>
          <w:top w:val="nil"/>
          <w:left w:val="nil"/>
          <w:bottom w:val="nil"/>
          <w:right w:val="nil"/>
          <w:between w:val="nil"/>
        </w:pBdr>
        <w:spacing w:line="360" w:lineRule="auto"/>
        <w:ind w:right="257"/>
        <w:jc w:val="both"/>
        <w:rPr>
          <w:lang w:val="pt-BR"/>
        </w:rPr>
      </w:pPr>
      <w:proofErr w:type="spellStart"/>
      <w:r w:rsidRPr="007C4E68">
        <w:rPr>
          <w:rFonts w:ascii="Calibri" w:eastAsia="Calibri" w:hAnsi="Calibri" w:cs="Calibri"/>
          <w:color w:val="000000"/>
        </w:rPr>
        <w:t>Abrosimov</w:t>
      </w:r>
      <w:proofErr w:type="spellEnd"/>
      <w:r w:rsidRPr="007C4E68">
        <w:rPr>
          <w:rFonts w:ascii="Calibri" w:eastAsia="Calibri" w:hAnsi="Calibri" w:cs="Calibri"/>
          <w:color w:val="000000"/>
        </w:rPr>
        <w:t xml:space="preserve"> A, </w:t>
      </w:r>
      <w:proofErr w:type="spellStart"/>
      <w:r w:rsidRPr="007C4E68">
        <w:rPr>
          <w:rFonts w:ascii="Calibri" w:eastAsia="Calibri" w:hAnsi="Calibri" w:cs="Calibri"/>
          <w:color w:val="000000"/>
        </w:rPr>
        <w:t>Livolsi</w:t>
      </w:r>
      <w:proofErr w:type="spellEnd"/>
      <w:r w:rsidRPr="007C4E68">
        <w:rPr>
          <w:rFonts w:ascii="Calibri" w:eastAsia="Calibri" w:hAnsi="Calibri" w:cs="Calibri"/>
          <w:color w:val="000000"/>
        </w:rPr>
        <w:t xml:space="preserve"> V. Spindle epithelial tumor with thymus-like differentiation (SETTLE) of the thyroid with neck lymph node metastasis: A case report. Endocrine Pathology. 16:139-143. </w:t>
      </w:r>
      <w:hyperlink r:id="rId18" w:history="1">
        <w:r w:rsidR="006B2998" w:rsidRPr="007A5ED6">
          <w:rPr>
            <w:rStyle w:val="Hiperligao"/>
            <w:rFonts w:ascii="Calibri" w:eastAsia="Calibri" w:hAnsi="Calibri" w:cs="Calibri"/>
          </w:rPr>
          <w:t>https://doi.org/10.1385/EP:16:2:139</w:t>
        </w:r>
      </w:hyperlink>
    </w:p>
    <w:p w14:paraId="22B608C5" w14:textId="5EA8F1CD" w:rsidR="006B2998" w:rsidRDefault="006B2998" w:rsidP="006B2998">
      <w:pPr>
        <w:widowControl w:val="0"/>
        <w:pBdr>
          <w:top w:val="nil"/>
          <w:left w:val="nil"/>
          <w:bottom w:val="nil"/>
          <w:right w:val="nil"/>
          <w:between w:val="nil"/>
        </w:pBdr>
        <w:spacing w:line="360" w:lineRule="auto"/>
        <w:ind w:right="257"/>
        <w:jc w:val="both"/>
        <w:rPr>
          <w:rFonts w:ascii="Calibri" w:eastAsia="Calibri" w:hAnsi="Calibri" w:cs="Calibri"/>
          <w:color w:val="000000"/>
        </w:rPr>
      </w:pPr>
    </w:p>
    <w:p w14:paraId="12511CD8" w14:textId="4CCC3600" w:rsidR="006B2998" w:rsidRDefault="006B2998" w:rsidP="006B2998">
      <w:pPr>
        <w:widowControl w:val="0"/>
        <w:pBdr>
          <w:top w:val="nil"/>
          <w:left w:val="nil"/>
          <w:bottom w:val="nil"/>
          <w:right w:val="nil"/>
          <w:between w:val="nil"/>
        </w:pBdr>
        <w:spacing w:line="360" w:lineRule="auto"/>
        <w:ind w:right="257"/>
        <w:jc w:val="both"/>
        <w:rPr>
          <w:rFonts w:ascii="Calibri" w:eastAsia="Calibri" w:hAnsi="Calibri" w:cs="Calibri"/>
          <w:color w:val="000000"/>
        </w:rPr>
      </w:pPr>
    </w:p>
    <w:p w14:paraId="51408C4B" w14:textId="34530179" w:rsidR="006B2998" w:rsidRDefault="006B2998">
      <w:pPr>
        <w:rPr>
          <w:rFonts w:ascii="Calibri" w:eastAsia="Calibri" w:hAnsi="Calibri" w:cs="Calibri"/>
          <w:color w:val="000000"/>
        </w:rPr>
      </w:pPr>
      <w:r>
        <w:rPr>
          <w:rFonts w:ascii="Calibri" w:eastAsia="Calibri" w:hAnsi="Calibri" w:cs="Calibri"/>
          <w:color w:val="000000"/>
        </w:rPr>
        <w:br w:type="page"/>
      </w:r>
    </w:p>
    <w:p w14:paraId="384DDD1A" w14:textId="288954BF" w:rsidR="006B2998" w:rsidRPr="006B2998" w:rsidRDefault="00737CD2" w:rsidP="006B2998">
      <w:pPr>
        <w:pStyle w:val="Ttulo1"/>
        <w:spacing w:line="360" w:lineRule="auto"/>
        <w:ind w:left="0"/>
        <w:rPr>
          <w:sz w:val="24"/>
          <w:szCs w:val="24"/>
        </w:rPr>
      </w:pPr>
      <w:r>
        <w:rPr>
          <w:sz w:val="24"/>
          <w:szCs w:val="24"/>
        </w:rPr>
        <w:lastRenderedPageBreak/>
        <w:t>IMAGES</w:t>
      </w:r>
    </w:p>
    <w:p w14:paraId="0F39A595" w14:textId="77777777" w:rsidR="006B2998" w:rsidRDefault="006B2998" w:rsidP="006B2998">
      <w:pPr>
        <w:widowControl w:val="0"/>
        <w:pBdr>
          <w:top w:val="nil"/>
          <w:left w:val="nil"/>
          <w:bottom w:val="nil"/>
          <w:right w:val="nil"/>
          <w:between w:val="nil"/>
        </w:pBdr>
        <w:spacing w:line="360" w:lineRule="auto"/>
        <w:ind w:left="100" w:right="257" w:firstLine="708"/>
        <w:jc w:val="center"/>
        <w:rPr>
          <w:rFonts w:ascii="Calibri" w:eastAsia="Calibri" w:hAnsi="Calibri" w:cs="Calibri"/>
          <w:color w:val="000000"/>
        </w:rPr>
      </w:pPr>
    </w:p>
    <w:p w14:paraId="00097340" w14:textId="31920532" w:rsidR="006B2998" w:rsidRDefault="006B2998" w:rsidP="006B2998">
      <w:pPr>
        <w:widowControl w:val="0"/>
        <w:pBdr>
          <w:top w:val="nil"/>
          <w:left w:val="nil"/>
          <w:bottom w:val="nil"/>
          <w:right w:val="nil"/>
          <w:between w:val="nil"/>
        </w:pBdr>
        <w:spacing w:line="360" w:lineRule="auto"/>
        <w:ind w:left="100" w:right="257" w:firstLine="708"/>
        <w:jc w:val="center"/>
        <w:rPr>
          <w:rFonts w:ascii="Calibri" w:eastAsia="Calibri" w:hAnsi="Calibri" w:cs="Calibri"/>
          <w:color w:val="000000"/>
        </w:rPr>
      </w:pPr>
      <w:r w:rsidRPr="006B2998">
        <w:rPr>
          <w:rFonts w:ascii="Calibri" w:eastAsia="Calibri" w:hAnsi="Calibri" w:cs="Calibri"/>
          <w:color w:val="000000"/>
        </w:rPr>
        <w:t>Figure 1</w:t>
      </w:r>
    </w:p>
    <w:p w14:paraId="49DE0E41" w14:textId="77777777" w:rsidR="006B2998" w:rsidRPr="006B2998" w:rsidRDefault="006B2998" w:rsidP="006B2998">
      <w:pPr>
        <w:widowControl w:val="0"/>
        <w:pBdr>
          <w:top w:val="nil"/>
          <w:left w:val="nil"/>
          <w:bottom w:val="nil"/>
          <w:right w:val="nil"/>
          <w:between w:val="nil"/>
        </w:pBdr>
        <w:spacing w:line="360" w:lineRule="auto"/>
        <w:ind w:left="100" w:right="257" w:firstLine="708"/>
        <w:jc w:val="center"/>
        <w:rPr>
          <w:rFonts w:ascii="Calibri" w:eastAsia="Calibri" w:hAnsi="Calibri" w:cs="Calibri"/>
          <w:color w:val="000000"/>
        </w:rPr>
      </w:pPr>
    </w:p>
    <w:p w14:paraId="0A3977CA" w14:textId="68F9F271" w:rsidR="006B2998" w:rsidRDefault="006B2998" w:rsidP="006B299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r>
        <w:rPr>
          <w:rFonts w:ascii="Calibri" w:eastAsia="Calibri" w:hAnsi="Calibri" w:cs="Calibri"/>
          <w:noProof/>
          <w:color w:val="000000"/>
        </w:rPr>
        <w:drawing>
          <wp:inline distT="0" distB="0" distL="0" distR="0" wp14:anchorId="57D6BE21" wp14:editId="060391A9">
            <wp:extent cx="5486400" cy="2743200"/>
            <wp:effectExtent l="0" t="0" r="0" b="0"/>
            <wp:docPr id="1" name="Imagem 1" descr="Uma imagem com roxo, violeta, Lilás, Magent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descr="Uma imagem com roxo, violeta, Lilás, Magenta&#10;&#10;Descrição gerada automaticamente"/>
                    <pic:cNvPicPr/>
                  </pic:nvPicPr>
                  <pic:blipFill>
                    <a:blip r:embed="rId19">
                      <a:extLst>
                        <a:ext uri="{28A0092B-C50C-407E-A947-70E740481C1C}">
                          <a14:useLocalDpi xmlns:a14="http://schemas.microsoft.com/office/drawing/2010/main" val="0"/>
                        </a:ext>
                      </a:extLst>
                    </a:blip>
                    <a:stretch>
                      <a:fillRect/>
                    </a:stretch>
                  </pic:blipFill>
                  <pic:spPr>
                    <a:xfrm>
                      <a:off x="0" y="0"/>
                      <a:ext cx="5545067" cy="2772534"/>
                    </a:xfrm>
                    <a:prstGeom prst="rect">
                      <a:avLst/>
                    </a:prstGeom>
                  </pic:spPr>
                </pic:pic>
              </a:graphicData>
            </a:graphic>
          </wp:inline>
        </w:drawing>
      </w:r>
    </w:p>
    <w:p w14:paraId="07721943" w14:textId="77777777"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b/>
          <w:bCs/>
          <w:color w:val="000000"/>
        </w:rPr>
      </w:pPr>
    </w:p>
    <w:p w14:paraId="311CD43D" w14:textId="0FB40009"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r w:rsidRPr="006B2998">
        <w:rPr>
          <w:rFonts w:ascii="Calibri" w:eastAsia="Calibri" w:hAnsi="Calibri" w:cs="Calibri"/>
          <w:b/>
          <w:bCs/>
          <w:color w:val="000000"/>
        </w:rPr>
        <w:t>Legend</w:t>
      </w:r>
      <w:r>
        <w:rPr>
          <w:rFonts w:ascii="Calibri" w:eastAsia="Calibri" w:hAnsi="Calibri" w:cs="Calibri"/>
          <w:b/>
          <w:bCs/>
          <w:color w:val="000000"/>
        </w:rPr>
        <w:t xml:space="preserve"> (figure 1)</w:t>
      </w:r>
      <w:r w:rsidRPr="006B2998">
        <w:rPr>
          <w:rFonts w:ascii="Calibri" w:eastAsia="Calibri" w:hAnsi="Calibri" w:cs="Calibri"/>
          <w:b/>
          <w:bCs/>
          <w:color w:val="000000"/>
        </w:rPr>
        <w:t>:</w:t>
      </w:r>
      <w:r>
        <w:rPr>
          <w:rFonts w:ascii="Calibri" w:eastAsia="Calibri" w:hAnsi="Calibri" w:cs="Calibri"/>
          <w:color w:val="000000"/>
        </w:rPr>
        <w:t xml:space="preserve"> </w:t>
      </w:r>
      <w:r w:rsidRPr="006B2998">
        <w:rPr>
          <w:rFonts w:ascii="Calibri" w:eastAsia="Calibri" w:hAnsi="Calibri" w:cs="Calibri"/>
          <w:color w:val="000000"/>
        </w:rPr>
        <w:t>Fine needle aspirate smears showed groups of spindle cells in a background with amorphous metachromatic extracellular material, which was misinterpreted as amyloid (MGG x400)</w:t>
      </w:r>
    </w:p>
    <w:p w14:paraId="37593D38" w14:textId="758E6C80"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73E55E90" w14:textId="4169A217"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0C7C15DD" w14:textId="0F5F7A08"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5CD947F7" w14:textId="16AABE60"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2F563514" w14:textId="193F0FB1"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2349C175" w14:textId="5F8F7C45"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1E9F49F2" w14:textId="5FE48B73"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5DC6A001" w14:textId="27F52F6A"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0428C250" w14:textId="2AB33182"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377F15C7" w14:textId="21734D0F"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5F600327" w14:textId="0165CCAF"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153D6B7F" w14:textId="0B419A50" w:rsidR="006B2998" w:rsidRDefault="006B2998" w:rsidP="006B2998">
      <w:pPr>
        <w:widowControl w:val="0"/>
        <w:pBdr>
          <w:top w:val="nil"/>
          <w:left w:val="nil"/>
          <w:bottom w:val="nil"/>
          <w:right w:val="nil"/>
          <w:between w:val="nil"/>
        </w:pBdr>
        <w:spacing w:line="360" w:lineRule="auto"/>
        <w:ind w:left="100" w:right="257" w:firstLine="708"/>
        <w:jc w:val="center"/>
        <w:rPr>
          <w:rFonts w:ascii="Calibri" w:eastAsia="Calibri" w:hAnsi="Calibri" w:cs="Calibri"/>
          <w:color w:val="000000"/>
        </w:rPr>
      </w:pPr>
      <w:r w:rsidRPr="006B2998">
        <w:rPr>
          <w:rFonts w:ascii="Calibri" w:eastAsia="Calibri" w:hAnsi="Calibri" w:cs="Calibri"/>
          <w:color w:val="000000"/>
        </w:rPr>
        <w:lastRenderedPageBreak/>
        <w:t>Figure 2</w:t>
      </w:r>
    </w:p>
    <w:p w14:paraId="6EC9A3A9" w14:textId="2852CB36" w:rsidR="006B2998" w:rsidRDefault="006B2998" w:rsidP="006B2998">
      <w:pPr>
        <w:widowControl w:val="0"/>
        <w:pBdr>
          <w:top w:val="nil"/>
          <w:left w:val="nil"/>
          <w:bottom w:val="nil"/>
          <w:right w:val="nil"/>
          <w:between w:val="nil"/>
        </w:pBdr>
        <w:spacing w:line="360" w:lineRule="auto"/>
        <w:ind w:left="100" w:right="257" w:firstLine="708"/>
        <w:jc w:val="center"/>
        <w:rPr>
          <w:rFonts w:ascii="Calibri" w:eastAsia="Calibri" w:hAnsi="Calibri" w:cs="Calibri"/>
          <w:color w:val="000000"/>
        </w:rPr>
      </w:pPr>
      <w:r>
        <w:rPr>
          <w:rFonts w:ascii="Calibri" w:eastAsia="Calibri" w:hAnsi="Calibri" w:cs="Calibri"/>
          <w:noProof/>
          <w:color w:val="000000"/>
        </w:rPr>
        <w:drawing>
          <wp:inline distT="0" distB="0" distL="0" distR="0" wp14:anchorId="0B4A8FCB" wp14:editId="685FD692">
            <wp:extent cx="4632525" cy="3062177"/>
            <wp:effectExtent l="0" t="0" r="3175" b="0"/>
            <wp:docPr id="2" name="Imagem 2" descr="Uma imagem com Imagiologia médica, radiologia, película de raio X&#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descr="Uma imagem com Imagiologia médica, radiologia, película de raio X&#10;&#10;Descrição gerada automaticamente"/>
                    <pic:cNvPicPr/>
                  </pic:nvPicPr>
                  <pic:blipFill>
                    <a:blip r:embed="rId20">
                      <a:extLst>
                        <a:ext uri="{28A0092B-C50C-407E-A947-70E740481C1C}">
                          <a14:useLocalDpi xmlns:a14="http://schemas.microsoft.com/office/drawing/2010/main" val="0"/>
                        </a:ext>
                      </a:extLst>
                    </a:blip>
                    <a:stretch>
                      <a:fillRect/>
                    </a:stretch>
                  </pic:blipFill>
                  <pic:spPr>
                    <a:xfrm>
                      <a:off x="0" y="0"/>
                      <a:ext cx="4674138" cy="3089684"/>
                    </a:xfrm>
                    <a:prstGeom prst="rect">
                      <a:avLst/>
                    </a:prstGeom>
                  </pic:spPr>
                </pic:pic>
              </a:graphicData>
            </a:graphic>
          </wp:inline>
        </w:drawing>
      </w:r>
    </w:p>
    <w:p w14:paraId="3F480D64" w14:textId="3FB79D85"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r w:rsidRPr="006B2998">
        <w:rPr>
          <w:rFonts w:ascii="Calibri" w:eastAsia="Calibri" w:hAnsi="Calibri" w:cs="Calibri"/>
          <w:b/>
          <w:bCs/>
          <w:color w:val="000000"/>
        </w:rPr>
        <w:t>Legend</w:t>
      </w:r>
      <w:r>
        <w:rPr>
          <w:rFonts w:ascii="Calibri" w:eastAsia="Calibri" w:hAnsi="Calibri" w:cs="Calibri"/>
          <w:b/>
          <w:bCs/>
          <w:color w:val="000000"/>
        </w:rPr>
        <w:t xml:space="preserve"> </w:t>
      </w:r>
      <w:r>
        <w:rPr>
          <w:rFonts w:ascii="Calibri" w:eastAsia="Calibri" w:hAnsi="Calibri" w:cs="Calibri"/>
          <w:b/>
          <w:bCs/>
          <w:color w:val="000000"/>
        </w:rPr>
        <w:t xml:space="preserve">(figure </w:t>
      </w:r>
      <w:r>
        <w:rPr>
          <w:rFonts w:ascii="Calibri" w:eastAsia="Calibri" w:hAnsi="Calibri" w:cs="Calibri"/>
          <w:b/>
          <w:bCs/>
          <w:color w:val="000000"/>
        </w:rPr>
        <w:t>2</w:t>
      </w:r>
      <w:r>
        <w:rPr>
          <w:rFonts w:ascii="Calibri" w:eastAsia="Calibri" w:hAnsi="Calibri" w:cs="Calibri"/>
          <w:b/>
          <w:bCs/>
          <w:color w:val="000000"/>
        </w:rPr>
        <w:t>)</w:t>
      </w:r>
      <w:r w:rsidRPr="006B2998">
        <w:rPr>
          <w:rFonts w:ascii="Calibri" w:eastAsia="Calibri" w:hAnsi="Calibri" w:cs="Calibri"/>
          <w:b/>
          <w:bCs/>
          <w:color w:val="000000"/>
        </w:rPr>
        <w:t>:</w:t>
      </w:r>
      <w:r>
        <w:rPr>
          <w:rFonts w:ascii="Calibri" w:eastAsia="Calibri" w:hAnsi="Calibri" w:cs="Calibri"/>
          <w:color w:val="000000"/>
        </w:rPr>
        <w:t xml:space="preserve"> </w:t>
      </w:r>
      <w:r w:rsidRPr="006B2998">
        <w:rPr>
          <w:rFonts w:ascii="Calibri" w:eastAsia="Calibri" w:hAnsi="Calibri" w:cs="Calibri"/>
          <w:color w:val="000000"/>
        </w:rPr>
        <w:t>Computed axial tomography scan of the neck demonstrating the thyroid nodule filling almost the entire left lobe (arrow) with associated tracheal lumen reduction and tracheal right deviation.</w:t>
      </w:r>
    </w:p>
    <w:p w14:paraId="0222C22D" w14:textId="0A7FD712"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656A9326" w14:textId="449BFFD2"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2FB202D7" w14:textId="5B23CCFE"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077C12C7" w14:textId="3DE9225A"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33D7AA2B" w14:textId="73A7F46E"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0D5924BD" w14:textId="2FE3150B"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35AB0B2F" w14:textId="7DD8C8C9"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009BC880" w14:textId="7367852D"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656D15C5" w14:textId="24E906B4"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1AB2DC98" w14:textId="5AC56558"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61CDCEA9" w14:textId="2F7E269A"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159BA96E" w14:textId="0FBF9F61" w:rsid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45520B7A" w14:textId="77777777" w:rsidR="006B2998" w:rsidRP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p>
    <w:p w14:paraId="0081DCD4" w14:textId="4CDA1FAE" w:rsidR="006B2998" w:rsidRDefault="006B2998" w:rsidP="006B2998">
      <w:pPr>
        <w:widowControl w:val="0"/>
        <w:pBdr>
          <w:top w:val="nil"/>
          <w:left w:val="nil"/>
          <w:bottom w:val="nil"/>
          <w:right w:val="nil"/>
          <w:between w:val="nil"/>
        </w:pBdr>
        <w:spacing w:line="360" w:lineRule="auto"/>
        <w:ind w:left="100" w:right="257" w:firstLine="708"/>
        <w:jc w:val="center"/>
        <w:rPr>
          <w:rFonts w:ascii="Calibri" w:eastAsia="Calibri" w:hAnsi="Calibri" w:cs="Calibri"/>
          <w:color w:val="000000"/>
        </w:rPr>
      </w:pPr>
      <w:r w:rsidRPr="006B2998">
        <w:rPr>
          <w:rFonts w:ascii="Calibri" w:eastAsia="Calibri" w:hAnsi="Calibri" w:cs="Calibri"/>
          <w:color w:val="000000"/>
        </w:rPr>
        <w:lastRenderedPageBreak/>
        <w:t>Figure 3</w:t>
      </w:r>
    </w:p>
    <w:p w14:paraId="66FE2AF4" w14:textId="5EED9F9F" w:rsidR="006B2998" w:rsidRDefault="006B2998" w:rsidP="006B2998">
      <w:pPr>
        <w:widowControl w:val="0"/>
        <w:pBdr>
          <w:top w:val="nil"/>
          <w:left w:val="nil"/>
          <w:bottom w:val="nil"/>
          <w:right w:val="nil"/>
          <w:between w:val="nil"/>
        </w:pBdr>
        <w:spacing w:line="360" w:lineRule="auto"/>
        <w:ind w:left="100" w:right="257" w:firstLine="708"/>
        <w:jc w:val="center"/>
        <w:rPr>
          <w:rFonts w:ascii="Calibri" w:eastAsia="Calibri" w:hAnsi="Calibri" w:cs="Calibri"/>
          <w:color w:val="000000"/>
        </w:rPr>
      </w:pPr>
    </w:p>
    <w:p w14:paraId="5D118475" w14:textId="2B9A5C4C" w:rsidR="006B2998" w:rsidRDefault="006B2998" w:rsidP="006B2998">
      <w:pPr>
        <w:widowControl w:val="0"/>
        <w:pBdr>
          <w:top w:val="nil"/>
          <w:left w:val="nil"/>
          <w:bottom w:val="nil"/>
          <w:right w:val="nil"/>
          <w:between w:val="nil"/>
        </w:pBdr>
        <w:spacing w:line="360" w:lineRule="auto"/>
        <w:ind w:left="100" w:right="257" w:firstLine="708"/>
        <w:jc w:val="center"/>
        <w:rPr>
          <w:rFonts w:ascii="Calibri" w:eastAsia="Calibri" w:hAnsi="Calibri" w:cs="Calibri"/>
          <w:color w:val="000000"/>
        </w:rPr>
      </w:pPr>
      <w:r>
        <w:rPr>
          <w:rFonts w:ascii="Calibri" w:eastAsia="Calibri" w:hAnsi="Calibri" w:cs="Calibri"/>
          <w:noProof/>
          <w:color w:val="000000"/>
        </w:rPr>
        <w:drawing>
          <wp:inline distT="0" distB="0" distL="0" distR="0" wp14:anchorId="5BD392D2" wp14:editId="32A583D9">
            <wp:extent cx="5358059" cy="2509284"/>
            <wp:effectExtent l="0" t="0" r="1905" b="5715"/>
            <wp:docPr id="4" name="Imagem 4" descr="Uma imagem com Lilás, roxo, captura de ecrã, violeta&#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m 4" descr="Uma imagem com Lilás, roxo, captura de ecrã, violeta&#10;&#10;Descrição gerada automaticamente"/>
                    <pic:cNvPicPr/>
                  </pic:nvPicPr>
                  <pic:blipFill>
                    <a:blip r:embed="rId21">
                      <a:extLst>
                        <a:ext uri="{28A0092B-C50C-407E-A947-70E740481C1C}">
                          <a14:useLocalDpi xmlns:a14="http://schemas.microsoft.com/office/drawing/2010/main" val="0"/>
                        </a:ext>
                      </a:extLst>
                    </a:blip>
                    <a:stretch>
                      <a:fillRect/>
                    </a:stretch>
                  </pic:blipFill>
                  <pic:spPr>
                    <a:xfrm>
                      <a:off x="0" y="0"/>
                      <a:ext cx="5382612" cy="2520783"/>
                    </a:xfrm>
                    <a:prstGeom prst="rect">
                      <a:avLst/>
                    </a:prstGeom>
                  </pic:spPr>
                </pic:pic>
              </a:graphicData>
            </a:graphic>
          </wp:inline>
        </w:drawing>
      </w:r>
    </w:p>
    <w:p w14:paraId="4A367C49" w14:textId="5120D1B1" w:rsidR="006B2998" w:rsidRP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r w:rsidRPr="006B2998">
        <w:rPr>
          <w:rFonts w:ascii="Calibri" w:eastAsia="Calibri" w:hAnsi="Calibri" w:cs="Calibri"/>
          <w:b/>
          <w:bCs/>
          <w:color w:val="000000"/>
        </w:rPr>
        <w:t>Legend</w:t>
      </w:r>
      <w:r>
        <w:rPr>
          <w:rFonts w:ascii="Calibri" w:eastAsia="Calibri" w:hAnsi="Calibri" w:cs="Calibri"/>
          <w:b/>
          <w:bCs/>
          <w:color w:val="000000"/>
        </w:rPr>
        <w:t xml:space="preserve"> (figure 3)</w:t>
      </w:r>
      <w:r w:rsidRPr="006B2998">
        <w:rPr>
          <w:rFonts w:ascii="Calibri" w:eastAsia="Calibri" w:hAnsi="Calibri" w:cs="Calibri"/>
          <w:b/>
          <w:bCs/>
          <w:color w:val="000000"/>
        </w:rPr>
        <w:t>:</w:t>
      </w:r>
      <w:r>
        <w:rPr>
          <w:rFonts w:ascii="Calibri" w:eastAsia="Calibri" w:hAnsi="Calibri" w:cs="Calibri"/>
          <w:color w:val="000000"/>
        </w:rPr>
        <w:t xml:space="preserve"> </w:t>
      </w:r>
      <w:r w:rsidRPr="006B2998">
        <w:rPr>
          <w:rFonts w:ascii="Calibri" w:eastAsia="Calibri" w:hAnsi="Calibri" w:cs="Calibri"/>
          <w:color w:val="000000"/>
        </w:rPr>
        <w:t>The neoplasm was mostly composed of spindle-cell areas (Upper left image), with glandular-like structures (Upper right image). Areas of hyalinized stroma can be appreciated in both images. No mitoses, atypia or necrosis were seen (H&amp;E, x100 [Upper images], x400 [Lower images]).</w:t>
      </w:r>
    </w:p>
    <w:p w14:paraId="3C95AD63" w14:textId="552984C2" w:rsidR="006B2998" w:rsidRPr="006B2998" w:rsidRDefault="006B2998" w:rsidP="006B299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p>
    <w:p w14:paraId="34D6DF7E" w14:textId="2527B7E1" w:rsidR="006B2998" w:rsidRDefault="006B2998" w:rsidP="006B299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p>
    <w:p w14:paraId="7FC60A1A" w14:textId="6B7E7FB4" w:rsidR="00F77E4E" w:rsidRDefault="00F77E4E" w:rsidP="006B299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p>
    <w:p w14:paraId="6EF60AC2" w14:textId="7007A3BE" w:rsidR="00F77E4E" w:rsidRDefault="00F77E4E" w:rsidP="006B299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p>
    <w:p w14:paraId="7021A62F" w14:textId="55F14425" w:rsidR="00F77E4E" w:rsidRDefault="00F77E4E" w:rsidP="006B299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p>
    <w:p w14:paraId="23D02F03" w14:textId="04A84B54" w:rsidR="00F77E4E" w:rsidRDefault="00F77E4E" w:rsidP="006B299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p>
    <w:p w14:paraId="475E82B3" w14:textId="0FC8D4D0" w:rsidR="00F77E4E" w:rsidRDefault="00F77E4E" w:rsidP="006B299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p>
    <w:p w14:paraId="2698E37D" w14:textId="525C0787" w:rsidR="00F77E4E" w:rsidRDefault="00F77E4E" w:rsidP="006B299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p>
    <w:p w14:paraId="2F99AD12" w14:textId="35915C03" w:rsidR="00F77E4E" w:rsidRDefault="00F77E4E" w:rsidP="006B299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p>
    <w:p w14:paraId="2483BC14" w14:textId="6CD30EB3" w:rsidR="00F77E4E" w:rsidRDefault="00F77E4E" w:rsidP="006B299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p>
    <w:p w14:paraId="77E7D525" w14:textId="13E8F0D8" w:rsidR="00F77E4E" w:rsidRDefault="00F77E4E" w:rsidP="006B299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p>
    <w:p w14:paraId="6A6C4072" w14:textId="55F1352C" w:rsidR="00F77E4E" w:rsidRDefault="00F77E4E" w:rsidP="006B299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p>
    <w:p w14:paraId="2191B812" w14:textId="77777777" w:rsidR="00F77E4E" w:rsidRPr="006B2998" w:rsidRDefault="00F77E4E" w:rsidP="006B299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p>
    <w:p w14:paraId="169FDB14" w14:textId="6E4F5145" w:rsidR="006B2998" w:rsidRDefault="006B2998" w:rsidP="006B2998">
      <w:pPr>
        <w:widowControl w:val="0"/>
        <w:pBdr>
          <w:top w:val="nil"/>
          <w:left w:val="nil"/>
          <w:bottom w:val="nil"/>
          <w:right w:val="nil"/>
          <w:between w:val="nil"/>
        </w:pBdr>
        <w:spacing w:line="360" w:lineRule="auto"/>
        <w:ind w:left="100" w:right="257" w:firstLine="708"/>
        <w:jc w:val="center"/>
        <w:rPr>
          <w:rFonts w:ascii="Calibri" w:eastAsia="Calibri" w:hAnsi="Calibri" w:cs="Calibri"/>
          <w:color w:val="000000"/>
        </w:rPr>
      </w:pPr>
      <w:r w:rsidRPr="006B2998">
        <w:rPr>
          <w:rFonts w:ascii="Calibri" w:eastAsia="Calibri" w:hAnsi="Calibri" w:cs="Calibri"/>
          <w:color w:val="000000"/>
        </w:rPr>
        <w:lastRenderedPageBreak/>
        <w:t>Figure 4</w:t>
      </w:r>
    </w:p>
    <w:p w14:paraId="73EDAFE3" w14:textId="77777777" w:rsidR="00F77E4E" w:rsidRDefault="00F77E4E" w:rsidP="006B2998">
      <w:pPr>
        <w:widowControl w:val="0"/>
        <w:pBdr>
          <w:top w:val="nil"/>
          <w:left w:val="nil"/>
          <w:bottom w:val="nil"/>
          <w:right w:val="nil"/>
          <w:between w:val="nil"/>
        </w:pBdr>
        <w:spacing w:line="360" w:lineRule="auto"/>
        <w:ind w:left="100" w:right="257" w:firstLine="708"/>
        <w:jc w:val="center"/>
        <w:rPr>
          <w:rFonts w:ascii="Calibri" w:eastAsia="Calibri" w:hAnsi="Calibri" w:cs="Calibri"/>
          <w:color w:val="000000"/>
        </w:rPr>
      </w:pPr>
    </w:p>
    <w:p w14:paraId="2CE0BF84" w14:textId="2695ABE9" w:rsidR="006B2998" w:rsidRDefault="00F77E4E" w:rsidP="006B2998">
      <w:pPr>
        <w:widowControl w:val="0"/>
        <w:pBdr>
          <w:top w:val="nil"/>
          <w:left w:val="nil"/>
          <w:bottom w:val="nil"/>
          <w:right w:val="nil"/>
          <w:between w:val="nil"/>
        </w:pBdr>
        <w:spacing w:line="360" w:lineRule="auto"/>
        <w:ind w:left="100" w:right="257" w:firstLine="708"/>
        <w:jc w:val="center"/>
        <w:rPr>
          <w:rFonts w:ascii="Calibri" w:eastAsia="Calibri" w:hAnsi="Calibri" w:cs="Calibri"/>
          <w:color w:val="000000"/>
        </w:rPr>
      </w:pPr>
      <w:r>
        <w:rPr>
          <w:rFonts w:ascii="Calibri" w:eastAsia="Calibri" w:hAnsi="Calibri" w:cs="Calibri"/>
          <w:noProof/>
          <w:color w:val="000000"/>
        </w:rPr>
        <w:drawing>
          <wp:inline distT="0" distB="0" distL="0" distR="0" wp14:anchorId="56F0C9EF" wp14:editId="32A2A885">
            <wp:extent cx="5295900" cy="3276600"/>
            <wp:effectExtent l="0" t="0" r="0" b="0"/>
            <wp:docPr id="5" name="Imagem 5" descr="Uma imagem com captura de ecrã, ladrilho&#10;&#10;Descrição gerad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5" descr="Uma imagem com captura de ecrã, ladrilho&#10;&#10;Descrição gerada automaticamente"/>
                    <pic:cNvPicPr/>
                  </pic:nvPicPr>
                  <pic:blipFill>
                    <a:blip r:embed="rId22">
                      <a:extLst>
                        <a:ext uri="{28A0092B-C50C-407E-A947-70E740481C1C}">
                          <a14:useLocalDpi xmlns:a14="http://schemas.microsoft.com/office/drawing/2010/main" val="0"/>
                        </a:ext>
                      </a:extLst>
                    </a:blip>
                    <a:stretch>
                      <a:fillRect/>
                    </a:stretch>
                  </pic:blipFill>
                  <pic:spPr>
                    <a:xfrm>
                      <a:off x="0" y="0"/>
                      <a:ext cx="5295900" cy="3276600"/>
                    </a:xfrm>
                    <a:prstGeom prst="rect">
                      <a:avLst/>
                    </a:prstGeom>
                  </pic:spPr>
                </pic:pic>
              </a:graphicData>
            </a:graphic>
          </wp:inline>
        </w:drawing>
      </w:r>
    </w:p>
    <w:p w14:paraId="185E9B6C" w14:textId="77777777" w:rsidR="00F77E4E" w:rsidRDefault="00F77E4E" w:rsidP="006B2998">
      <w:pPr>
        <w:widowControl w:val="0"/>
        <w:pBdr>
          <w:top w:val="nil"/>
          <w:left w:val="nil"/>
          <w:bottom w:val="nil"/>
          <w:right w:val="nil"/>
          <w:between w:val="nil"/>
        </w:pBdr>
        <w:spacing w:line="360" w:lineRule="auto"/>
        <w:ind w:left="100" w:right="257"/>
        <w:jc w:val="both"/>
        <w:rPr>
          <w:rFonts w:ascii="Calibri" w:eastAsia="Calibri" w:hAnsi="Calibri" w:cs="Calibri"/>
          <w:b/>
          <w:bCs/>
          <w:color w:val="000000"/>
        </w:rPr>
      </w:pPr>
    </w:p>
    <w:p w14:paraId="2E69AC58" w14:textId="2C1ABA02" w:rsidR="006B2998" w:rsidRPr="006B2998" w:rsidRDefault="006B2998" w:rsidP="006B2998">
      <w:pPr>
        <w:widowControl w:val="0"/>
        <w:pBdr>
          <w:top w:val="nil"/>
          <w:left w:val="nil"/>
          <w:bottom w:val="nil"/>
          <w:right w:val="nil"/>
          <w:between w:val="nil"/>
        </w:pBdr>
        <w:spacing w:line="360" w:lineRule="auto"/>
        <w:ind w:left="100" w:right="257"/>
        <w:jc w:val="both"/>
        <w:rPr>
          <w:rFonts w:ascii="Calibri" w:eastAsia="Calibri" w:hAnsi="Calibri" w:cs="Calibri"/>
          <w:color w:val="000000"/>
        </w:rPr>
      </w:pPr>
      <w:r w:rsidRPr="006B2998">
        <w:rPr>
          <w:rFonts w:ascii="Calibri" w:eastAsia="Calibri" w:hAnsi="Calibri" w:cs="Calibri"/>
          <w:b/>
          <w:bCs/>
          <w:color w:val="000000"/>
        </w:rPr>
        <w:t>Legend</w:t>
      </w:r>
      <w:r w:rsidR="00F77E4E">
        <w:rPr>
          <w:rFonts w:ascii="Calibri" w:eastAsia="Calibri" w:hAnsi="Calibri" w:cs="Calibri"/>
          <w:b/>
          <w:bCs/>
          <w:color w:val="000000"/>
        </w:rPr>
        <w:t xml:space="preserve"> (figure 4)</w:t>
      </w:r>
      <w:r w:rsidRPr="006B2998">
        <w:rPr>
          <w:rFonts w:ascii="Calibri" w:eastAsia="Calibri" w:hAnsi="Calibri" w:cs="Calibri"/>
          <w:b/>
          <w:bCs/>
          <w:color w:val="000000"/>
        </w:rPr>
        <w:t>:</w:t>
      </w:r>
      <w:r>
        <w:rPr>
          <w:rFonts w:ascii="Calibri" w:eastAsia="Calibri" w:hAnsi="Calibri" w:cs="Calibri"/>
          <w:color w:val="000000"/>
        </w:rPr>
        <w:t xml:space="preserve"> </w:t>
      </w:r>
      <w:r w:rsidRPr="006B2998">
        <w:rPr>
          <w:rFonts w:ascii="Calibri" w:eastAsia="Calibri" w:hAnsi="Calibri" w:cs="Calibri"/>
          <w:color w:val="000000"/>
        </w:rPr>
        <w:t>Immunohistochemistry (x400) revealed positivity for cytokeratin AE1/AE3 (Upper left), CAM5.2 (Middle left) and P63 (Lower left). Calcitonin A (Upper right) and TTF-1 (Middle right) were negative.</w:t>
      </w:r>
    </w:p>
    <w:p w14:paraId="7D22782F" w14:textId="77777777" w:rsidR="006B2998" w:rsidRPr="006B2998" w:rsidRDefault="006B2998" w:rsidP="006B2998">
      <w:pPr>
        <w:widowControl w:val="0"/>
        <w:pBdr>
          <w:top w:val="nil"/>
          <w:left w:val="nil"/>
          <w:bottom w:val="nil"/>
          <w:right w:val="nil"/>
          <w:between w:val="nil"/>
        </w:pBdr>
        <w:spacing w:line="360" w:lineRule="auto"/>
        <w:ind w:left="100" w:right="257" w:firstLine="708"/>
        <w:jc w:val="both"/>
        <w:rPr>
          <w:rFonts w:ascii="Calibri" w:eastAsia="Calibri" w:hAnsi="Calibri" w:cs="Calibri"/>
          <w:color w:val="000000"/>
        </w:rPr>
      </w:pPr>
    </w:p>
    <w:p w14:paraId="704195CA" w14:textId="77777777" w:rsidR="006B2998" w:rsidRPr="006B2998" w:rsidRDefault="006B2998" w:rsidP="006B2998">
      <w:pPr>
        <w:widowControl w:val="0"/>
        <w:pBdr>
          <w:top w:val="nil"/>
          <w:left w:val="nil"/>
          <w:bottom w:val="nil"/>
          <w:right w:val="nil"/>
          <w:between w:val="nil"/>
        </w:pBdr>
        <w:spacing w:line="360" w:lineRule="auto"/>
        <w:ind w:right="257"/>
        <w:jc w:val="both"/>
      </w:pPr>
    </w:p>
    <w:sectPr w:rsidR="006B2998" w:rsidRPr="006B2998">
      <w:headerReference w:type="default" r:id="rId23"/>
      <w:pgSz w:w="12240" w:h="14240"/>
      <w:pgMar w:top="1280" w:right="1180" w:bottom="280" w:left="1340"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2B7B6D40" w14:textId="77777777" w:rsidR="00D410FA" w:rsidRDefault="00D410FA">
      <w:r>
        <w:separator/>
      </w:r>
    </w:p>
  </w:endnote>
  <w:endnote w:type="continuationSeparator" w:id="0">
    <w:p w14:paraId="5966C3BE" w14:textId="77777777" w:rsidR="00D410FA" w:rsidRDefault="00D410F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Unicode MS">
    <w:panose1 w:val="020B0604020202020204"/>
    <w:charset w:val="80"/>
    <w:family w:val="swiss"/>
    <w:pitch w:val="variable"/>
    <w:sig w:usb0="F7FFAFFF" w:usb1="E9DFFFFF" w:usb2="0000003F" w:usb3="00000000" w:csb0="003F01FF" w:csb1="00000000"/>
  </w:font>
  <w:font w:name="Helvetica Neue">
    <w:altName w:val="﷽﷽﷽﷽﷽﷽﷽﷽a Neue"/>
    <w:panose1 w:val="02000503000000020004"/>
    <w:charset w:val="00"/>
    <w:family w:val="auto"/>
    <w:pitch w:val="variable"/>
    <w:sig w:usb0="E50002FF" w:usb1="500079DB" w:usb2="00000010" w:usb3="00000000" w:csb0="00000001" w:csb1="00000000"/>
  </w:font>
  <w:font w:name="Georgia">
    <w:altName w:val="﷽﷽﷽﷽﷽﷽﷽﷽怀"/>
    <w:panose1 w:val="02040502050405020303"/>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01D679BB" w14:textId="77777777" w:rsidR="00D410FA" w:rsidRDefault="00D410FA">
      <w:r>
        <w:separator/>
      </w:r>
    </w:p>
  </w:footnote>
  <w:footnote w:type="continuationSeparator" w:id="0">
    <w:p w14:paraId="13475D33" w14:textId="77777777" w:rsidR="00D410FA" w:rsidRDefault="00D410F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0EC5799" w14:textId="77777777" w:rsidR="00A978EF" w:rsidRDefault="00A978EF">
    <w:pPr>
      <w:pBdr>
        <w:top w:val="nil"/>
        <w:left w:val="nil"/>
        <w:bottom w:val="nil"/>
        <w:right w:val="nil"/>
        <w:between w:val="nil"/>
      </w:pBdr>
      <w:tabs>
        <w:tab w:val="right" w:pos="9020"/>
      </w:tabs>
      <w:rPr>
        <w:rFonts w:ascii="Helvetica Neue" w:eastAsia="Helvetica Neue" w:hAnsi="Helvetica Neue" w:cs="Helvetica Neue"/>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1A185CC8" w14:textId="77777777" w:rsidR="00A978EF" w:rsidRDefault="00A978EF">
    <w:pPr>
      <w:pBdr>
        <w:top w:val="nil"/>
        <w:left w:val="nil"/>
        <w:bottom w:val="nil"/>
        <w:right w:val="nil"/>
        <w:between w:val="nil"/>
      </w:pBdr>
      <w:tabs>
        <w:tab w:val="right" w:pos="9020"/>
      </w:tabs>
      <w:rPr>
        <w:rFonts w:ascii="Helvetica Neue" w:eastAsia="Helvetica Neue" w:hAnsi="Helvetica Neue" w:cs="Helvetica Neue"/>
        <w:color w:val="000000"/>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F0C0529"/>
    <w:multiLevelType w:val="multilevel"/>
    <w:tmpl w:val="6C1E194C"/>
    <w:lvl w:ilvl="0">
      <w:start w:val="1"/>
      <w:numFmt w:val="decimal"/>
      <w:lvlText w:val="%1."/>
      <w:lvlJc w:val="left"/>
      <w:pPr>
        <w:ind w:left="820" w:hanging="360"/>
      </w:pPr>
      <w:rPr>
        <w:rFonts w:ascii="Calibri" w:eastAsia="Calibri" w:hAnsi="Calibri" w:cs="Calibri"/>
        <w:b w:val="0"/>
        <w:i w:val="0"/>
        <w:smallCaps w:val="0"/>
        <w:strike w:val="0"/>
        <w:shd w:val="clear" w:color="auto" w:fill="auto"/>
        <w:vertAlign w:val="baseline"/>
      </w:rPr>
    </w:lvl>
    <w:lvl w:ilvl="1">
      <w:start w:val="1"/>
      <w:numFmt w:val="decimal"/>
      <w:lvlText w:val="%2."/>
      <w:lvlJc w:val="left"/>
      <w:pPr>
        <w:ind w:left="1080" w:hanging="360"/>
      </w:pPr>
      <w:rPr>
        <w:rFonts w:ascii="Calibri" w:eastAsia="Calibri" w:hAnsi="Calibri" w:cs="Calibri"/>
        <w:b w:val="0"/>
        <w:i w:val="0"/>
        <w:smallCaps w:val="0"/>
        <w:strike w:val="0"/>
        <w:shd w:val="clear" w:color="auto" w:fill="auto"/>
        <w:vertAlign w:val="baseline"/>
      </w:rPr>
    </w:lvl>
    <w:lvl w:ilvl="2">
      <w:start w:val="1"/>
      <w:numFmt w:val="decimal"/>
      <w:lvlText w:val="%3."/>
      <w:lvlJc w:val="left"/>
      <w:pPr>
        <w:ind w:left="1800" w:hanging="360"/>
      </w:pPr>
      <w:rPr>
        <w:rFonts w:ascii="Calibri" w:eastAsia="Calibri" w:hAnsi="Calibri" w:cs="Calibri"/>
        <w:b w:val="0"/>
        <w:i w:val="0"/>
        <w:smallCaps w:val="0"/>
        <w:strike w:val="0"/>
        <w:shd w:val="clear" w:color="auto" w:fill="auto"/>
        <w:vertAlign w:val="baseline"/>
      </w:rPr>
    </w:lvl>
    <w:lvl w:ilvl="3">
      <w:start w:val="1"/>
      <w:numFmt w:val="decimal"/>
      <w:lvlText w:val="%4."/>
      <w:lvlJc w:val="left"/>
      <w:pPr>
        <w:ind w:left="2520" w:hanging="360"/>
      </w:pPr>
      <w:rPr>
        <w:rFonts w:ascii="Calibri" w:eastAsia="Calibri" w:hAnsi="Calibri" w:cs="Calibri"/>
        <w:b w:val="0"/>
        <w:i w:val="0"/>
        <w:smallCaps w:val="0"/>
        <w:strike w:val="0"/>
        <w:shd w:val="clear" w:color="auto" w:fill="auto"/>
        <w:vertAlign w:val="baseline"/>
      </w:rPr>
    </w:lvl>
    <w:lvl w:ilvl="4">
      <w:start w:val="1"/>
      <w:numFmt w:val="decimal"/>
      <w:lvlText w:val="%5."/>
      <w:lvlJc w:val="left"/>
      <w:pPr>
        <w:ind w:left="3240" w:hanging="360"/>
      </w:pPr>
      <w:rPr>
        <w:rFonts w:ascii="Calibri" w:eastAsia="Calibri" w:hAnsi="Calibri" w:cs="Calibri"/>
        <w:b w:val="0"/>
        <w:i w:val="0"/>
        <w:smallCaps w:val="0"/>
        <w:strike w:val="0"/>
        <w:shd w:val="clear" w:color="auto" w:fill="auto"/>
        <w:vertAlign w:val="baseline"/>
      </w:rPr>
    </w:lvl>
    <w:lvl w:ilvl="5">
      <w:start w:val="1"/>
      <w:numFmt w:val="decimal"/>
      <w:lvlText w:val="%6."/>
      <w:lvlJc w:val="left"/>
      <w:pPr>
        <w:ind w:left="3960" w:hanging="360"/>
      </w:pPr>
      <w:rPr>
        <w:rFonts w:ascii="Calibri" w:eastAsia="Calibri" w:hAnsi="Calibri" w:cs="Calibri"/>
        <w:b w:val="0"/>
        <w:i w:val="0"/>
        <w:smallCaps w:val="0"/>
        <w:strike w:val="0"/>
        <w:shd w:val="clear" w:color="auto" w:fill="auto"/>
        <w:vertAlign w:val="baseline"/>
      </w:rPr>
    </w:lvl>
    <w:lvl w:ilvl="6">
      <w:start w:val="1"/>
      <w:numFmt w:val="decimal"/>
      <w:lvlText w:val="%7."/>
      <w:lvlJc w:val="left"/>
      <w:pPr>
        <w:ind w:left="4680" w:hanging="360"/>
      </w:pPr>
      <w:rPr>
        <w:rFonts w:ascii="Calibri" w:eastAsia="Calibri" w:hAnsi="Calibri" w:cs="Calibri"/>
        <w:b w:val="0"/>
        <w:i w:val="0"/>
        <w:smallCaps w:val="0"/>
        <w:strike w:val="0"/>
        <w:shd w:val="clear" w:color="auto" w:fill="auto"/>
        <w:vertAlign w:val="baseline"/>
      </w:rPr>
    </w:lvl>
    <w:lvl w:ilvl="7">
      <w:start w:val="1"/>
      <w:numFmt w:val="decimal"/>
      <w:lvlText w:val="%8."/>
      <w:lvlJc w:val="left"/>
      <w:pPr>
        <w:ind w:left="5400" w:hanging="360"/>
      </w:pPr>
      <w:rPr>
        <w:rFonts w:ascii="Calibri" w:eastAsia="Calibri" w:hAnsi="Calibri" w:cs="Calibri"/>
        <w:b w:val="0"/>
        <w:i w:val="0"/>
        <w:smallCaps w:val="0"/>
        <w:strike w:val="0"/>
        <w:shd w:val="clear" w:color="auto" w:fill="auto"/>
        <w:vertAlign w:val="baseline"/>
      </w:rPr>
    </w:lvl>
    <w:lvl w:ilvl="8">
      <w:start w:val="1"/>
      <w:numFmt w:val="decimal"/>
      <w:lvlText w:val="%9."/>
      <w:lvlJc w:val="left"/>
      <w:pPr>
        <w:ind w:left="6120" w:hanging="360"/>
      </w:pPr>
      <w:rPr>
        <w:rFonts w:ascii="Calibri" w:eastAsia="Calibri" w:hAnsi="Calibri" w:cs="Calibri"/>
        <w:b w:val="0"/>
        <w:i w:val="0"/>
        <w:smallCaps w:val="0"/>
        <w:strike w:val="0"/>
        <w:shd w:val="clear" w:color="auto" w:fill="auto"/>
        <w:vertAlign w:val="baseline"/>
      </w:rPr>
    </w:lvl>
  </w:abstractNum>
  <w:abstractNum w:abstractNumId="1" w15:restartNumberingAfterBreak="0">
    <w:nsid w:val="6B086547"/>
    <w:multiLevelType w:val="multilevel"/>
    <w:tmpl w:val="57385DA0"/>
    <w:lvl w:ilvl="0">
      <w:start w:val="1"/>
      <w:numFmt w:val="decimal"/>
      <w:lvlText w:val="%1."/>
      <w:lvlJc w:val="left"/>
      <w:pPr>
        <w:ind w:left="820" w:hanging="360"/>
      </w:pPr>
      <w:rPr>
        <w:rFonts w:ascii="Calibri" w:eastAsia="Calibri" w:hAnsi="Calibri" w:cs="Calibri"/>
        <w:b w:val="0"/>
        <w:i w:val="0"/>
        <w:smallCaps w:val="0"/>
        <w:strike w:val="0"/>
        <w:shd w:val="clear" w:color="auto" w:fill="auto"/>
        <w:vertAlign w:val="baseline"/>
      </w:rPr>
    </w:lvl>
    <w:lvl w:ilvl="1">
      <w:start w:val="1"/>
      <w:numFmt w:val="decimal"/>
      <w:lvlText w:val="%2."/>
      <w:lvlJc w:val="left"/>
      <w:pPr>
        <w:ind w:left="1080" w:hanging="360"/>
      </w:pPr>
      <w:rPr>
        <w:rFonts w:ascii="Calibri" w:eastAsia="Calibri" w:hAnsi="Calibri" w:cs="Calibri"/>
        <w:b w:val="0"/>
        <w:i w:val="0"/>
        <w:smallCaps w:val="0"/>
        <w:strike w:val="0"/>
        <w:shd w:val="clear" w:color="auto" w:fill="auto"/>
        <w:vertAlign w:val="baseline"/>
      </w:rPr>
    </w:lvl>
    <w:lvl w:ilvl="2">
      <w:start w:val="1"/>
      <w:numFmt w:val="decimal"/>
      <w:lvlText w:val="%3."/>
      <w:lvlJc w:val="left"/>
      <w:pPr>
        <w:ind w:left="1800" w:hanging="360"/>
      </w:pPr>
      <w:rPr>
        <w:rFonts w:ascii="Calibri" w:eastAsia="Calibri" w:hAnsi="Calibri" w:cs="Calibri"/>
        <w:b w:val="0"/>
        <w:i w:val="0"/>
        <w:smallCaps w:val="0"/>
        <w:strike w:val="0"/>
        <w:shd w:val="clear" w:color="auto" w:fill="auto"/>
        <w:vertAlign w:val="baseline"/>
      </w:rPr>
    </w:lvl>
    <w:lvl w:ilvl="3">
      <w:start w:val="1"/>
      <w:numFmt w:val="decimal"/>
      <w:lvlText w:val="%4."/>
      <w:lvlJc w:val="left"/>
      <w:pPr>
        <w:ind w:left="2520" w:hanging="360"/>
      </w:pPr>
      <w:rPr>
        <w:rFonts w:ascii="Calibri" w:eastAsia="Calibri" w:hAnsi="Calibri" w:cs="Calibri"/>
        <w:b w:val="0"/>
        <w:i w:val="0"/>
        <w:smallCaps w:val="0"/>
        <w:strike w:val="0"/>
        <w:shd w:val="clear" w:color="auto" w:fill="auto"/>
        <w:vertAlign w:val="baseline"/>
      </w:rPr>
    </w:lvl>
    <w:lvl w:ilvl="4">
      <w:start w:val="1"/>
      <w:numFmt w:val="decimal"/>
      <w:lvlText w:val="%5."/>
      <w:lvlJc w:val="left"/>
      <w:pPr>
        <w:ind w:left="3240" w:hanging="360"/>
      </w:pPr>
      <w:rPr>
        <w:rFonts w:ascii="Calibri" w:eastAsia="Calibri" w:hAnsi="Calibri" w:cs="Calibri"/>
        <w:b w:val="0"/>
        <w:i w:val="0"/>
        <w:smallCaps w:val="0"/>
        <w:strike w:val="0"/>
        <w:shd w:val="clear" w:color="auto" w:fill="auto"/>
        <w:vertAlign w:val="baseline"/>
      </w:rPr>
    </w:lvl>
    <w:lvl w:ilvl="5">
      <w:start w:val="1"/>
      <w:numFmt w:val="decimal"/>
      <w:lvlText w:val="%6."/>
      <w:lvlJc w:val="left"/>
      <w:pPr>
        <w:ind w:left="3960" w:hanging="360"/>
      </w:pPr>
      <w:rPr>
        <w:rFonts w:ascii="Calibri" w:eastAsia="Calibri" w:hAnsi="Calibri" w:cs="Calibri"/>
        <w:b w:val="0"/>
        <w:i w:val="0"/>
        <w:smallCaps w:val="0"/>
        <w:strike w:val="0"/>
        <w:shd w:val="clear" w:color="auto" w:fill="auto"/>
        <w:vertAlign w:val="baseline"/>
      </w:rPr>
    </w:lvl>
    <w:lvl w:ilvl="6">
      <w:start w:val="1"/>
      <w:numFmt w:val="decimal"/>
      <w:lvlText w:val="%7."/>
      <w:lvlJc w:val="left"/>
      <w:pPr>
        <w:ind w:left="4680" w:hanging="360"/>
      </w:pPr>
      <w:rPr>
        <w:rFonts w:ascii="Calibri" w:eastAsia="Calibri" w:hAnsi="Calibri" w:cs="Calibri"/>
        <w:b w:val="0"/>
        <w:i w:val="0"/>
        <w:smallCaps w:val="0"/>
        <w:strike w:val="0"/>
        <w:shd w:val="clear" w:color="auto" w:fill="auto"/>
        <w:vertAlign w:val="baseline"/>
      </w:rPr>
    </w:lvl>
    <w:lvl w:ilvl="7">
      <w:start w:val="1"/>
      <w:numFmt w:val="decimal"/>
      <w:lvlText w:val="%8."/>
      <w:lvlJc w:val="left"/>
      <w:pPr>
        <w:ind w:left="5400" w:hanging="360"/>
      </w:pPr>
      <w:rPr>
        <w:rFonts w:ascii="Calibri" w:eastAsia="Calibri" w:hAnsi="Calibri" w:cs="Calibri"/>
        <w:b w:val="0"/>
        <w:i w:val="0"/>
        <w:smallCaps w:val="0"/>
        <w:strike w:val="0"/>
        <w:shd w:val="clear" w:color="auto" w:fill="auto"/>
        <w:vertAlign w:val="baseline"/>
      </w:rPr>
    </w:lvl>
    <w:lvl w:ilvl="8">
      <w:start w:val="1"/>
      <w:numFmt w:val="decimal"/>
      <w:lvlText w:val="%9."/>
      <w:lvlJc w:val="left"/>
      <w:pPr>
        <w:ind w:left="6120" w:hanging="360"/>
      </w:pPr>
      <w:rPr>
        <w:rFonts w:ascii="Calibri" w:eastAsia="Calibri" w:hAnsi="Calibri" w:cs="Calibri"/>
        <w:b w:val="0"/>
        <w:i w:val="0"/>
        <w:smallCaps w:val="0"/>
        <w:strike w:val="0"/>
        <w:shd w:val="clear" w:color="auto" w:fill="auto"/>
        <w:vertAlign w:val="baseline"/>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2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978EF"/>
    <w:rsid w:val="00077C7B"/>
    <w:rsid w:val="000F0FD7"/>
    <w:rsid w:val="00230AF9"/>
    <w:rsid w:val="0025068A"/>
    <w:rsid w:val="00264325"/>
    <w:rsid w:val="00463BC1"/>
    <w:rsid w:val="004D0CEF"/>
    <w:rsid w:val="005800FE"/>
    <w:rsid w:val="00584BAF"/>
    <w:rsid w:val="00606994"/>
    <w:rsid w:val="006A40E7"/>
    <w:rsid w:val="006B2998"/>
    <w:rsid w:val="0070444D"/>
    <w:rsid w:val="00735414"/>
    <w:rsid w:val="00737CD2"/>
    <w:rsid w:val="007C272E"/>
    <w:rsid w:val="007C4E68"/>
    <w:rsid w:val="007D5365"/>
    <w:rsid w:val="00820047"/>
    <w:rsid w:val="0096768C"/>
    <w:rsid w:val="009F258F"/>
    <w:rsid w:val="00A978EF"/>
    <w:rsid w:val="00AB65C1"/>
    <w:rsid w:val="00B77840"/>
    <w:rsid w:val="00C1346C"/>
    <w:rsid w:val="00C238C0"/>
    <w:rsid w:val="00C42349"/>
    <w:rsid w:val="00C707B3"/>
    <w:rsid w:val="00CC1A92"/>
    <w:rsid w:val="00D410FA"/>
    <w:rsid w:val="00DF1C8E"/>
    <w:rsid w:val="00F42997"/>
    <w:rsid w:val="00F61637"/>
    <w:rsid w:val="00F77E4E"/>
  </w:rsids>
  <m:mathPr>
    <m:mathFont m:val="Cambria Math"/>
    <m:brkBin m:val="before"/>
    <m:brkBinSub m:val="--"/>
    <m:smallFrac m:val="0"/>
    <m:dispDef/>
    <m:lMargin m:val="0"/>
    <m:rMargin m:val="0"/>
    <m:defJc m:val="centerGroup"/>
    <m:wrapIndent m:val="1440"/>
    <m:intLim m:val="subSup"/>
    <m:naryLim m:val="undOvr"/>
  </m:mathPr>
  <w:themeFontLang w:val="pt-US" w:eastAsia="zh-TW"/>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20ED1C4"/>
  <w15:docId w15:val="{36FF2887-1010-A246-9E16-D268C406C6C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sz w:val="24"/>
        <w:szCs w:val="24"/>
        <w:lang w:val="en-US" w:eastAsia="zh-TW"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lang w:eastAsia="en-US"/>
    </w:rPr>
  </w:style>
  <w:style w:type="paragraph" w:styleId="Ttulo1">
    <w:name w:val="heading 1"/>
    <w:uiPriority w:val="9"/>
    <w:qFormat/>
    <w:pPr>
      <w:widowControl w:val="0"/>
      <w:ind w:left="100"/>
      <w:outlineLvl w:val="0"/>
    </w:pPr>
    <w:rPr>
      <w:rFonts w:ascii="Calibri" w:hAnsi="Calibri" w:cs="Arial Unicode MS"/>
      <w:b/>
      <w:bCs/>
      <w:color w:val="000000"/>
      <w:sz w:val="22"/>
      <w:szCs w:val="22"/>
      <w:u w:color="000000"/>
    </w:rPr>
  </w:style>
  <w:style w:type="paragraph" w:styleId="Ttulo2">
    <w:name w:val="heading 2"/>
    <w:basedOn w:val="Normal"/>
    <w:next w:val="Normal"/>
    <w:uiPriority w:val="9"/>
    <w:semiHidden/>
    <w:unhideWhenUsed/>
    <w:qFormat/>
    <w:pPr>
      <w:keepNext/>
      <w:keepLines/>
      <w:spacing w:before="360" w:after="80"/>
      <w:outlineLvl w:val="1"/>
    </w:pPr>
    <w:rPr>
      <w:b/>
      <w:sz w:val="36"/>
      <w:szCs w:val="36"/>
    </w:rPr>
  </w:style>
  <w:style w:type="paragraph" w:styleId="Ttulo3">
    <w:name w:val="heading 3"/>
    <w:basedOn w:val="Normal"/>
    <w:next w:val="Normal"/>
    <w:uiPriority w:val="9"/>
    <w:semiHidden/>
    <w:unhideWhenUsed/>
    <w:qFormat/>
    <w:pPr>
      <w:keepNext/>
      <w:keepLines/>
      <w:spacing w:before="280" w:after="80"/>
      <w:outlineLvl w:val="2"/>
    </w:pPr>
    <w:rPr>
      <w:b/>
      <w:sz w:val="28"/>
      <w:szCs w:val="28"/>
    </w:rPr>
  </w:style>
  <w:style w:type="paragraph" w:styleId="Ttulo4">
    <w:name w:val="heading 4"/>
    <w:basedOn w:val="Normal"/>
    <w:next w:val="Normal"/>
    <w:uiPriority w:val="9"/>
    <w:semiHidden/>
    <w:unhideWhenUsed/>
    <w:qFormat/>
    <w:pPr>
      <w:keepNext/>
      <w:keepLines/>
      <w:spacing w:before="240" w:after="40"/>
      <w:outlineLvl w:val="3"/>
    </w:pPr>
    <w:rPr>
      <w:b/>
    </w:rPr>
  </w:style>
  <w:style w:type="paragraph" w:styleId="Ttulo5">
    <w:name w:val="heading 5"/>
    <w:basedOn w:val="Normal"/>
    <w:next w:val="Normal"/>
    <w:uiPriority w:val="9"/>
    <w:semiHidden/>
    <w:unhideWhenUsed/>
    <w:qFormat/>
    <w:pPr>
      <w:keepNext/>
      <w:keepLines/>
      <w:spacing w:before="220" w:after="40"/>
      <w:outlineLvl w:val="4"/>
    </w:pPr>
    <w:rPr>
      <w:b/>
      <w:sz w:val="22"/>
      <w:szCs w:val="22"/>
    </w:rPr>
  </w:style>
  <w:style w:type="paragraph" w:styleId="Ttulo6">
    <w:name w:val="heading 6"/>
    <w:basedOn w:val="Normal"/>
    <w:next w:val="Normal"/>
    <w:uiPriority w:val="9"/>
    <w:semiHidden/>
    <w:unhideWhenUsed/>
    <w:qFormat/>
    <w:pPr>
      <w:keepNext/>
      <w:keepLines/>
      <w:spacing w:before="200" w:after="40"/>
      <w:outlineLvl w:val="5"/>
    </w:pPr>
    <w:rPr>
      <w:b/>
      <w:sz w:val="20"/>
      <w:szCs w:val="20"/>
    </w:rPr>
  </w:style>
  <w:style w:type="character" w:default="1" w:styleId="Tipodeletrapredefinidodopargrafo">
    <w:name w:val="Default Paragraph Font"/>
    <w:uiPriority w:val="1"/>
    <w:semiHidden/>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uiPriority w:val="10"/>
    <w:qFormat/>
    <w:pPr>
      <w:keepNext/>
      <w:keepLines/>
      <w:spacing w:before="480" w:after="120"/>
    </w:pPr>
    <w:rPr>
      <w:b/>
      <w:sz w:val="72"/>
      <w:szCs w:val="72"/>
    </w:rPr>
  </w:style>
  <w:style w:type="character" w:styleId="Hiperligao">
    <w:name w:val="Hyperlink"/>
    <w:rPr>
      <w:u w:val="single"/>
    </w:rPr>
  </w:style>
  <w:style w:type="table" w:customStyle="1" w:styleId="TableNormal0">
    <w:name w:val="Table Normal"/>
    <w:tblPr>
      <w:tblInd w:w="0" w:type="dxa"/>
      <w:tblCellMar>
        <w:top w:w="0" w:type="dxa"/>
        <w:left w:w="0" w:type="dxa"/>
        <w:bottom w:w="0" w:type="dxa"/>
        <w:right w:w="0" w:type="dxa"/>
      </w:tblCellMar>
    </w:tblPr>
  </w:style>
  <w:style w:type="paragraph" w:customStyle="1" w:styleId="Cabealhoerodap">
    <w:name w:val="Cabeçalho e rodapé"/>
    <w:pPr>
      <w:tabs>
        <w:tab w:val="right" w:pos="9020"/>
      </w:tabs>
    </w:pPr>
    <w:rPr>
      <w:rFonts w:ascii="Helvetica Neue" w:hAnsi="Helvetica Neue" w:cs="Arial Unicode MS"/>
      <w:color w:val="000000"/>
      <w14:textOutline w14:w="0" w14:cap="flat" w14:cmpd="sng" w14:algn="ctr">
        <w14:noFill/>
        <w14:prstDash w14:val="solid"/>
        <w14:bevel/>
      </w14:textOutline>
    </w:rPr>
  </w:style>
  <w:style w:type="paragraph" w:styleId="Corpodetexto">
    <w:name w:val="Body Text"/>
    <w:pPr>
      <w:widowControl w:val="0"/>
    </w:pPr>
    <w:rPr>
      <w:rFonts w:ascii="Calibri" w:eastAsia="Calibri" w:hAnsi="Calibri" w:cs="Calibri"/>
      <w:color w:val="000000"/>
      <w:sz w:val="22"/>
      <w:szCs w:val="22"/>
      <w:u w:color="000000"/>
    </w:rPr>
  </w:style>
  <w:style w:type="paragraph" w:customStyle="1" w:styleId="Corpo">
    <w:name w:val="Corpo"/>
    <w:pPr>
      <w:widowControl w:val="0"/>
    </w:pPr>
    <w:rPr>
      <w:rFonts w:ascii="Calibri" w:hAnsi="Calibri" w:cs="Arial Unicode MS"/>
      <w:color w:val="000000"/>
      <w:sz w:val="22"/>
      <w:szCs w:val="22"/>
      <w:u w:color="000000"/>
      <w14:textOutline w14:w="0" w14:cap="flat" w14:cmpd="sng" w14:algn="ctr">
        <w14:noFill/>
        <w14:prstDash w14:val="solid"/>
        <w14:bevel/>
      </w14:textOutline>
    </w:rPr>
  </w:style>
  <w:style w:type="paragraph" w:styleId="PargrafodaLista">
    <w:name w:val="List Paragraph"/>
    <w:pPr>
      <w:widowControl w:val="0"/>
      <w:spacing w:before="160"/>
      <w:ind w:left="820" w:right="257" w:hanging="360"/>
      <w:jc w:val="both"/>
    </w:pPr>
    <w:rPr>
      <w:rFonts w:ascii="Calibri" w:hAnsi="Calibri" w:cs="Arial Unicode MS"/>
      <w:color w:val="000000"/>
      <w:sz w:val="22"/>
      <w:szCs w:val="22"/>
      <w:u w:color="000000"/>
    </w:rPr>
  </w:style>
  <w:style w:type="numbering" w:customStyle="1" w:styleId="Estiloimportado1">
    <w:name w:val="Estilo importado 1"/>
  </w:style>
  <w:style w:type="paragraph" w:styleId="Reviso">
    <w:name w:val="Revision"/>
    <w:hidden/>
    <w:uiPriority w:val="99"/>
    <w:semiHidden/>
    <w:rsid w:val="00F07F01"/>
    <w:rPr>
      <w:lang w:eastAsia="en-US"/>
    </w:rPr>
  </w:style>
  <w:style w:type="character" w:styleId="MenoNoResolvida">
    <w:name w:val="Unresolved Mention"/>
    <w:basedOn w:val="Tipodeletrapredefinidodopargrafo"/>
    <w:uiPriority w:val="99"/>
    <w:semiHidden/>
    <w:unhideWhenUsed/>
    <w:rsid w:val="00B55594"/>
    <w:rPr>
      <w:color w:val="605E5C"/>
      <w:shd w:val="clear" w:color="auto" w:fill="E1DFDD"/>
    </w:rPr>
  </w:style>
  <w:style w:type="paragraph" w:styleId="Subttulo">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paragraph" w:styleId="Textodebalo">
    <w:name w:val="Balloon Text"/>
    <w:basedOn w:val="Normal"/>
    <w:link w:val="TextodebaloCarter"/>
    <w:uiPriority w:val="99"/>
    <w:semiHidden/>
    <w:unhideWhenUsed/>
    <w:rsid w:val="00F61637"/>
    <w:rPr>
      <w:sz w:val="18"/>
      <w:szCs w:val="18"/>
    </w:rPr>
  </w:style>
  <w:style w:type="character" w:customStyle="1" w:styleId="TextodebaloCarter">
    <w:name w:val="Texto de balão Caráter"/>
    <w:basedOn w:val="Tipodeletrapredefinidodopargrafo"/>
    <w:link w:val="Textodebalo"/>
    <w:uiPriority w:val="99"/>
    <w:semiHidden/>
    <w:rsid w:val="00F61637"/>
    <w:rPr>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32281643">
      <w:bodyDiv w:val="1"/>
      <w:marLeft w:val="0"/>
      <w:marRight w:val="0"/>
      <w:marTop w:val="0"/>
      <w:marBottom w:val="0"/>
      <w:divBdr>
        <w:top w:val="none" w:sz="0" w:space="0" w:color="auto"/>
        <w:left w:val="none" w:sz="0" w:space="0" w:color="auto"/>
        <w:bottom w:val="none" w:sz="0" w:space="0" w:color="auto"/>
        <w:right w:val="none" w:sz="0" w:space="0" w:color="auto"/>
      </w:divBdr>
    </w:div>
    <w:div w:id="249898191">
      <w:bodyDiv w:val="1"/>
      <w:marLeft w:val="0"/>
      <w:marRight w:val="0"/>
      <w:marTop w:val="0"/>
      <w:marBottom w:val="0"/>
      <w:divBdr>
        <w:top w:val="none" w:sz="0" w:space="0" w:color="auto"/>
        <w:left w:val="none" w:sz="0" w:space="0" w:color="auto"/>
        <w:bottom w:val="none" w:sz="0" w:space="0" w:color="auto"/>
        <w:right w:val="none" w:sz="0" w:space="0" w:color="auto"/>
      </w:divBdr>
    </w:div>
    <w:div w:id="305206770">
      <w:bodyDiv w:val="1"/>
      <w:marLeft w:val="0"/>
      <w:marRight w:val="0"/>
      <w:marTop w:val="0"/>
      <w:marBottom w:val="0"/>
      <w:divBdr>
        <w:top w:val="none" w:sz="0" w:space="0" w:color="auto"/>
        <w:left w:val="none" w:sz="0" w:space="0" w:color="auto"/>
        <w:bottom w:val="none" w:sz="0" w:space="0" w:color="auto"/>
        <w:right w:val="none" w:sz="0" w:space="0" w:color="auto"/>
      </w:divBdr>
    </w:div>
    <w:div w:id="310452891">
      <w:bodyDiv w:val="1"/>
      <w:marLeft w:val="0"/>
      <w:marRight w:val="0"/>
      <w:marTop w:val="0"/>
      <w:marBottom w:val="0"/>
      <w:divBdr>
        <w:top w:val="none" w:sz="0" w:space="0" w:color="auto"/>
        <w:left w:val="none" w:sz="0" w:space="0" w:color="auto"/>
        <w:bottom w:val="none" w:sz="0" w:space="0" w:color="auto"/>
        <w:right w:val="none" w:sz="0" w:space="0" w:color="auto"/>
      </w:divBdr>
    </w:div>
    <w:div w:id="362828343">
      <w:bodyDiv w:val="1"/>
      <w:marLeft w:val="0"/>
      <w:marRight w:val="0"/>
      <w:marTop w:val="0"/>
      <w:marBottom w:val="0"/>
      <w:divBdr>
        <w:top w:val="none" w:sz="0" w:space="0" w:color="auto"/>
        <w:left w:val="none" w:sz="0" w:space="0" w:color="auto"/>
        <w:bottom w:val="none" w:sz="0" w:space="0" w:color="auto"/>
        <w:right w:val="none" w:sz="0" w:space="0" w:color="auto"/>
      </w:divBdr>
    </w:div>
    <w:div w:id="892614575">
      <w:bodyDiv w:val="1"/>
      <w:marLeft w:val="0"/>
      <w:marRight w:val="0"/>
      <w:marTop w:val="0"/>
      <w:marBottom w:val="0"/>
      <w:divBdr>
        <w:top w:val="none" w:sz="0" w:space="0" w:color="auto"/>
        <w:left w:val="none" w:sz="0" w:space="0" w:color="auto"/>
        <w:bottom w:val="none" w:sz="0" w:space="0" w:color="auto"/>
        <w:right w:val="none" w:sz="0" w:space="0" w:color="auto"/>
      </w:divBdr>
    </w:div>
    <w:div w:id="993723049">
      <w:bodyDiv w:val="1"/>
      <w:marLeft w:val="0"/>
      <w:marRight w:val="0"/>
      <w:marTop w:val="0"/>
      <w:marBottom w:val="0"/>
      <w:divBdr>
        <w:top w:val="none" w:sz="0" w:space="0" w:color="auto"/>
        <w:left w:val="none" w:sz="0" w:space="0" w:color="auto"/>
        <w:bottom w:val="none" w:sz="0" w:space="0" w:color="auto"/>
        <w:right w:val="none" w:sz="0" w:space="0" w:color="auto"/>
      </w:divBdr>
    </w:div>
    <w:div w:id="1013144490">
      <w:bodyDiv w:val="1"/>
      <w:marLeft w:val="0"/>
      <w:marRight w:val="0"/>
      <w:marTop w:val="0"/>
      <w:marBottom w:val="0"/>
      <w:divBdr>
        <w:top w:val="none" w:sz="0" w:space="0" w:color="auto"/>
        <w:left w:val="none" w:sz="0" w:space="0" w:color="auto"/>
        <w:bottom w:val="none" w:sz="0" w:space="0" w:color="auto"/>
        <w:right w:val="none" w:sz="0" w:space="0" w:color="auto"/>
      </w:divBdr>
    </w:div>
    <w:div w:id="1016080152">
      <w:bodyDiv w:val="1"/>
      <w:marLeft w:val="0"/>
      <w:marRight w:val="0"/>
      <w:marTop w:val="0"/>
      <w:marBottom w:val="0"/>
      <w:divBdr>
        <w:top w:val="none" w:sz="0" w:space="0" w:color="auto"/>
        <w:left w:val="none" w:sz="0" w:space="0" w:color="auto"/>
        <w:bottom w:val="none" w:sz="0" w:space="0" w:color="auto"/>
        <w:right w:val="none" w:sz="0" w:space="0" w:color="auto"/>
      </w:divBdr>
    </w:div>
    <w:div w:id="1120296572">
      <w:bodyDiv w:val="1"/>
      <w:marLeft w:val="0"/>
      <w:marRight w:val="0"/>
      <w:marTop w:val="0"/>
      <w:marBottom w:val="0"/>
      <w:divBdr>
        <w:top w:val="none" w:sz="0" w:space="0" w:color="auto"/>
        <w:left w:val="none" w:sz="0" w:space="0" w:color="auto"/>
        <w:bottom w:val="none" w:sz="0" w:space="0" w:color="auto"/>
        <w:right w:val="none" w:sz="0" w:space="0" w:color="auto"/>
      </w:divBdr>
    </w:div>
    <w:div w:id="1129396486">
      <w:bodyDiv w:val="1"/>
      <w:marLeft w:val="0"/>
      <w:marRight w:val="0"/>
      <w:marTop w:val="0"/>
      <w:marBottom w:val="0"/>
      <w:divBdr>
        <w:top w:val="none" w:sz="0" w:space="0" w:color="auto"/>
        <w:left w:val="none" w:sz="0" w:space="0" w:color="auto"/>
        <w:bottom w:val="none" w:sz="0" w:space="0" w:color="auto"/>
        <w:right w:val="none" w:sz="0" w:space="0" w:color="auto"/>
      </w:divBdr>
    </w:div>
    <w:div w:id="1283227446">
      <w:bodyDiv w:val="1"/>
      <w:marLeft w:val="0"/>
      <w:marRight w:val="0"/>
      <w:marTop w:val="0"/>
      <w:marBottom w:val="0"/>
      <w:divBdr>
        <w:top w:val="none" w:sz="0" w:space="0" w:color="auto"/>
        <w:left w:val="none" w:sz="0" w:space="0" w:color="auto"/>
        <w:bottom w:val="none" w:sz="0" w:space="0" w:color="auto"/>
        <w:right w:val="none" w:sz="0" w:space="0" w:color="auto"/>
      </w:divBdr>
      <w:divsChild>
        <w:div w:id="490021515">
          <w:marLeft w:val="0"/>
          <w:marRight w:val="0"/>
          <w:marTop w:val="0"/>
          <w:marBottom w:val="0"/>
          <w:divBdr>
            <w:top w:val="none" w:sz="0" w:space="0" w:color="auto"/>
            <w:left w:val="none" w:sz="0" w:space="0" w:color="auto"/>
            <w:bottom w:val="none" w:sz="0" w:space="0" w:color="auto"/>
            <w:right w:val="none" w:sz="0" w:space="0" w:color="auto"/>
          </w:divBdr>
          <w:divsChild>
            <w:div w:id="1532375601">
              <w:marLeft w:val="0"/>
              <w:marRight w:val="0"/>
              <w:marTop w:val="0"/>
              <w:marBottom w:val="0"/>
              <w:divBdr>
                <w:top w:val="none" w:sz="0" w:space="0" w:color="auto"/>
                <w:left w:val="none" w:sz="0" w:space="0" w:color="auto"/>
                <w:bottom w:val="none" w:sz="0" w:space="0" w:color="auto"/>
                <w:right w:val="none" w:sz="0" w:space="0" w:color="auto"/>
              </w:divBdr>
              <w:divsChild>
                <w:div w:id="6273909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63906231">
      <w:bodyDiv w:val="1"/>
      <w:marLeft w:val="0"/>
      <w:marRight w:val="0"/>
      <w:marTop w:val="0"/>
      <w:marBottom w:val="0"/>
      <w:divBdr>
        <w:top w:val="none" w:sz="0" w:space="0" w:color="auto"/>
        <w:left w:val="none" w:sz="0" w:space="0" w:color="auto"/>
        <w:bottom w:val="none" w:sz="0" w:space="0" w:color="auto"/>
        <w:right w:val="none" w:sz="0" w:space="0" w:color="auto"/>
      </w:divBdr>
    </w:div>
    <w:div w:id="1756514319">
      <w:bodyDiv w:val="1"/>
      <w:marLeft w:val="0"/>
      <w:marRight w:val="0"/>
      <w:marTop w:val="0"/>
      <w:marBottom w:val="0"/>
      <w:divBdr>
        <w:top w:val="none" w:sz="0" w:space="0" w:color="auto"/>
        <w:left w:val="none" w:sz="0" w:space="0" w:color="auto"/>
        <w:bottom w:val="none" w:sz="0" w:space="0" w:color="auto"/>
        <w:right w:val="none" w:sz="0" w:space="0" w:color="auto"/>
      </w:divBdr>
    </w:div>
    <w:div w:id="1764571118">
      <w:bodyDiv w:val="1"/>
      <w:marLeft w:val="0"/>
      <w:marRight w:val="0"/>
      <w:marTop w:val="0"/>
      <w:marBottom w:val="0"/>
      <w:divBdr>
        <w:top w:val="none" w:sz="0" w:space="0" w:color="auto"/>
        <w:left w:val="none" w:sz="0" w:space="0" w:color="auto"/>
        <w:bottom w:val="none" w:sz="0" w:space="0" w:color="auto"/>
        <w:right w:val="none" w:sz="0" w:space="0" w:color="auto"/>
      </w:divBdr>
    </w:div>
    <w:div w:id="1901019967">
      <w:bodyDiv w:val="1"/>
      <w:marLeft w:val="0"/>
      <w:marRight w:val="0"/>
      <w:marTop w:val="0"/>
      <w:marBottom w:val="0"/>
      <w:divBdr>
        <w:top w:val="none" w:sz="0" w:space="0" w:color="auto"/>
        <w:left w:val="none" w:sz="0" w:space="0" w:color="auto"/>
        <w:bottom w:val="none" w:sz="0" w:space="0" w:color="auto"/>
        <w:right w:val="none" w:sz="0" w:space="0" w:color="auto"/>
      </w:divBdr>
      <w:divsChild>
        <w:div w:id="1485387292">
          <w:marLeft w:val="0"/>
          <w:marRight w:val="0"/>
          <w:marTop w:val="0"/>
          <w:marBottom w:val="0"/>
          <w:divBdr>
            <w:top w:val="none" w:sz="0" w:space="0" w:color="auto"/>
            <w:left w:val="none" w:sz="0" w:space="0" w:color="auto"/>
            <w:bottom w:val="none" w:sz="0" w:space="0" w:color="auto"/>
            <w:right w:val="none" w:sz="0" w:space="0" w:color="auto"/>
          </w:divBdr>
          <w:divsChild>
            <w:div w:id="1869903626">
              <w:marLeft w:val="0"/>
              <w:marRight w:val="0"/>
              <w:marTop w:val="0"/>
              <w:marBottom w:val="0"/>
              <w:divBdr>
                <w:top w:val="none" w:sz="0" w:space="0" w:color="auto"/>
                <w:left w:val="none" w:sz="0" w:space="0" w:color="auto"/>
                <w:bottom w:val="none" w:sz="0" w:space="0" w:color="auto"/>
                <w:right w:val="none" w:sz="0" w:space="0" w:color="auto"/>
              </w:divBdr>
              <w:divsChild>
                <w:div w:id="6134862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122259652">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doi.org/10.1016/J.EHPC.2017.10.006" TargetMode="External"/><Relationship Id="rId18" Type="http://schemas.openxmlformats.org/officeDocument/2006/relationships/hyperlink" Target="https://doi.org/10.1385/EP:16:2:139" TargetMode="External"/><Relationship Id="rId3" Type="http://schemas.openxmlformats.org/officeDocument/2006/relationships/styles" Target="styles.xml"/><Relationship Id="rId21" Type="http://schemas.openxmlformats.org/officeDocument/2006/relationships/image" Target="media/image3.png"/><Relationship Id="rId7" Type="http://schemas.openxmlformats.org/officeDocument/2006/relationships/endnotes" Target="endnotes.xml"/><Relationship Id="rId12" Type="http://schemas.openxmlformats.org/officeDocument/2006/relationships/hyperlink" Target="https://doi.org/10.4174/astr.2018.94.6.337" TargetMode="External"/><Relationship Id="rId17" Type="http://schemas.openxmlformats.org/officeDocument/2006/relationships/hyperlink" Target="https://doi.org/10.1308/rcsann.2019.0116" TargetMode="Externa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hyperlink" Target="https://doi.org/10.1089/thy.2014.0335" TargetMode="External"/><Relationship Id="rId20" Type="http://schemas.openxmlformats.org/officeDocument/2006/relationships/image" Target="media/image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doi.org/10.1038/modpathol.3880212" TargetMode="External"/><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hyperlink" Target="https://doi.org/10.1007/s12022-020-09638-x" TargetMode="External"/><Relationship Id="rId23" Type="http://schemas.openxmlformats.org/officeDocument/2006/relationships/header" Target="header2.xml"/><Relationship Id="rId10" Type="http://schemas.openxmlformats.org/officeDocument/2006/relationships/hyperlink" Target="https://doi.org/10.1097/PAS.0b013e31819e61c8" TargetMode="External"/><Relationship Id="rId19" Type="http://schemas.openxmlformats.org/officeDocument/2006/relationships/image" Target="media/image1.png"/><Relationship Id="rId4" Type="http://schemas.openxmlformats.org/officeDocument/2006/relationships/settings" Target="settings.xml"/><Relationship Id="rId9" Type="http://schemas.openxmlformats.org/officeDocument/2006/relationships/hyperlink" Target="https://doi.org/10.1007/s12105-018-0927-1" TargetMode="External"/><Relationship Id="rId14" Type="http://schemas.openxmlformats.org/officeDocument/2006/relationships/hyperlink" Target="https://doi.org/10.1159/000346704" TargetMode="External"/><Relationship Id="rId22" Type="http://schemas.openxmlformats.org/officeDocument/2006/relationships/image" Target="media/image4.png"/></Relationships>
</file>

<file path=word/theme/theme1.xml><?xml version="1.0" encoding="utf-8"?>
<a:theme xmlns:a="http://schemas.openxmlformats.org/drawingml/2006/main" name="Office Theme">
  <a:themeElements>
    <a:clrScheme name="Office Them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Theme">
      <a:majorFont>
        <a:latin typeface="Helvetica Neue"/>
        <a:ea typeface="Helvetica Neue"/>
        <a:cs typeface="Helvetica Neue"/>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3000" dir="5400000" rotWithShape="0">
              <a:srgbClr val="000000">
                <a:alpha val="35000"/>
              </a:srgbClr>
            </a:outerShdw>
          </a:effectLst>
        </a:effectStyle>
        <a:effectStyle>
          <a:effectLst>
            <a:outerShdw blurRad="38100" dist="23000" dir="5400000" rotWithShape="0">
              <a:srgbClr val="000000">
                <a:alpha val="35000"/>
              </a:srgbClr>
            </a:outerShdw>
          </a:effectLst>
        </a:effectStyle>
        <a:effectStyle>
          <a:effectLst>
            <a:outerShdw blurRad="38100" dist="20000" dir="5400000" rotWithShape="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blurRad="38100" dist="23000" dir="5400000" rotWithShape="0">
            <a:srgbClr val="000000">
              <a:alpha val="35000"/>
            </a:srgbClr>
          </a:outerShdw>
        </a:effectLst>
        <a:sp3d/>
      </a:spPr>
      <a:bodyPr rot="0" spcFirstLastPara="1" vertOverflow="overflow" horzOverflow="overflow" vert="horz" wrap="square" lIns="45719" tIns="45719" rIns="45719" bIns="45719" numCol="1" spcCol="38100" rtlCol="0" anchor="ctr">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25400" cap="flat">
          <a:solidFill>
            <a:schemeClr val="accent1"/>
          </a:solidFill>
          <a:prstDash val="solid"/>
          <a:round/>
        </a:ln>
        <a:effectLst>
          <a:outerShdw blurRad="38100" dist="20000" dir="5400000" rotWithShape="0">
            <a:srgbClr val="000000">
              <a:alpha val="38000"/>
            </a:srgbClr>
          </a:outerShdw>
        </a:effectLst>
        <a:sp3d/>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a:spAutoFit/>
      </a:bodyPr>
      <a:lstStyle>
        <a:defPPr marL="0" marR="0" indent="0" algn="l" defTabSz="914400" rtl="0" fontAlgn="auto" latinLnBrk="0"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latin typeface="Calibri"/>
            <a:ea typeface="Calibri"/>
            <a:cs typeface="Calibri"/>
            <a:sym typeface="Calibri"/>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O2aFk00yPwkKpPd559O1pZQIsww==">CgMxLjA4AHIhMUpvcGRpalMwS0VHb2I1TWdZY2JzOUduWld6cnpkQlVP</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Normal.dotm</Template>
  <TotalTime>26</TotalTime>
  <Pages>14</Pages>
  <Words>2411</Words>
  <Characters>13025</Characters>
  <Application>Microsoft Office Word</Application>
  <DocSecurity>0</DocSecurity>
  <Lines>108</Lines>
  <Paragraphs>30</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15406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Patrícia Bernardo</dc:creator>
  <cp:lastModifiedBy>Jose Henrique Albuquerque Messias</cp:lastModifiedBy>
  <cp:revision>15</cp:revision>
  <dcterms:created xsi:type="dcterms:W3CDTF">2024-05-30T17:36:00Z</dcterms:created>
  <dcterms:modified xsi:type="dcterms:W3CDTF">2024-05-30T18:09:00Z</dcterms:modified>
</cp:coreProperties>
</file>