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088C53" w14:textId="77777777" w:rsidR="005E45D8" w:rsidRPr="00286ECD" w:rsidRDefault="005E45D8" w:rsidP="005E45D8">
      <w:pPr>
        <w:autoSpaceDE w:val="0"/>
        <w:autoSpaceDN w:val="0"/>
        <w:adjustRightInd w:val="0"/>
        <w:spacing w:line="480" w:lineRule="auto"/>
        <w:rPr>
          <w:rFonts w:ascii="Georgia" w:hAnsi="Georgia" w:cs="Helvetica Neue"/>
          <w:b/>
          <w:bCs/>
          <w:color w:val="000000" w:themeColor="text1"/>
          <w:sz w:val="32"/>
          <w:szCs w:val="32"/>
          <w:lang w:val="en-GB"/>
        </w:rPr>
      </w:pPr>
      <w:r w:rsidRPr="00286ECD">
        <w:rPr>
          <w:rFonts w:ascii="Georgia" w:hAnsi="Georgia" w:cs="Helvetica Neue"/>
          <w:b/>
          <w:bCs/>
          <w:color w:val="000000" w:themeColor="text1"/>
          <w:sz w:val="32"/>
          <w:szCs w:val="32"/>
          <w:lang w:val="en-GB"/>
        </w:rPr>
        <w:t>I. TITLE PAGE</w:t>
      </w:r>
    </w:p>
    <w:p w14:paraId="50FC26E4" w14:textId="7FC64A76" w:rsidR="005E45D8" w:rsidRPr="00286ECD" w:rsidRDefault="005E45D8" w:rsidP="005E45D8">
      <w:pPr>
        <w:autoSpaceDE w:val="0"/>
        <w:autoSpaceDN w:val="0"/>
        <w:adjustRightInd w:val="0"/>
        <w:spacing w:line="480" w:lineRule="auto"/>
        <w:rPr>
          <w:rFonts w:ascii="Georgia" w:hAnsi="Georgia" w:cs="Avenir Heavy"/>
          <w:b/>
          <w:bCs/>
          <w:color w:val="000000" w:themeColor="text1"/>
          <w:lang w:val="en-GB"/>
        </w:rPr>
      </w:pPr>
      <w:r w:rsidRPr="006876A2">
        <w:rPr>
          <w:rFonts w:ascii="Georgia" w:hAnsi="Georgia" w:cs="Helvetica"/>
          <w:color w:val="000000" w:themeColor="text1"/>
          <w:sz w:val="32"/>
          <w:szCs w:val="32"/>
          <w:lang w:val="en-GB"/>
        </w:rPr>
        <w:t xml:space="preserve">Intraspecific diversity </w:t>
      </w:r>
      <w:r w:rsidR="002F7118">
        <w:rPr>
          <w:rFonts w:ascii="Georgia" w:hAnsi="Georgia" w:cs="Helvetica"/>
          <w:color w:val="000000" w:themeColor="text1"/>
          <w:sz w:val="32"/>
          <w:szCs w:val="32"/>
          <w:lang w:val="en-GB"/>
        </w:rPr>
        <w:t xml:space="preserve">in Atlantic cod </w:t>
      </w:r>
      <w:r w:rsidR="00582FE0">
        <w:rPr>
          <w:rFonts w:ascii="Georgia" w:hAnsi="Georgia" w:cs="Helvetica"/>
          <w:color w:val="000000" w:themeColor="text1"/>
          <w:sz w:val="32"/>
          <w:szCs w:val="32"/>
          <w:lang w:val="en-GB"/>
        </w:rPr>
        <w:t>(</w:t>
      </w:r>
      <w:r w:rsidR="00582FE0">
        <w:rPr>
          <w:rFonts w:ascii="Georgia" w:hAnsi="Georgia" w:cs="Helvetica"/>
          <w:i/>
          <w:iCs/>
          <w:color w:val="000000" w:themeColor="text1"/>
          <w:sz w:val="32"/>
          <w:szCs w:val="32"/>
          <w:lang w:val="en-GB"/>
        </w:rPr>
        <w:t xml:space="preserve">Gadus </w:t>
      </w:r>
      <w:proofErr w:type="spellStart"/>
      <w:r w:rsidR="00582FE0">
        <w:rPr>
          <w:rFonts w:ascii="Georgia" w:hAnsi="Georgia" w:cs="Helvetica"/>
          <w:i/>
          <w:iCs/>
          <w:color w:val="000000" w:themeColor="text1"/>
          <w:sz w:val="32"/>
          <w:szCs w:val="32"/>
          <w:lang w:val="en-GB"/>
        </w:rPr>
        <w:t>morhua</w:t>
      </w:r>
      <w:proofErr w:type="spellEnd"/>
      <w:r w:rsidR="00582FE0">
        <w:rPr>
          <w:rFonts w:ascii="Georgia" w:hAnsi="Georgia" w:cs="Helvetica"/>
          <w:color w:val="000000" w:themeColor="text1"/>
          <w:sz w:val="32"/>
          <w:szCs w:val="32"/>
          <w:lang w:val="en-GB"/>
        </w:rPr>
        <w:t xml:space="preserve">) </w:t>
      </w:r>
      <w:r w:rsidR="002F7118">
        <w:rPr>
          <w:rFonts w:ascii="Georgia" w:hAnsi="Georgia" w:cs="Helvetica"/>
          <w:color w:val="000000" w:themeColor="text1"/>
          <w:sz w:val="32"/>
          <w:szCs w:val="32"/>
          <w:lang w:val="en-GB"/>
        </w:rPr>
        <w:t>drives</w:t>
      </w:r>
      <w:r w:rsidRPr="006876A2">
        <w:rPr>
          <w:rFonts w:ascii="Georgia" w:hAnsi="Georgia" w:cs="Helvetica"/>
          <w:color w:val="000000" w:themeColor="text1"/>
          <w:sz w:val="32"/>
          <w:szCs w:val="32"/>
          <w:lang w:val="en-GB"/>
        </w:rPr>
        <w:t xml:space="preserve"> </w:t>
      </w:r>
      <w:r w:rsidR="002F7118">
        <w:rPr>
          <w:rFonts w:ascii="Georgia" w:hAnsi="Georgia" w:cs="Helvetica"/>
          <w:color w:val="000000" w:themeColor="text1"/>
          <w:sz w:val="32"/>
          <w:szCs w:val="32"/>
          <w:lang w:val="en-GB"/>
        </w:rPr>
        <w:t>unique</w:t>
      </w:r>
      <w:r w:rsidRPr="00286ECD">
        <w:rPr>
          <w:rFonts w:ascii="Georgia" w:hAnsi="Georgia" w:cs="Helvetica"/>
          <w:color w:val="000000" w:themeColor="text1"/>
          <w:sz w:val="32"/>
          <w:szCs w:val="32"/>
          <w:lang w:val="en-GB"/>
        </w:rPr>
        <w:t xml:space="preserve"> top-down control in coastal food web</w:t>
      </w:r>
    </w:p>
    <w:p w14:paraId="746CD164" w14:textId="77777777" w:rsidR="005E45D8" w:rsidRPr="00286ECD" w:rsidRDefault="005E45D8" w:rsidP="005E45D8">
      <w:pPr>
        <w:autoSpaceDE w:val="0"/>
        <w:autoSpaceDN w:val="0"/>
        <w:adjustRightInd w:val="0"/>
        <w:spacing w:line="480" w:lineRule="auto"/>
        <w:rPr>
          <w:rFonts w:ascii="Georgia" w:hAnsi="Georgia" w:cs="Avenir Heavy"/>
          <w:b/>
          <w:bCs/>
          <w:color w:val="000000" w:themeColor="text1"/>
          <w:lang w:val="en-GB"/>
        </w:rPr>
      </w:pPr>
    </w:p>
    <w:p w14:paraId="0DA9DDFF" w14:textId="77777777" w:rsidR="005E45D8" w:rsidRPr="006876A2" w:rsidRDefault="005E45D8" w:rsidP="005E45D8">
      <w:pPr>
        <w:autoSpaceDE w:val="0"/>
        <w:autoSpaceDN w:val="0"/>
        <w:adjustRightInd w:val="0"/>
        <w:spacing w:line="480" w:lineRule="auto"/>
        <w:rPr>
          <w:rFonts w:ascii="Georgia" w:hAnsi="Georgia" w:cs="Avenir Book"/>
          <w:color w:val="000000" w:themeColor="text1"/>
          <w:lang w:val="en-GB"/>
        </w:rPr>
      </w:pPr>
      <w:r w:rsidRPr="006876A2">
        <w:rPr>
          <w:rFonts w:ascii="Georgia" w:hAnsi="Georgia" w:cs="Avenir Book"/>
          <w:color w:val="000000" w:themeColor="text1"/>
          <w:lang w:val="en-GB"/>
        </w:rPr>
        <w:t>Sara Hočevar</w:t>
      </w:r>
      <w:r w:rsidRPr="006876A2">
        <w:rPr>
          <w:rFonts w:ascii="Georgia" w:hAnsi="Georgia" w:cs="Avenir Book"/>
          <w:color w:val="000000" w:themeColor="text1"/>
          <w:vertAlign w:val="superscript"/>
          <w:lang w:val="en-GB"/>
        </w:rPr>
        <w:t>*a</w:t>
      </w:r>
      <w:r w:rsidRPr="006876A2">
        <w:rPr>
          <w:rFonts w:ascii="Georgia" w:hAnsi="Georgia" w:cs="Avenir Book"/>
          <w:color w:val="000000" w:themeColor="text1"/>
          <w:lang w:val="en-GB"/>
        </w:rPr>
        <w:t xml:space="preserve">, Tommi </w:t>
      </w:r>
      <w:proofErr w:type="spellStart"/>
      <w:r w:rsidRPr="006876A2">
        <w:rPr>
          <w:rFonts w:ascii="Georgia" w:hAnsi="Georgia" w:cs="Avenir Book"/>
          <w:color w:val="000000" w:themeColor="text1"/>
          <w:lang w:val="en-GB"/>
        </w:rPr>
        <w:t>Perälä</w:t>
      </w:r>
      <w:r w:rsidRPr="006876A2">
        <w:rPr>
          <w:rFonts w:ascii="Georgia" w:hAnsi="Georgia" w:cs="Avenir Book"/>
          <w:color w:val="000000" w:themeColor="text1"/>
          <w:vertAlign w:val="superscript"/>
          <w:lang w:val="en-GB"/>
        </w:rPr>
        <w:t>a</w:t>
      </w:r>
      <w:proofErr w:type="spellEnd"/>
      <w:r w:rsidRPr="006876A2">
        <w:rPr>
          <w:rFonts w:ascii="Georgia" w:hAnsi="Georgia" w:cs="Avenir Book"/>
          <w:color w:val="000000" w:themeColor="text1"/>
          <w:lang w:val="en-GB"/>
        </w:rPr>
        <w:t xml:space="preserve">, </w:t>
      </w:r>
      <w:proofErr w:type="spellStart"/>
      <w:r w:rsidRPr="006876A2">
        <w:rPr>
          <w:rFonts w:ascii="Georgia" w:hAnsi="Georgia" w:cs="Avenir Book"/>
          <w:color w:val="000000" w:themeColor="text1"/>
          <w:lang w:val="en-GB"/>
        </w:rPr>
        <w:t>Esben</w:t>
      </w:r>
      <w:proofErr w:type="spellEnd"/>
      <w:r w:rsidRPr="006876A2">
        <w:rPr>
          <w:rFonts w:ascii="Georgia" w:hAnsi="Georgia" w:cs="Avenir Book"/>
          <w:color w:val="000000" w:themeColor="text1"/>
          <w:lang w:val="en-GB"/>
        </w:rPr>
        <w:t xml:space="preserve"> </w:t>
      </w:r>
      <w:proofErr w:type="spellStart"/>
      <w:r w:rsidRPr="006876A2">
        <w:rPr>
          <w:rFonts w:ascii="Georgia" w:hAnsi="Georgia" w:cs="Avenir Book"/>
          <w:color w:val="000000" w:themeColor="text1"/>
          <w:lang w:val="en-GB"/>
        </w:rPr>
        <w:t>Moland</w:t>
      </w:r>
      <w:proofErr w:type="spellEnd"/>
      <w:r w:rsidRPr="006876A2">
        <w:rPr>
          <w:rFonts w:ascii="Georgia" w:hAnsi="Georgia" w:cs="Avenir Book"/>
          <w:color w:val="000000" w:themeColor="text1"/>
          <w:lang w:val="en-GB"/>
        </w:rPr>
        <w:t xml:space="preserve"> </w:t>
      </w:r>
      <w:proofErr w:type="spellStart"/>
      <w:proofErr w:type="gramStart"/>
      <w:r w:rsidRPr="006876A2">
        <w:rPr>
          <w:rFonts w:ascii="Georgia" w:hAnsi="Georgia" w:cs="Avenir Book"/>
          <w:color w:val="000000" w:themeColor="text1"/>
          <w:lang w:val="en-GB"/>
        </w:rPr>
        <w:t>Olsen</w:t>
      </w:r>
      <w:r w:rsidRPr="006876A2">
        <w:rPr>
          <w:rFonts w:ascii="Georgia" w:hAnsi="Georgia" w:cs="Avenir Book"/>
          <w:color w:val="000000" w:themeColor="text1"/>
          <w:vertAlign w:val="superscript"/>
          <w:lang w:val="en-GB"/>
        </w:rPr>
        <w:t>b,c</w:t>
      </w:r>
      <w:proofErr w:type="spellEnd"/>
      <w:proofErr w:type="gramEnd"/>
      <w:r w:rsidRPr="006876A2">
        <w:rPr>
          <w:rFonts w:ascii="Georgia" w:hAnsi="Georgia" w:cs="Avenir Book"/>
          <w:color w:val="000000" w:themeColor="text1"/>
          <w:lang w:val="en-GB"/>
        </w:rPr>
        <w:t xml:space="preserve">,  Tone </w:t>
      </w:r>
      <w:proofErr w:type="spellStart"/>
      <w:r w:rsidRPr="006876A2">
        <w:rPr>
          <w:rFonts w:ascii="Georgia" w:hAnsi="Georgia" w:cs="Avenir Book"/>
          <w:color w:val="000000" w:themeColor="text1"/>
          <w:lang w:val="en-GB"/>
        </w:rPr>
        <w:t>Falkenhaug</w:t>
      </w:r>
      <w:r w:rsidRPr="006876A2">
        <w:rPr>
          <w:rFonts w:ascii="Georgia" w:hAnsi="Georgia" w:cs="Avenir Book"/>
          <w:color w:val="000000" w:themeColor="text1"/>
          <w:vertAlign w:val="superscript"/>
          <w:lang w:val="en-GB"/>
        </w:rPr>
        <w:t>b</w:t>
      </w:r>
      <w:proofErr w:type="spellEnd"/>
      <w:r w:rsidRPr="006876A2">
        <w:rPr>
          <w:rFonts w:ascii="Georgia" w:hAnsi="Georgia" w:cs="Avenir Book"/>
          <w:color w:val="000000" w:themeColor="text1"/>
          <w:vertAlign w:val="superscript"/>
          <w:lang w:val="en-GB"/>
        </w:rPr>
        <w:t>,</w:t>
      </w:r>
      <w:r w:rsidRPr="006876A2" w:rsidDel="0064420B">
        <w:rPr>
          <w:rFonts w:ascii="Georgia" w:hAnsi="Georgia" w:cs="Avenir Book"/>
          <w:color w:val="000000" w:themeColor="text1"/>
          <w:vertAlign w:val="superscript"/>
          <w:lang w:val="en-GB"/>
        </w:rPr>
        <w:t xml:space="preserve"> </w:t>
      </w:r>
      <w:r w:rsidRPr="006876A2">
        <w:rPr>
          <w:rFonts w:ascii="Georgia" w:hAnsi="Georgia" w:cs="Avenir Book"/>
          <w:color w:val="000000" w:themeColor="text1"/>
          <w:lang w:val="en-GB"/>
        </w:rPr>
        <w:t xml:space="preserve">, Lars Johan </w:t>
      </w:r>
      <w:proofErr w:type="spellStart"/>
      <w:r w:rsidRPr="006876A2">
        <w:rPr>
          <w:rFonts w:ascii="Georgia" w:hAnsi="Georgia" w:cs="Avenir Book"/>
          <w:color w:val="000000" w:themeColor="text1"/>
          <w:lang w:val="en-GB"/>
        </w:rPr>
        <w:t>Naustvoll</w:t>
      </w:r>
      <w:r w:rsidRPr="006876A2">
        <w:rPr>
          <w:rFonts w:ascii="Georgia" w:hAnsi="Georgia" w:cs="Avenir Book"/>
          <w:color w:val="000000" w:themeColor="text1"/>
          <w:vertAlign w:val="superscript"/>
          <w:lang w:val="en-GB"/>
        </w:rPr>
        <w:t>b</w:t>
      </w:r>
      <w:proofErr w:type="spellEnd"/>
      <w:r w:rsidRPr="006876A2">
        <w:rPr>
          <w:rFonts w:ascii="Georgia" w:hAnsi="Georgia" w:cs="Avenir Book"/>
          <w:color w:val="000000" w:themeColor="text1"/>
          <w:lang w:val="en-GB"/>
        </w:rPr>
        <w:t xml:space="preserve">  and Anna Kuparinen </w:t>
      </w:r>
      <w:r w:rsidRPr="006876A2">
        <w:rPr>
          <w:rFonts w:ascii="Georgia" w:hAnsi="Georgia" w:cs="Avenir Book"/>
          <w:color w:val="000000" w:themeColor="text1"/>
          <w:vertAlign w:val="superscript"/>
          <w:lang w:val="en-GB"/>
        </w:rPr>
        <w:t>a</w:t>
      </w:r>
    </w:p>
    <w:p w14:paraId="48B62C12" w14:textId="77777777" w:rsidR="005E45D8" w:rsidRPr="006876A2" w:rsidRDefault="005E45D8" w:rsidP="005E45D8">
      <w:pPr>
        <w:autoSpaceDE w:val="0"/>
        <w:autoSpaceDN w:val="0"/>
        <w:adjustRightInd w:val="0"/>
        <w:spacing w:line="480" w:lineRule="auto"/>
        <w:rPr>
          <w:rFonts w:ascii="Georgia" w:hAnsi="Georgia" w:cs="Avenir Book"/>
          <w:color w:val="000000" w:themeColor="text1"/>
          <w:lang w:val="en-GB"/>
        </w:rPr>
      </w:pPr>
    </w:p>
    <w:p w14:paraId="0FC57D5E" w14:textId="77777777" w:rsidR="005E45D8" w:rsidRPr="006876A2" w:rsidRDefault="005E45D8" w:rsidP="005E45D8">
      <w:pPr>
        <w:autoSpaceDE w:val="0"/>
        <w:autoSpaceDN w:val="0"/>
        <w:adjustRightInd w:val="0"/>
        <w:spacing w:line="480" w:lineRule="auto"/>
        <w:rPr>
          <w:rFonts w:ascii="Georgia" w:hAnsi="Georgia" w:cs="Avenir Book"/>
          <w:color w:val="000000" w:themeColor="text1"/>
          <w:lang w:val="en-GB"/>
        </w:rPr>
      </w:pPr>
      <w:r w:rsidRPr="006876A2">
        <w:rPr>
          <w:rFonts w:ascii="Georgia" w:hAnsi="Georgia" w:cs="Avenir Book"/>
          <w:color w:val="000000" w:themeColor="text1"/>
          <w:vertAlign w:val="superscript"/>
          <w:lang w:val="en-GB"/>
        </w:rPr>
        <w:t>a</w:t>
      </w:r>
      <w:r w:rsidRPr="006876A2">
        <w:rPr>
          <w:rFonts w:ascii="Georgia" w:hAnsi="Georgia" w:cs="Avenir Book"/>
          <w:color w:val="000000" w:themeColor="text1"/>
          <w:lang w:val="en-GB"/>
        </w:rPr>
        <w:t xml:space="preserve"> Department of Biological and Environmental Science, University of Jyväskylä, Jyväskylä, Finland</w:t>
      </w:r>
    </w:p>
    <w:p w14:paraId="266735EC" w14:textId="77777777" w:rsidR="005E45D8" w:rsidRPr="006876A2" w:rsidRDefault="005E45D8" w:rsidP="005E45D8">
      <w:pPr>
        <w:autoSpaceDE w:val="0"/>
        <w:autoSpaceDN w:val="0"/>
        <w:adjustRightInd w:val="0"/>
        <w:spacing w:line="480" w:lineRule="auto"/>
        <w:rPr>
          <w:rFonts w:ascii="Georgia" w:hAnsi="Georgia" w:cs="Avenir Book"/>
          <w:color w:val="000000" w:themeColor="text1"/>
          <w:lang w:val="en-GB"/>
        </w:rPr>
      </w:pPr>
      <w:r w:rsidRPr="006876A2">
        <w:rPr>
          <w:rFonts w:ascii="Georgia" w:hAnsi="Georgia" w:cs="Avenir Book"/>
          <w:color w:val="000000" w:themeColor="text1"/>
          <w:vertAlign w:val="superscript"/>
          <w:lang w:val="en-GB"/>
        </w:rPr>
        <w:t>b</w:t>
      </w:r>
      <w:r w:rsidRPr="006876A2">
        <w:rPr>
          <w:rFonts w:ascii="Georgia" w:hAnsi="Georgia" w:cs="Avenir Book"/>
          <w:color w:val="000000" w:themeColor="text1"/>
          <w:lang w:val="en-GB"/>
        </w:rPr>
        <w:t xml:space="preserve"> Institute of Marine Research, </w:t>
      </w:r>
      <w:proofErr w:type="spellStart"/>
      <w:r w:rsidRPr="006876A2">
        <w:rPr>
          <w:rFonts w:ascii="Georgia" w:hAnsi="Georgia" w:cs="Avenir Book"/>
          <w:color w:val="000000" w:themeColor="text1"/>
          <w:lang w:val="en-GB"/>
        </w:rPr>
        <w:t>Flødevigen</w:t>
      </w:r>
      <w:proofErr w:type="spellEnd"/>
      <w:r w:rsidRPr="006876A2">
        <w:rPr>
          <w:rFonts w:ascii="Georgia" w:hAnsi="Georgia" w:cs="Avenir Book"/>
          <w:color w:val="000000" w:themeColor="text1"/>
          <w:lang w:val="en-GB"/>
        </w:rPr>
        <w:t xml:space="preserve"> Marine Research Station, N-4817 His, Norway</w:t>
      </w:r>
    </w:p>
    <w:p w14:paraId="608C701B" w14:textId="77777777" w:rsidR="005E45D8" w:rsidRPr="00286ECD" w:rsidRDefault="005E45D8" w:rsidP="005E45D8">
      <w:pPr>
        <w:autoSpaceDE w:val="0"/>
        <w:autoSpaceDN w:val="0"/>
        <w:adjustRightInd w:val="0"/>
        <w:spacing w:line="480" w:lineRule="auto"/>
        <w:rPr>
          <w:rFonts w:ascii="Georgia" w:hAnsi="Georgia" w:cs="Helvetica Neue"/>
          <w:b/>
          <w:bCs/>
          <w:color w:val="000000" w:themeColor="text1"/>
          <w:lang w:val="en-GB"/>
        </w:rPr>
      </w:pPr>
      <w:r w:rsidRPr="006876A2">
        <w:rPr>
          <w:rFonts w:ascii="Georgia" w:hAnsi="Georgia" w:cs="Avenir Book"/>
          <w:color w:val="000000" w:themeColor="text1"/>
          <w:vertAlign w:val="superscript"/>
          <w:lang w:val="en-GB"/>
        </w:rPr>
        <w:t xml:space="preserve">c </w:t>
      </w:r>
      <w:r w:rsidRPr="006876A2">
        <w:rPr>
          <w:rFonts w:ascii="Georgia" w:hAnsi="Georgia" w:cs="Avenir Book"/>
          <w:color w:val="000000" w:themeColor="text1"/>
          <w:lang w:val="en-GB"/>
        </w:rPr>
        <w:t xml:space="preserve">Department of Natural Sciences, University of </w:t>
      </w:r>
      <w:proofErr w:type="spellStart"/>
      <w:r w:rsidRPr="006876A2">
        <w:rPr>
          <w:rFonts w:ascii="Georgia" w:hAnsi="Georgia" w:cs="Avenir Book"/>
          <w:color w:val="000000" w:themeColor="text1"/>
          <w:lang w:val="en-GB"/>
        </w:rPr>
        <w:t>Agder</w:t>
      </w:r>
      <w:proofErr w:type="spellEnd"/>
      <w:r w:rsidRPr="006876A2">
        <w:rPr>
          <w:rFonts w:ascii="Georgia" w:hAnsi="Georgia" w:cs="Avenir Book"/>
          <w:color w:val="000000" w:themeColor="text1"/>
          <w:lang w:val="en-GB"/>
        </w:rPr>
        <w:t>, N-4604 Kristiansand, Norway</w:t>
      </w:r>
    </w:p>
    <w:p w14:paraId="06B59FB1" w14:textId="77777777" w:rsidR="005E45D8" w:rsidRPr="00286ECD" w:rsidRDefault="005E45D8" w:rsidP="005E45D8">
      <w:pPr>
        <w:spacing w:line="480" w:lineRule="auto"/>
        <w:rPr>
          <w:rFonts w:ascii="Georgia" w:hAnsi="Georgia" w:cs="Helvetica Neue"/>
          <w:color w:val="000000" w:themeColor="text1"/>
          <w:lang w:val="en-GB"/>
        </w:rPr>
      </w:pPr>
    </w:p>
    <w:p w14:paraId="00BC01A7" w14:textId="77777777" w:rsidR="005E45D8" w:rsidRPr="00286ECD" w:rsidRDefault="005E45D8" w:rsidP="005E45D8">
      <w:pPr>
        <w:spacing w:line="480" w:lineRule="auto"/>
        <w:rPr>
          <w:rFonts w:ascii="Georgia" w:hAnsi="Georgia" w:cs="Helvetica Neue"/>
          <w:color w:val="000000" w:themeColor="text1"/>
          <w:lang w:val="en-GB"/>
        </w:rPr>
      </w:pPr>
      <w:r w:rsidRPr="00286ECD">
        <w:rPr>
          <w:rFonts w:ascii="Georgia" w:hAnsi="Georgia" w:cs="Helvetica Neue"/>
          <w:color w:val="000000" w:themeColor="text1"/>
          <w:lang w:val="en-GB"/>
        </w:rPr>
        <w:t xml:space="preserve">sara.s.hocevar@jyu.fi , </w:t>
      </w:r>
      <w:hyperlink r:id="rId7" w:history="1">
        <w:r w:rsidRPr="00286ECD">
          <w:rPr>
            <w:rStyle w:val="Hyperlink"/>
            <w:rFonts w:ascii="Georgia" w:hAnsi="Georgia" w:cs="Helvetica Neue"/>
            <w:lang w:val="en-GB"/>
          </w:rPr>
          <w:t>tommi.a.perala@jyu.fi</w:t>
        </w:r>
      </w:hyperlink>
      <w:r w:rsidRPr="00286ECD">
        <w:rPr>
          <w:rFonts w:ascii="Georgia" w:hAnsi="Georgia" w:cs="Helvetica Neue"/>
          <w:color w:val="000000" w:themeColor="text1"/>
          <w:lang w:val="en-GB"/>
        </w:rPr>
        <w:t xml:space="preserve">, </w:t>
      </w:r>
      <w:hyperlink r:id="rId8" w:history="1">
        <w:r w:rsidRPr="00286ECD">
          <w:rPr>
            <w:rStyle w:val="Hyperlink"/>
            <w:rFonts w:ascii="Georgia" w:hAnsi="Georgia" w:cs="Helvetica Neue"/>
            <w:lang w:val="en-GB"/>
          </w:rPr>
          <w:t>esben.moland.olsen@hi.no</w:t>
        </w:r>
      </w:hyperlink>
      <w:r w:rsidRPr="00286ECD">
        <w:rPr>
          <w:rFonts w:ascii="Georgia" w:hAnsi="Georgia" w:cs="Helvetica Neue"/>
          <w:color w:val="000000" w:themeColor="text1"/>
          <w:lang w:val="en-GB"/>
        </w:rPr>
        <w:t xml:space="preserve">, </w:t>
      </w:r>
      <w:hyperlink r:id="rId9" w:history="1">
        <w:r w:rsidRPr="00286ECD">
          <w:rPr>
            <w:rStyle w:val="Hyperlink"/>
            <w:rFonts w:ascii="Georgia" w:hAnsi="Georgia" w:cs="Helvetica Neue"/>
            <w:lang w:val="en-GB"/>
          </w:rPr>
          <w:t>tone.falkenhaug@hi.no</w:t>
        </w:r>
      </w:hyperlink>
      <w:r w:rsidRPr="00286ECD">
        <w:rPr>
          <w:rFonts w:ascii="Georgia" w:hAnsi="Georgia" w:cs="Helvetica Neue"/>
          <w:color w:val="000000" w:themeColor="text1"/>
          <w:lang w:val="en-GB"/>
        </w:rPr>
        <w:t xml:space="preserve">, </w:t>
      </w:r>
      <w:hyperlink r:id="rId10" w:history="1">
        <w:r w:rsidRPr="00286ECD">
          <w:rPr>
            <w:rStyle w:val="Hyperlink"/>
            <w:rFonts w:ascii="Georgia" w:hAnsi="Georgia" w:cs="Helvetica Neue"/>
            <w:lang w:val="en-GB"/>
          </w:rPr>
          <w:t>larsjn@hi.no</w:t>
        </w:r>
      </w:hyperlink>
      <w:r w:rsidRPr="00286ECD">
        <w:rPr>
          <w:rFonts w:ascii="Georgia" w:hAnsi="Georgia" w:cs="Helvetica Neue"/>
          <w:color w:val="000000" w:themeColor="text1"/>
          <w:lang w:val="en-GB"/>
        </w:rPr>
        <w:t>, anna.k.kuparinen@jyu.fi</w:t>
      </w:r>
    </w:p>
    <w:p w14:paraId="4798078F" w14:textId="77777777" w:rsidR="005E45D8" w:rsidRPr="00286ECD" w:rsidRDefault="005E45D8" w:rsidP="005E45D8">
      <w:pPr>
        <w:spacing w:line="480" w:lineRule="auto"/>
        <w:rPr>
          <w:rFonts w:ascii="Georgia" w:hAnsi="Georgia" w:cs="Helvetica Neue"/>
          <w:color w:val="000000" w:themeColor="text1"/>
          <w:lang w:val="en-GB"/>
        </w:rPr>
      </w:pPr>
    </w:p>
    <w:p w14:paraId="2E66D304" w14:textId="25962FCF" w:rsidR="005E45D8" w:rsidRPr="00286ECD" w:rsidRDefault="005E45D8" w:rsidP="005E45D8">
      <w:pPr>
        <w:spacing w:line="480" w:lineRule="auto"/>
        <w:rPr>
          <w:rFonts w:ascii="Georgia" w:hAnsi="Georgia" w:cs="Helvetica Neue"/>
          <w:color w:val="000000" w:themeColor="text1"/>
          <w:lang w:val="en-GB"/>
        </w:rPr>
      </w:pPr>
      <w:r>
        <w:rPr>
          <w:rFonts w:ascii="Georgia" w:hAnsi="Georgia" w:cs="Helvetica Neue"/>
          <w:color w:val="000000" w:themeColor="text1"/>
          <w:lang w:val="en-GB"/>
        </w:rPr>
        <w:t>R</w:t>
      </w:r>
      <w:r w:rsidRPr="00286ECD">
        <w:rPr>
          <w:rFonts w:ascii="Georgia" w:hAnsi="Georgia" w:cs="Helvetica Neue"/>
          <w:color w:val="000000" w:themeColor="text1"/>
          <w:lang w:val="en-GB"/>
        </w:rPr>
        <w:t>unning tittle: I</w:t>
      </w:r>
      <w:r w:rsidR="002F7118">
        <w:rPr>
          <w:rFonts w:ascii="Georgia" w:hAnsi="Georgia" w:cs="Helvetica Neue"/>
          <w:color w:val="000000" w:themeColor="text1"/>
          <w:lang w:val="en-GB"/>
        </w:rPr>
        <w:t>nfluence of i</w:t>
      </w:r>
      <w:r w:rsidRPr="00286ECD">
        <w:rPr>
          <w:rFonts w:ascii="Georgia" w:hAnsi="Georgia" w:cs="Helvetica Neue"/>
          <w:color w:val="000000" w:themeColor="text1"/>
          <w:lang w:val="en-GB"/>
        </w:rPr>
        <w:t xml:space="preserve">ntraspecific </w:t>
      </w:r>
      <w:r w:rsidR="002F7118">
        <w:rPr>
          <w:rFonts w:ascii="Georgia" w:hAnsi="Georgia" w:cs="Helvetica Neue"/>
          <w:color w:val="000000" w:themeColor="text1"/>
          <w:lang w:val="en-GB"/>
        </w:rPr>
        <w:t>diversity</w:t>
      </w:r>
      <w:r w:rsidRPr="00286ECD">
        <w:rPr>
          <w:rFonts w:ascii="Georgia" w:hAnsi="Georgia" w:cs="Helvetica Neue"/>
          <w:color w:val="000000" w:themeColor="text1"/>
          <w:lang w:val="en-GB"/>
        </w:rPr>
        <w:t xml:space="preserve"> </w:t>
      </w:r>
      <w:r w:rsidR="002F7118">
        <w:rPr>
          <w:rFonts w:ascii="Georgia" w:hAnsi="Georgia" w:cs="Helvetica Neue"/>
          <w:color w:val="000000" w:themeColor="text1"/>
          <w:lang w:val="en-GB"/>
        </w:rPr>
        <w:t>on</w:t>
      </w:r>
      <w:r w:rsidRPr="00286ECD">
        <w:rPr>
          <w:rFonts w:ascii="Georgia" w:hAnsi="Georgia" w:cs="Helvetica Neue"/>
          <w:color w:val="000000" w:themeColor="text1"/>
          <w:lang w:val="en-GB"/>
        </w:rPr>
        <w:t xml:space="preserve"> food web dynamics </w:t>
      </w:r>
    </w:p>
    <w:p w14:paraId="39BA0C22" w14:textId="77777777" w:rsidR="005E45D8" w:rsidRPr="00286ECD" w:rsidRDefault="005E45D8" w:rsidP="005E45D8">
      <w:pPr>
        <w:spacing w:line="480" w:lineRule="auto"/>
        <w:rPr>
          <w:rFonts w:ascii="Georgia" w:hAnsi="Georgia" w:cs="Helvetica Neue"/>
          <w:color w:val="000000" w:themeColor="text1"/>
          <w:lang w:val="en-GB"/>
        </w:rPr>
      </w:pPr>
    </w:p>
    <w:p w14:paraId="3170395D" w14:textId="77777777" w:rsidR="005E45D8" w:rsidRPr="00286ECD" w:rsidRDefault="005E45D8" w:rsidP="005E45D8">
      <w:pPr>
        <w:spacing w:line="480" w:lineRule="auto"/>
        <w:rPr>
          <w:rFonts w:ascii="Georgia" w:hAnsi="Georgia" w:cs="Helvetica Neue"/>
          <w:color w:val="000000" w:themeColor="text1"/>
          <w:lang w:val="en-GB"/>
        </w:rPr>
      </w:pPr>
      <w:r w:rsidRPr="00286ECD">
        <w:rPr>
          <w:rFonts w:ascii="Georgia" w:hAnsi="Georgia" w:cs="Helvetica Neue"/>
          <w:color w:val="000000" w:themeColor="text1"/>
          <w:lang w:val="en-GB"/>
        </w:rPr>
        <w:t xml:space="preserve">Keywords: </w:t>
      </w:r>
      <w:r w:rsidRPr="00286ECD">
        <w:rPr>
          <w:rFonts w:ascii="Georgia" w:hAnsi="Georgia" w:cs="Helvetica Neue"/>
          <w:i/>
          <w:iCs/>
          <w:color w:val="000000" w:themeColor="text1"/>
          <w:lang w:val="en-GB"/>
        </w:rPr>
        <w:t xml:space="preserve">Gadus </w:t>
      </w:r>
      <w:proofErr w:type="spellStart"/>
      <w:r w:rsidRPr="00286ECD">
        <w:rPr>
          <w:rFonts w:ascii="Georgia" w:hAnsi="Georgia" w:cs="Helvetica Neue"/>
          <w:i/>
          <w:iCs/>
          <w:color w:val="000000" w:themeColor="text1"/>
          <w:lang w:val="en-GB"/>
        </w:rPr>
        <w:t>morhua</w:t>
      </w:r>
      <w:proofErr w:type="spellEnd"/>
      <w:r w:rsidRPr="00286ECD">
        <w:rPr>
          <w:rFonts w:ascii="Georgia" w:hAnsi="Georgia" w:cs="Helvetica Neue"/>
          <w:color w:val="000000" w:themeColor="text1"/>
          <w:lang w:val="en-GB"/>
        </w:rPr>
        <w:t xml:space="preserve">, ecosystem functioning, </w:t>
      </w:r>
      <w:r>
        <w:rPr>
          <w:rFonts w:ascii="Georgia" w:hAnsi="Georgia" w:cs="Helvetica Neue"/>
          <w:color w:val="000000" w:themeColor="text1"/>
          <w:lang w:val="en-GB"/>
        </w:rPr>
        <w:t xml:space="preserve">food web dynamics, </w:t>
      </w:r>
      <w:r w:rsidRPr="00286ECD">
        <w:rPr>
          <w:rFonts w:ascii="Georgia" w:hAnsi="Georgia" w:cs="Helvetica Neue"/>
          <w:color w:val="000000" w:themeColor="text1"/>
          <w:lang w:val="en-GB"/>
        </w:rPr>
        <w:t>life history</w:t>
      </w:r>
      <w:r>
        <w:rPr>
          <w:rFonts w:ascii="Georgia" w:hAnsi="Georgia" w:cs="Helvetica Neue"/>
          <w:color w:val="000000" w:themeColor="text1"/>
          <w:lang w:val="en-GB"/>
        </w:rPr>
        <w:t xml:space="preserve"> diversity</w:t>
      </w:r>
      <w:r w:rsidRPr="00286ECD">
        <w:rPr>
          <w:rFonts w:ascii="Georgia" w:hAnsi="Georgia" w:cs="Helvetica Neue"/>
          <w:color w:val="000000" w:themeColor="text1"/>
          <w:lang w:val="en-GB"/>
        </w:rPr>
        <w:t xml:space="preserve">, ontogenetic dietary shifts, </w:t>
      </w:r>
      <w:r>
        <w:rPr>
          <w:rFonts w:ascii="Georgia" w:hAnsi="Georgia" w:cs="Helvetica Neue"/>
          <w:color w:val="000000" w:themeColor="text1"/>
          <w:lang w:val="en-GB"/>
        </w:rPr>
        <w:t>robustness, Skagerrak</w:t>
      </w:r>
    </w:p>
    <w:p w14:paraId="3955636D" w14:textId="77777777" w:rsidR="005E45D8" w:rsidRPr="00286ECD" w:rsidRDefault="005E45D8" w:rsidP="005E45D8">
      <w:pPr>
        <w:spacing w:line="480" w:lineRule="auto"/>
        <w:rPr>
          <w:rFonts w:ascii="Georgia" w:hAnsi="Georgia" w:cs="Helvetica Neue"/>
          <w:color w:val="000000" w:themeColor="text1"/>
          <w:lang w:val="en-GB"/>
        </w:rPr>
      </w:pPr>
    </w:p>
    <w:p w14:paraId="1BD420BF" w14:textId="77777777" w:rsidR="005E45D8" w:rsidRPr="00286ECD" w:rsidRDefault="005E45D8" w:rsidP="005E45D8">
      <w:pPr>
        <w:spacing w:line="480" w:lineRule="auto"/>
        <w:rPr>
          <w:rFonts w:ascii="Georgia" w:hAnsi="Georgia" w:cs="Helvetica Neue"/>
          <w:color w:val="000000" w:themeColor="text1"/>
          <w:lang w:val="en-GB"/>
        </w:rPr>
      </w:pPr>
      <w:r w:rsidRPr="00286ECD">
        <w:rPr>
          <w:rFonts w:ascii="Georgia" w:hAnsi="Georgia" w:cs="Helvetica Neue"/>
          <w:color w:val="000000" w:themeColor="text1"/>
          <w:lang w:val="en-GB"/>
        </w:rPr>
        <w:t>Type of article: Letter</w:t>
      </w:r>
    </w:p>
    <w:p w14:paraId="33F8F230" w14:textId="68346964" w:rsidR="005E45D8" w:rsidRPr="00286ECD" w:rsidRDefault="00A02968" w:rsidP="005E45D8">
      <w:pPr>
        <w:spacing w:line="480" w:lineRule="auto"/>
        <w:rPr>
          <w:rFonts w:ascii="Georgia" w:hAnsi="Georgia" w:cs="Helvetica Neue"/>
          <w:color w:val="000000" w:themeColor="text1"/>
          <w:lang w:val="en-GB"/>
        </w:rPr>
      </w:pPr>
      <w:r>
        <w:rPr>
          <w:rFonts w:ascii="Georgia" w:hAnsi="Georgia" w:cs="Helvetica Neue"/>
          <w:color w:val="000000" w:themeColor="text1"/>
          <w:lang w:val="en-GB"/>
        </w:rPr>
        <w:t>150</w:t>
      </w:r>
      <w:r w:rsidR="005E45D8" w:rsidRPr="00286ECD">
        <w:rPr>
          <w:rFonts w:ascii="Georgia" w:hAnsi="Georgia" w:cs="Helvetica Neue"/>
          <w:color w:val="000000" w:themeColor="text1"/>
          <w:lang w:val="en-GB"/>
        </w:rPr>
        <w:t xml:space="preserve"> words in abstract, </w:t>
      </w:r>
      <w:r w:rsidR="00B90F2E">
        <w:rPr>
          <w:rFonts w:ascii="Georgia" w:hAnsi="Georgia" w:cs="Helvetica Neue"/>
          <w:color w:val="000000" w:themeColor="text1"/>
          <w:lang w:val="en-GB"/>
        </w:rPr>
        <w:t xml:space="preserve">4896 </w:t>
      </w:r>
      <w:r w:rsidR="005E45D8" w:rsidRPr="00286ECD">
        <w:rPr>
          <w:rFonts w:ascii="Georgia" w:hAnsi="Georgia" w:cs="Helvetica Neue"/>
          <w:color w:val="000000" w:themeColor="text1"/>
          <w:lang w:val="en-GB"/>
        </w:rPr>
        <w:t xml:space="preserve">in the main text, </w:t>
      </w:r>
      <w:r w:rsidR="00B90F2E">
        <w:rPr>
          <w:rFonts w:ascii="Georgia" w:hAnsi="Georgia" w:cs="Helvetica Neue"/>
          <w:color w:val="000000" w:themeColor="text1"/>
          <w:lang w:val="en-GB"/>
        </w:rPr>
        <w:t>71</w:t>
      </w:r>
      <w:r w:rsidR="005E45D8" w:rsidRPr="00286ECD">
        <w:rPr>
          <w:rFonts w:ascii="Georgia" w:hAnsi="Georgia" w:cs="Helvetica Neue"/>
          <w:color w:val="000000" w:themeColor="text1"/>
          <w:lang w:val="en-GB"/>
        </w:rPr>
        <w:t xml:space="preserve"> references, 3 figures, 1 table</w:t>
      </w:r>
    </w:p>
    <w:p w14:paraId="706FFB1E" w14:textId="77777777" w:rsidR="005E45D8" w:rsidRPr="00286ECD" w:rsidRDefault="005E45D8" w:rsidP="005E45D8">
      <w:pPr>
        <w:spacing w:line="480" w:lineRule="auto"/>
        <w:rPr>
          <w:rFonts w:ascii="Georgia" w:hAnsi="Georgia" w:cs="Helvetica Neue"/>
          <w:color w:val="000000" w:themeColor="text1"/>
          <w:lang w:val="en-GB"/>
        </w:rPr>
      </w:pPr>
    </w:p>
    <w:p w14:paraId="1301AC61" w14:textId="77777777" w:rsidR="005E45D8" w:rsidRPr="00286ECD" w:rsidRDefault="005E45D8" w:rsidP="005E45D8">
      <w:pPr>
        <w:spacing w:line="480" w:lineRule="auto"/>
        <w:rPr>
          <w:rFonts w:ascii="Georgia" w:hAnsi="Georgia" w:cs="Helvetica Neue"/>
          <w:color w:val="000000" w:themeColor="text1"/>
          <w:lang w:val="en-GB"/>
        </w:rPr>
      </w:pPr>
      <w:r w:rsidRPr="00286ECD">
        <w:rPr>
          <w:rFonts w:ascii="Georgia" w:hAnsi="Georgia" w:cs="Helvetica Neue"/>
          <w:color w:val="000000" w:themeColor="text1"/>
          <w:lang w:val="en-GB"/>
        </w:rPr>
        <w:t xml:space="preserve">*Correspondence: Sara Hočevar </w:t>
      </w:r>
      <w:proofErr w:type="gramStart"/>
      <w:r w:rsidRPr="00286ECD">
        <w:rPr>
          <w:rFonts w:ascii="Georgia" w:hAnsi="Georgia" w:cs="Helvetica Neue"/>
          <w:color w:val="000000" w:themeColor="text1"/>
          <w:lang w:val="en-GB"/>
        </w:rPr>
        <w:t>( +</w:t>
      </w:r>
      <w:proofErr w:type="gramEnd"/>
      <w:r w:rsidRPr="00286ECD">
        <w:rPr>
          <w:rFonts w:ascii="Georgia" w:hAnsi="Georgia" w:cs="Helvetica Neue"/>
          <w:color w:val="000000" w:themeColor="text1"/>
          <w:lang w:val="en-GB"/>
        </w:rPr>
        <w:t xml:space="preserve">358405158119, </w:t>
      </w:r>
      <w:hyperlink r:id="rId11" w:history="1">
        <w:r w:rsidRPr="00286ECD">
          <w:rPr>
            <w:rStyle w:val="Hyperlink"/>
            <w:rFonts w:ascii="Georgia" w:hAnsi="Georgia" w:cs="Helvetica Neue"/>
            <w:lang w:val="en-GB"/>
          </w:rPr>
          <w:t>sara.s.hocevar@jyu.fi</w:t>
        </w:r>
      </w:hyperlink>
      <w:r w:rsidRPr="00286ECD">
        <w:rPr>
          <w:rFonts w:ascii="Georgia" w:hAnsi="Georgia" w:cs="Helvetica Neue"/>
          <w:color w:val="000000" w:themeColor="text1"/>
          <w:lang w:val="en-GB"/>
        </w:rPr>
        <w:t>)</w:t>
      </w:r>
    </w:p>
    <w:p w14:paraId="423ED018" w14:textId="77777777" w:rsidR="005E45D8" w:rsidRPr="00286ECD" w:rsidRDefault="005E45D8" w:rsidP="005E45D8">
      <w:pPr>
        <w:spacing w:line="480" w:lineRule="auto"/>
        <w:rPr>
          <w:rFonts w:ascii="Georgia" w:hAnsi="Georgia"/>
          <w:color w:val="1C1D1E"/>
          <w:shd w:val="clear" w:color="auto" w:fill="FFFFFF"/>
          <w:lang w:val="en-GB"/>
        </w:rPr>
      </w:pPr>
      <w:r w:rsidRPr="00286ECD">
        <w:rPr>
          <w:rFonts w:ascii="Georgia" w:hAnsi="Georgia"/>
          <w:i/>
          <w:iCs/>
          <w:color w:val="1C1D1E"/>
          <w:shd w:val="clear" w:color="auto" w:fill="FFFFFF"/>
          <w:lang w:val="en-GB"/>
        </w:rPr>
        <w:lastRenderedPageBreak/>
        <w:t>Statement of authorship</w:t>
      </w:r>
      <w:r w:rsidRPr="00286ECD">
        <w:rPr>
          <w:rFonts w:ascii="Georgia" w:hAnsi="Georgia"/>
          <w:color w:val="1C1D1E"/>
          <w:shd w:val="clear" w:color="auto" w:fill="FFFFFF"/>
          <w:lang w:val="en-GB"/>
        </w:rPr>
        <w:t>: SH, AK designed the study, ESB, TF, LJN collected data, SH parameterised the network model and analysed output data, and SH, TP performed the modelling work. SH wrote the first draft of the manuscript, and all authors made a substantial intellectual contribution to revisions.</w:t>
      </w:r>
    </w:p>
    <w:p w14:paraId="7EC1EDCD" w14:textId="77777777" w:rsidR="005E45D8" w:rsidRPr="00286ECD" w:rsidRDefault="005E45D8" w:rsidP="005E45D8">
      <w:pPr>
        <w:spacing w:line="480" w:lineRule="auto"/>
        <w:rPr>
          <w:rFonts w:ascii="Georgia" w:hAnsi="Georgia"/>
          <w:color w:val="1C1D1E"/>
          <w:shd w:val="clear" w:color="auto" w:fill="FFFFFF"/>
          <w:lang w:val="en-GB"/>
        </w:rPr>
      </w:pPr>
    </w:p>
    <w:p w14:paraId="1B6A60F6" w14:textId="1F2954B2" w:rsidR="00676293" w:rsidRDefault="005E45D8" w:rsidP="005E45D8">
      <w:pPr>
        <w:spacing w:line="480" w:lineRule="auto"/>
        <w:rPr>
          <w:rFonts w:ascii="Georgia" w:hAnsi="Georgia"/>
          <w:color w:val="1C1D1E"/>
          <w:shd w:val="clear" w:color="auto" w:fill="FFFFFF"/>
          <w:lang w:val="en-GB"/>
        </w:rPr>
      </w:pPr>
      <w:r w:rsidRPr="00286ECD">
        <w:rPr>
          <w:rFonts w:ascii="Georgia" w:hAnsi="Georgia"/>
          <w:i/>
          <w:iCs/>
          <w:color w:val="1C1D1E"/>
          <w:shd w:val="clear" w:color="auto" w:fill="FFFFFF"/>
          <w:lang w:val="en-GB"/>
        </w:rPr>
        <w:t>Data accessibility statement</w:t>
      </w:r>
      <w:r w:rsidRPr="00286ECD">
        <w:rPr>
          <w:rFonts w:ascii="Georgia" w:hAnsi="Georgia"/>
          <w:color w:val="1C1D1E"/>
          <w:shd w:val="clear" w:color="auto" w:fill="FFFFFF"/>
          <w:lang w:val="en-GB"/>
        </w:rPr>
        <w:t>: Should the manuscript be accepted, the data and the code to produce the results of this study will be available in a public repository of Dryad and the DOI will be referenced at the end of the article.</w:t>
      </w:r>
      <w:r w:rsidR="00BF3E23">
        <w:rPr>
          <w:rFonts w:ascii="Georgia" w:hAnsi="Georgia"/>
          <w:color w:val="1C1D1E"/>
          <w:shd w:val="clear" w:color="auto" w:fill="FFFFFF"/>
          <w:lang w:val="en-GB"/>
        </w:rPr>
        <w:t xml:space="preserve"> For the time of a review the dataset is available as: </w:t>
      </w:r>
      <w:r w:rsidR="00BF3E23" w:rsidRPr="00BF3E23">
        <w:rPr>
          <w:rFonts w:ascii="Georgia" w:hAnsi="Georgia"/>
          <w:color w:val="1C1D1E"/>
          <w:shd w:val="clear" w:color="auto" w:fill="FFFFFF"/>
          <w:lang w:val="en-GB"/>
        </w:rPr>
        <w:t>Hocevar, Sara (Forthcoming 2024). Intraspecific diversity in Atlantic cod (</w:t>
      </w:r>
      <w:r w:rsidR="00BF3E23" w:rsidRPr="00BF3E23">
        <w:rPr>
          <w:rFonts w:ascii="Georgia" w:hAnsi="Georgia"/>
          <w:i/>
          <w:iCs/>
          <w:color w:val="1C1D1E"/>
          <w:shd w:val="clear" w:color="auto" w:fill="FFFFFF"/>
          <w:lang w:val="en-GB"/>
        </w:rPr>
        <w:t xml:space="preserve">Gadus </w:t>
      </w:r>
      <w:proofErr w:type="spellStart"/>
      <w:r w:rsidR="00BF3E23" w:rsidRPr="00BF3E23">
        <w:rPr>
          <w:rFonts w:ascii="Georgia" w:hAnsi="Georgia"/>
          <w:i/>
          <w:iCs/>
          <w:color w:val="1C1D1E"/>
          <w:shd w:val="clear" w:color="auto" w:fill="FFFFFF"/>
          <w:lang w:val="en-GB"/>
        </w:rPr>
        <w:t>morhua</w:t>
      </w:r>
      <w:proofErr w:type="spellEnd"/>
      <w:r w:rsidR="00BF3E23" w:rsidRPr="00BF3E23">
        <w:rPr>
          <w:rFonts w:ascii="Georgia" w:hAnsi="Georgia"/>
          <w:color w:val="1C1D1E"/>
          <w:shd w:val="clear" w:color="auto" w:fill="FFFFFF"/>
          <w:lang w:val="en-GB"/>
        </w:rPr>
        <w:t xml:space="preserve">) drives unique top-down control in coastal food web [Dataset]. Dryad. </w:t>
      </w:r>
      <w:hyperlink r:id="rId12" w:history="1">
        <w:r w:rsidR="00676293" w:rsidRPr="008D593A">
          <w:rPr>
            <w:rStyle w:val="Hyperlink"/>
            <w:rFonts w:ascii="Georgia" w:hAnsi="Georgia"/>
            <w:shd w:val="clear" w:color="auto" w:fill="FFFFFF"/>
            <w:lang w:val="en-GB"/>
          </w:rPr>
          <w:t>https://datadryad.org/stash/share/</w:t>
        </w:r>
        <w:r w:rsidR="00676293" w:rsidRPr="008D593A">
          <w:rPr>
            <w:rStyle w:val="Hyperlink"/>
            <w:rFonts w:ascii="Georgia" w:hAnsi="Georgia"/>
            <w:shd w:val="clear" w:color="auto" w:fill="FFFFFF"/>
            <w:lang w:val="en-GB"/>
          </w:rPr>
          <w:t>V</w:t>
        </w:r>
        <w:r w:rsidR="00676293" w:rsidRPr="008D593A">
          <w:rPr>
            <w:rStyle w:val="Hyperlink"/>
            <w:rFonts w:ascii="Georgia" w:hAnsi="Georgia"/>
            <w:shd w:val="clear" w:color="auto" w:fill="FFFFFF"/>
            <w:lang w:val="en-GB"/>
          </w:rPr>
          <w:t>80aZrZjNoQcCP65XNt58vcHMMg7ckvqvTv2UMsvS_s</w:t>
        </w:r>
      </w:hyperlink>
      <w:r w:rsidR="00676293" w:rsidRPr="00676293">
        <w:rPr>
          <w:rFonts w:ascii="Georgia" w:hAnsi="Georgia"/>
          <w:color w:val="1C1D1E"/>
          <w:shd w:val="clear" w:color="auto" w:fill="FFFFFF"/>
          <w:lang w:val="en-GB"/>
        </w:rPr>
        <w:t>.</w:t>
      </w:r>
    </w:p>
    <w:p w14:paraId="70CCBD71" w14:textId="2498F7E2" w:rsidR="005E45D8" w:rsidRPr="00286ECD" w:rsidRDefault="005E45D8" w:rsidP="005E45D8">
      <w:pPr>
        <w:spacing w:line="480" w:lineRule="auto"/>
        <w:rPr>
          <w:rFonts w:ascii="Georgia" w:hAnsi="Georgia"/>
          <w:color w:val="1C1D1E"/>
          <w:shd w:val="clear" w:color="auto" w:fill="FFFFFF"/>
          <w:lang w:val="en-GB"/>
        </w:rPr>
      </w:pPr>
      <w:r w:rsidRPr="00286ECD">
        <w:rPr>
          <w:rFonts w:ascii="Georgia" w:hAnsi="Georgia" w:cs="Helvetica Neue"/>
          <w:b/>
          <w:bCs/>
          <w:color w:val="000000" w:themeColor="text1"/>
          <w:sz w:val="32"/>
          <w:szCs w:val="32"/>
          <w:lang w:val="en-GB"/>
        </w:rPr>
        <w:br w:type="page"/>
      </w:r>
    </w:p>
    <w:p w14:paraId="798C8E82" w14:textId="77777777" w:rsidR="005E45D8" w:rsidRPr="00286ECD" w:rsidRDefault="005E45D8" w:rsidP="005E45D8">
      <w:pPr>
        <w:spacing w:line="480" w:lineRule="auto"/>
        <w:rPr>
          <w:rFonts w:ascii="Georgia" w:hAnsi="Georgia" w:cs="Helvetica Neue"/>
          <w:b/>
          <w:bCs/>
          <w:color w:val="000000" w:themeColor="text1"/>
          <w:sz w:val="32"/>
          <w:szCs w:val="32"/>
          <w:lang w:val="en-GB"/>
        </w:rPr>
      </w:pPr>
      <w:r w:rsidRPr="00286ECD">
        <w:rPr>
          <w:rFonts w:ascii="Georgia" w:hAnsi="Georgia" w:cs="Helvetica Neue"/>
          <w:b/>
          <w:bCs/>
          <w:color w:val="000000" w:themeColor="text1"/>
          <w:sz w:val="32"/>
          <w:szCs w:val="32"/>
          <w:lang w:val="en-GB"/>
        </w:rPr>
        <w:lastRenderedPageBreak/>
        <w:t>II. ABSTRACT PAGE</w:t>
      </w:r>
    </w:p>
    <w:p w14:paraId="2044182D" w14:textId="64280C95" w:rsidR="005E45D8" w:rsidRPr="006876A2" w:rsidRDefault="005E45D8" w:rsidP="005E45D8">
      <w:pPr>
        <w:spacing w:line="480" w:lineRule="auto"/>
        <w:jc w:val="both"/>
        <w:rPr>
          <w:rFonts w:ascii="Georgia" w:hAnsi="Georgia"/>
          <w:color w:val="000000" w:themeColor="text1"/>
          <w:lang w:val="en-GB"/>
        </w:rPr>
      </w:pPr>
      <w:r w:rsidRPr="00286ECD">
        <w:rPr>
          <w:rFonts w:ascii="Georgia" w:hAnsi="Georgia" w:cs="Helvetica Neue"/>
          <w:color w:val="000000" w:themeColor="text1"/>
          <w:lang w:val="en-GB"/>
        </w:rPr>
        <w:t>Diversity in life</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histories within species profoundly </w:t>
      </w:r>
      <w:r w:rsidR="00BA279F">
        <w:rPr>
          <w:rFonts w:ascii="Georgia" w:hAnsi="Georgia" w:cs="Helvetica Neue"/>
          <w:color w:val="000000" w:themeColor="text1"/>
          <w:lang w:val="en-GB"/>
        </w:rPr>
        <w:t>influences</w:t>
      </w:r>
      <w:r w:rsidRPr="00286ECD">
        <w:rPr>
          <w:rFonts w:ascii="Georgia" w:hAnsi="Georgia" w:cs="Helvetica Neue"/>
          <w:color w:val="000000" w:themeColor="text1"/>
          <w:lang w:val="en-GB"/>
        </w:rPr>
        <w:t xml:space="preserve"> biological interactions and resonate</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throughout food webs</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y</w:t>
      </w:r>
      <w:r w:rsidRPr="00286ECD">
        <w:rPr>
          <w:rFonts w:ascii="Georgia" w:hAnsi="Georgia" w:cs="Helvetica Neue"/>
          <w:color w:val="000000" w:themeColor="text1"/>
          <w:lang w:val="en-GB"/>
        </w:rPr>
        <w:t xml:space="preserve">et quantifying these intricate processes </w:t>
      </w:r>
      <w:r w:rsidR="00BA279F">
        <w:rPr>
          <w:rFonts w:ascii="Georgia" w:hAnsi="Georgia" w:cs="Helvetica Neue"/>
          <w:color w:val="000000" w:themeColor="text1"/>
          <w:lang w:val="en-GB"/>
        </w:rPr>
        <w:t>is</w:t>
      </w:r>
      <w:r w:rsidRPr="00286ECD">
        <w:rPr>
          <w:rFonts w:ascii="Georgia" w:hAnsi="Georgia" w:cs="Helvetica Neue"/>
          <w:color w:val="000000" w:themeColor="text1"/>
          <w:lang w:val="en-GB"/>
        </w:rPr>
        <w:t xml:space="preserve"> challeng</w:t>
      </w:r>
      <w:r>
        <w:rPr>
          <w:rFonts w:ascii="Georgia" w:hAnsi="Georgia" w:cs="Helvetica Neue"/>
          <w:color w:val="000000" w:themeColor="text1"/>
          <w:lang w:val="en-GB"/>
        </w:rPr>
        <w:t xml:space="preserve">ing. </w:t>
      </w:r>
      <w:r w:rsidRPr="00286ECD">
        <w:rPr>
          <w:rFonts w:ascii="Georgia" w:hAnsi="Georgia" w:cs="Helvetica Neue"/>
          <w:color w:val="000000" w:themeColor="text1"/>
          <w:lang w:val="en-GB"/>
        </w:rPr>
        <w:t xml:space="preserve">To </w:t>
      </w:r>
      <w:r>
        <w:rPr>
          <w:rFonts w:ascii="Georgia" w:hAnsi="Georgia" w:cs="Helvetica Neue"/>
          <w:color w:val="000000" w:themeColor="text1"/>
          <w:lang w:val="en-GB"/>
        </w:rPr>
        <w:t>explore</w:t>
      </w:r>
      <w:r w:rsidRPr="00286ECD">
        <w:rPr>
          <w:rFonts w:ascii="Georgia" w:hAnsi="Georgia" w:cs="Helvetica Neue"/>
          <w:color w:val="000000" w:themeColor="text1"/>
          <w:lang w:val="en-GB"/>
        </w:rPr>
        <w:t xml:space="preserve"> the </w:t>
      </w:r>
      <w:r>
        <w:rPr>
          <w:rFonts w:ascii="Georgia" w:hAnsi="Georgia" w:cs="Helvetica Neue"/>
          <w:color w:val="000000" w:themeColor="text1"/>
          <w:lang w:val="en-GB"/>
        </w:rPr>
        <w:t>impact</w:t>
      </w:r>
      <w:r w:rsidRPr="00286ECD">
        <w:rPr>
          <w:rFonts w:ascii="Georgia" w:hAnsi="Georgia" w:cs="Helvetica Neue"/>
          <w:color w:val="000000" w:themeColor="text1"/>
          <w:lang w:val="en-GB"/>
        </w:rPr>
        <w:t xml:space="preserve"> of intraspecific diversity on food web functioning, we applied</w:t>
      </w:r>
      <w:r w:rsidR="00BA279F">
        <w:rPr>
          <w:rFonts w:ascii="Georgia" w:hAnsi="Georgia" w:cs="Helvetica Neue"/>
          <w:color w:val="000000" w:themeColor="text1"/>
          <w:lang w:val="en-GB"/>
        </w:rPr>
        <w:t xml:space="preserve"> </w:t>
      </w:r>
      <w:r w:rsidRPr="00286ECD">
        <w:rPr>
          <w:rFonts w:ascii="Georgia" w:hAnsi="Georgia" w:cs="Helvetica Neue"/>
          <w:color w:val="000000" w:themeColor="text1"/>
          <w:lang w:val="en-GB"/>
        </w:rPr>
        <w:t>century-long observational data</w:t>
      </w:r>
      <w:r w:rsidR="00BA279F">
        <w:rPr>
          <w:rFonts w:ascii="Georgia" w:hAnsi="Georgia" w:cs="Helvetica Neue"/>
          <w:color w:val="000000" w:themeColor="text1"/>
          <w:lang w:val="en-GB"/>
        </w:rPr>
        <w:t>set</w:t>
      </w:r>
      <w:r w:rsidRPr="00286ECD">
        <w:rPr>
          <w:rFonts w:ascii="Georgia" w:hAnsi="Georgia" w:cs="Helvetica Neue"/>
          <w:color w:val="000000" w:themeColor="text1"/>
          <w:lang w:val="en-GB"/>
        </w:rPr>
        <w:t xml:space="preserve"> of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fish community in the coastal Skagerrak to </w:t>
      </w:r>
      <w:r>
        <w:rPr>
          <w:rFonts w:ascii="Georgia" w:hAnsi="Georgia" w:cs="Helvetica Neue"/>
          <w:color w:val="000000" w:themeColor="text1"/>
          <w:lang w:val="en-GB"/>
        </w:rPr>
        <w:t xml:space="preserve">an </w:t>
      </w:r>
      <w:r w:rsidRPr="00286ECD">
        <w:rPr>
          <w:rFonts w:ascii="Georgia" w:hAnsi="Georgia" w:cs="Helvetica Neue"/>
          <w:color w:val="000000" w:themeColor="text1"/>
          <w:lang w:val="en-GB"/>
        </w:rPr>
        <w:t xml:space="preserve">allometric trophic network model. </w:t>
      </w:r>
      <w:r w:rsidR="00BA279F">
        <w:rPr>
          <w:rFonts w:ascii="Georgia" w:hAnsi="Georgia"/>
          <w:color w:val="000000" w:themeColor="text1"/>
          <w:lang w:val="en-GB"/>
        </w:rPr>
        <w:t>Representing</w:t>
      </w:r>
      <w:r>
        <w:rPr>
          <w:rFonts w:ascii="Georgia" w:hAnsi="Georgia"/>
          <w:color w:val="000000" w:themeColor="text1"/>
          <w:lang w:val="en-GB"/>
        </w:rPr>
        <w:t xml:space="preserve"> </w:t>
      </w:r>
      <w:r w:rsidRPr="006876A2">
        <w:rPr>
          <w:rFonts w:ascii="Georgia" w:hAnsi="Georgia"/>
          <w:color w:val="000000" w:themeColor="text1"/>
          <w:lang w:val="en-GB"/>
        </w:rPr>
        <w:t xml:space="preserve">fish, zooplankton, and phytoplankton taxa as 148 </w:t>
      </w:r>
      <w:r>
        <w:rPr>
          <w:rFonts w:ascii="Georgia" w:hAnsi="Georgia"/>
          <w:color w:val="000000" w:themeColor="text1"/>
          <w:lang w:val="en-GB"/>
        </w:rPr>
        <w:t>guild</w:t>
      </w:r>
      <w:r w:rsidRPr="006876A2">
        <w:rPr>
          <w:rFonts w:ascii="Georgia" w:hAnsi="Georgia"/>
          <w:color w:val="000000" w:themeColor="text1"/>
          <w:lang w:val="en-GB"/>
        </w:rPr>
        <w:t>s interlink</w:t>
      </w:r>
      <w:r>
        <w:rPr>
          <w:rFonts w:ascii="Georgia" w:hAnsi="Georgia"/>
          <w:color w:val="000000" w:themeColor="text1"/>
          <w:lang w:val="en-GB"/>
        </w:rPr>
        <w:t>ed</w:t>
      </w:r>
      <w:r w:rsidRPr="006876A2">
        <w:rPr>
          <w:rFonts w:ascii="Georgia" w:hAnsi="Georgia"/>
          <w:color w:val="000000" w:themeColor="text1"/>
          <w:lang w:val="en-GB"/>
        </w:rPr>
        <w:t xml:space="preserve"> </w:t>
      </w:r>
      <w:r>
        <w:rPr>
          <w:rFonts w:ascii="Georgia" w:hAnsi="Georgia"/>
          <w:color w:val="000000" w:themeColor="text1"/>
          <w:lang w:val="en-GB"/>
        </w:rPr>
        <w:t>by</w:t>
      </w:r>
      <w:r w:rsidRPr="006876A2">
        <w:rPr>
          <w:rFonts w:ascii="Georgia" w:hAnsi="Georgia"/>
          <w:color w:val="000000" w:themeColor="text1"/>
          <w:lang w:val="en-GB"/>
        </w:rPr>
        <w:t xml:space="preserve"> 2054 feeding links</w:t>
      </w:r>
      <w:r>
        <w:rPr>
          <w:rFonts w:ascii="Georgia" w:hAnsi="Georgia"/>
          <w:color w:val="000000" w:themeColor="text1"/>
          <w:lang w:val="en-GB"/>
        </w:rPr>
        <w:t>,</w:t>
      </w:r>
      <w:r w:rsidRPr="006876A2">
        <w:rPr>
          <w:rFonts w:ascii="Georgia" w:hAnsi="Georgia"/>
          <w:color w:val="000000" w:themeColor="text1"/>
          <w:lang w:val="en-GB"/>
        </w:rPr>
        <w:t xml:space="preserve"> we constructed </w:t>
      </w:r>
      <w:r w:rsidR="00A02968">
        <w:rPr>
          <w:rFonts w:ascii="Georgia" w:hAnsi="Georgia"/>
          <w:color w:val="000000" w:themeColor="text1"/>
          <w:lang w:val="en-GB"/>
        </w:rPr>
        <w:t xml:space="preserve">the </w:t>
      </w:r>
      <w:r w:rsidRPr="006876A2">
        <w:rPr>
          <w:rFonts w:ascii="Georgia" w:hAnsi="Georgia"/>
          <w:color w:val="000000" w:themeColor="text1"/>
          <w:lang w:val="en-GB"/>
        </w:rPr>
        <w:t>Skagerrak food web and quantified the role</w:t>
      </w:r>
      <w:r>
        <w:rPr>
          <w:rFonts w:ascii="Georgia" w:hAnsi="Georgia"/>
          <w:color w:val="000000" w:themeColor="text1"/>
          <w:lang w:val="en-GB"/>
        </w:rPr>
        <w:t>s</w:t>
      </w:r>
      <w:r w:rsidRPr="006876A2">
        <w:rPr>
          <w:rFonts w:ascii="Georgia" w:hAnsi="Georgia"/>
          <w:color w:val="000000" w:themeColor="text1"/>
          <w:lang w:val="en-GB"/>
        </w:rPr>
        <w:t xml:space="preserve"> of </w:t>
      </w:r>
      <w:r w:rsidRPr="00286ECD">
        <w:rPr>
          <w:rFonts w:ascii="Georgia" w:hAnsi="Georgia" w:cs="Helvetica Neue"/>
          <w:color w:val="000000" w:themeColor="text1"/>
          <w:lang w:val="en-GB"/>
        </w:rPr>
        <w:t>two Atlantic cod (</w:t>
      </w:r>
      <w:r w:rsidRPr="00286ECD">
        <w:rPr>
          <w:rFonts w:ascii="Georgia" w:hAnsi="Georgia" w:cs="Helvetica Neue"/>
          <w:i/>
          <w:iCs/>
          <w:color w:val="000000" w:themeColor="text1"/>
          <w:lang w:val="en-GB"/>
        </w:rPr>
        <w:t xml:space="preserve">Gadus </w:t>
      </w:r>
      <w:proofErr w:type="spellStart"/>
      <w:r w:rsidRPr="00286ECD">
        <w:rPr>
          <w:rFonts w:ascii="Georgia" w:hAnsi="Georgia" w:cs="Helvetica Neue"/>
          <w:i/>
          <w:iCs/>
          <w:color w:val="000000" w:themeColor="text1"/>
          <w:lang w:val="en-GB"/>
        </w:rPr>
        <w:t>morhua</w:t>
      </w:r>
      <w:proofErr w:type="spellEnd"/>
      <w:r w:rsidRPr="00286ECD">
        <w:rPr>
          <w:rFonts w:ascii="Georgia" w:hAnsi="Georgia" w:cs="Helvetica Neue"/>
          <w:color w:val="000000" w:themeColor="text1"/>
          <w:lang w:val="en-GB"/>
        </w:rPr>
        <w:t>) ecotypes</w:t>
      </w:r>
      <w:r w:rsidRPr="006876A2">
        <w:rPr>
          <w:rFonts w:ascii="Georgia" w:hAnsi="Georgia"/>
          <w:color w:val="000000" w:themeColor="text1"/>
          <w:lang w:val="en-GB"/>
        </w:rPr>
        <w:t xml:space="preserve">. Our </w:t>
      </w:r>
      <w:r>
        <w:rPr>
          <w:rFonts w:ascii="Georgia" w:hAnsi="Georgia"/>
          <w:color w:val="000000" w:themeColor="text1"/>
          <w:lang w:val="en-GB"/>
        </w:rPr>
        <w:t>results</w:t>
      </w:r>
      <w:r w:rsidRPr="006876A2">
        <w:rPr>
          <w:rFonts w:ascii="Georgia" w:hAnsi="Georgia"/>
          <w:color w:val="000000" w:themeColor="text1"/>
          <w:lang w:val="en-GB"/>
        </w:rPr>
        <w:t xml:space="preserve"> revealed a compelling dynamic:</w:t>
      </w:r>
      <w:r>
        <w:rPr>
          <w:rFonts w:ascii="Georgia" w:hAnsi="Georgia"/>
          <w:color w:val="000000" w:themeColor="text1"/>
          <w:lang w:val="en-GB"/>
        </w:rPr>
        <w:t xml:space="preserve"> the </w:t>
      </w:r>
      <w:r w:rsidRPr="006876A2">
        <w:rPr>
          <w:rFonts w:ascii="Georgia" w:hAnsi="Georgia"/>
          <w:color w:val="000000" w:themeColor="text1"/>
          <w:lang w:val="en-GB"/>
        </w:rPr>
        <w:t xml:space="preserve">coastal </w:t>
      </w:r>
      <w:r>
        <w:rPr>
          <w:rFonts w:ascii="Georgia" w:hAnsi="Georgia"/>
          <w:color w:val="000000" w:themeColor="text1"/>
          <w:lang w:val="en-GB"/>
        </w:rPr>
        <w:t>Fjord cod ecotype</w:t>
      </w:r>
      <w:r w:rsidRPr="006876A2">
        <w:rPr>
          <w:rFonts w:ascii="Georgia" w:hAnsi="Georgia"/>
          <w:color w:val="000000" w:themeColor="text1"/>
          <w:lang w:val="en-GB"/>
        </w:rPr>
        <w:t xml:space="preserve"> </w:t>
      </w:r>
      <w:r>
        <w:rPr>
          <w:rFonts w:ascii="Georgia" w:hAnsi="Georgia"/>
          <w:color w:val="000000" w:themeColor="text1"/>
          <w:lang w:val="en-GB"/>
        </w:rPr>
        <w:t xml:space="preserve">had a </w:t>
      </w:r>
      <w:r w:rsidR="00BA279F">
        <w:rPr>
          <w:rFonts w:ascii="Georgia" w:hAnsi="Georgia"/>
          <w:color w:val="000000" w:themeColor="text1"/>
          <w:lang w:val="en-GB"/>
        </w:rPr>
        <w:t>pronounced</w:t>
      </w:r>
      <w:r>
        <w:rPr>
          <w:rFonts w:ascii="Georgia" w:hAnsi="Georgia"/>
          <w:color w:val="000000" w:themeColor="text1"/>
          <w:lang w:val="en-GB"/>
        </w:rPr>
        <w:t xml:space="preserve"> intraspecific influence on the </w:t>
      </w:r>
      <w:r w:rsidR="00BA279F">
        <w:rPr>
          <w:rFonts w:ascii="Georgia" w:hAnsi="Georgia"/>
          <w:color w:val="000000" w:themeColor="text1"/>
          <w:lang w:val="en-GB"/>
        </w:rPr>
        <w:t>biomass growth</w:t>
      </w:r>
      <w:r w:rsidR="00BA279F" w:rsidRPr="006876A2">
        <w:rPr>
          <w:rFonts w:ascii="Georgia" w:hAnsi="Georgia"/>
          <w:color w:val="000000" w:themeColor="text1"/>
          <w:lang w:val="en-GB"/>
        </w:rPr>
        <w:t xml:space="preserve"> </w:t>
      </w:r>
      <w:r w:rsidR="00BA279F">
        <w:rPr>
          <w:rFonts w:ascii="Georgia" w:hAnsi="Georgia"/>
          <w:color w:val="000000" w:themeColor="text1"/>
          <w:lang w:val="en-GB"/>
        </w:rPr>
        <w:t xml:space="preserve">of the </w:t>
      </w:r>
      <w:r w:rsidRPr="006876A2">
        <w:rPr>
          <w:rFonts w:ascii="Georgia" w:hAnsi="Georgia"/>
          <w:color w:val="000000" w:themeColor="text1"/>
          <w:lang w:val="en-GB"/>
        </w:rPr>
        <w:t xml:space="preserve">offshore </w:t>
      </w:r>
      <w:r>
        <w:rPr>
          <w:rFonts w:ascii="Georgia" w:hAnsi="Georgia"/>
          <w:color w:val="000000" w:themeColor="text1"/>
          <w:lang w:val="en-GB"/>
        </w:rPr>
        <w:t xml:space="preserve">North Sea cod ecotype, </w:t>
      </w:r>
      <w:r w:rsidR="00BA279F">
        <w:rPr>
          <w:rFonts w:ascii="Georgia" w:hAnsi="Georgia"/>
          <w:color w:val="000000" w:themeColor="text1"/>
          <w:lang w:val="en-GB"/>
        </w:rPr>
        <w:t>whereas</w:t>
      </w:r>
      <w:r>
        <w:rPr>
          <w:rFonts w:ascii="Georgia" w:hAnsi="Georgia"/>
          <w:color w:val="000000" w:themeColor="text1"/>
          <w:lang w:val="en-GB"/>
        </w:rPr>
        <w:t xml:space="preserve"> the North Sea cod ecotype exerted stronger interspecific top-down control on other fish species. T</w:t>
      </w:r>
      <w:r w:rsidRPr="006876A2">
        <w:rPr>
          <w:rFonts w:ascii="Georgia" w:hAnsi="Georgia"/>
          <w:color w:val="000000" w:themeColor="text1"/>
          <w:lang w:val="en-GB"/>
        </w:rPr>
        <w:t>he coexistence of the</w:t>
      </w:r>
      <w:r>
        <w:rPr>
          <w:rFonts w:ascii="Georgia" w:hAnsi="Georgia"/>
          <w:color w:val="000000" w:themeColor="text1"/>
          <w:lang w:val="en-GB"/>
        </w:rPr>
        <w:t>se</w:t>
      </w:r>
      <w:r w:rsidRPr="006876A2">
        <w:rPr>
          <w:rFonts w:ascii="Georgia" w:hAnsi="Georgia"/>
          <w:color w:val="000000" w:themeColor="text1"/>
          <w:lang w:val="en-GB"/>
        </w:rPr>
        <w:t xml:space="preserve"> ecotypes</w:t>
      </w:r>
      <w:r w:rsidR="00BA279F">
        <w:rPr>
          <w:rFonts w:ascii="Georgia" w:hAnsi="Georgia"/>
          <w:color w:val="000000" w:themeColor="text1"/>
          <w:lang w:val="en-GB"/>
        </w:rPr>
        <w:t xml:space="preserve"> enhanced</w:t>
      </w:r>
      <w:r>
        <w:rPr>
          <w:rFonts w:ascii="Georgia" w:hAnsi="Georgia"/>
          <w:color w:val="000000" w:themeColor="text1"/>
          <w:lang w:val="en-GB"/>
        </w:rPr>
        <w:t xml:space="preserve"> ecosystem robustness and connectivity</w:t>
      </w:r>
      <w:r w:rsidRPr="006876A2">
        <w:rPr>
          <w:rFonts w:ascii="Georgia" w:hAnsi="Georgia"/>
          <w:color w:val="000000" w:themeColor="text1"/>
          <w:lang w:val="en-GB"/>
        </w:rPr>
        <w:t xml:space="preserve">. These </w:t>
      </w:r>
      <w:r>
        <w:rPr>
          <w:rFonts w:ascii="Georgia" w:hAnsi="Georgia"/>
          <w:color w:val="000000" w:themeColor="text1"/>
          <w:lang w:val="en-GB"/>
        </w:rPr>
        <w:t>findings</w:t>
      </w:r>
      <w:r w:rsidRPr="006876A2">
        <w:rPr>
          <w:rFonts w:ascii="Georgia" w:hAnsi="Georgia"/>
          <w:color w:val="000000" w:themeColor="text1"/>
          <w:lang w:val="en-GB"/>
        </w:rPr>
        <w:t xml:space="preserve"> </w:t>
      </w:r>
      <w:r w:rsidR="00BA279F">
        <w:rPr>
          <w:rFonts w:ascii="Georgia" w:hAnsi="Georgia"/>
          <w:color w:val="000000" w:themeColor="text1"/>
          <w:lang w:val="en-GB"/>
        </w:rPr>
        <w:t>highlight</w:t>
      </w:r>
      <w:r>
        <w:rPr>
          <w:rFonts w:ascii="Georgia" w:hAnsi="Georgia"/>
          <w:color w:val="000000" w:themeColor="text1"/>
          <w:lang w:val="en-GB"/>
        </w:rPr>
        <w:t xml:space="preserve"> the critical importance of </w:t>
      </w:r>
      <w:r w:rsidR="00BA279F">
        <w:rPr>
          <w:rFonts w:ascii="Georgia" w:hAnsi="Georgia"/>
          <w:color w:val="000000" w:themeColor="text1"/>
          <w:lang w:val="en-GB"/>
        </w:rPr>
        <w:t>incorporating</w:t>
      </w:r>
      <w:r>
        <w:rPr>
          <w:rFonts w:ascii="Georgia" w:hAnsi="Georgia"/>
          <w:color w:val="000000" w:themeColor="text1"/>
          <w:lang w:val="en-GB"/>
        </w:rPr>
        <w:t xml:space="preserve"> intraspecific diversity into sustainable fisheries management practices</w:t>
      </w:r>
      <w:r w:rsidRPr="006876A2">
        <w:rPr>
          <w:rFonts w:ascii="Georgia" w:hAnsi="Georgia"/>
          <w:color w:val="000000" w:themeColor="text1"/>
          <w:lang w:val="en-GB"/>
        </w:rPr>
        <w:t xml:space="preserve">. </w:t>
      </w:r>
      <w:r w:rsidRPr="00286ECD">
        <w:rPr>
          <w:rFonts w:ascii="Georgia" w:hAnsi="Georgia" w:cs="Helvetica Neue"/>
          <w:b/>
          <w:bCs/>
          <w:color w:val="000000" w:themeColor="text1"/>
          <w:sz w:val="32"/>
          <w:szCs w:val="32"/>
          <w:lang w:val="en-GB"/>
        </w:rPr>
        <w:br w:type="page"/>
      </w:r>
    </w:p>
    <w:p w14:paraId="6F602F11" w14:textId="77777777" w:rsidR="005E45D8" w:rsidRPr="00286ECD" w:rsidRDefault="005E45D8" w:rsidP="005E45D8">
      <w:pPr>
        <w:spacing w:line="480" w:lineRule="auto"/>
        <w:rPr>
          <w:rFonts w:ascii="Georgia" w:hAnsi="Georgia" w:cs="Helvetica Neue"/>
          <w:b/>
          <w:bCs/>
          <w:color w:val="000000" w:themeColor="text1"/>
          <w:sz w:val="32"/>
          <w:szCs w:val="32"/>
          <w:lang w:val="en-GB"/>
        </w:rPr>
      </w:pPr>
      <w:r w:rsidRPr="00286ECD">
        <w:rPr>
          <w:rFonts w:ascii="Georgia" w:hAnsi="Georgia" w:cs="Helvetica Neue"/>
          <w:b/>
          <w:bCs/>
          <w:color w:val="000000" w:themeColor="text1"/>
          <w:sz w:val="32"/>
          <w:szCs w:val="32"/>
          <w:lang w:val="en-GB"/>
        </w:rPr>
        <w:lastRenderedPageBreak/>
        <w:t>III. MAIN TEXT</w:t>
      </w:r>
    </w:p>
    <w:p w14:paraId="57FA8C45" w14:textId="77777777" w:rsidR="005E45D8" w:rsidRPr="006876A2" w:rsidRDefault="005E45D8" w:rsidP="005E45D8">
      <w:pPr>
        <w:spacing w:line="480" w:lineRule="auto"/>
        <w:rPr>
          <w:rFonts w:ascii="Georgia" w:hAnsi="Georgia" w:cs="Apple Chancery"/>
          <w:color w:val="000000" w:themeColor="text1"/>
          <w:sz w:val="26"/>
          <w:szCs w:val="26"/>
          <w:lang w:val="en-GB"/>
        </w:rPr>
      </w:pPr>
      <w:r w:rsidRPr="00286ECD">
        <w:rPr>
          <w:rFonts w:ascii="Georgia" w:hAnsi="Georgia" w:cs="Helvetica Neue"/>
          <w:b/>
          <w:bCs/>
          <w:color w:val="000000" w:themeColor="text1"/>
          <w:sz w:val="32"/>
          <w:szCs w:val="32"/>
          <w:lang w:val="en-GB"/>
        </w:rPr>
        <w:t>INTRODUCTION</w:t>
      </w:r>
    </w:p>
    <w:p w14:paraId="41E41EE3"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 xml:space="preserve">Quantifying the impact a species has on the ecosystem is challenging due to the scarcity of comprehensive, long-term data on species occurrence and biological interactions, which are crucial for constructing representative ecosystem networks. Within biological communities, energy flows through myriad pathways or unique food chains, forming interconnected linkages that shape complex food webs. Consequently, alterations in energy transfer between interacting species, driven by specific eco-evolutionary mechanisms, can cause further variations in the frequency and efficiency of feeding interactions (Hermann &amp; Becks 2022; Coblentz &amp; DeLong 2020). These changes have a potential to propagate throughout the food web, challenging the organization of biological communities at the ecosystem scale. However, only data spanning a sufficiently long timeframe can fully capture such eco-evolutionary changes. </w:t>
      </w:r>
    </w:p>
    <w:p w14:paraId="6781D2EA" w14:textId="37693519"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 xml:space="preserve">In addition to diversity among species, intraspecific diversity, referring to variation within species, mediates alternative energy pathways of which influence on the ecosystem is not fully understood. Yet, several study systems highlight the profound effects of intraspecific diversity on ecosystem dynamics that can outweigh those of interspecific diversity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{"citationItems":[{"id":"ITEM-1","itemData":{"DOI":"10.1038/s41559-017-0402-5","ISSN":"2397334X","PMID":"29203921","abstract":"Human activity is causing wild populations to experience rapid trait change and local extirpation. The resulting effects on intraspecific variation could have substantial consequences for ecological processes and ecosystem services. Although researchers have long acknowledged that variation among species influences the surrounding environment, only recently has evidence accumulated for the ecological importance of variation within species. We conducted a meta-analysis comparing the ecological effects of variation within a species (intraspecific effects) with the effects of replacement or removal of that species (species effects). We evaluated direct and indirect ecological responses, including changes in abundance (or biomass), rates of ecological processes and changes in community composition. Our results show that intraspecific effects are often comparable to, and sometimes stronger than, species effects. Species effects tend to be larger for direct ecological responses (for example, through consumption), whereas intraspecific effects and species effects tend to be similar for indirect responses (for example, through trophic cascades). Intraspecific effects are especially strong when indirect interactions alter community composition. Our results summarize data from the first generation of studies examining the relative ecological effects of intraspecific variation. Our conclusions can help inform the design of future experiments and the formulation of strategies to quantify and conserve biodiversity.","author":[{"dropping-particle":"","family":"Roches","given":"Simone","non-dropping-particle":"Des","parse-names":false,"suffix":""},{"dropping-particle":"","family":"Post","given":"David M.","non-dropping-particle":"","parse-names":false,"suffix":""},{"dropping-particle":"","family":"Turley","given":"Nash E.","non-dropping-particle":"","parse-names":false,"suffix":""},{"dropping-particle":"","family":"Bailey","given":"Joseph K.","non-dropping-particle":"","parse-names":false,"suffix":""},{"dropping-particle":"","family":"Hendry","given":"Andrew P.","non-dropping-particle":"","parse-names":false,"suffix":""},{"dropping-particle":"","family":"Kinnison","given":"Michael T.","non-dropping-particle":"","parse-names":false,"suffix":""},{"dropping-particle":"","family":"Schweitzer","given":"Jennifer A.","non-dropping-particle":"","parse-names":false,"suffix":""},{"dropping-particle":"","family":"Palkovacs","given":"Eric P.","non-dropping-particle":"","parse-names":false,"suffix":""}],"container-title":"Nature Ecology and Evolution","id":"ITEM-1","issue":"1","issued":{"date-parts":[["2018"]]},"page":"57-64","publisher":"Springer US","title":"The ecological importance of intraspecific variation","type":"article-journal","volume":"2"},"uris":["http://www.mendeley.com/documents/?uuid=aaf34434-84fb-41ca-a586-37f40ec24c92"]}],"mendeley":{"formattedCitation":"(Des Roches et al., 2018)","plainTextFormattedCitation":"(Des Roches et al., 2018)","previouslyFormattedCitation":"(Des Roches et al., 2018)"},"properties":{"noteIndex":0},"schema":"https://github.com/citation-style-language/schema/raw/master/csl-citation.json"}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(Des Roches et al. 2018)</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These effects include alterations in community composition (Nicastro et al. 2020), the resilience of population demographic, and the magnitude of various ecological processes, such as decomposition rates in nutrient cycling (</w:t>
      </w:r>
      <w:proofErr w:type="spellStart"/>
      <w:r w:rsidRPr="00286ECD">
        <w:rPr>
          <w:rFonts w:ascii="Georgia" w:hAnsi="Georgia" w:cs="Helvetica Neue"/>
          <w:color w:val="000000" w:themeColor="text1"/>
          <w:lang w:val="en-GB"/>
        </w:rPr>
        <w:t>Bassar</w:t>
      </w:r>
      <w:proofErr w:type="spellEnd"/>
      <w:r w:rsidRPr="00286ECD">
        <w:rPr>
          <w:rFonts w:ascii="Georgia" w:hAnsi="Georgia" w:cs="Helvetica Neue"/>
          <w:color w:val="000000" w:themeColor="text1"/>
          <w:lang w:val="en-GB"/>
        </w:rPr>
        <w:t xml:space="preserve"> et al. 2010). Moreover, the unique eco-evolutionary potential within species can extend its influence across multiple trophic levels. Intraspecific genetic and phenotypic diversity within phytoplankton species can confer advantages for adaptation to wide fluctuations of environmental conditions, </w:t>
      </w:r>
      <w:r w:rsidRPr="00286ECD">
        <w:rPr>
          <w:rFonts w:ascii="Georgia" w:hAnsi="Georgia" w:cs="Helvetica Neue"/>
          <w:color w:val="000000" w:themeColor="text1"/>
          <w:lang w:val="en-GB"/>
        </w:rPr>
        <w:lastRenderedPageBreak/>
        <w:t xml:space="preserve">thereby extending bottom-up control on the food web through primary production and biogeochemical cycling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{"citationItems":[{"id":"ITEM-1","itemData":{"DOI":"10.1098/rstb.2016.0399","ISBN":"0000000329","ISSN":"14712970","PMID":"28717025","abstract":"Intraspecific variation in diatoms has been shown to play a key role in species’ responses to several important environmental factors such as light, salinity, temperature and nutrients. Furthermore, modelling efforts indicate that this variation within species extends bloom periods, and likely provides sufficient variability in competitive interactions between species under hydrographically variable conditions. The intraspecific variation most likely correspondsto optimal fitness in temporary microhabitats and may help to explain the paradox of the plankton. Here, we examine the implications of intraspecific variation for the ecology and success of diatoms in general and emphasize the potential implications for our understanding of carbon metabolism in these important organisms. Additionally, data from palaeoecological studies have the potential for evaluating genetic variation through past climate changes, going thousands of years back in time. We suggest pathways for future research including the adoption of multiple strains of individual species into studies of diatom carbon metabolism, to refine our understanding of the variation within and between species, and the inclusion of experimental evolution as a tool for understanding potential evolutionary responses of diatom carbon metabolism to climate change.","author":[{"dropping-particle":"","family":"Godhe","given":"Anna","non-dropping-particle":"","parse-names":false,"suffix":""},{"dropping-particle":"","family":"Rynearson","given":"Tatiana","non-dropping-particle":"","parse-names":false,"suffix":""}],"container-title":"Philosophical Transactions of the Royal Society B: Biological Sciences","id":"ITEM-1","issue":"1728","issued":{"date-parts":[["2017"]]},"title":"The role of intraspecific variation in the ecological and evolutionary success of diatoms in changing environments","type":"article-journal","volume":"372"},"uris":["http://www.mendeley.com/documents/?uuid=cb15240c-6e7f-4f1a-bd7e-9d47a74cc8c8"]}],"mendeley":{"formattedCitation":"(Godhe &amp; Rynearson, 2017)","plainTextFormattedCitation":"(Godhe &amp; Rynearson, 2017)","previouslyFormattedCitation":"(Godhe &amp; Rynearson, 2017)"},"properties":{"noteIndex":0},"schema":"https://github.com/citation-style-language/schema/raw/master/csl-citation.json"}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(Godhe &amp; Rynearson 2017)</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On the other hand, mesocosm experiments demonstrated that intraspecific trait variation at higher trophic levels can induce top-down cascade, as observed in </w:t>
      </w:r>
      <w:r w:rsidRPr="00286ECD">
        <w:rPr>
          <w:rFonts w:ascii="Georgia" w:hAnsi="Georgia" w:cs="Helvetica Neue"/>
          <w:i/>
          <w:iCs/>
          <w:color w:val="000000" w:themeColor="text1"/>
          <w:lang w:val="en-GB"/>
        </w:rPr>
        <w:t xml:space="preserve">Phoxinus </w:t>
      </w:r>
      <w:proofErr w:type="spellStart"/>
      <w:r w:rsidR="003B46B8">
        <w:rPr>
          <w:rFonts w:ascii="Georgia" w:hAnsi="Georgia" w:cs="Helvetica Neue"/>
          <w:i/>
          <w:iCs/>
          <w:color w:val="000000" w:themeColor="text1"/>
          <w:lang w:val="en-GB"/>
        </w:rPr>
        <w:t>Phoxinus</w:t>
      </w:r>
      <w:proofErr w:type="spellEnd"/>
      <w:r w:rsidR="003B46B8">
        <w:rPr>
          <w:rFonts w:ascii="Georgia" w:hAnsi="Georgia" w:cs="Helvetica Neue"/>
          <w:i/>
          <w:iCs/>
          <w:color w:val="000000" w:themeColor="text1"/>
          <w:lang w:val="en-GB"/>
        </w:rPr>
        <w:t xml:space="preserve">, </w:t>
      </w:r>
      <w:r w:rsidR="003B46B8" w:rsidRPr="00286ECD">
        <w:rPr>
          <w:rFonts w:ascii="Georgia" w:hAnsi="Georgia" w:cs="Helvetica Neue"/>
          <w:color w:val="000000" w:themeColor="text1"/>
          <w:lang w:val="en-GB"/>
        </w:rPr>
        <w:t xml:space="preserve">the Eurasian minnow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{"citationItems":[{"id":"ITEM-1","itemData":{"DOI":"10.1371/journal.pbio.3001145","ISBN":"1111111111","ISSN":"15457885","PMID":"33705375","abstract":"Loss in intraspecific diversity can alter ecosystem functions, but the underlying mechanisms are still elusive, and intraspecific biodiversity–ecosystem function (iBEF) relationships have been restrained to primary producers. Here, we manipulated genetic and functional richness of a fish consumer (Phoxinus phoxinus) to test whether iBEF relationships exist in consumer species and whether they are more likely sustained by genetic or functional richness. We found that both genotypic and functional richness affected ecosystem functioning, either independently or interactively. Loss in genotypic richness reduced benthic invertebrate diversity consistently across functional richness treatments, whereas it reduced zooplankton diversity only when functional richness was high. Finally, losses in genotypic and functional richness altered functions (decomposition) through trophic cascades. We concluded that iBEF relationships lead to substantial top-down effects on entire food chains. The loss of genotypic richness impacted ecological properties as much as the loss of functional richness, probably because it sustains “cryptic” functional diversity.","author":[{"dropping-particle":"","family":"Raffard","given":"Allan","non-dropping-particle":"","parse-names":false,"suffix":""},{"dropping-particle":"","family":"Cucherousset","given":"Julien","non-dropping-particle":"","parse-names":false,"suffix":""},{"dropping-particle":"","family":"Montoya","given":"José M.","non-dropping-particle":"","parse-names":false,"suffix":""},{"dropping-particle":"","family":"Richard","given":"Murielle","non-dropping-particle":"","parse-names":false,"suffix":""},{"dropping-particle":"","family":"Acoca-Pidolle","given":"Samson","non-dropping-particle":"","parse-names":false,"suffix":""},{"dropping-particle":"","family":"Poésy","given":"Camille","non-dropping-particle":"","parse-names":false,"suffix":""},{"dropping-particle":"","family":"Garreau","given":"Alexandre","non-dropping-particle":"","parse-names":false,"suffix":""},{"dropping-particle":"","family":"Santoul","given":"Frédéric","non-dropping-particle":"","parse-names":false,"suffix":""},{"dropping-particle":"","family":"Blanchet","given":"Simon","non-dropping-particle":"","parse-names":false,"suffix":""}],"container-title":"PLoS Biology","id":"ITEM-1","issue":"3","issued":{"date-parts":[["2021"]]},"page":"1-17","title":"Intraspecific diversity loss in a predator species alters prey community structure and ecosystem functions","type":"article-journal","volume":"19"},"uris":["http://www.mendeley.com/documents/?uuid=4429608c-b745-42c6-b3c0-6cfb4f93882d"]}],"mendeley":{"formattedCitation":"(Raffard et al., 2021)","plainTextFormattedCitation":"(Raffard et al., 2021)","previouslyFormattedCitation":"(Raffard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(Raffard et al.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and </w:t>
      </w:r>
      <w:proofErr w:type="spellStart"/>
      <w:r w:rsidRPr="00286ECD">
        <w:rPr>
          <w:rFonts w:ascii="Georgia" w:hAnsi="Georgia" w:cs="Helvetica Neue"/>
          <w:i/>
          <w:iCs/>
          <w:color w:val="000000" w:themeColor="text1"/>
          <w:lang w:val="en-GB"/>
        </w:rPr>
        <w:t>Gasterosteu</w:t>
      </w:r>
      <w:proofErr w:type="spellEnd"/>
      <w:r w:rsidRPr="00286ECD">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aculeattus</w:t>
      </w:r>
      <w:proofErr w:type="spellEnd"/>
      <w:r w:rsidR="003B46B8">
        <w:rPr>
          <w:rFonts w:ascii="Georgia" w:hAnsi="Georgia" w:cs="Helvetica Neue"/>
          <w:color w:val="000000" w:themeColor="text1"/>
          <w:lang w:val="en-GB"/>
        </w:rPr>
        <w:t xml:space="preserve">, </w:t>
      </w:r>
      <w:r w:rsidR="003B46B8" w:rsidRPr="00286ECD">
        <w:rPr>
          <w:rFonts w:ascii="Georgia" w:hAnsi="Georgia" w:cs="Helvetica Neue"/>
          <w:color w:val="000000" w:themeColor="text1"/>
          <w:lang w:val="en-GB"/>
        </w:rPr>
        <w:t>the three-spined stickleback</w:t>
      </w:r>
      <w:r w:rsidRPr="00286ECD">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{"citationItems":[{"id":"ITEM-1","itemData":{"DOI":"10.1371/journal.pone.0059644","ISSN":"19326203","PMID":"23573203","abstract":"Species' ecology and evolution can have strong effects on communities. Both may change concurrently when species colonize a new ecosystem. We know little, however, about the combined effects of ecological and evolutionary change on community structure. We simultaneously examined the effects of top-predator ecology and evolution on freshwater community parameters using recently evolved generalist and specialist ecotypes of three-spine stickleback (Gasterosteus aculeatus). We used a mesocosm experiment to directly examine the effects of ecological (fish presence and density) and evolutionary (phenotypic diversity and specialization) factors on community structure at lower trophic levels. We evaluated zooplankton biomass and composition, periphyton and phytoplankton chlorophyll-a concentration, and net primary production among treatments containing different densities and diversities of stickleback. Our results showed that both ecological and evolutionary differences in the top-predator affect different aspects of community structure and composition. Community structure, specifically the abundance of organisms at each trophic level, was affected by stickleback presence and density, whereas composition of zooplankton was influenced by stickleback diversity and specialization. Primary productivity, in terms of chlorophyll-a concentration and net primary production was affected by ecological but not evolutionary factors. Our results stress the importance of concurrently evaluating both changes in density and phenotypic diversity on the structure and composition of communities. © 2013 Des Roches et al.","author":[{"dropping-particle":"","family":"Roches","given":"Simone","non-dropping-particle":"Des","parse-names":false,"suffix":""},{"dropping-particle":"","family":"Shurin","given":"Jonathan B.","non-dropping-particle":"","parse-names":false,"suffix":""},{"dropping-particle":"","family":"Schluter","given":"Dolph","non-dropping-particle":"","parse-names":false,"suffix":""},{"dropping-particle":"","family":"Harmon","given":"Luke J.","non-dropping-particle":"","parse-names":false,"suffix":""}],"container-title":"PLoS ONE","id":"ITEM-1","issue":"4","issued":{"date-parts":[["2013"]]},"title":"Ecological and Evolutionary Effects of Stickleback on Community Structure","type":"article-journal","volume":"8"},"uris":["http://www.mendeley.com/documents/?uuid=b779270d-14b6-42a5-a49e-156736925df9"]}],"mendeley":{"formattedCitation":"(Des Roches et al., 2013)","plainTextFormattedCitation":"(Des Roches et al., 2013)","previouslyFormattedCitation":"(Des Roches et al., 2013)"},"properties":{"noteIndex":0},"schema":"https://github.com/citation-style-language/schema/raw/master/csl-citation.json"}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(Des Roches et al. 2013)</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While these experiments underscore the significant role of intraspecific diversity in shaping trophic interactions, its impact within a complex, dynamically changing food web remains to be quantified. </w:t>
      </w:r>
    </w:p>
    <w:p w14:paraId="7A853CC9" w14:textId="1A099BD8" w:rsidR="005E45D8" w:rsidRPr="00324BCA" w:rsidRDefault="005E45D8" w:rsidP="005E45D8">
      <w:pPr>
        <w:autoSpaceDE w:val="0"/>
        <w:autoSpaceDN w:val="0"/>
        <w:adjustRightInd w:val="0"/>
        <w:spacing w:line="480" w:lineRule="auto"/>
        <w:jc w:val="both"/>
        <w:rPr>
          <w:rFonts w:ascii="Georgia" w:hAnsi="Georgia" w:cs="Helvetica Neue"/>
          <w:color w:val="000000" w:themeColor="text1"/>
          <w:lang w:val="fi-FI"/>
        </w:rPr>
      </w:pPr>
      <w:r w:rsidRPr="00286ECD">
        <w:rPr>
          <w:rFonts w:ascii="Georgia" w:hAnsi="Georgia" w:cs="Helvetica Neue"/>
          <w:color w:val="000000" w:themeColor="text1"/>
          <w:lang w:val="en-GB"/>
        </w:rPr>
        <w:t xml:space="preserve">Here, we use </w:t>
      </w:r>
      <w:r w:rsidRPr="006876A2">
        <w:rPr>
          <w:rFonts w:ascii="Georgia" w:hAnsi="Georgia" w:cs="Helvetica"/>
          <w:color w:val="000000"/>
          <w:lang w:val="en-GB"/>
          <w14:ligatures w14:val="standardContextual"/>
        </w:rPr>
        <w:t>beach seine catch data</w:t>
      </w:r>
      <w:r w:rsidRPr="00286ECD">
        <w:rPr>
          <w:rFonts w:ascii="Georgia" w:hAnsi="Georgia" w:cs="Helvetica"/>
          <w:color w:val="000000"/>
          <w:lang w:val="en-GB"/>
          <w14:ligatures w14:val="standardContextual"/>
        </w:rPr>
        <w:t xml:space="preserve"> </w:t>
      </w:r>
      <w:r w:rsidRPr="006876A2">
        <w:rPr>
          <w:rFonts w:ascii="Georgia" w:hAnsi="Georgia" w:cs="Helvetica"/>
          <w:color w:val="000000"/>
          <w:lang w:val="en-GB"/>
          <w14:ligatures w14:val="standardContextual"/>
        </w:rPr>
        <w:t xml:space="preserve">collected </w:t>
      </w:r>
      <w:r w:rsidR="00F33907">
        <w:rPr>
          <w:rFonts w:ascii="Georgia" w:hAnsi="Georgia" w:cs="Helvetica"/>
          <w:color w:val="000000"/>
          <w:lang w:val="en-GB"/>
          <w14:ligatures w14:val="standardContextual"/>
        </w:rPr>
        <w:t>for over 100 years from</w:t>
      </w:r>
      <w:r w:rsidRPr="006876A2">
        <w:rPr>
          <w:rFonts w:ascii="Georgia" w:hAnsi="Georgia" w:cs="Helvetica"/>
          <w:color w:val="000000"/>
          <w:lang w:val="en-GB"/>
          <w14:ligatures w14:val="standardContextual"/>
        </w:rPr>
        <w:t xml:space="preserve"> the</w:t>
      </w:r>
      <w:r w:rsidRPr="00286ECD">
        <w:rPr>
          <w:rFonts w:ascii="Georgia" w:hAnsi="Georgia" w:cs="Helvetica"/>
          <w:color w:val="000000"/>
          <w:lang w:val="en-GB"/>
          <w14:ligatures w14:val="standardContextual"/>
        </w:rPr>
        <w:t xml:space="preserve"> </w:t>
      </w:r>
      <w:r w:rsidRPr="006876A2">
        <w:rPr>
          <w:rFonts w:ascii="Georgia" w:hAnsi="Georgia" w:cs="Helvetica"/>
          <w:color w:val="000000"/>
          <w:lang w:val="en-GB"/>
          <w14:ligatures w14:val="standardContextual"/>
        </w:rPr>
        <w:t xml:space="preserve">Norwegian </w:t>
      </w:r>
      <w:r w:rsidRPr="00286ECD">
        <w:rPr>
          <w:rFonts w:ascii="Georgia" w:hAnsi="Georgia" w:cs="Helvetica"/>
          <w:color w:val="000000"/>
          <w:lang w:val="en-GB"/>
          <w14:ligatures w14:val="standardContextual"/>
        </w:rPr>
        <w:t xml:space="preserve">coastal areas of Skagerrak </w:t>
      </w:r>
      <w:r w:rsidRPr="006876A2">
        <w:rPr>
          <w:rFonts w:ascii="Georgia" w:hAnsi="Georgia" w:cs="Helvetica"/>
          <w:color w:val="000000"/>
          <w:lang w:val="en-GB"/>
          <w14:ligatures w14:val="standardContextual"/>
        </w:rPr>
        <w:t>to parameterise the fish community within the marine food web</w:t>
      </w:r>
      <w:r w:rsidRPr="00286ECD">
        <w:rPr>
          <w:rFonts w:ascii="Georgia" w:hAnsi="Georgia" w:cs="Helvetica Neue"/>
          <w:color w:val="000000" w:themeColor="text1"/>
          <w:lang w:val="en-GB"/>
        </w:rPr>
        <w:t xml:space="preserve">. Our focus is specifically on </w:t>
      </w:r>
      <w:r w:rsidR="003B46B8" w:rsidRPr="00286ECD">
        <w:rPr>
          <w:rFonts w:ascii="Georgia" w:hAnsi="Georgia" w:cs="Helvetica Neue"/>
          <w:i/>
          <w:iCs/>
          <w:color w:val="000000" w:themeColor="text1"/>
          <w:lang w:val="en-GB"/>
        </w:rPr>
        <w:t xml:space="preserve">Gadus </w:t>
      </w:r>
      <w:proofErr w:type="spellStart"/>
      <w:r w:rsidR="003B46B8" w:rsidRPr="00286ECD">
        <w:rPr>
          <w:rFonts w:ascii="Georgia" w:hAnsi="Georgia" w:cs="Helvetica Neue"/>
          <w:i/>
          <w:iCs/>
          <w:color w:val="000000" w:themeColor="text1"/>
          <w:lang w:val="en-GB"/>
        </w:rPr>
        <w:t>morhua</w:t>
      </w:r>
      <w:proofErr w:type="spellEnd"/>
      <w:r w:rsidR="003B46B8" w:rsidRPr="00286ECD">
        <w:rPr>
          <w:rFonts w:ascii="Georgia" w:hAnsi="Georgia" w:cs="Helvetica Neue"/>
          <w:color w:val="000000" w:themeColor="text1"/>
          <w:lang w:val="en-GB"/>
        </w:rPr>
        <w:t xml:space="preserve"> </w:t>
      </w:r>
      <w:r w:rsidR="003B46B8">
        <w:rPr>
          <w:rFonts w:ascii="Georgia" w:hAnsi="Georgia" w:cs="Helvetica Neue"/>
          <w:color w:val="000000" w:themeColor="text1"/>
          <w:lang w:val="en-GB"/>
        </w:rPr>
        <w:t xml:space="preserve">(Atlantic cod) and its </w:t>
      </w:r>
      <w:r w:rsidRPr="00286ECD">
        <w:rPr>
          <w:rFonts w:ascii="Georgia" w:hAnsi="Georgia" w:cs="Helvetica Neue"/>
          <w:color w:val="000000" w:themeColor="text1"/>
          <w:lang w:val="en-GB"/>
        </w:rPr>
        <w:t xml:space="preserve">two ecotypes that coexist in the coastal Skagerrak. The larger oceanic North Sea cod ecotype typically migrates to the North Sea for spawning, while the smaller coastal Fjord cod ecotype prefers spawning within fjords along the coast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{"citationItems":[{"id":"ITEM-1","itemData":{"DOI":"10.3354/meps10944","ISSN":"16161599","abstract":"Knowing how population connectivity varies across heterogeneous habitats can provide insight into the mechanisms underlying population structuring, and ultimately help to inform conservation and management actions. We studied whether the spatial extent of connectivity in coastal Atlantic cod Gadus morhua varied with coastal topography, hypothesizing that connectivity during all life stages would be greater among open, exposed habitats compared to sheltered, fjord-like habitats. We tested this hypothesis using (1) an extensive mark-recapture data set to analyze movements of age 1+ cod along a gradient from inshore (sheltered) to offshore (exposed) habitats, and (2) an analysis of demographic dependence (recruitment synchrony) among exposed versus sheltered areas using a 93 yr spatially explicit time series of juvenile (age-0) abundance. We found that habitat did have a significant effect on both the scale of recruitment synchrony and movement distances, both of which were greater in exposed regions relative to sheltered. However, even in open habitats, tagged cod were highly sedentary, and connectivity among regions due to movement of age 1+ individuals was exceptionally low. Thus, despite likely differences among habitats in dispersal of egg and larval stages, older cod were highly site-attached regardless of habitat. These results highlight how physical habitat interacts with behavior to determine the scale of population structuring in marine fishes.","author":[{"dropping-particle":"","family":"Rogers","given":"Lauren A.","non-dropping-particle":"","parse-names":false,"suffix":""},{"dropping-particle":"","family":"Olsen","given":"Esben Moland","non-dropping-particle":"","parse-names":false,"suffix":""},{"dropping-particle":"","family":"Knutsen","given":"Halvor","non-dropping-particle":"","parse-names":false,"suffix":""},{"dropping-particle":"","family":"Stenseth","given":"Nils Chr","non-dropping-particle":"","parse-names":false,"suffix":""}],"container-title":"Marine Ecology Progress Series","id":"ITEM-1","issued":{"date-parts":[["2014"]]},"page":"153-163","title":"Habitat effects on population connectivity in a coastal seascape","type":"article-journal","volume":"511"},"uris":["http://www.mendeley.com/documents/?uuid=58fffb3f-e61c-4e27-bb91-5d675052a4eb"]}],"mendeley":{"formattedCitation":"(Rogers et al., 2014)","plainTextFormattedCitation":"(Rogers et al., 2014)","previouslyFormattedCitation":"(Rogers et al., 2014)"},"properties":{"noteIndex":0},"schema":"https://github.com/citation-style-language/schema/raw/master/csl-citation.json"}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(Rogers et al. 2014)</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These ecotypes differ in several biological characteristics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{"citationItems":[{"id":"ITEM-1","itemData":{"DOI":"10.1002/ece3.7939","ISSN":"20457758","abstract":"Coexistence of ecotypes, genetically divergent population units, is a widespread phenomenon, potentially affecting ecosystem functioning and local food web stability. In coastal Skagerrak, Atlantic cod (Gadus morhua) occur as two such coexisting ecotypes. We applied a combination of acoustic telemetry, genotyping, and stable isotope analysis to 72 individuals to investigate movement ecology and food niche of putative local “Fjord” and putative oceanic “North Sea” ecotypes—thus named based on previous molecular studies. Genotyping and individual origin assignment suggested 41 individuals were Fjord and 31 were North Sea ecotypes. Both ecotypes were found throughout the fjord. Seven percent of Fjord ecotype individuals left the study system during the study while 42% of North Sea individuals left, potentially homing to natal spawning grounds. Home range sizes were similar for the two ecotypes but highly variable among individuals. Fjord ecotype cod had significantly higher δ13C and δ15N stable isotope values than North Sea ecotype cod, suggesting they exploited different food niches. The results suggest coexisting ecotypes may possess innate differences in feeding and movement ecologies and may thus fill different functional roles in marine ecosystems. This highlights the importance of conserving interconnected populations to ensure stable ecosystem functioning and food web structures.","author":[{"dropping-particle":"","family":"Kristensen","given":"Martin Lykke","non-dropping-particle":"","parse-names":false,"suffix":""},{"dropping-particle":"","family":"Olsen","given":"Esben Moland","non-dropping-particle":"","parse-names":false,"suffix":""},{"dropping-particle":"","family":"Moland","given":"Even","non-dropping-particle":"","parse-names":false,"suffix":""},{"dropping-particle":"","family":"Knutsen","given":"Halvor","non-dropping-particle":"","parse-names":false,"suffix":""},{"dropping-particle":"","family":"Grønkjær","given":"Peter","non-dropping-particle":"","parse-names":false,"suffix":""},{"dropping-particle":"","family":"Koed","given":"Anders","non-dropping-particle":"","parse-names":false,"suffix":""},{"dropping-particle":"","family":"Källo","given":"Kristi","non-dropping-particle":"","parse-names":false,"suffix":""},{"dropping-particle":"","family":"Aarestrup","given":"Kim","non-dropping-particle":"","parse-names":false,"suffix":""}],"container-title":"Ecology and Evolution","id":"ITEM-1","issue":"16","issued":{"date-parts":[["2021"]]},"page":"11477-11490","title":"Disparate movement behavior and feeding ecology in sympatric ecotypes of Atlantic cod","type":"article-journal","volume":"11"},"uris":["http://www.mendeley.com/documents/?uuid=db0ec745-58b2-4fa1-a5e4-99ef4d589a7a"]},{"id":"ITEM-2","itemData":{"DOI":"10.1186/s13104-016-1878-9","ISSN":"17560500","PMID":"26843185","abstract":"Background: In marine fish species, where pelagic egg and larvae drift with ocean currents, population structure has been suggested to be maintained by larval retention due to hydrographic structuring and by homing of adult fish to natal areas. Whilst natal homing of adults has been demonstrated for anadromous and coral reef fishes, there are few documented examples of philopatric migration in temperate marine fish species. Results: Here, we demonstrate temporally stable genetic differentiation among spawning populations of Atlantic cod (Gadus morhua L.), and present genetic and behavioural evidence for larval drift and philopatric migration in the eastern North Sea-Skagerrak-Kattegat area. We show that juvenile cod collected in the eastern Skagerrak and central Kattegat are genetically similar to cod from offshore spawning areas in the eastern North Sea. Genetic assignment of individual 2-5 year old fish indicates that cod residing at, or migrating towards, spawning areas in Kattegat and the North Sea display philopatric behaviours. Conclusions: Together these findings suggest a loop between spawning, larval drift and adult return-migrations to spawning areas and underlines that both oceanographic processes and migratory behaviour in the adult phase may be important for stock separation and integrity in marine temperate fishes such as Atlantic cod.","author":[{"dropping-particle":"","family":"André","given":"Carl","non-dropping-particle":"","parse-names":false,"suffix":""},{"dropping-particle":"","family":"Svedäng","given":"Henrik","non-dropping-particle":"","parse-names":false,"suffix":""},{"dropping-particle":"","family":"Knutsen","given":"Halvor","non-dropping-particle":"","parse-names":false,"suffix":""},{"dropping-particle":"","family":"Dahle","given":"Geir","non-dropping-particle":"","parse-names":false,"suffix":""},{"dropping-particle":"","family":"Jonsson","given":"Patrik","non-dropping-particle":"","parse-names":false,"suffix":""},{"dropping-particle":"","family":"Ring","given":"Anna Karin","non-dropping-particle":"","parse-names":false,"suffix":""},{"dropping-particle":"","family":"Sköld","given":"Mattias","non-dropping-particle":"","parse-names":false,"suffix":""},{"dropping-particle":"","family":"Jorde","given":"Per Erik","non-dropping-particle":"","parse-names":false,"suffix":""}],"container-title":"BMC Research Notes","id":"ITEM-2","issue":"1","issued":{"date-parts":[["2016"]]},"page":"1-11","publisher":"BioMed Central","title":"Population structure in Atlantic cod in the eastern North Sea-Skagerrak-Kattegat: Early life stage dispersal and adult migration Ecology","type":"article-journal","volume":"9"},"uris":["http://www.mendeley.com/documents/?uuid=738ecd44-3511-44c6-86cf-fcb6ee18da23"]},{"id":"ITEM-3","itemData":{"DOI":"10.1111/eva.12640","ISSN":"17524571","abstract":"Coexistence in the same habitat of closely related yet genetically different populations is a phenomenon that challenges our understanding of local population structure and adaptation. Identifying the underlying mechanisms for such coexistence can yield new insight into adaptive evolution, diversification, and the potential for organisms to adapt and persist in response to a changing environment. Recent studies have documented cryptic, sympatric populations of Atlantic cod (Gadus morhua) in coastal areas. We analyzed genetic origin of 6483 individual cod sampled annually over 14 years from 125 locations along the Norwegian Skagerrak coast and document stable coexistence of two genetically divergent Atlantic cod ecotypes throughout the study area and study period. A ‘fjord’ ecotype dominated in numbers deep inside fjords while a ‘North Sea’ ecotype was the only type found in offshore North Sea. Both ecotypes coexisted in similar proportions throughout coastal habitats at all spatial scales. The size</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at</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age of the North Sea ecotype on average exceeded that of the fjord ecotype by 20% in length and 80% in weight across all habitats. Different growth and size among individuals of the two types might be one of several ecologically significant variables that allow for stable coexistence of closely related populations within the same habitat. Management plans, biodiversity initiatives, and other mitigation strategies that do not account for the mixture of species ecotypes are unlikely to meet objectives related to the sustainability of fish and fisheries.","author":[{"dropping-particle":"","family":"Knutsen","given":"Halvor","non-dropping-particle":"","parse-names":false,"suffix":""},{"dropping-particle":"","family":"Jorde","given":"Per Erik","non-dropping-particle":"","parse-names":false,"suffix":""},{"dropping-particle":"","family":"Hutchings","given":"Jeffrey A.","non-dropping-particle":"","parse-names":false,"suffix":""},{"dropping-particle":"","family":"Hemmer-Hansen","given":"Jakob","non-dropping-particle":"","parse-names":false,"suffix":""},{"dropping-particle":"","family":"Grønkjær","given":"Peter","non-dropping-particle":"","parse-names":false,"suffix":""},{"dropping-particle":"","family":"Jørgensen","given":"Kris Emil Mose","non-dropping-particle":"","parse-names":false,"suffix":""},{"dropping-particle":"","family":"André","given":"Carl","non-dropping-particle":"","parse-names":false,"suffix":""},{"dropping-particle":"","family":"Sodeland","given":"Marte","non-dropping-particle":"","parse-names":false,"suffix":""},{"dropping-particle":"","family":"Albretsen","given":"Jon","non-dropping-particle":"","parse-names":false,"suffix":""},{"dropping-particle":"","family":"Olsen","given":"Esben M.","non-dropping-particle":"","parse-names":false,"suffix":""}],"container-title":"Evolutionary Applications","id":"ITEM-3","issue":"9","issued":{"date-parts":[["2018"]]},"page":"1527-1539","title":"Stable coexistence of genetically divergent Atlantic cod ecotypes at multiple spatial scales","type":"article-journal","volume":"11"},"uris":["http://www.mendeley.com/documents/?uuid=86c44fcc-bf08-4dd5-b635-e4af97fd296e"]},{"id":"ITEM-4","itemData":{"DOI":"10.1073/pnas.2114904119","ISSN":"10916490","PMID":"35165196","abstract":"Life on Earth has been characterized by recurring cycles of ecological stasis and disruption, relating biological eras to geological and climatic transitions through the history of our planet. Due to the increasing degree of ecological abruption caused by human influences many advocate that we now have entered the geological era of the Anthropocene, or “the age of man.” Considering the ongoing mass extinction and ecosystem reshuffling observed worldwide, a better understanding of the drivers of ecological stasis will be a requisite for identifying routes of intervention and mitigation. Ecosystem stability may rely on one or a few keystone species, and the loss of such species could potentially have detrimental effects. The Atlantic cod (Gadus morhua) has historically been highly abundant and is considered a keystone species in ecosystems of the northern Atlantic Ocean. Collapses of cod stocks have been observed on both sides of the Atlantic and reported to have detrimental effects that include vast ecosystem reshuffling. By whole-genome resequencing we demonstrate that stabilizing selection maintains three extensive “supergenes” in Atlantic cod, linking these genes to species persistence and ecological stasis. Genomic inference of historic effective population sizes shows continued declines for cod in the North Sea-Skagerrak-Kattegat system through the past millennia, consistent with an early onset of the marine Anthropocene through industrialization and commercialization of fisheries throughout the medieval period.","author":[{"dropping-particle":"","family":"Sodeland","given":"Marte","non-dropping-particle":"","parse-names":false,"suffix":""},{"dropping-particle":"","family":"Jentoft","given":"Sissel","non-dropping-particle":"","parse-names":false,"suffix":""},{"dropping-particle":"","family":"Jorde","given":"Per Erik","non-dropping-particle":"","parse-names":false,"suffix":""},{"dropping-particle":"","family":"Mattingsdal","given":"Morten","non-dropping-particle":"","parse-names":false,"suffix":""},{"dropping-particle":"","family":"Albretsen","given":"Jon","non-dropping-particle":"","parse-names":false,"suffix":""},{"dropping-particle":"","family":"Kleiven","given":"Alf Ring","non-dropping-particle":"","parse-names":false,"suffix":""},{"dropping-particle":"","family":"Synnes","given":"Ann Elin Warøy","non-dropping-particle":"","parse-names":false,"suffix":""},{"dropping-particle":"","family":"Espeland","given":"Sigurd Heiberg","non-dropping-particle":"","parse-names":false,"suffix":""},{"dropping-particle":"","family":"Olsen","given":"Esben Moland","non-dropping-particle":"","parse-names":false,"suffix":""},{"dropping-particle":"","family":"Andrè","given":"Carl","non-dropping-particle":"","parse-names":false,"suffix":""},{"dropping-particle":"","family":"Stenseth","given":"Nils Chr","non-dropping-particle":"","parse-names":false,"suffix":""},{"dropping-particle":"","family":"Knutsen","given":"Halvor","non-dropping-particle":"","parse-names":false,"suffix":""}],"container-title":"Proceedings of the National Academy of Sciences of the United States of America","id":"ITEM-4","issue":"8","issued":{"date-parts":[["2022"]]},"title":"Stabilizing selection on Atlantic cod supergenes through a millennium of extensive exploitation","type":"article-journal","volume":"119"},"uris":["http://www.mendeley.com/documents/?uuid=51645eb8-8b67-491e-9ce9-09edc5bdd0cc"]}],"mendeley":{"formattedCitation":"(André et al., 2016; Knutsen et al., 2018; Kristensen et al., 2021; Sodeland et al., 2022)","plainTextFormattedCitation":"(André et al., 2016; Knutsen et al., 2018; Kristensen et al., 2021; Sodeland et al., 2022)","previouslyFormattedCitation":"(André et al., 2016; Knutsen et al., 2018; Kristensen et al., 2021; Sodeland et al., 2022)"},"properties":{"noteIndex":0},"schema":"https://github.com/citation-style-language/schema/raw/master/csl-citation.json"}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 xml:space="preserve">(Sodeland et al. 2022; </w:t>
      </w:r>
      <w:r w:rsidR="003B46B8" w:rsidRPr="00286ECD">
        <w:rPr>
          <w:rFonts w:ascii="Georgia" w:hAnsi="Georgia" w:cs="Helvetica Neue"/>
          <w:noProof/>
          <w:color w:val="000000" w:themeColor="text1"/>
          <w:lang w:val="en-GB"/>
        </w:rPr>
        <w:t>Kristensen et al. 2021;</w:t>
      </w:r>
      <w:r w:rsidR="003B46B8">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Knutsen et al. 2018; André et al. 2016)</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with perhaps the most </w:t>
      </w:r>
      <w:r w:rsidRPr="00286ECD">
        <w:rPr>
          <w:rFonts w:ascii="Calibri" w:hAnsi="Calibri" w:cs="Calibri"/>
          <w:color w:val="000000" w:themeColor="text1"/>
          <w:lang w:val="en-GB"/>
        </w:rPr>
        <w:t>﻿</w:t>
      </w:r>
      <w:r w:rsidR="003B46B8">
        <w:rPr>
          <w:rFonts w:ascii="Georgia" w:hAnsi="Georgia" w:cs="Helvetica Neue"/>
          <w:color w:val="000000" w:themeColor="text1"/>
          <w:lang w:val="en-GB"/>
        </w:rPr>
        <w:t>observable</w:t>
      </w:r>
      <w:r w:rsidRPr="00286ECD">
        <w:rPr>
          <w:rFonts w:ascii="Georgia" w:hAnsi="Georgia" w:cs="Helvetica Neue"/>
          <w:color w:val="000000" w:themeColor="text1"/>
          <w:lang w:val="en-GB"/>
        </w:rPr>
        <w:t xml:space="preserve"> distinction being their body size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{"citationItems":[{"id":"ITEM-1","itemData":{"DOI":"10.1093/icesjms/fsv181","ISSN":"10959289","abstract":"A basic challenge to successful management and conflict resolution is to correctly identify the spatial scale at which strategies for harvesting are developed. For commercially exploited marine fish, distributional boundaries of many stocks are based on the premise that productivity is similar at spatial scales that represent a small fraction of an individual's potential migration distance. Within such confined geographic regions, differences among individual life history traits - primary determinants of population productivity - are assumed to be negligible. The empirical basis for these assumptions bears re-examination for some widely distributed species, such as Atlantic cod (Gadus morhua L.), for which there is evidence that life history structuring is evident at much finer scales than previously thought. Here, we focus on a unique system in the Norwegian Skagerrak, divided into inner and outer fjord habitats between which cod movement across distances of a few kilometres is limited and populations show signals of genetic differentiation. Based on back-calculated length-at-age data, cod in the inner fjord are systematically smaller at young ages (1-5 years) and are characterized by shorter asymptotic body lengths than cod in the outer fjord. Our work on growth and life history supports genetic analyses which indicate that productivity and resilience of widely distributed marine fish are likely to differ at considerably smaller spatial scales than those delineated by traditional stock management boundaries.","author":[{"dropping-particle":"","family":"Kuparinen","given":"Anna","non-dropping-particle":"","parse-names":false,"suffix":""},{"dropping-particle":"","family":"Roney","given":"Nancy E.","non-dropping-particle":"","parse-names":false,"suffix":""},{"dropping-particle":"","family":"Oomen","given":"Rebekah A.","non-dropping-particle":"","parse-names":false,"suffix":""},{"dropping-particle":"","family":"Hutchings","given":"Jeffrey A.","non-dropping-particle":"","parse-names":false,"suffix":""},{"dropping-particle":"","family":"Olsen","given":"Esben M.","non-dropping-particle":"","parse-names":false,"suffix":""}],"container-title":"ICES Journal of Marine Science","id":"ITEM-1","issue":"2","issued":{"date-parts":[["2016"]]},"page":"286-292","title":"Small-scale life history variability suggests potential for spatial mismatches in Atlantic cod management units","type":"article-journal","volume":"73"},"uris":["http://www.mendeley.com/documents/?uuid=b1465f3f-17bf-4fc8-970a-e8582dc208ff"]}],"mendeley":{"formattedCitation":"(Kuparinen, Roney, et al., 2016)","plainTextFormattedCitation":"(Kuparinen, Roney, et al., 2016)","previouslyFormattedCitation":"(Kuparinen, Roney, et al., 2016)"},"properties":{"noteIndex":0},"schema":"https://github.com/citation-style-language/schema/raw/master/csl-citation.json"}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(Kuparinen et al. 2016a)</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a trait related to feeding interactions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{"citationItems":[{"id":"ITEM-1","itemData":{"DOI":"10.1111/brv.12468","ISSN":"1469185X","PMID":"30251433","abstract":"Ontogenetic dietary shifts (ODSs), the changes in diet utilisation occurring over the life span of an individual consumer, are widespread in the animal kingdom. Understanding ODSs provides fundamental insights into the biological and ecological processes that function at the individual, population and community levels, and is critical for the development and testing of hypotheses around key concepts in trophic theory on model organisms. Here, we synthesise historic and contemporary research on ODSs in fishes, and identify where further research is required. Numerous biotic and abiotic factors can directly or indirectly influence ODSs, but the most influential of these may vary spatially, temporally and interspecifically. Within the constraints imposed by prey availability, we identified competition and predation risk as the major drivers of ODSs in fishes. These drivers do not directly affect the trophic ontogeny of fishes, but may have an indirect effect on diet trajectories through ontogenetic changes in habitat use and concomitant changes in prey availability. The synthesis provides compelling evidence that ODSs can have profound ecological consequences for fish by, for example, enhancing individual growth and lifetime reproductive output or reducing the risk of mortality. ODSs may also influence food-web dynamics and facilitate the coexistence of sympatric species through resource partitioning, but we currently lack a holistic understanding of the consequences of ODSs for population, community and ecosystem processes and functioning. Studies attempting to address these knowledge gaps have largely focused on theoretical approaches, but empirical research under natural conditions, including phylogenetic and evolutionary considerations, is required to test the concepts. Research focusing on inter-individual variation in ontogenetic trajectories has also been limited, with the complex relationships between individual behaviour and environmental heterogeneity representing a particularly promising area for future research.","author":[{"dropping-particle":"","family":"Sánchez-Hernández","given":"Javier","non-dropping-particle":"","parse-names":false,"suffix":""},{"dropping-particle":"","family":"Nunn","given":"Andy D.","non-dropping-particle":"","parse-names":false,"suffix":""},{"dropping-particle":"","family":"Adams","given":"Colin E.","non-dropping-particle":"","parse-names":false,"suffix":""},{"dropping-particle":"","family":"Amundsen","given":"Per Arne","non-dropping-particle":"","parse-names":false,"suffix":""}],"container-title":"Biological Reviews","id":"ITEM-1","issue":"2","issued":{"date-parts":[["2019"]]},"page":"539-554","title":"Causes and consequences of ontogenetic dietary shifts: a global synthesis using fish models","type":"article-journal","volume":"94"},"uris":["http://www.mendeley.com/documents/?uuid=4be145f7-7be8-4129-894c-4bc7f57dcced"]}],"mendeley":{"formattedCitation":"(Sánchez-Hernández et al., 2019)","plainTextFormattedCitation":"(Sánchez-Hernández et al., 2019)","previouslyFormattedCitation":"(Sánchez-Hernández et al., 2019)"},"properties":{"noteIndex":0},"schema":"https://github.com/citation-style-language/schema/raw/master/csl-citation.json"}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(Sánchez-Hernández et al. 2019; Moya-Laraño 2011)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Hence, we explore the impact of intraspecific variation on a food web by applying the Allometric Trophic Network (ATN) model, which is built on allometric scaling rules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{"citationItems":[{"id":"ITEM-1","itemData":{"DOI":"10.1111/j.1461-0248.2006.00978.x","ISSN":"1461023X","PMID":"17040325","abstract":"Classic local stability theory predicts that complex ecological networks are unstable and are unlikely to persist despite empiricists' abundant documentation of such complexity in nature. This contradiction has puzzled biologists for decades. While some have explored how stability may be achieved in small modules of a few interacting species, rigorous demonstrations of how large complex and ecologically realistic networks dynamically persist remain scarce and inadequately understood. Here, we help fill this void by combining structural models of complex food webs with nonlinear bioenergetic models of population dynamics parameterized by biological rates that are allometrically scaled to populations' average body masses. Increasing predator-prey body mass ratios increase population persistence up to a saturation level that is reached by invertebrate and ectotherm vertebrate predators when being 10 or 100 times larger than their prey respectively. These values are corroborated by empirical predator-prey body mass ratios from a global data base. Moreover, negative effects of diversity (i.e. species richness) on stability (i.e. population persistence) become neutral or positive relationships at these empirical ratios. These results demonstrate that the predator-prey body mass ratios found in nature may be key to enabling persistence of populations in complex food webs and stabilizing the diversity of natural ecosystems. © 2006 Blackwell Publishing Ltd/CNRS.","author":[{"dropping-particle":"","family":"Brose","given":"Ulrich","non-dropping-particle":"","parse-names":false,"suffix":""},{"dropping-particle":"","family":"Williams","given":"Richard J.","non-dropping-particle":"","parse-names":false,"suffix":""},{"dropping-particle":"","family":"Martinez","given":"Neo D.","non-dropping-particle":"","parse-names":false,"suffix":""}],"container-title":"Ecology Letters","id":"ITEM-1","issue":"11","issued":{"date-parts":[["2006"]]},"page":"1228-1236","title":"Allometric scaling enhances stability in complex food webs","type":"article-journal","volume":"9"},"uris":["http://www.mendeley.com/documents/?uuid=3ac7a40c-b7ab-4115-b698-a4dccc59f215"]},{"id":"ITEM-2","itemData":{"DOI":"10.1140/epjb/e2004-00122-1","ISSN":"14346028","abstract":"Several decades of dynamical analyses of food-web networks have led to important insights into the effects of complexity, omnivory and interaction strength on food-web stability. Several recent insights are based on nonlinear bioenergetic consumer-resource models that display chaotic behavior in three species food chains which can be stabilized by omnivory and weak interaction of a fourth species. We slightly relax feeding on low-density prey in these models by modifying standard food-web interactions known as \"type II\" functional responses. This change drastically alters the dynamics of realistic systems containing up to ten species. Our modification stabilizes chaotic dynamics in three species systems and reduces or eliminates extinctions and non-persistent chaos in ten species systems. This increased stability allows analysis of systems with greater biodiversity than in earlier work and suggests that dynamic stability is not as severe a constraint on the structure of large food webs as previously thought. The sensitivity of dynamical models to small changes in the predator-prey functional response well within the range of what is empirically observed suggests that functional response is a crucial aspect of species interactions that must be more precisely addressed in empirical studies.","author":[{"dropping-particle":"","family":"Williams","given":"R. J.","non-dropping-particle":"","parse-names":false,"suffix":""},{"dropping-particle":"","family":"Martinez","given":"N. D.","non-dropping-particle":"","parse-names":false,"suffix":""}],"container-title":"European Physical Journal B","id":"ITEM-2","issue":"2","issued":{"date-parts":[["2004"]]},"page":"297-303","title":"Stabilization of chaotic and non-permanent food-web dynamics","type":"article-journal","volume":"38"},"uris":["http://www.mendeley.com/documents/?uuid=8da4ad81-9681-4755-b590-02f6b433cd19"]},{"id":"ITEM-3","itemData":{"abstract":"\"Plausible\" consumer-resource models, based on energetic reasoning and allometric empiricism, are formulated and their dynamics investigated. Most of the parameters in these models are determined by the body sizes and metabolic categories (endotherm, vertebrate ecto- therm, invertebrate ectotherm, or plant) of the populations in question. The remaining parame- ters have clear biological meanings. The intent of these models is to provide maximum realism from minimum data when needed because of constraints of time or of resources for empirical research. The models also demonstrate the influence of physiological power and body size on consumer-resource dynamics. For a given metabolic type, we define ecological scope as the ratio of maximal ingestion rate to respiration rate. Invertebrate ectotherms have greater ecologi- cal scope than do vertebrate ectotherms, which have greater scope than do endotherms. Greater ecological scope implies ability to subsist on scarcer resources and a tendency to more stable dynamics. Changes in dynamics associated with increased resource carrying capacity K (the \"paradox of enrichment\") are investigated. Robust limit cycles (sustained oscillations) require a Type III functional response, but even in this case the cycles quickly \"implode\" (with respect to changes in K) to extremely small densities if the resource-consumer body mass ratio is too high. Estimates are given for resource-consumer body mass ratios that permit robust limit cycles, and some pertinent data are discussed. An analytic expression for the periods of limit cycles is derived. In terms of body mass, the periods scale as (consumer body mass)\"l8 (resource body mass).","author":[{"dropping-particle":"","family":"Yodzis","given":"P.","non-dropping-particle":"","parse-names":false,"suffix":""},{"dropping-particle":"","family":"Innes","given":"S.","non-dropping-particle":"","parse-names":false,"suffix":""}],"id":"ITEM-3","issue":"6","issued":{"date-parts":[["1992"]]},"page":"1151-1175","title":"Body Size and Consumer-Resource Dynamics","type":"article-journal","volume":"139"},"uris":["http://www.mendeley.com/documents/?uuid=4be3f7d9-850f-4a92-afa0-c2bf54be8318"]}],"mendeley":{"formattedCitation":"(Brose et al., 2006; Williams &amp; Martinez, 2004; Yodzis &amp; Innes, 1992)","plainTextFormattedCitation":"(Brose et al., 2006; Williams &amp; Martinez, 2004; Yodzis &amp; Innes, 1992)","previouslyFormattedCitation":"(Brose et al., 2006; Williams &amp; Martinez, 2004; Yodzis &amp; Innes, 1992)"},"properties":{"noteIndex":0},"schema":"https://github.com/citation-style-language/schema/raw/master/csl-citation.json"}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(Brose et al. 2006; Williams &amp; Martinez 2004; Yodzis &amp; Innes 1992)</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and has been applied to both empirical and theoretical aquatic systems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 xml:space="preserve">ADDIN CSL_CITATION {"citationItems":[{"id":"ITEM-1","itemData":{"DOI":"10.1139/cjfas-2021-0146","ISSN":"0706-652X","abstract":"Trophic cascade studies often rely on linear food chains instead of complex food webs and are typically measured as biomass averages, not as biomass variation. We study trophic cascades propagating across a complex food web including a measure of biomass variation in addition to biomass average. We examined whether different fishing strategies induce trophic cascades and whether the cascades differ from each other. We utilized an allometric trophic network (ATN) model to mechanistically study fishing-induced changes in food web dynamics. Different fishing strategies did not trigger traditional, reciprocal trophic cascades, as measured in biomass averages. Instead, fishing triggered a variation cascade that propagated across the food web, including fish, zooplankton and phytoplankton species. In fisheries that removed a large amount of top-predatory and cannibalistic fish, the biomass oscillations started to decrease after fishing was started. In fisheries that mainly targeted large planktivorous fish, the biomass oscillations did not dampen but slightly increased over time. Removing species with specific ecological functions might alter the food web dynamics and potentially affect the ecological resilience of aquatic ecosystems.","author":[{"dropping-particle":"","family":"Uusi-Heikkilä","given":"Silva","non-dropping-particle":"","parse-names":false,"suffix":""},{"dropping-particle":"","family":"Perälä","given":"Tommi","non-dropping-particle":"","parse-names":false,"suffix":""},{"dropping-particle":"","family":"Kuparinen","given":"Anna","non-dropping-particle":"","parse-names":false,"suffix":""}],"container-title":"Canadian Journal of Fisheries and Aquatic Sciences","id":"ITEM-1","issue":"6","issued":{"date-parts":[["2022"]]},"page":"947-957","title":"Fishing triggers trophic cascade in terms of variation, not abundance, in an allometric trophic network model","type":"article-journal","volume":"79"},"uris":["http://www.mendeley.com/documents/?uuid=b21fa0b7-7f41-4f6d-bf07-5fdbd0ecd0ac"]},{"id":"ITEM-2","itemData":{"DOI":"10.1111/eva.13058","ISSN":"17524571","abstract":"Evidence of contemporary evolution across ecological time scales stimulated research on the eco-evolutionary dynamics of natural populations. Aquatic systems provide a good setting to study eco-evolutionary dynamics owing to a wealth of long-term monitoring data and the detected trends in fish life-history traits across intensively harvested marine and freshwater systems. In the present study, we focus on modelling approaches to simulate eco-evolutionary dynamics of fishes and their ecosystems. Firstly, we review the development of modelling from single species to multispecies approaches. Secondly, we advance the current state-of-the-art methodology by implementing evolution of life-history traits of a top predator into the context of complex food web dynamics as described by the allometric trophic network (ATN) framework. The functioning of </w:instrText>
      </w:r>
      <w:r w:rsidRPr="00286ECD">
        <w:rPr>
          <w:rFonts w:ascii="Georgia" w:hAnsi="Georgia" w:cs="Helvetica Neue"/>
          <w:color w:val="000000" w:themeColor="text1"/>
          <w:lang w:val="fi-FI"/>
        </w:rPr>
        <w:instrText>our newly developed eco-evolutionary ATNE framework is illustrated using a well-studied lake food web. Our simulations show how both natural selection arising from feeding interactions and size-selective fishing cause evolutionary changes in the top predator and how those feed back to its prey species and further cascade down to lower trophic levels. Finally, we discuss future directions, particularly the need to integrate genomic discoveries into eco-evolutionary projections.","author":[{"dropping-particle":"","family":"Perälä","given":"Tommi","non-dropping-particle":"","parse-names":false,"suffix":""},{"dropping-particle":"","family":"Kuparinen","given":"Anna","non-dropping-particle":"","parse-names":false,"suffix":""}],"container-title":"Evolutionary Applications","id":"ITEM-2","issue":"10","issued":{"date-parts":[["2020"]]},"page":"2507-2520","title":"Eco-evolutionary dynamics driven by fishing: From single species models to dynamic evolution within complex food webs","type":"article-journal","volume":"13"},"uris":["http://www.mendeley.com/documents/?uuid=1778e2a1-4ece-4b5b-92a8-762b49a8fb30"]}],"mendeley":{"formattedCitation":"(Perälä &amp; Kuparinen, 2020; Uusi-Heikkilä et al., 2022)","plainTextFormattedCitation":"(Perälä &amp; Kuparinen, 2020; Uusi-Heikkilä et al., 2022)","previouslyFormattedCitation":"(Perälä &amp; Kuparinen, 2020; Uusi-Heikkilä et al., 2022)"},"properties":{"noteIndex":0},"schema":"https://github.com/citation-style-language/schema/raw/master/csl-citation.json"}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fi-FI"/>
        </w:rPr>
        <w:t xml:space="preserve">(Uusi-Heikkilä et al. 2022; </w:t>
      </w:r>
      <w:r w:rsidRPr="00324BCA">
        <w:rPr>
          <w:rFonts w:ascii="Georgia" w:hAnsi="Georgia" w:cs="Helvetica Neue"/>
          <w:noProof/>
          <w:color w:val="000000" w:themeColor="text1"/>
          <w:lang w:val="fi-FI"/>
        </w:rPr>
        <w:t xml:space="preserve">Nonaka &amp; Kuparinen 2021; </w:t>
      </w:r>
      <w:r w:rsidRPr="00286ECD">
        <w:rPr>
          <w:rFonts w:ascii="Georgia" w:hAnsi="Georgia" w:cs="Helvetica Neue"/>
          <w:noProof/>
          <w:color w:val="000000" w:themeColor="text1"/>
          <w:lang w:val="fi-FI"/>
        </w:rPr>
        <w:t>Vesterinen et al. 2021</w:t>
      </w:r>
      <w:r w:rsidRPr="00324BCA">
        <w:rPr>
          <w:rFonts w:ascii="Georgia" w:hAnsi="Georgia" w:cs="Helvetica Neue"/>
          <w:noProof/>
          <w:color w:val="000000" w:themeColor="text1"/>
          <w:lang w:val="fi-FI"/>
        </w:rPr>
        <w:t>; Perälä &amp; Kuparinen 2020; Bland et al. 2019; Boit et al. 2012; Berlow et al. 2009</w:t>
      </w:r>
      <w:r w:rsidRPr="00286ECD">
        <w:rPr>
          <w:rFonts w:ascii="Georgia" w:hAnsi="Georgia" w:cs="Helvetica Neue"/>
          <w:noProof/>
          <w:color w:val="000000" w:themeColor="text1"/>
          <w:lang w:val="fi-FI"/>
        </w:rPr>
        <w:t>)</w:t>
      </w:r>
      <w:r w:rsidRPr="00286ECD">
        <w:rPr>
          <w:rFonts w:ascii="Georgia" w:hAnsi="Georgia" w:cs="Helvetica Neue"/>
          <w:color w:val="000000" w:themeColor="text1"/>
          <w:lang w:val="en-GB"/>
        </w:rPr>
        <w:fldChar w:fldCharType="end"/>
      </w:r>
      <w:r w:rsidRPr="00324BCA">
        <w:rPr>
          <w:rFonts w:ascii="Georgia" w:hAnsi="Georgia" w:cs="Helvetica Neue"/>
          <w:noProof/>
          <w:color w:val="000000" w:themeColor="text1"/>
          <w:lang w:val="fi-FI"/>
        </w:rPr>
        <w:t>.</w:t>
      </w:r>
    </w:p>
    <w:p w14:paraId="6479ECCB" w14:textId="3853B0D6"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 xml:space="preserve">By coupling the ATN with a century-long dataset of fish community and a shorter dataset of phytoplankton and zooplankton communities, we quantify how intraspecific </w:t>
      </w:r>
      <w:r w:rsidRPr="00286ECD">
        <w:rPr>
          <w:rFonts w:ascii="Georgia" w:hAnsi="Georgia" w:cs="Helvetica Neue"/>
          <w:color w:val="000000" w:themeColor="text1"/>
          <w:lang w:val="en-GB"/>
        </w:rPr>
        <w:lastRenderedPageBreak/>
        <w:t xml:space="preserve">diversity, and its absence, influence the structure and functioning of the marine food web. </w:t>
      </w:r>
      <w:r w:rsidR="001B06B2">
        <w:rPr>
          <w:rFonts w:ascii="Georgia" w:hAnsi="Georgia" w:cs="Helvetica Neue"/>
          <w:color w:val="000000" w:themeColor="text1"/>
          <w:lang w:val="en-GB"/>
        </w:rPr>
        <w:t>Our</w:t>
      </w:r>
      <w:r w:rsidRPr="00286ECD">
        <w:rPr>
          <w:rFonts w:ascii="Georgia" w:hAnsi="Georgia" w:cs="Helvetica Neue"/>
          <w:color w:val="000000" w:themeColor="text1"/>
          <w:lang w:val="en-GB"/>
        </w:rPr>
        <w:t xml:space="preserve"> </w:t>
      </w:r>
      <w:r w:rsidR="001B06B2">
        <w:rPr>
          <w:rFonts w:ascii="Georgia" w:hAnsi="Georgia" w:cs="Helvetica Neue"/>
          <w:color w:val="000000" w:themeColor="text1"/>
          <w:lang w:val="en-GB"/>
        </w:rPr>
        <w:t>study</w:t>
      </w:r>
      <w:r w:rsidRPr="00286ECD">
        <w:rPr>
          <w:rFonts w:ascii="Georgia" w:hAnsi="Georgia" w:cs="Helvetica Neue"/>
          <w:color w:val="000000" w:themeColor="text1"/>
          <w:lang w:val="en-GB"/>
        </w:rPr>
        <w:t xml:space="preserve"> objectives </w:t>
      </w:r>
      <w:r w:rsidR="001B06B2">
        <w:rPr>
          <w:rFonts w:ascii="Georgia" w:hAnsi="Georgia" w:cs="Helvetica Neue"/>
          <w:color w:val="000000" w:themeColor="text1"/>
          <w:lang w:val="en-GB"/>
        </w:rPr>
        <w:t>are</w:t>
      </w:r>
      <w:r w:rsidRPr="00286ECD">
        <w:rPr>
          <w:rFonts w:ascii="Georgia" w:hAnsi="Georgia" w:cs="Helvetica Neue"/>
          <w:color w:val="000000" w:themeColor="text1"/>
          <w:lang w:val="en-GB"/>
        </w:rPr>
        <w:t xml:space="preserve">: 1) to construct </w:t>
      </w:r>
      <w:r w:rsidR="001B06B2">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Skagerrak food web, 2) to describe its structure using descriptive food web metrics, 3) to explore its complex ecological dynamics, and 4) to identify the role</w:t>
      </w:r>
      <w:r w:rsidR="001B06B2">
        <w:rPr>
          <w:rFonts w:ascii="Georgia" w:hAnsi="Georgia" w:cs="Helvetica Neue"/>
          <w:color w:val="000000" w:themeColor="text1"/>
          <w:lang w:val="en-GB"/>
        </w:rPr>
        <w:t>s</w:t>
      </w:r>
      <w:r w:rsidRPr="00286ECD">
        <w:rPr>
          <w:rFonts w:ascii="Georgia" w:hAnsi="Georgia" w:cs="Helvetica Neue"/>
          <w:color w:val="000000" w:themeColor="text1"/>
          <w:lang w:val="en-GB"/>
        </w:rPr>
        <w:t xml:space="preserve"> of </w:t>
      </w:r>
      <w:r w:rsidR="001B06B2">
        <w:rPr>
          <w:rFonts w:ascii="Georgia" w:hAnsi="Georgia" w:cs="Helvetica Neue"/>
          <w:color w:val="000000" w:themeColor="text1"/>
          <w:lang w:val="en-GB"/>
        </w:rPr>
        <w:t xml:space="preserve">Atlantic </w:t>
      </w:r>
      <w:r w:rsidRPr="00286ECD">
        <w:rPr>
          <w:rFonts w:ascii="Georgia" w:hAnsi="Georgia" w:cs="Helvetica Neue"/>
          <w:color w:val="000000" w:themeColor="text1"/>
          <w:lang w:val="en-GB"/>
        </w:rPr>
        <w:t xml:space="preserve">cod ecotypes in the functioning of the Skagerrak food web. </w:t>
      </w:r>
    </w:p>
    <w:p w14:paraId="347E18AA"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64850154" w14:textId="77777777" w:rsidR="005E45D8" w:rsidRPr="00286ECD" w:rsidRDefault="005E45D8" w:rsidP="005E45D8">
      <w:pPr>
        <w:autoSpaceDE w:val="0"/>
        <w:autoSpaceDN w:val="0"/>
        <w:adjustRightInd w:val="0"/>
        <w:spacing w:line="480" w:lineRule="auto"/>
        <w:jc w:val="both"/>
        <w:rPr>
          <w:rFonts w:ascii="Georgia" w:hAnsi="Georgia" w:cs="Helvetica"/>
          <w:b/>
          <w:bCs/>
          <w:color w:val="000000" w:themeColor="text1"/>
          <w:lang w:val="en-GB"/>
        </w:rPr>
      </w:pPr>
      <w:r w:rsidRPr="00286ECD">
        <w:rPr>
          <w:rFonts w:ascii="Georgia" w:hAnsi="Georgia" w:cs="Helvetica Neue"/>
          <w:b/>
          <w:bCs/>
          <w:color w:val="000000" w:themeColor="text1"/>
          <w:sz w:val="32"/>
          <w:szCs w:val="32"/>
          <w:lang w:val="en-GB"/>
        </w:rPr>
        <w:t>METHODS</w:t>
      </w:r>
    </w:p>
    <w:p w14:paraId="5D90EFF8"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w:b/>
          <w:bCs/>
          <w:color w:val="000000" w:themeColor="text1"/>
          <w:lang w:val="en-GB"/>
        </w:rPr>
        <w:t xml:space="preserve">FJORD AND NORTH SEA COD ECOTYPES. </w:t>
      </w:r>
      <w:r w:rsidRPr="00286ECD">
        <w:rPr>
          <w:rFonts w:ascii="Georgia" w:hAnsi="Georgia" w:cs="Helvetica Neue"/>
          <w:color w:val="000000" w:themeColor="text1"/>
          <w:lang w:val="en-GB"/>
        </w:rPr>
        <w:t>Two ecotypes of Atlantic cod have been recognized in Skagerrak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1a): the stationary coastal cod, also referred to as the Fjord cod ecotype, and the migratory offshore cod, known as the North Sea cod ecotype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{"citationItems":[{"id":"ITEM-1","itemData":{"DOI":"10.1111/eva.12640","ISSN":"17524571","abstract":"Coexistence in the same habitat of closely related yet genetically different populations is a phenomenon that challenges our understanding of local population structure and adaptation. Identifying the underlying mechanisms for such coexistence can yield new insight into adaptive evolution, diversification, and the potential for organisms to adapt and persist in response to a changing environment. Recent studies have documented cryptic, sympatric populations of Atlantic cod (Gadus morhua) in coastal areas. We analyzed genetic origin of 6483 individual cod sampled annually over 14 years from 125 locations along the Norwegian Skagerrak coast and document stable coexistence of two genetically divergent Atlantic cod ecotypes throughout the study area and study period. A ‘fjord’ ecotype dominated in numbers deep inside fjords while a ‘North Sea’ ecotype was the only type found in offshore North Sea. Both ecotypes coexisted in similar proportions throughout coastal habitats at all spatial scales. The size</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at</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age of the North Sea ecotype on average exceeded that of the fjord ecotype by 20% in length and 80% in weight across all habitats. Different growth and size among individuals of the two types might be one of several ecologically significant variables that allow for stable coexistence of closely related populations within the same habitat. Management plans, biodiversity initiatives, and other mitigation strategies that do not account for the mixture of species ecotypes are unlikely to meet objectives related to the sustainability of fish and fisheries.","author":[{"dropping-particle":"","family":"Knutsen","given":"Halvor","non-dropping-particle":"","parse-names":false,"suffix":""},{"dropping-particle":"","family":"Jorde","given":"Per Erik","non-dropping-particle":"","parse-names":false,"suffix":""},{"dropping-particle":"","family":"Hutchings","given":"Jeffrey A.","non-dropping-particle":"","parse-names":false,"suffix":""},{"dropping-particle":"","family":"Hemmer-Hansen","given":"Jakob","non-dropping-particle":"","parse-names":false,"suffix":""},{"dropping-particle":"","family":"Grønkjær","given":"Peter","non-dropping-particle":"","parse-names":false,"suffix":""},{"dropping-particle":"","family":"Jørgensen","given":"Kris Emil Mose","non-dropping-particle":"","parse-names":false,"suffix":""},{"dropping-particle":"","family":"André","given":"Carl","non-dropping-particle":"","parse-names":false,"suffix":""},{"dropping-particle":"","family":"Sodeland","given":"Marte","non-dropping-particle":"","parse-names":false,"suffix":""},{"dropping-particle":"","family":"Albretsen","given":"Jon","non-dropping-particle":"","parse-names":false,"suffix":""},{"dropping-particle":"","family":"Olsen","given":"Esben M.","non-dropping-particle":"","parse-names":false,"suffix":""}],"container-title":"Evolutionary Applications","id":"ITEM-1","issue":"9","issued":{"date-parts":[["2018"]]},"page":"1527-1539","title":"Stable coexistence of genetically divergent Atlantic cod ecotypes at multiple spatial scales","type":"article-journal","volume":"11"},"uris":["http://www.mendeley.com/documents/?uuid=a439a14f-ac36-4554-853d-493ac9b8e7e9"]}],"mendeley":{"formattedCitation":"(Knutsen et al., 2018)","plainTextFormattedCitation":"(Knutsen et al., 2018)","previouslyFormattedCitation":"(Knutsen et al., 2018)"},"properties":{"noteIndex":0},"schema":"https://github.com/citation-style-language/schema/raw/master/csl-citation.json"}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(Knutsen et al. 2018)</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Genome differentiation between the ecotypes has been observed in three genomic regions, providing adequate evidence for validating the existence of evolutionary divergent populations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{"citationItems":[{"id":"ITEM-1","itemData":{"DOI":"10.1093/gbe/evw057","ISSN":"17596653","PMID":"26983822","abstract":"In several species genetic differentiation across environmental gradients or between geographically separate populations has been reported to center at \"genomic islands of divergence,\" resulting in heterogeneous differentiation patterns across genomes. Here, genomic regions of elevated divergencewere observed on three chromosomes of the highlymobile fishAtlantic cod (Gadusmorhua) within geographically fine-scaled coastal areas. The \"genomic islands\" extended at least 5, 9.5, and 13megabases on linkage groups 2, 7, and 12, respectively, and coincided with large blocks of linkage disequilibrium. For each of these three chromosomes, pairs of segregating, highly divergent alleleswere identified, with little or no gene exchange between them. These patterns of recombination and divergencemirror genomic signatures previously described for large polymorphic inversions,which have been shown to repress recombination across extensive chromosomal segments. The lack of genetic exchange permits divergence between noninverted and inverted chromosomes in spite of gene flow. For the rearrangements on linkage groups 2 and 12, allelic frequency shifts between coastal and oceanic environments suggest a role in ecological adaptation, in agreement with recently reported associations between molecular variation within these genomic regions and temperature, oxygen, and salinity levels. Elevated genetic differentiation in these genomic regions has previously been described on both sides of the Atlantic Ocean, and we therefore suggest that these polymorphisms are involved in adaptive divergence across the species distributional range.","author":[{"dropping-particle":"","family":"Sodeland","given":"Marte","non-dropping-particle":"","parse-names":false,"suffix":""},{"dropping-particle":"","family":"Jorde","given":"Per Erik","non-dropping-particle":"","parse-names":false,"suffix":""},{"dropping-particle":"","family":"Lien","given":"Sigbjørn","non-dropping-particle":"","parse-names":false,"suffix":""},{"dropping-particle":"","family":"Jentoft","given":"Sissel","non-dropping-particle":"","parse-names":false,"suffix":""},{"dropping-particle":"","family":"Berg","given":"Paul R.","non-dropping-particle":"","parse-names":false,"suffix":""},{"dropping-particle":"","family":"Grove","given":"Harald","non-dropping-particle":"","parse-names":false,"suffix":""},{"dropping-particle":"","family":"Kent","given":"Matthew P.","non-dropping-particle":"","parse-names":false,"suffix":""},{"dropping-particle":"","family":"Arnyasi","given":"Mariann","non-dropping-particle":"","parse-names":false,"suffix":""},{"dropping-particle":"","family":"Olsen","given":"Esben Moland","non-dropping-particle":"","parse-names":false,"suffix":""},{"dropping-particle":"","family":"Knutsen","given":"Halvor","non-dropping-particle":"","parse-names":false,"suffix":""}],"container-title":"Genome Biology and Evolution","id":"ITEM-1","issue":"4","issued":{"date-parts":[["2016"]]},"page":"1012-1022","title":"\"Islands of Divergence\" in the atlantic cod genome represent polymorphic chromosomal rearrangements","type":"article-journal","volume":"8"},"uris":["http://www.mendeley.com/documents/?uuid=cd3d7b08-68a7-4c93-b938-44514dc33bc0"]}],"mendeley":{"formattedCitation":"(Sodeland et al., 2016)","plainTextFormattedCitation":"(Sodeland et al., 2016)","previouslyFormattedCitation":"(Sodeland et al., 2016)"},"properties":{"noteIndex":0},"schema":"https://github.com/citation-style-language/schema/raw/master/csl-citation.json"}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(Sodeland et al. 2016)</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In addition to genetic analyses, stable isotope sampling has revealed distinctions in the feeding ecology of the two ecotypes. Diet of the North Sea ecotype includes more pelagic prey items compared to the diet of the Fjord ecotype, which is more benthic. This has been reflected in the lower </w:t>
      </w:r>
      <w:r w:rsidRPr="00286ECD">
        <w:rPr>
          <w:rFonts w:ascii="Georgia" w:hAnsi="Georgia" w:cs="Helvetica Neue"/>
          <w:color w:val="000000" w:themeColor="text1"/>
          <w:lang w:val="en-GB"/>
        </w:rPr>
        <w:sym w:font="Symbol" w:char="F064"/>
      </w:r>
      <w:r w:rsidRPr="00286ECD">
        <w:rPr>
          <w:rFonts w:ascii="Georgia" w:hAnsi="Georgia" w:cs="Helvetica Neue"/>
          <w:color w:val="000000" w:themeColor="text1"/>
          <w:vertAlign w:val="superscript"/>
          <w:lang w:val="en-GB"/>
        </w:rPr>
        <w:t xml:space="preserve">13 </w:t>
      </w:r>
      <w:r w:rsidRPr="00286ECD">
        <w:rPr>
          <w:rFonts w:ascii="Georgia" w:hAnsi="Georgia" w:cs="Helvetica Neue"/>
          <w:color w:val="000000" w:themeColor="text1"/>
          <w:lang w:val="en-GB"/>
        </w:rPr>
        <w:t xml:space="preserve">C and </w:t>
      </w:r>
      <w:r w:rsidRPr="00286ECD">
        <w:rPr>
          <w:rFonts w:ascii="Georgia" w:hAnsi="Georgia" w:cs="Helvetica Neue"/>
          <w:color w:val="000000" w:themeColor="text1"/>
          <w:lang w:val="en-GB"/>
        </w:rPr>
        <w:sym w:font="Symbol" w:char="F064"/>
      </w:r>
      <w:r w:rsidRPr="00286ECD">
        <w:rPr>
          <w:rFonts w:ascii="Georgia" w:hAnsi="Georgia" w:cs="Helvetica Neue"/>
          <w:color w:val="000000" w:themeColor="text1"/>
          <w:vertAlign w:val="superscript"/>
          <w:lang w:val="en-GB"/>
        </w:rPr>
        <w:t xml:space="preserve">15 </w:t>
      </w:r>
      <w:r w:rsidRPr="00286ECD">
        <w:rPr>
          <w:rFonts w:ascii="Georgia" w:hAnsi="Georgia" w:cs="Helvetica Neue"/>
          <w:color w:val="000000" w:themeColor="text1"/>
          <w:lang w:val="en-GB"/>
        </w:rPr>
        <w:t xml:space="preserve">N isotope values of North Sea ecotype individuals, while individuals of the Fjord ecotype have higher </w:t>
      </w:r>
      <w:r w:rsidRPr="00286ECD">
        <w:rPr>
          <w:rFonts w:ascii="Georgia" w:hAnsi="Georgia" w:cs="Helvetica Neue"/>
          <w:color w:val="000000" w:themeColor="text1"/>
          <w:lang w:val="en-GB"/>
        </w:rPr>
        <w:sym w:font="Symbol" w:char="F064"/>
      </w:r>
      <w:r w:rsidRPr="00286ECD">
        <w:rPr>
          <w:rFonts w:ascii="Georgia" w:hAnsi="Georgia" w:cs="Helvetica Neue"/>
          <w:color w:val="000000" w:themeColor="text1"/>
          <w:vertAlign w:val="superscript"/>
          <w:lang w:val="en-GB"/>
        </w:rPr>
        <w:t xml:space="preserve">13 </w:t>
      </w:r>
      <w:r w:rsidRPr="00286ECD">
        <w:rPr>
          <w:rFonts w:ascii="Georgia" w:hAnsi="Georgia" w:cs="Helvetica Neue"/>
          <w:color w:val="000000" w:themeColor="text1"/>
          <w:lang w:val="en-GB"/>
        </w:rPr>
        <w:t xml:space="preserve">C and </w:t>
      </w:r>
      <w:r w:rsidRPr="00286ECD">
        <w:rPr>
          <w:rFonts w:ascii="Georgia" w:hAnsi="Georgia" w:cs="Helvetica Neue"/>
          <w:color w:val="000000" w:themeColor="text1"/>
          <w:lang w:val="en-GB"/>
        </w:rPr>
        <w:sym w:font="Symbol" w:char="F064"/>
      </w:r>
      <w:r w:rsidRPr="00286ECD">
        <w:rPr>
          <w:rFonts w:ascii="Georgia" w:hAnsi="Georgia" w:cs="Helvetica Neue"/>
          <w:color w:val="000000" w:themeColor="text1"/>
          <w:vertAlign w:val="superscript"/>
          <w:lang w:val="en-GB"/>
        </w:rPr>
        <w:t xml:space="preserve">15 </w:t>
      </w:r>
      <w:r w:rsidRPr="00286ECD">
        <w:rPr>
          <w:rFonts w:ascii="Georgia" w:hAnsi="Georgia" w:cs="Helvetica Neue"/>
          <w:color w:val="000000" w:themeColor="text1"/>
          <w:lang w:val="en-GB"/>
        </w:rPr>
        <w:t xml:space="preserve">N isotope values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{"citationItems":[{"id":"ITEM-1","itemData":{"DOI":"10.1002/ece3.7939","ISSN":"20457758","abstract":"Coexistence of ecotypes, genetically divergent population units, is a widespread phenomenon, potentially affecting ecosystem functioning and local food web stability. In coastal Skagerrak, Atlantic cod (Gadus morhua) occur as two such coexisting ecotypes. We applied a combination of acoustic telemetry, genotyping, and stable isotope analysis to 72 individuals to investigate movement ecology and food niche of putative local “Fjord” and putative oceanic “North Sea” ecotypes—thus named based on previous molecular studies. Genotyping and individual origin assignment suggested 41 individuals were Fjord and 31 were North Sea ecotypes. Both ecotypes were found throughout the fjord. Seven percent of Fjord ecotype individuals left the study system during the study while 42% of North Sea individuals left, potentially homing to natal spawning grounds. Home range sizes were similar for the two ecotypes but highly variable among individuals. Fjord ecotype cod had significantly higher δ13C and δ15N stable isotope values than North Sea ecotype cod, suggesting they exploited different food niches. The results suggest coexisting ecotypes may possess innate differences in feeding and movement ecologies and may thus fill different functional roles in marine ecosystems. This highlights the importance of conserving interconnected populations to ensure stable ecosystem functioning and food web structures.","author":[{"dropping-particle":"","family":"Kristensen","given":"Martin Lykke","non-dropping-particle":"","parse-names":false,"suffix":""},{"dropping-particle":"","family":"Olsen","given":"Esben Moland","non-dropping-particle":"","parse-names":false,"suffix":""},{"dropping-particle":"","family":"Moland","given":"Even","non-dropping-particle":"","parse-names":false,"suffix":""},{"dropping-particle":"","family":"Knutsen","given":"Halvor","non-dropping-particle":"","parse-names":false,"suffix":""},{"dropping-particle":"","family":"Grønkjær","given":"Peter","non-dropping-particle":"","parse-names":false,"suffix":""},{"dropping-particle":"","family":"Koed","given":"Anders","non-dropping-particle":"","parse-names":false,"suffix":""},{"dropping-particle":"","family":"Källo","given":"Kristi","non-dropping-particle":"","parse-names":false,"suffix":""},{"dropping-particle":"","family":"Aarestrup","given":"Kim","non-dropping-particle":"","parse-names":false,"suffix":""}],"container-title":"Ecology and Evolution","id":"ITEM-1","issue":"16","issued":{"date-parts":[["2021"]]},"page":"11477-11490","title":"Disparate movement behavior and feeding ecology in sympatric ecotypes of Atlantic cod","type":"article-journal","volume":"11"},"uris":["http://www.mendeley.com/documents/?uuid=db0ec745-58b2-4fa1-a5e4-99ef4d589a7a"]}],"mendeley":{"formattedCitation":"(Kristensen et al., 2021)","plainTextFormattedCitation":"(Kristensen et al., 2021)","previouslyFormattedCitation":"(Kristensen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(Kristensen et al.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The two ecotypes also differ in their movement ecology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1b) and life history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1c). The Fjord ecotype is characterized by year-round fidelity to inshore habitats, whereas more permanent or prolonged migrations are typical for the North Sea ecotype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{"citationItems":[{"id":"ITEM-1","itemData":{"DOI":"10.1002/ece3.7939","ISSN":"20457758","abstract":"Coexistence of ecotypes, genetically divergent population units, is a widespread phenomenon, potentially affecting ecosystem functioning and local food web stability. In coastal Skagerrak, Atlantic cod (Gadus morhua) occur as two such coexisting ecotypes. We applied a combination of acoustic telemetry, genotyping, and stable isotope analysis to 72 individuals to investigate movement ecology and food niche of putative local “Fjord” and putative oceanic “North Sea” ecotypes—thus named based on previous molecular studies. Genotyping and individual origin assignment suggested 41 individuals were Fjord and 31 were North Sea ecotypes. Both ecotypes were found throughout the fjord. Seven percent of Fjord ecotype individuals left the study system during the study while 42% of North Sea individuals left, potentially homing to natal spawning grounds. Home range sizes were similar for the two ecotypes but highly variable among individuals. Fjord ecotype cod had significantly higher δ13C and δ15N stable isotope values than North Sea ecotype cod, suggesting they exploited different food niches. The results suggest coexisting ecotypes may possess innate differences in feeding and movement ecologies and may thus fill different functional roles in marine ecosystems. This highlights the importance of conserving interconnected populations to ensure stable ecosystem functioning and food web structures.","author":[{"dropping-particle":"","family":"Kristensen","given":"Martin Lykke","non-dropping-particle":"","parse-names":false,"suffix":""},{"dropping-particle":"","family":"Olsen","given":"Esben Moland","non-dropping-particle":"","parse-names":false,"suffix":""},{"dropping-particle":"","family":"Moland","given":"Even","non-dropping-particle":"","parse-names":false,"suffix":""},{"dropping-particle":"","family":"Knutsen","given":"Halvor","non-dropping-particle":"","parse-names":false,"suffix":""},{"dropping-particle":"","family":"Grønkjær","given":"Peter","non-dropping-particle":"","parse-names":false,"suffix":""},{"dropping-particle":"","family":"Koed","given":"Anders","non-dropping-particle":"","parse-names":false,"suffix":""},{"dropping-particle":"","family":"Källo","given":"Kristi","non-dropping-particle":"","parse-names":false,"suffix":""},{"dropping-particle":"","family":"Aarestrup","given":"Kim","non-dropping-particle":"","parse-names":false,"suffix":""}],"container-title":"Ecology and Evolution","id":"ITEM-1","issue":"16","issued":{"date-parts":[["2021"]]},"page":"11477-11490","title":"Disparate movement behavior and feeding ecology in sympatric ecotypes of Atlantic cod","type":"article-journal","volume":"11"},"uris":["http://www.mendeley.com/documents/?uuid=db0ec745-58b2-4fa1-a5e4-99ef4d589a7a"]}],"mendeley":{"formattedCitation":"(Kristensen et al., 2021)","plainTextFormattedCitation":"(Kristensen et al., 2021)","previouslyFormattedCitation":"(Kristensen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(Kristensen et al.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Within a fjord habitat, the Fjord ecotype tends to utilize deeper habitats and have higher survival rate compared to the North Sea ecotype (Barth et al. 2019). Otolith analyses and direct measurements of size at age have shown that the Fjord ecotype grow</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slower in a given habitat and </w:t>
      </w:r>
      <w:r w:rsidRPr="00286ECD">
        <w:rPr>
          <w:rFonts w:ascii="Georgia" w:hAnsi="Georgia" w:cs="Helvetica Neue"/>
          <w:color w:val="000000" w:themeColor="text1"/>
          <w:lang w:val="en-GB"/>
        </w:rPr>
        <w:lastRenderedPageBreak/>
        <w:t xml:space="preserve">remains smaller compared to the North Sea ecotype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{"citationItems":[{"id":"ITEM-1","itemData":{"DOI":"10.1093/icesjms/fsv181","ISSN":"10959289","abstract":"A basic challenge to successful management and conflict resolution is to correctly identify the spatial scale at which strategies for harvesting are developed. For commercially exploited marine fish, distributional boundaries of many stocks are based on the premise that productivity is similar at spatial scales that represent a small fraction of an individual's potential migration distance. Within such confined geographic regions, differences among individual life history traits - primary determinants of population productivity - are assumed to be negligible. The empirical basis for these assumptions bears re-examination for some widely distributed species, such as Atlantic cod (Gadus morhua L.), for which there is evidence that life history structuring is evident at much finer scales than previously thought. Here, we focus on a unique system in the Norwegian Skagerrak, divided into inner and outer fjord habitats between which cod movement across distances of a few kilometres is limited and populations show signals of genetic differentiation. Based on back-calculated length-at-age data, cod in the inner fjord are systematically smaller at young ages (1-5 years) and are characterized by shorter asymptotic body lengths than cod in the outer fjord. Our work on growth and life history supports genetic analyses which indicate that productivity and resilience of widely distributed marine fish are likely to differ at considerably smaller spatial scales than those delineated by traditional stock management boundaries.","author":[{"dropping-particle":"","family":"Kuparinen","given":"Anna","non-dropping-particle":"","parse-names":false,"suffix":""},{"dropping-particle":"","family":"Roney","given":"Nancy E.","non-dropping-particle":"","parse-names":false,"suffix":""},{"dropping-particle":"","family":"Oomen","given":"Rebekah A.","non-dropping-particle":"","parse-names":false,"suffix":""},{"dropping-particle":"","family":"Hutchings","given":"Jeffrey A.","non-dropping-particle":"","parse-names":false,"suffix":""},{"dropping-particle":"","family":"Olsen","given":"Esben M.","non-dropping-particle":"","parse-names":false,"suffix":""}],"container-title":"ICES Journal of Marine Science","id":"ITEM-1","issue":"2","issued":{"date-parts":[["2016"]]},"page":"286-292","title":"Small-scale life history variability suggests potential for spatial mismatches in Atlantic cod management units","type":"article-journal","volume":"73"},"uris":["http://www.mendeley.com/documents/?uuid=b1465f3f-17bf-4fc8-970a-e8582dc208ff"]}],"mendeley":{"formattedCitation":"(Kuparinen, Roney, et al., 2016)","plainTextFormattedCitation":"(Kuparinen, Roney, et al., 2016)","previouslyFormattedCitation":"(Kuparinen, Roney, et al., 2016)"},"properties":{"noteIndex":0},"schema":"https://github.com/citation-style-language/schema/raw/master/csl-citation.json"}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(Knutsen et al. 2018; Kuparinen et al. 2016a)</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w:t>
      </w:r>
    </w:p>
    <w:p w14:paraId="1C52F1FC"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351A11CF" w14:textId="6F7D7F7E"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w:b/>
          <w:bCs/>
          <w:color w:val="000000" w:themeColor="text1"/>
          <w:lang w:val="en-GB"/>
        </w:rPr>
        <w:t>SKAGERRAK FOOD WEB</w:t>
      </w:r>
      <w:r>
        <w:rPr>
          <w:rFonts w:ascii="Georgia" w:hAnsi="Georgia" w:cs="Helvetica"/>
          <w:b/>
          <w:bCs/>
          <w:color w:val="000000" w:themeColor="text1"/>
          <w:lang w:val="en-GB"/>
        </w:rPr>
        <w:t xml:space="preserve"> GUILDS</w:t>
      </w:r>
      <w:r w:rsidRPr="00286ECD">
        <w:rPr>
          <w:rFonts w:ascii="Georgia" w:hAnsi="Georgia" w:cs="Helvetica"/>
          <w:b/>
          <w:bCs/>
          <w:color w:val="000000" w:themeColor="text1"/>
          <w:lang w:val="en-GB"/>
        </w:rPr>
        <w:t xml:space="preserve">. </w:t>
      </w:r>
      <w:r>
        <w:rPr>
          <w:rFonts w:ascii="Georgia" w:hAnsi="Georgia" w:cs="Helvetica Neue"/>
          <w:color w:val="000000" w:themeColor="text1"/>
          <w:lang w:val="en-GB"/>
        </w:rPr>
        <w:t>F</w:t>
      </w:r>
      <w:r w:rsidRPr="00286ECD">
        <w:rPr>
          <w:rFonts w:ascii="Georgia" w:hAnsi="Georgia" w:cs="Helvetica Neue"/>
          <w:color w:val="000000" w:themeColor="text1"/>
          <w:lang w:val="en-GB"/>
        </w:rPr>
        <w:t>unctional guild</w:t>
      </w:r>
      <w:r>
        <w:rPr>
          <w:rFonts w:ascii="Georgia" w:hAnsi="Georgia" w:cs="Helvetica Neue"/>
          <w:color w:val="000000" w:themeColor="text1"/>
          <w:lang w:val="en-GB"/>
        </w:rPr>
        <w:t>s, defined as</w:t>
      </w:r>
      <w:r w:rsidRPr="00286ECD">
        <w:rPr>
          <w:rFonts w:ascii="Georgia" w:hAnsi="Georgia" w:cs="Helvetica Neue"/>
          <w:color w:val="000000" w:themeColor="text1"/>
          <w:lang w:val="en-GB"/>
        </w:rPr>
        <w:t xml:space="preserve"> group</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of species with overlapping prey and predator links</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were compiled based on three long-term data</w:t>
      </w:r>
      <w:r>
        <w:rPr>
          <w:rFonts w:ascii="Georgia" w:hAnsi="Georgia" w:cs="Helvetica Neue"/>
          <w:color w:val="000000" w:themeColor="text1"/>
          <w:lang w:val="en-GB"/>
        </w:rPr>
        <w:t>sets</w:t>
      </w:r>
      <w:r w:rsidRPr="00286ECD">
        <w:rPr>
          <w:rFonts w:ascii="Georgia" w:hAnsi="Georgia" w:cs="Helvetica Neue"/>
          <w:color w:val="000000" w:themeColor="text1"/>
          <w:lang w:val="en-GB"/>
        </w:rPr>
        <w:t xml:space="preserve"> collect</w:t>
      </w:r>
      <w:r>
        <w:rPr>
          <w:rFonts w:ascii="Georgia" w:hAnsi="Georgia" w:cs="Helvetica Neue"/>
          <w:color w:val="000000" w:themeColor="text1"/>
          <w:lang w:val="en-GB"/>
        </w:rPr>
        <w:t>ed</w:t>
      </w:r>
      <w:r w:rsidRPr="00286ECD">
        <w:rPr>
          <w:rFonts w:ascii="Georgia" w:hAnsi="Georgia" w:cs="Helvetica Neue"/>
          <w:color w:val="000000" w:themeColor="text1"/>
          <w:lang w:val="en-GB"/>
        </w:rPr>
        <w:t xml:space="preserve"> in Skagerrak</w:t>
      </w:r>
      <w:r>
        <w:rPr>
          <w:rFonts w:ascii="Georgia" w:hAnsi="Georgia" w:cs="Helvetica Neue"/>
          <w:color w:val="000000" w:themeColor="text1"/>
          <w:lang w:val="en-GB"/>
        </w:rPr>
        <w:t xml:space="preserve"> by the </w:t>
      </w:r>
      <w:r w:rsidRPr="00CA4C16">
        <w:rPr>
          <w:rFonts w:ascii="Georgia" w:hAnsi="Georgia" w:cs="Helvetica Neue"/>
          <w:color w:val="000000" w:themeColor="text1"/>
          <w:lang w:val="en-GB"/>
        </w:rPr>
        <w:t xml:space="preserve">Institute of Marine Research at the </w:t>
      </w:r>
      <w:proofErr w:type="spellStart"/>
      <w:r w:rsidRPr="00CA4C16">
        <w:rPr>
          <w:rFonts w:ascii="Georgia" w:hAnsi="Georgia" w:cs="Helvetica Neue"/>
          <w:color w:val="000000" w:themeColor="text1"/>
          <w:lang w:val="en-GB"/>
        </w:rPr>
        <w:t>Flødevigen</w:t>
      </w:r>
      <w:proofErr w:type="spellEnd"/>
      <w:r w:rsidRPr="00CA4C16">
        <w:rPr>
          <w:rFonts w:ascii="Georgia" w:hAnsi="Georgia" w:cs="Helvetica Neue"/>
          <w:color w:val="000000" w:themeColor="text1"/>
          <w:lang w:val="en-GB"/>
        </w:rPr>
        <w:t xml:space="preserve"> research station</w:t>
      </w:r>
      <w:r>
        <w:rPr>
          <w:rFonts w:ascii="Georgia" w:hAnsi="Georgia" w:cs="Helvetica Neue"/>
          <w:color w:val="000000" w:themeColor="text1"/>
          <w:lang w:val="en-GB"/>
        </w:rPr>
        <w:t>: the beach seine survey dataset</w:t>
      </w:r>
      <w:r w:rsidR="00B11149">
        <w:rPr>
          <w:rFonts w:ascii="Georgia" w:hAnsi="Georgia" w:cs="Helvetica Neue"/>
          <w:color w:val="000000" w:themeColor="text1"/>
          <w:lang w:val="en-GB"/>
        </w:rPr>
        <w:t xml:space="preserve"> </w:t>
      </w:r>
      <w:r w:rsidR="00B11149" w:rsidRPr="00CA4C16">
        <w:rPr>
          <w:rFonts w:ascii="Georgia" w:hAnsi="Georgia" w:cs="Helvetica Neue"/>
          <w:color w:val="000000" w:themeColor="text1"/>
          <w:lang w:val="en-GB"/>
        </w:rPr>
        <w:fldChar w:fldCharType="begin" w:fldLock="1"/>
      </w:r>
      <w:r w:rsidR="00B11149" w:rsidRPr="00CA4C16">
        <w:rPr>
          <w:rFonts w:ascii="Georgia" w:hAnsi="Georgia" w:cs="Helvetica Neue"/>
          <w:color w:val="000000" w:themeColor="text1"/>
          <w:lang w:val="en-GB"/>
        </w:rPr>
        <w:instrText>ADDIN CSL_CITATION {"citationItems":[{"id":"ITEM-1","itemData":{"DOI":"10.1111/j.1461-0248.2009.01311.x","ISSN":"1461023X","abstract":"Changes in phenotypic variability in natural populations have received little attention in comparison with changes in mean trait values. This is unfortunate because trait diversity may influence adaptive evolutionary change and population stability. We combine two unique data sets to illuminate complex trait changes in Atlantic cod along the Norwegian Skagerrak coast: (i) an annual beach seine survey starting in 1919, monitoring juvenile body size and abundance and (ii) capture-mark-recapture data from which we estimated selection on juvenile body size and growth. We demonstrate that the variability of juvenile size has been steadily decreasing across nine decades, with no evidence for a similar trend in mean size. We also report that small, slow-growing fish as well as large, fast-growing fish are selected against. Together, these results suggest long-term stabilizing selection acting on Atlantic cod, and emphasize the need for further studies evaluating the full complexity of trait changes in wild populations. © 2009 Blackwell Publishing Ltd/CNRS.","author":[{"dropping-particle":"","family":"Olsen","given":"Esben Moland","non-dropping-particle":"","parse-names":false,"suffix":""},{"dropping-particle":"","family":"Carlson","given":"Stephanie M.","non-dropping-particle":"","parse-names":false,"suffix":""},{"dropping-particle":"","family":"Gjøsæter","given":"Jakob","non-dropping-particle":"","parse-names":false,"suffix":""},{"dropping-particle":"","family":"Stenseth","given":"Nils Chr","non-dropping-particle":"","parse-names":false,"suffix":""}],"container-title":"Ecology Letters","id":"ITEM-1","issue":"7","issued":{"date-parts":[["2009"]]},"page":"622-631","title":"Nine decades of decreasing phenotypic variability in Atlantic cod","type":"article-journal","volume":"12"},"uris":["http://www.mendeley.com/documents/?uuid=5d554773-b8cf-4fdb-bc50-cb853952388e"]},{"id":"ITEM-2","itemData":{"DOI":"10.1111/gcb.13047","ISSN":"13652486","PMID":"26238690","abstract":"In order to adequately monitor biodiversity trends through time and their responses to natural or anthropogenic impacts, researchers require long time series that are often unavailable. This general lack of datasets that are several decades or longer makes establishing a background or baseline of diversity metrics difficult - especially when attempting to understand species composition changes against a backdrop of climate and ecological variability. Here, we present an analysis of a community of juvenile nearshore fishes based on nearly 8 decades of highly standardized Norwegian survey records. Using multivariate statistical techniques, we: (i) characterize the change in taxonomic community composition through time, (ii) determine whether there has been an increase in warm-water affinity species relative to their cold water affinity counterparts, and (iii) characterize the temporal change in the species' functional trait assemblage. Our results strongly indicate a shift toward a novel fish assemblage between the late 1990s and 2000s. The context of changes within the most recent two decades is in stark contrast to those during the 1960s and 1970s, but similar to those during the previous warm period during the 1930s and 1940s. This novel assemblage is tightly linked to the warming temperatures in the region portrayed by the increased presence of warm-water species and a higher incidence of pelagic, planktivorous species. The results indicate a clear influence of ocean temperature on the region's juvenile fish community that points to climate-mediated effects on the species assemblages of an important fish nursery area.","author":[{"dropping-particle":"","family":"Barceló","given":"Caren","non-dropping-particle":"","parse-names":false,"suffix":""},{"dropping-particle":"","family":"Ciannelli","given":"Lorenzo","non-dropping-particle":"","parse-names":false,"suffix":""},{"dropping-particle":"","family":"Olsen","given":"Esben M.","non-dropping-particle":"","parse-names":false,"suffix":""},{"dropping-particle":"","family":"Johannessen","given":"Tore","non-dropping-particle":"","parse-names":false,"suffix":""},{"dropping-particle":"","family":"Knutsen","given":"Halvor","non-dropping-particle":"","parse-names":false,"suffix":""}],"container-title":"Global Change Biology","id":"ITEM-2","issue":"3","issued":{"date-parts":[["2016"]]},"page":"1155-1167","title":"Eight decades of sampling reveal a contemporary novel fish assemblage in coastal nursery habitats","type":"article-journal","volume":"22"},"uris":["http://www.mendeley.com/documents/?uuid=3178e904-4b7b-45df-89c4-df35429dc1d3"]}],"mendeley":{"formattedCitation":"(Barceló et al., 2016; Olsen et al., 2009)","plainTextFormattedCitation":"(Barceló et al., 2016; Olsen et al., 2009)","previouslyFormattedCitation":"(Barceló et al., 2016; Olsen et al., 2009)"},"properties":{"noteIndex":0},"schema":"https://github.com/citation-style-language/schema/raw/master/csl-citation.json"}</w:instrText>
      </w:r>
      <w:r w:rsidR="00B11149" w:rsidRPr="00CA4C16">
        <w:rPr>
          <w:rFonts w:ascii="Georgia" w:hAnsi="Georgia" w:cs="Helvetica Neue"/>
          <w:color w:val="000000" w:themeColor="text1"/>
          <w:lang w:val="en-GB"/>
        </w:rPr>
        <w:fldChar w:fldCharType="separate"/>
      </w:r>
      <w:r w:rsidR="00B11149" w:rsidRPr="00CA4C16">
        <w:rPr>
          <w:rFonts w:ascii="Georgia" w:hAnsi="Georgia" w:cs="Helvetica Neue"/>
          <w:noProof/>
          <w:color w:val="000000" w:themeColor="text1"/>
          <w:lang w:val="en-GB"/>
        </w:rPr>
        <w:t>(Barceló et al. 2016; Olsen et al. 2009)</w:t>
      </w:r>
      <w:r w:rsidR="00B11149" w:rsidRPr="00CA4C16">
        <w:rPr>
          <w:rFonts w:ascii="Georgia" w:hAnsi="Georgia" w:cs="Helvetica Neue"/>
          <w:color w:val="000000" w:themeColor="text1"/>
          <w:lang w:val="en-GB"/>
        </w:rPr>
        <w:fldChar w:fldCharType="end"/>
      </w:r>
      <w:r>
        <w:rPr>
          <w:rFonts w:ascii="Georgia" w:hAnsi="Georgia" w:cs="Helvetica Neue"/>
          <w:color w:val="000000" w:themeColor="text1"/>
          <w:lang w:val="en-GB"/>
        </w:rPr>
        <w:t>, and the phytoplankton and zooplankton base datasets</w:t>
      </w:r>
      <w:r w:rsidR="001A6D66">
        <w:rPr>
          <w:rFonts w:ascii="Georgia" w:hAnsi="Georgia" w:cs="Helvetica Neue"/>
          <w:color w:val="000000" w:themeColor="text1"/>
          <w:lang w:val="en-GB"/>
        </w:rPr>
        <w:t xml:space="preserve"> </w:t>
      </w:r>
      <w:r w:rsidR="001A6D66" w:rsidRPr="00CA4C16">
        <w:rPr>
          <w:rFonts w:ascii="Georgia" w:hAnsi="Georgia" w:cs="Helvetica Neue"/>
          <w:color w:val="000000" w:themeColor="text1"/>
          <w:lang w:val="en-GB"/>
        </w:rPr>
        <w:fldChar w:fldCharType="begin" w:fldLock="1"/>
      </w:r>
      <w:r w:rsidR="001A6D66" w:rsidRPr="00CA4C16">
        <w:rPr>
          <w:rFonts w:ascii="Georgia" w:hAnsi="Georgia" w:cs="Helvetica Neue"/>
          <w:color w:val="000000" w:themeColor="text1"/>
          <w:lang w:val="en-GB"/>
        </w:rPr>
        <w:instrText>ADDIN CSL_CITATION {"citationItems":[{"id":"ITEM-1","itemData":{"DOI":"10.3389/fmars.2022.779335","abstract":" The congeneric copepods Calanus finmarchicus and C. helgolandicus co-occur in the northern North Sea and Skagerrak where they play important roles as prey for higher trophic levels. This study analyses a 26-year time series (1994-2019) with a ~ two-week temporal resolution for Calanus spp. at a fixed monitoring station in Skagerrak, off southern Norway. Seasonal variation, inter-annual variability and long-term trends for the two species were examined. Strong differences in the species-specific seasonality were revealed, with C. finmarchicus dominating in spring and C. helgolandicus in autumn. The seasonal peak of C. finmarchicus was associated with relatively low temperatures (6-8°C) and high chlorophyll a concentration, while C. helgolandicus displayed its seasonal maximum at higher temperatures (11-16°C). C. finmarchicus was found to produce one dominant annual generation (in spring), but two or more generations are considered likely. Contrasting long-term trends in abundances were found for the two species, suggesting that their population sizes were affected by different mechanisms. The abundance of C. helgolandicus showed an increasing trend over the time period studied, apart from the last years. The abundance of C. finmarchicus was more variable and displayed no unidirectional long-term trends over the time series. The study revealed a shift in the phenology of Calanus spp. over the last 25 years at this site. Since 1994 the timing of the annual peaks in both C . finmarchicus and C. helgolandicus have advanced by about one month. Moreover, the seasonal pattern of C. helgolandicus , switched from a unimodal to a bimodal pattern around 2002, with a small additional peak also appearing in spring. The results suggest that the proximity to the Norwegian Trench influences the demography and abundance of C. finmarchicus in this coastal area, both as a gateway for the advective supply, as well as a habitat for local overwintering. ","author":[{"dropping-particle":"","family":"Falkenhaug","given":"Tone","non-dropping-particle":"","parse-names":false,"suffix":""},{"dropping-particle":"","family":"Broms","given":"Cecilie","non-dropping-particle":"","parse-names":false,"suffix":""},{"dropping-particle":"","family":"Bagøien","given":"Espen","non-dropping-particle":"","parse-names":false,"suffix":""},{"dropping-particle":"","family":"Nikolioudakis","given":"Nikolaos","non-dropping-particle":"","parse-names":false,"suffix":""}],"container-title":"Frontiers in Marine Science","id":"ITEM-1","issue":"May","issued":{"date-parts":[["2022"]]},"page":"1-17","title":"Temporal Variability of Co-Occurring Calanus finmarchicus and C. helgolandicus in Skagerrak","type":"article-journal","volume":"9"},"uris":["http://www.mendeley.com/documents/?uuid=514952f1-90da-4a8f-9516-2f52950b8680"]},{"id":"ITEM-2","itemData":{"ISBN":"978-82-577-7046-4","abstract":"Prosjektleder Helene Frigstad","author":[{"dropping-particle":"","family":"Frigstad","given":"Helene","non-dropping-particle":"","parse-names":false,"suffix":""},{"dropping-particle":"","family":"Andersen","given":"Guri Sogn","non-dropping-particle":"","parse-names":false,"suffix":""},{"dropping-particle":"","family":"Trannum","given":"Hilde Cecilie","non-dropping-particle":"","parse-names":false,"suffix":""},{"dropping-particle":"","family":"Naustvoll","given":"Lars Johan","non-dropping-particle":"","parse-names":false,"suffix":""},{"dropping-particle":"","family":"Kaste","given":"Øyvind","non-dropping-particle":"","parse-names":false,"suffix":""},{"dropping-particle":"","family":"Hjermann","given":"Dag Øystein","non-dropping-particle":"","parse-names":false,"suffix":""}],"container-title":"54","id":"ITEM-2","issue":"7311","issued":{"date-parts":[["2018"]]},"title":"Synthesis of climate relevant results from selected monitoring programs in the coastal zone. Part 2: Quantitative analyses","type":"book"},"uris":["http://www.mendeley.com/documents/?uuid=1f772f96-6274-4416-bf88-5756c535ccb1"]}],"mendeley":{"formattedCitation":"(Falkenhaug et al., 2022; Frigstad et al., 2018)","plainTextFormattedCitation":"(Falkenhaug et al., 2022; Frigstad et al., 2018)","previouslyFormattedCitation":"(Falkenhaug et al., 2022; Frigstad et al., 2018)"},"properties":{"noteIndex":0},"schema":"https://github.com/citation-style-language/schema/raw/master/csl-citation.json"}</w:instrText>
      </w:r>
      <w:r w:rsidR="001A6D66" w:rsidRPr="00CA4C16">
        <w:rPr>
          <w:rFonts w:ascii="Georgia" w:hAnsi="Georgia" w:cs="Helvetica Neue"/>
          <w:color w:val="000000" w:themeColor="text1"/>
          <w:lang w:val="en-GB"/>
        </w:rPr>
        <w:fldChar w:fldCharType="separate"/>
      </w:r>
      <w:r w:rsidR="001A6D66" w:rsidRPr="00CA4C16">
        <w:rPr>
          <w:rFonts w:ascii="Georgia" w:hAnsi="Georgia" w:cs="Helvetica Neue"/>
          <w:noProof/>
          <w:color w:val="000000" w:themeColor="text1"/>
          <w:lang w:val="en-GB"/>
        </w:rPr>
        <w:t>(Falkenhaug et al. 2022; Frigstad et al. 2018)</w:t>
      </w:r>
      <w:r w:rsidR="001A6D66" w:rsidRPr="00CA4C16">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We</w:t>
      </w:r>
      <w:r w:rsidRPr="00286ECD">
        <w:rPr>
          <w:rFonts w:ascii="Georgia" w:hAnsi="Georgia" w:cs="Helvetica Neue"/>
          <w:color w:val="000000" w:themeColor="text1"/>
          <w:lang w:val="en-GB"/>
        </w:rPr>
        <w:t xml:space="preserve"> included 21 fish species and 2 </w:t>
      </w:r>
      <w:r w:rsidR="001918DA">
        <w:rPr>
          <w:rFonts w:ascii="Georgia" w:hAnsi="Georgia" w:cs="Helvetica Neue"/>
          <w:color w:val="000000" w:themeColor="text1"/>
          <w:lang w:val="en-GB"/>
        </w:rPr>
        <w:t xml:space="preserve">Atlantic </w:t>
      </w:r>
      <w:r w:rsidRPr="00286ECD">
        <w:rPr>
          <w:rFonts w:ascii="Georgia" w:hAnsi="Georgia" w:cs="Helvetica Neue"/>
          <w:color w:val="000000" w:themeColor="text1"/>
          <w:lang w:val="en-GB"/>
        </w:rPr>
        <w:t>cod ecotypes</w:t>
      </w:r>
      <w:r>
        <w:rPr>
          <w:rFonts w:ascii="Georgia" w:hAnsi="Georgia" w:cs="Helvetica Neue"/>
          <w:color w:val="000000" w:themeColor="text1"/>
          <w:lang w:val="en-GB"/>
        </w:rPr>
        <w:t>, accounting for their different life history stages ranging from late larvae to juveniles, 2-year-olds, 3-year-olds, and older fish. T</w:t>
      </w:r>
      <w:r w:rsidRPr="00286ECD">
        <w:rPr>
          <w:rFonts w:ascii="Georgia" w:hAnsi="Georgia" w:cs="Helvetica Neue"/>
          <w:color w:val="000000" w:themeColor="text1"/>
          <w:lang w:val="en-GB"/>
        </w:rPr>
        <w:t xml:space="preserve">he average body size </w:t>
      </w:r>
      <w:r>
        <w:rPr>
          <w:rFonts w:ascii="Georgia" w:hAnsi="Georgia" w:cs="Helvetica Neue"/>
          <w:color w:val="000000" w:themeColor="text1"/>
          <w:lang w:val="en-GB"/>
        </w:rPr>
        <w:t xml:space="preserve">and weight </w:t>
      </w:r>
      <w:r w:rsidRPr="00286ECD">
        <w:rPr>
          <w:rFonts w:ascii="Georgia" w:hAnsi="Georgia" w:cs="Helvetica Neue"/>
          <w:color w:val="000000" w:themeColor="text1"/>
          <w:lang w:val="en-GB"/>
        </w:rPr>
        <w:t xml:space="preserve">of each age class for each fish species </w:t>
      </w:r>
      <w:r>
        <w:rPr>
          <w:rFonts w:ascii="Georgia" w:hAnsi="Georgia" w:cs="Helvetica Neue"/>
          <w:color w:val="000000" w:themeColor="text1"/>
          <w:lang w:val="en-GB"/>
        </w:rPr>
        <w:t xml:space="preserve">were estimated </w:t>
      </w:r>
      <w:r w:rsidRPr="00286ECD">
        <w:rPr>
          <w:rFonts w:ascii="Georgia" w:hAnsi="Georgia" w:cs="Helvetica Neue"/>
          <w:color w:val="000000" w:themeColor="text1"/>
          <w:lang w:val="en-GB"/>
        </w:rPr>
        <w:t xml:space="preserve">using </w:t>
      </w:r>
      <w:r>
        <w:rPr>
          <w:rFonts w:ascii="Georgia" w:hAnsi="Georgia" w:cs="Helvetica Neue"/>
          <w:color w:val="000000" w:themeColor="text1"/>
          <w:lang w:val="en-GB"/>
        </w:rPr>
        <w:t>species-specific</w:t>
      </w:r>
      <w:r w:rsidRPr="00286ECD">
        <w:rPr>
          <w:rFonts w:ascii="Georgia" w:hAnsi="Georgia" w:cs="Helvetica Neue"/>
          <w:color w:val="000000" w:themeColor="text1"/>
          <w:lang w:val="en-GB"/>
        </w:rPr>
        <w:t xml:space="preserve"> von </w:t>
      </w:r>
      <w:proofErr w:type="spellStart"/>
      <w:r w:rsidRPr="00286ECD">
        <w:rPr>
          <w:rFonts w:ascii="Georgia" w:hAnsi="Georgia" w:cs="Helvetica Neue"/>
          <w:color w:val="000000" w:themeColor="text1"/>
          <w:lang w:val="en-GB"/>
        </w:rPr>
        <w:t>Bertalanffy</w:t>
      </w:r>
      <w:proofErr w:type="spellEnd"/>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growth </w:t>
      </w:r>
      <w:r w:rsidRPr="00286ECD">
        <w:rPr>
          <w:rFonts w:ascii="Georgia" w:hAnsi="Georgia" w:cs="Helvetica Neue"/>
          <w:color w:val="000000" w:themeColor="text1"/>
          <w:lang w:val="en-GB"/>
        </w:rPr>
        <w:t>curve</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w:t>
      </w:r>
      <w:r w:rsidR="001918DA">
        <w:rPr>
          <w:rFonts w:ascii="Georgia" w:eastAsiaTheme="minorEastAsia" w:hAnsi="Georgia"/>
          <w:color w:val="000000" w:themeColor="text1"/>
          <w:lang w:val="en-GB"/>
        </w:rPr>
        <w:t>v</w:t>
      </w:r>
      <w:r w:rsidRPr="00286ECD">
        <w:rPr>
          <w:rFonts w:ascii="Georgia" w:eastAsiaTheme="minorEastAsia" w:hAnsi="Georgia"/>
          <w:color w:val="000000" w:themeColor="text1"/>
          <w:lang w:val="en-GB"/>
        </w:rPr>
        <w:t xml:space="preserve">on </w:t>
      </w:r>
      <w:proofErr w:type="spellStart"/>
      <w:r w:rsidRPr="00286ECD">
        <w:rPr>
          <w:rFonts w:ascii="Georgia" w:eastAsiaTheme="minorEastAsia" w:hAnsi="Georgia"/>
          <w:color w:val="000000" w:themeColor="text1"/>
          <w:lang w:val="en-GB"/>
        </w:rPr>
        <w:t>Bertalanffy</w:t>
      </w:r>
      <w:proofErr w:type="spellEnd"/>
      <w:r w:rsidRPr="00286ECD">
        <w:rPr>
          <w:rFonts w:ascii="Georgia" w:eastAsiaTheme="minorEastAsia" w:hAnsi="Georgia"/>
          <w:color w:val="000000" w:themeColor="text1"/>
          <w:lang w:val="en-GB"/>
        </w:rPr>
        <w:t xml:space="preserve"> 19</w:t>
      </w:r>
      <w:r>
        <w:rPr>
          <w:rFonts w:ascii="Georgia" w:eastAsiaTheme="minorEastAsia" w:hAnsi="Georgia"/>
          <w:color w:val="000000" w:themeColor="text1"/>
          <w:lang w:val="en-GB"/>
        </w:rPr>
        <w:t>38</w:t>
      </w:r>
      <w:r w:rsidRPr="00286ECD">
        <w:rPr>
          <w:rFonts w:ascii="Georgia" w:eastAsiaTheme="minorEastAsia" w:hAnsi="Georgia"/>
          <w:color w:val="000000" w:themeColor="text1"/>
          <w:lang w:val="en-GB"/>
        </w:rPr>
        <w:t>)</w:t>
      </w:r>
      <w:r>
        <w:rPr>
          <w:rFonts w:ascii="Georgia" w:eastAsiaTheme="minorEastAsia" w:hAnsi="Georgia"/>
          <w:color w:val="000000" w:themeColor="text1"/>
          <w:lang w:val="en-GB"/>
        </w:rPr>
        <w:t xml:space="preserve"> and length-weight relationship parameters (Froese 2006; </w:t>
      </w:r>
      <w:proofErr w:type="spellStart"/>
      <w:r>
        <w:rPr>
          <w:rFonts w:ascii="Georgia" w:eastAsiaTheme="minorEastAsia" w:hAnsi="Georgia"/>
          <w:color w:val="000000" w:themeColor="text1"/>
          <w:lang w:val="en-GB"/>
        </w:rPr>
        <w:t>Järvi</w:t>
      </w:r>
      <w:proofErr w:type="spellEnd"/>
      <w:r>
        <w:rPr>
          <w:rFonts w:ascii="Georgia" w:eastAsiaTheme="minorEastAsia" w:hAnsi="Georgia"/>
          <w:color w:val="000000" w:themeColor="text1"/>
          <w:lang w:val="en-GB"/>
        </w:rPr>
        <w:t xml:space="preserve"> 1920). </w:t>
      </w:r>
    </w:p>
    <w:p w14:paraId="442A140E"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Pr>
          <w:rFonts w:ascii="Georgia" w:hAnsi="Georgia" w:cs="Helvetica Neue"/>
          <w:color w:val="000000" w:themeColor="text1"/>
          <w:lang w:val="en-GB"/>
        </w:rPr>
        <w:t>Zooplankton</w:t>
      </w:r>
      <w:r w:rsidRPr="00286ECD">
        <w:rPr>
          <w:rFonts w:ascii="Georgia" w:hAnsi="Georgia" w:cs="Helvetica Neue"/>
          <w:color w:val="000000" w:themeColor="text1"/>
          <w:lang w:val="en-GB"/>
        </w:rPr>
        <w:t xml:space="preserve"> taxa </w:t>
      </w:r>
      <w:r>
        <w:rPr>
          <w:rFonts w:ascii="Georgia" w:hAnsi="Georgia" w:cs="Helvetica Neue"/>
          <w:color w:val="000000" w:themeColor="text1"/>
          <w:lang w:val="en-GB"/>
        </w:rPr>
        <w:t xml:space="preserve">was reported </w:t>
      </w:r>
      <w:r w:rsidRPr="00286ECD">
        <w:rPr>
          <w:rFonts w:ascii="Georgia" w:hAnsi="Georgia" w:cs="Helvetica Neue"/>
          <w:color w:val="000000" w:themeColor="text1"/>
          <w:lang w:val="en-GB"/>
        </w:rPr>
        <w:t xml:space="preserve">at the species level or higher and </w:t>
      </w:r>
      <w:r>
        <w:rPr>
          <w:rFonts w:ascii="Georgia" w:hAnsi="Georgia" w:cs="Helvetica Neue"/>
          <w:color w:val="000000" w:themeColor="text1"/>
          <w:lang w:val="en-GB"/>
        </w:rPr>
        <w:t xml:space="preserve">we </w:t>
      </w:r>
      <w:r w:rsidRPr="00286ECD">
        <w:rPr>
          <w:rFonts w:ascii="Georgia" w:hAnsi="Georgia" w:cs="Helvetica Neue"/>
          <w:color w:val="000000" w:themeColor="text1"/>
          <w:lang w:val="en-GB"/>
        </w:rPr>
        <w:t>conducted a literature search to estimate taxon-specific length, feeding mode, and carbon content</w:t>
      </w:r>
      <w:r>
        <w:rPr>
          <w:rFonts w:ascii="Georgia" w:hAnsi="Georgia" w:cs="Helvetica Neue"/>
          <w:color w:val="000000" w:themeColor="text1"/>
          <w:lang w:val="en-GB"/>
        </w:rPr>
        <w:t>. We grouped 48 z</w:t>
      </w:r>
      <w:r w:rsidRPr="00286ECD">
        <w:rPr>
          <w:rFonts w:ascii="Georgia" w:hAnsi="Georgia" w:cs="Helvetica Neue"/>
          <w:color w:val="000000" w:themeColor="text1"/>
          <w:lang w:val="en-GB"/>
        </w:rPr>
        <w:t xml:space="preserve">ooplankton </w:t>
      </w:r>
      <w:r>
        <w:rPr>
          <w:rFonts w:ascii="Georgia" w:hAnsi="Georgia" w:cs="Helvetica Neue"/>
          <w:color w:val="000000" w:themeColor="text1"/>
          <w:lang w:val="en-GB"/>
        </w:rPr>
        <w:t>taxa</w:t>
      </w:r>
      <w:r w:rsidRPr="00286ECD">
        <w:rPr>
          <w:rFonts w:ascii="Georgia" w:hAnsi="Georgia" w:cs="Helvetica Neue"/>
          <w:color w:val="000000" w:themeColor="text1"/>
          <w:lang w:val="en-GB"/>
        </w:rPr>
        <w:t xml:space="preserve"> into functional guilds based on size class and feeding mode</w:t>
      </w:r>
      <w:r>
        <w:rPr>
          <w:rFonts w:ascii="Georgia" w:hAnsi="Georgia" w:cs="Helvetica Neue"/>
          <w:color w:val="000000" w:themeColor="text1"/>
          <w:lang w:val="en-GB"/>
        </w:rPr>
        <w:t>, with</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w:t>
      </w:r>
      <w:r w:rsidRPr="00286ECD">
        <w:rPr>
          <w:rFonts w:ascii="Georgia" w:hAnsi="Georgia" w:cs="Helvetica Neue"/>
          <w:color w:val="000000" w:themeColor="text1"/>
          <w:lang w:val="en-GB"/>
        </w:rPr>
        <w:t xml:space="preserve">axa </w:t>
      </w:r>
      <w:r>
        <w:rPr>
          <w:rFonts w:ascii="Georgia" w:hAnsi="Georgia" w:cs="Helvetica Neue"/>
          <w:color w:val="000000" w:themeColor="text1"/>
          <w:lang w:val="en-GB"/>
        </w:rPr>
        <w:t>in</w:t>
      </w:r>
      <w:r w:rsidRPr="00286ECD">
        <w:rPr>
          <w:rFonts w:ascii="Georgia" w:hAnsi="Georgia" w:cs="Helvetica Neue"/>
          <w:color w:val="000000" w:themeColor="text1"/>
          <w:lang w:val="en-GB"/>
        </w:rPr>
        <w:t xml:space="preserve"> the same guild </w:t>
      </w:r>
      <w:r>
        <w:rPr>
          <w:rFonts w:ascii="Georgia" w:hAnsi="Georgia" w:cs="Helvetica Neue"/>
          <w:color w:val="000000" w:themeColor="text1"/>
          <w:lang w:val="en-GB"/>
        </w:rPr>
        <w:t>sharing</w:t>
      </w:r>
      <w:r w:rsidRPr="00286ECD">
        <w:rPr>
          <w:rFonts w:ascii="Georgia" w:hAnsi="Georgia" w:cs="Helvetica Neue"/>
          <w:color w:val="000000" w:themeColor="text1"/>
          <w:lang w:val="en-GB"/>
        </w:rPr>
        <w:t xml:space="preserve"> overlapping diet</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The</w:t>
      </w:r>
      <w:r w:rsidRPr="00286ECD">
        <w:rPr>
          <w:rFonts w:ascii="Georgia" w:hAnsi="Georgia" w:cs="Helvetica Neue"/>
          <w:color w:val="000000" w:themeColor="text1"/>
          <w:lang w:val="en-GB"/>
        </w:rPr>
        <w:t xml:space="preserve"> average dry carbon weight per individual (</w:t>
      </w:r>
      <w:r w:rsidRPr="00286ECD">
        <w:rPr>
          <w:rFonts w:ascii="Georgia" w:hAnsi="Georgia" w:cs="Helvetica Neue"/>
          <w:color w:val="000000" w:themeColor="text1"/>
          <w:lang w:val="en-GB"/>
        </w:rPr>
        <w:sym w:font="Symbol" w:char="F06D"/>
      </w:r>
      <w:r w:rsidRPr="00286ECD">
        <w:rPr>
          <w:rFonts w:ascii="Georgia" w:hAnsi="Georgia" w:cs="Helvetica Neue"/>
          <w:color w:val="000000" w:themeColor="text1"/>
          <w:lang w:val="en-GB"/>
        </w:rPr>
        <w:t>g C ind</w:t>
      </w:r>
      <w:r w:rsidRPr="00286ECD">
        <w:rPr>
          <w:rFonts w:ascii="Georgia" w:hAnsi="Georgia" w:cs="Helvetica Neue"/>
          <w:color w:val="000000" w:themeColor="text1"/>
          <w:vertAlign w:val="superscript"/>
          <w:lang w:val="en-GB"/>
        </w:rPr>
        <w:t>-1</w:t>
      </w:r>
      <w:r w:rsidRPr="00286ECD">
        <w:rPr>
          <w:rFonts w:ascii="Georgia" w:hAnsi="Georgia" w:cs="Helvetica Neue"/>
          <w:color w:val="000000" w:themeColor="text1"/>
          <w:lang w:val="en-GB"/>
        </w:rPr>
        <w:t>) for each functional guild</w:t>
      </w:r>
      <w:r>
        <w:rPr>
          <w:rFonts w:ascii="Georgia" w:hAnsi="Georgia" w:cs="Helvetica Neue"/>
          <w:color w:val="000000" w:themeColor="text1"/>
          <w:lang w:val="en-GB"/>
        </w:rPr>
        <w:t xml:space="preserve"> was calculated using</w:t>
      </w:r>
      <w:r w:rsidRPr="00286ECD">
        <w:rPr>
          <w:rFonts w:ascii="Georgia" w:hAnsi="Georgia" w:cs="Helvetica Neue"/>
          <w:color w:val="000000" w:themeColor="text1"/>
          <w:lang w:val="en-GB"/>
        </w:rPr>
        <w:t xml:space="preserve"> a weighted average </w:t>
      </w:r>
      <w:r>
        <w:rPr>
          <w:rFonts w:ascii="Georgia" w:hAnsi="Georgia" w:cs="Helvetica Neue"/>
          <w:color w:val="000000" w:themeColor="text1"/>
          <w:lang w:val="en-GB"/>
        </w:rPr>
        <w:t>based on</w:t>
      </w:r>
      <w:r w:rsidRPr="00286ECD">
        <w:rPr>
          <w:rFonts w:ascii="Georgia" w:hAnsi="Georgia" w:cs="Helvetica Neue"/>
          <w:color w:val="000000" w:themeColor="text1"/>
          <w:lang w:val="en-GB"/>
        </w:rPr>
        <w:t xml:space="preserve"> the</w:t>
      </w:r>
      <w:r>
        <w:rPr>
          <w:rFonts w:ascii="Georgia" w:hAnsi="Georgia" w:cs="Helvetica Neue"/>
          <w:color w:val="000000" w:themeColor="text1"/>
          <w:lang w:val="en-GB"/>
        </w:rPr>
        <w:t>ir</w:t>
      </w:r>
      <w:r w:rsidRPr="00286ECD">
        <w:rPr>
          <w:rFonts w:ascii="Georgia" w:hAnsi="Georgia" w:cs="Helvetica Neue"/>
          <w:color w:val="000000" w:themeColor="text1"/>
          <w:lang w:val="en-GB"/>
        </w:rPr>
        <w:t xml:space="preserve"> reported abundance</w:t>
      </w:r>
      <w:r>
        <w:rPr>
          <w:rFonts w:ascii="Georgia" w:hAnsi="Georgia" w:cs="Helvetica Neue"/>
          <w:color w:val="000000" w:themeColor="text1"/>
          <w:lang w:val="en-GB"/>
        </w:rPr>
        <w:t xml:space="preserve">s </w:t>
      </w:r>
      <w:r w:rsidRPr="00286ECD">
        <w:rPr>
          <w:rFonts w:ascii="Georgia" w:hAnsi="Georgia" w:cs="Helvetica Neue"/>
          <w:color w:val="000000" w:themeColor="text1"/>
          <w:lang w:val="en-GB"/>
        </w:rPr>
        <w:t xml:space="preserve">at the </w:t>
      </w:r>
      <w:proofErr w:type="spellStart"/>
      <w:r w:rsidRPr="00286ECD">
        <w:rPr>
          <w:rFonts w:ascii="Georgia" w:hAnsi="Georgia" w:cs="Helvetica Neue"/>
          <w:color w:val="000000" w:themeColor="text1"/>
          <w:lang w:val="en-GB"/>
        </w:rPr>
        <w:t>Arendal</w:t>
      </w:r>
      <w:proofErr w:type="spellEnd"/>
      <w:r w:rsidRPr="00286ECD">
        <w:rPr>
          <w:rFonts w:ascii="Georgia" w:hAnsi="Georgia" w:cs="Helvetica Neue"/>
          <w:color w:val="000000" w:themeColor="text1"/>
          <w:lang w:val="en-GB"/>
        </w:rPr>
        <w:t xml:space="preserve"> station in Skagerrak. </w:t>
      </w:r>
    </w:p>
    <w:p w14:paraId="1D503F78" w14:textId="528B9D80"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 xml:space="preserve">The carbon weight </w:t>
      </w:r>
      <w:r>
        <w:rPr>
          <w:rFonts w:ascii="Georgia" w:hAnsi="Georgia" w:cs="Helvetica Neue"/>
          <w:color w:val="000000" w:themeColor="text1"/>
          <w:lang w:val="en-GB"/>
        </w:rPr>
        <w:t xml:space="preserve">per individual for </w:t>
      </w:r>
      <w:r w:rsidRPr="00286ECD">
        <w:rPr>
          <w:rFonts w:ascii="Georgia" w:hAnsi="Georgia" w:cs="Helvetica Neue"/>
          <w:color w:val="000000" w:themeColor="text1"/>
          <w:lang w:val="en-GB"/>
        </w:rPr>
        <w:t xml:space="preserve">each </w:t>
      </w:r>
      <w:r>
        <w:rPr>
          <w:rFonts w:ascii="Georgia" w:hAnsi="Georgia" w:cs="Helvetica Neue"/>
          <w:color w:val="000000" w:themeColor="text1"/>
          <w:lang w:val="en-GB"/>
        </w:rPr>
        <w:t xml:space="preserve">of the 166 reported phytoplankton taxa </w:t>
      </w:r>
      <w:r w:rsidRPr="00286ECD">
        <w:rPr>
          <w:rFonts w:ascii="Georgia" w:hAnsi="Georgia" w:cs="Helvetica Neue"/>
          <w:color w:val="000000" w:themeColor="text1"/>
          <w:lang w:val="en-GB"/>
        </w:rPr>
        <w:t xml:space="preserve">was estimated according to </w:t>
      </w:r>
      <w:proofErr w:type="spellStart"/>
      <w:r w:rsidRPr="00286ECD">
        <w:rPr>
          <w:rFonts w:ascii="Georgia" w:hAnsi="Georgia" w:cs="Helvetica Neue"/>
          <w:color w:val="000000" w:themeColor="text1"/>
          <w:lang w:val="en-GB"/>
        </w:rPr>
        <w:t>Olenina</w:t>
      </w:r>
      <w:proofErr w:type="spellEnd"/>
      <w:r w:rsidRPr="00286ECD">
        <w:rPr>
          <w:rFonts w:ascii="Georgia" w:hAnsi="Georgia" w:cs="Helvetica Neue"/>
          <w:color w:val="000000" w:themeColor="text1"/>
          <w:lang w:val="en-GB"/>
        </w:rPr>
        <w:t xml:space="preserve"> et al. (2006)</w:t>
      </w:r>
      <w:r>
        <w:rPr>
          <w:rFonts w:ascii="Georgia" w:hAnsi="Georgia" w:cs="Helvetica Neue"/>
          <w:color w:val="000000" w:themeColor="text1"/>
          <w:lang w:val="en-GB"/>
        </w:rPr>
        <w:t>. Phytoplankton taxa</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were aggregated </w:t>
      </w:r>
      <w:r w:rsidRPr="00286ECD">
        <w:rPr>
          <w:rFonts w:ascii="Georgia" w:hAnsi="Georgia" w:cs="Helvetica Neue"/>
          <w:color w:val="000000" w:themeColor="text1"/>
          <w:lang w:val="en-GB"/>
        </w:rPr>
        <w:t>into functional guilds based on size class, motility, and feeding mode.</w:t>
      </w:r>
      <w:r>
        <w:rPr>
          <w:rFonts w:ascii="Georgia" w:hAnsi="Georgia" w:cs="Helvetica Neue"/>
          <w:color w:val="000000" w:themeColor="text1"/>
          <w:lang w:val="en-GB"/>
        </w:rPr>
        <w:t xml:space="preserve"> </w:t>
      </w:r>
      <w:r w:rsidRPr="00CA4C16">
        <w:rPr>
          <w:rFonts w:ascii="Georgia" w:hAnsi="Georgia" w:cs="Helvetica Neue"/>
          <w:color w:val="000000" w:themeColor="text1"/>
          <w:lang w:val="en-GB"/>
        </w:rPr>
        <w:t xml:space="preserve">Phytoplankton guilds consisted of autotrophic taxa and microzooplankton guilds of mixotrophic taxa. </w:t>
      </w:r>
      <w:r w:rsidRPr="00286ECD">
        <w:rPr>
          <w:rFonts w:ascii="Georgia" w:hAnsi="Georgia" w:cs="Helvetica Neue"/>
          <w:color w:val="000000" w:themeColor="text1"/>
          <w:lang w:val="en-GB"/>
        </w:rPr>
        <w:t xml:space="preserve">The average dry carbon weight of species within the same functional guild was calculated </w:t>
      </w:r>
      <w:r w:rsidRPr="00286ECD">
        <w:rPr>
          <w:rFonts w:ascii="Georgia" w:hAnsi="Georgia" w:cs="Helvetica Neue"/>
          <w:color w:val="000000" w:themeColor="text1"/>
          <w:lang w:val="en-GB"/>
        </w:rPr>
        <w:lastRenderedPageBreak/>
        <w:t>using a weighted average based on species abundance</w:t>
      </w:r>
      <w:r>
        <w:rPr>
          <w:rFonts w:ascii="Georgia" w:hAnsi="Georgia" w:cs="Helvetica Neue"/>
          <w:color w:val="000000" w:themeColor="text1"/>
          <w:lang w:val="en-GB"/>
        </w:rPr>
        <w:t xml:space="preserve">. </w:t>
      </w:r>
      <w:r>
        <w:rPr>
          <w:rFonts w:ascii="Georgia" w:eastAsiaTheme="minorEastAsia" w:hAnsi="Georgia"/>
          <w:color w:val="000000" w:themeColor="text1"/>
          <w:lang w:val="en-GB"/>
        </w:rPr>
        <w:t xml:space="preserve">Detailed descriptions of the study site, monitoring programs, and the food web </w:t>
      </w:r>
      <w:r w:rsidR="001918DA">
        <w:rPr>
          <w:rFonts w:ascii="Georgia" w:eastAsiaTheme="minorEastAsia" w:hAnsi="Georgia"/>
          <w:color w:val="000000" w:themeColor="text1"/>
          <w:lang w:val="en-GB"/>
        </w:rPr>
        <w:t xml:space="preserve">guilds </w:t>
      </w:r>
      <w:r>
        <w:rPr>
          <w:rFonts w:ascii="Georgia" w:eastAsiaTheme="minorEastAsia" w:hAnsi="Georgia"/>
          <w:color w:val="000000" w:themeColor="text1"/>
          <w:lang w:val="en-GB"/>
        </w:rPr>
        <w:t xml:space="preserve">parameterisation are available in </w:t>
      </w:r>
      <w:r w:rsidRPr="00CA4C16">
        <w:rPr>
          <w:rFonts w:ascii="Georgia" w:hAnsi="Georgia" w:cs="Helvetica Neue"/>
          <w:color w:val="000000" w:themeColor="text1"/>
          <w:lang w:val="en-GB"/>
        </w:rPr>
        <w:t xml:space="preserve">Supporting </w:t>
      </w:r>
      <w:r>
        <w:rPr>
          <w:rFonts w:ascii="Georgia" w:hAnsi="Georgia" w:cs="Helvetica Neue"/>
          <w:color w:val="000000" w:themeColor="text1"/>
          <w:lang w:val="en-GB"/>
        </w:rPr>
        <w:t>I</w:t>
      </w:r>
      <w:r w:rsidRPr="00CA4C16">
        <w:rPr>
          <w:rFonts w:ascii="Georgia" w:hAnsi="Georgia" w:cs="Helvetica Neue"/>
          <w:color w:val="000000" w:themeColor="text1"/>
          <w:lang w:val="en-GB"/>
        </w:rPr>
        <w:t>nformation S</w:t>
      </w:r>
      <w:r>
        <w:rPr>
          <w:rFonts w:ascii="Georgia" w:hAnsi="Georgia" w:cs="Helvetica Neue"/>
          <w:color w:val="000000" w:themeColor="text1"/>
          <w:lang w:val="en-GB"/>
        </w:rPr>
        <w:t>1-S5</w:t>
      </w:r>
      <w:r w:rsidRPr="00CA4C16">
        <w:rPr>
          <w:rFonts w:ascii="Georgia" w:hAnsi="Georgia" w:cs="Helvetica Neue"/>
          <w:color w:val="000000" w:themeColor="text1"/>
          <w:lang w:val="en-GB"/>
        </w:rPr>
        <w:t>.</w:t>
      </w:r>
    </w:p>
    <w:p w14:paraId="2A9FA507"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498ACD7E" w14:textId="3BDC8856"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0" w:name="OLE_LINK1"/>
      <w:bookmarkStart w:id="1" w:name="OLE_LINK2"/>
      <w:r w:rsidRPr="00286ECD">
        <w:rPr>
          <w:rFonts w:ascii="Georgia" w:hAnsi="Georgia" w:cs="Helvetica"/>
          <w:b/>
          <w:bCs/>
          <w:color w:val="000000" w:themeColor="text1"/>
          <w:lang w:val="en-GB"/>
        </w:rPr>
        <w:t xml:space="preserve">SKAGERRAK FOOD WEB LINKS. </w:t>
      </w:r>
      <w:r w:rsidRPr="00286ECD">
        <w:rPr>
          <w:rFonts w:ascii="Georgia" w:hAnsi="Georgia" w:cs="Helvetica Neue"/>
          <w:color w:val="000000" w:themeColor="text1"/>
          <w:lang w:val="en-GB"/>
        </w:rPr>
        <w:t xml:space="preserve">A link between two </w:t>
      </w:r>
      <w:r>
        <w:rPr>
          <w:rFonts w:ascii="Georgia" w:hAnsi="Georgia" w:cs="Helvetica Neue"/>
          <w:color w:val="000000" w:themeColor="text1"/>
          <w:lang w:val="en-GB"/>
        </w:rPr>
        <w:t>guild</w:t>
      </w:r>
      <w:r w:rsidRPr="00286ECD">
        <w:rPr>
          <w:rFonts w:ascii="Georgia" w:hAnsi="Georgia" w:cs="Helvetica Neue"/>
          <w:color w:val="000000" w:themeColor="text1"/>
          <w:lang w:val="en-GB"/>
        </w:rPr>
        <w:t>s represents a realized or potential feeding interaction, based on a literature review of foraging and diet studies conducted in Skagerrak or similar areas</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and </w:t>
      </w:r>
      <w:r>
        <w:rPr>
          <w:rFonts w:ascii="Georgia" w:hAnsi="Georgia" w:cs="Helvetica Neue"/>
          <w:color w:val="000000" w:themeColor="text1"/>
          <w:lang w:val="en-GB"/>
        </w:rPr>
        <w:t xml:space="preserve">information from </w:t>
      </w:r>
      <w:proofErr w:type="spellStart"/>
      <w:r w:rsidRPr="00286ECD">
        <w:rPr>
          <w:rFonts w:ascii="Georgia" w:hAnsi="Georgia" w:cs="Helvetica Neue"/>
          <w:color w:val="000000" w:themeColor="text1"/>
          <w:lang w:val="en-GB"/>
        </w:rPr>
        <w:t>FishBase</w:t>
      </w:r>
      <w:proofErr w:type="spellEnd"/>
      <w:r w:rsidRPr="00286ECD">
        <w:rPr>
          <w:rFonts w:ascii="Georgia" w:hAnsi="Georgia" w:cs="Helvetica Neue"/>
          <w:color w:val="000000" w:themeColor="text1"/>
          <w:lang w:val="en-GB"/>
        </w:rPr>
        <w:t xml:space="preserve"> (</w:t>
      </w:r>
      <w:r w:rsidRPr="00286ECD">
        <w:rPr>
          <w:rFonts w:ascii="Georgia" w:hAnsi="Georgia" w:cs="Helvetica Neue"/>
          <w:noProof/>
          <w:color w:val="000000" w:themeColor="text1"/>
          <w:lang w:val="en-GB"/>
        </w:rPr>
        <w:t>Froese &amp; Pauly 202</w:t>
      </w:r>
      <w:r w:rsidR="00136912">
        <w:rPr>
          <w:rFonts w:ascii="Georgia" w:hAnsi="Georgia" w:cs="Helvetica Neue"/>
          <w:noProof/>
          <w:color w:val="000000" w:themeColor="text1"/>
          <w:lang w:val="en-GB"/>
        </w:rPr>
        <w:t>4</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When</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relevant </w:t>
      </w:r>
      <w:r w:rsidRPr="00286ECD">
        <w:rPr>
          <w:rFonts w:ascii="Georgia" w:hAnsi="Georgia" w:cs="Helvetica Neue"/>
          <w:color w:val="000000" w:themeColor="text1"/>
          <w:lang w:val="en-GB"/>
        </w:rPr>
        <w:t xml:space="preserve">information about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feeding ecology of a species or its </w:t>
      </w:r>
      <w:proofErr w:type="gramStart"/>
      <w:r w:rsidRPr="00286ECD">
        <w:rPr>
          <w:rFonts w:ascii="Georgia" w:hAnsi="Georgia" w:cs="Helvetica Neue"/>
          <w:color w:val="000000" w:themeColor="text1"/>
          <w:lang w:val="en-GB"/>
        </w:rPr>
        <w:t>particula</w:t>
      </w:r>
      <w:r>
        <w:rPr>
          <w:rFonts w:ascii="Georgia" w:hAnsi="Georgia" w:cs="Helvetica Neue"/>
          <w:color w:val="000000" w:themeColor="text1"/>
          <w:lang w:val="en-GB"/>
        </w:rPr>
        <w:t>r</w:t>
      </w:r>
      <w:r w:rsidRPr="00286ECD">
        <w:rPr>
          <w:rFonts w:ascii="Georgia" w:hAnsi="Georgia" w:cs="Helvetica Neue"/>
          <w:color w:val="000000" w:themeColor="text1"/>
          <w:lang w:val="en-GB"/>
        </w:rPr>
        <w:t xml:space="preserve"> life</w:t>
      </w:r>
      <w:proofErr w:type="gramEnd"/>
      <w:r w:rsidRPr="00286ECD">
        <w:rPr>
          <w:rFonts w:ascii="Georgia" w:hAnsi="Georgia" w:cs="Helvetica Neue"/>
          <w:color w:val="000000" w:themeColor="text1"/>
          <w:lang w:val="en-GB"/>
        </w:rPr>
        <w:t xml:space="preserve"> history stage was</w:t>
      </w:r>
      <w:r>
        <w:rPr>
          <w:rFonts w:ascii="Georgia" w:hAnsi="Georgia" w:cs="Helvetica Neue"/>
          <w:color w:val="000000" w:themeColor="text1"/>
          <w:lang w:val="en-GB"/>
        </w:rPr>
        <w:t xml:space="preserve"> lacking</w:t>
      </w:r>
      <w:r w:rsidRPr="00286ECD">
        <w:rPr>
          <w:rFonts w:ascii="Georgia" w:hAnsi="Georgia" w:cs="Helvetica Neue"/>
          <w:color w:val="000000" w:themeColor="text1"/>
          <w:lang w:val="en-GB"/>
        </w:rPr>
        <w:t xml:space="preserve">, we inferred feeding connections by adopting four assumptions. First, we assumed that closely related taxa or those sharing similar ecological traits could share similar feeding interactions. Second, considering that fish predators are often gape-limited and size-selective, predation occurred within a limited size range of prey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{"citationItems":[{"id":"ITEM-1","itemData":{"DOI":"10.1371/journal.pone.0194092","ISBN":"1111111111","ISSN":"19326203","PMID":"29543856","abstract":"Body size governs predator-prey interactions, which in turn structure populations, communities, and food webs. Understanding predator-prey size relationships is valuable from a theoretical perspective, in basic research, and for management applications. However, predator-prey size data are limited and costly to acquire. We quantified predator-prey total length and mass relationships for several freshwater piscivorous taxa: crappie (Pomoxis spp.), largemouth bass (Micropterus salmoides), muskellunge (Esox masquinongy), northern pike (Esox lucius), rock bass (Ambloplites rupestris), smallmouth bass (Micropterus dolomieu), and walleye (Sander vitreus). The range of prey total lengths increased with predator total length. The median and maximum ingested prey total length varied with predator taxon and length, but generally ranged from 10–20% and 32–46% of predator total length, respectively. Predators tended to consume larger fusiform prey than laterally compressed prey. With the exception of large muskellunge, predators most commonly consumed prey between 16 and 73 mm. A sensitivity analysis indicated estimates can be very accurate at sample sizes greater than 1,000 diet items and fairly accurate at sample sizes greater than 100. However, sample sizes less than 50 should be evaluated with caution. Furthermore, median log10 predator-prey body mass ratios ranged from 1.9–2.5, nearly 50% lower than values previously reported for freshwater fishes. Managers, researchers, and modelers could use our findings as a tool for numerous predator-prey evaluations from stocking size optimization to individual-based bioenergetics analyses identifying prey size structure. To this end, we have developed a web-based user interface to maximize the utility of our models that can be found at www.LakeEcologyLab.org/pred_prey.","author":[{"dropping-particle":"","family":"Gaeta","given":"Jereme W.","non-dropping-particle":"","parse-names":false,"suffix":""},{"dropping-particle":"","family":"Ahrenstorff","given":"Tyler D.","non-dropping-particle":"","parse-names":false,"suffix":""},{"dropping-particle":"","family":"Diana","given":"James S.","non-dropping-particle":"","parse-names":false,"suffix":""},{"dropping-particle":"","family":"Fetzer","given":"William W.","non-dropping-particle":"","parse-names":false,"suffix":""},{"dropping-particle":"","family":"Jones","given":"Thomas S.","non-dropping-particle":"","parse-names":false,"suffix":""},{"dropping-particle":"","family":"Lawson","given":"Zach J.","non-dropping-particle":"","parse-names":false,"suffix":""},{"dropping-particle":"","family":"McInerny","given":"Michael C.","non-dropping-particle":"","parse-names":false,"suffix":""},{"dropping-particle":"","family":"Santucci","given":"Victor J.","non-dropping-particle":"","parse-names":false,"suffix":""},{"dropping-particle":"Vander","family":"Zanden","given":"M. Jake","non-dropping-particle":"","parse-names":false,"suffix":""}],"container-title":"PLoS ONE","id":"ITEM-1","issue":"3","issued":{"date-parts":[["2018"]]},"page":"1-20","title":"Go big or . . . don’t? A field-based diet evaluation of freshwater piscivore and prey fish size relationships","type":"article-journal","volume":"13"},"uris":["http://www.mendeley.com/documents/?uuid=ece2b0dc-65af-42e5-8661-9d12fcce981b"]}],"mendeley":{"formattedCitation":"(Gaeta et al., 2018)","plainTextFormattedCitation":"(Gaeta et al., 2018)","previouslyFormattedCitation":"(Gaeta et al., 2018)"},"properties":{"noteIndex":0},"schema":"https://github.com/citation-style-language/schema/raw/master/csl-citation.json"}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(Gaeta et al. 2018)</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Third, we excluded cannibalism, meaning species could not prey upon their younger life stages. It is noteworthy that cannibalism can be common and significant in </w:t>
      </w:r>
      <w:r>
        <w:rPr>
          <w:rFonts w:ascii="Georgia" w:hAnsi="Georgia" w:cs="Helvetica Neue"/>
          <w:color w:val="000000" w:themeColor="text1"/>
          <w:lang w:val="en-GB"/>
        </w:rPr>
        <w:t>some</w:t>
      </w:r>
      <w:r w:rsidRPr="00286ECD">
        <w:rPr>
          <w:rFonts w:ascii="Georgia" w:hAnsi="Georgia" w:cs="Helvetica Neue"/>
          <w:color w:val="000000" w:themeColor="text1"/>
          <w:lang w:val="en-GB"/>
        </w:rPr>
        <w:t xml:space="preserve"> systems for larger individuals of species </w:t>
      </w:r>
      <w:r>
        <w:rPr>
          <w:rFonts w:ascii="Georgia" w:hAnsi="Georgia" w:cs="Helvetica Neue"/>
          <w:color w:val="000000" w:themeColor="text1"/>
          <w:lang w:val="en-GB"/>
        </w:rPr>
        <w:t>like</w:t>
      </w:r>
      <w:r w:rsidRPr="00286ECD">
        <w:rPr>
          <w:rFonts w:ascii="Georgia" w:hAnsi="Georgia" w:cs="Helvetica Neue"/>
          <w:color w:val="000000" w:themeColor="text1"/>
          <w:lang w:val="en-GB"/>
        </w:rPr>
        <w:t xml:space="preserve"> Atlantic cod (Holt et al. 2019</w:t>
      </w:r>
      <w:r w:rsidR="00B11149">
        <w:rPr>
          <w:rFonts w:ascii="Georgia" w:hAnsi="Georgia" w:cs="Helvetica Neue"/>
          <w:color w:val="000000" w:themeColor="text1"/>
          <w:lang w:val="en-GB"/>
        </w:rPr>
        <w:t xml:space="preserve">; </w:t>
      </w:r>
      <w:proofErr w:type="spellStart"/>
      <w:r w:rsidR="00B11149">
        <w:rPr>
          <w:rFonts w:ascii="Georgia" w:hAnsi="Georgia" w:cs="Helvetica Neue"/>
          <w:color w:val="000000" w:themeColor="text1"/>
          <w:lang w:val="en-GB"/>
        </w:rPr>
        <w:t>Yaragina</w:t>
      </w:r>
      <w:proofErr w:type="spellEnd"/>
      <w:r w:rsidR="00B11149">
        <w:rPr>
          <w:rFonts w:ascii="Georgia" w:hAnsi="Georgia" w:cs="Helvetica Neue"/>
          <w:color w:val="000000" w:themeColor="text1"/>
          <w:lang w:val="en-GB"/>
        </w:rPr>
        <w:t xml:space="preserve"> et al. 2018; Link &amp; Garrison 2002</w:t>
      </w:r>
      <w:r w:rsidRPr="00286ECD">
        <w:rPr>
          <w:rFonts w:ascii="Georgia" w:hAnsi="Georgia" w:cs="Helvetica Neue"/>
          <w:color w:val="000000" w:themeColor="text1"/>
          <w:lang w:val="en-GB"/>
        </w:rPr>
        <w:t>), but available data does not suggest it as a major link in Skagerrak (Hop et al. 1992; our data). Lastly, we did not account for spatial or temporal variability in the diet of species but assumed a consistent composition and linking of the food web during and between years or simulation steps.</w:t>
      </w:r>
    </w:p>
    <w:p w14:paraId="6CFA2D58"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2" w:name="OLE_LINK3"/>
      <w:bookmarkStart w:id="3" w:name="OLE_LINK4"/>
      <w:bookmarkEnd w:id="0"/>
      <w:bookmarkEnd w:id="1"/>
      <w:r w:rsidRPr="00286ECD">
        <w:rPr>
          <w:rFonts w:ascii="Georgia" w:hAnsi="Georgia" w:cs="Helvetica Neue"/>
          <w:color w:val="000000" w:themeColor="text1"/>
          <w:lang w:val="en-GB"/>
        </w:rPr>
        <w:t xml:space="preserve">The diet of cod ecotypes was </w:t>
      </w:r>
      <w:r>
        <w:rPr>
          <w:rFonts w:ascii="Georgia" w:hAnsi="Georgia" w:cs="Helvetica Neue"/>
          <w:color w:val="000000" w:themeColor="text1"/>
          <w:lang w:val="en-GB"/>
        </w:rPr>
        <w:t>determined from</w:t>
      </w:r>
      <w:r w:rsidRPr="00286ECD">
        <w:rPr>
          <w:rFonts w:ascii="Georgia" w:hAnsi="Georgia" w:cs="Helvetica Neue"/>
          <w:color w:val="000000" w:themeColor="text1"/>
          <w:lang w:val="en-GB"/>
        </w:rPr>
        <w:t xml:space="preserve"> stomach data analyses of 1308 Atlantic cod captured at five locations along the Norwegian Skagerrak coast in November and December during the years 2010, 2011, and 2012. </w:t>
      </w:r>
      <w:r>
        <w:rPr>
          <w:rFonts w:ascii="Georgia" w:hAnsi="Georgia" w:cs="Helvetica Neue"/>
          <w:color w:val="000000" w:themeColor="text1"/>
          <w:lang w:val="en-GB"/>
        </w:rPr>
        <w:t>Although</w:t>
      </w:r>
      <w:r w:rsidRPr="00286ECD">
        <w:rPr>
          <w:rFonts w:ascii="Georgia" w:hAnsi="Georgia" w:cs="Helvetica Neue"/>
          <w:color w:val="000000" w:themeColor="text1"/>
          <w:lang w:val="en-GB"/>
        </w:rPr>
        <w:t xml:space="preserve"> the dataset did not specify the ecotypes, it include</w:t>
      </w:r>
      <w:r>
        <w:rPr>
          <w:rFonts w:ascii="Georgia" w:hAnsi="Georgia" w:cs="Helvetica Neue"/>
          <w:color w:val="000000" w:themeColor="text1"/>
          <w:lang w:val="en-GB"/>
        </w:rPr>
        <w:t>d</w:t>
      </w:r>
      <w:r w:rsidRPr="00286ECD">
        <w:rPr>
          <w:rFonts w:ascii="Georgia" w:hAnsi="Georgia" w:cs="Helvetica Neue"/>
          <w:color w:val="000000" w:themeColor="text1"/>
          <w:lang w:val="en-GB"/>
        </w:rPr>
        <w:t xml:space="preserve"> the length of each sampled individual. We </w:t>
      </w:r>
      <w:r>
        <w:rPr>
          <w:rFonts w:ascii="Georgia" w:hAnsi="Georgia" w:cs="Helvetica Neue"/>
          <w:color w:val="000000" w:themeColor="text1"/>
          <w:lang w:val="en-GB"/>
        </w:rPr>
        <w:t>categorized</w:t>
      </w:r>
      <w:r w:rsidRPr="00286ECD">
        <w:rPr>
          <w:rFonts w:ascii="Georgia" w:hAnsi="Georgia" w:cs="Helvetica Neue"/>
          <w:color w:val="000000" w:themeColor="text1"/>
          <w:lang w:val="en-GB"/>
        </w:rPr>
        <w:t xml:space="preserve"> the </w:t>
      </w:r>
      <w:r>
        <w:rPr>
          <w:rFonts w:ascii="Georgia" w:hAnsi="Georgia" w:cs="Helvetica Neue"/>
          <w:color w:val="000000" w:themeColor="text1"/>
          <w:lang w:val="en-GB"/>
        </w:rPr>
        <w:t>stomach content data</w:t>
      </w:r>
      <w:r w:rsidRPr="00286ECD">
        <w:rPr>
          <w:rFonts w:ascii="Georgia" w:hAnsi="Georgia" w:cs="Helvetica Neue"/>
          <w:color w:val="000000" w:themeColor="text1"/>
          <w:lang w:val="en-GB"/>
        </w:rPr>
        <w:t xml:space="preserve"> into the Fjord and North Sea ecotype age classes</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based on the reported body lengths. </w:t>
      </w:r>
      <w:r>
        <w:rPr>
          <w:rFonts w:ascii="Georgia" w:hAnsi="Georgia" w:cs="Helvetica Neue"/>
          <w:color w:val="000000" w:themeColor="text1"/>
          <w:lang w:val="en-GB"/>
        </w:rPr>
        <w:t>Thus</w:t>
      </w:r>
      <w:r w:rsidRPr="00286ECD">
        <w:rPr>
          <w:rFonts w:ascii="Georgia" w:hAnsi="Georgia" w:cs="Helvetica Neue"/>
          <w:color w:val="000000" w:themeColor="text1"/>
          <w:lang w:val="en-GB"/>
        </w:rPr>
        <w:t xml:space="preserve">, the diet of each life history stage of each cod ecotype </w:t>
      </w:r>
      <w:r w:rsidRPr="00286ECD">
        <w:rPr>
          <w:rFonts w:ascii="Georgia" w:hAnsi="Georgia" w:cs="Helvetica Neue"/>
          <w:color w:val="000000" w:themeColor="text1"/>
          <w:lang w:val="en-GB"/>
        </w:rPr>
        <w:lastRenderedPageBreak/>
        <w:t xml:space="preserve">reflects the prey found </w:t>
      </w:r>
      <w:r>
        <w:rPr>
          <w:rFonts w:ascii="Georgia" w:hAnsi="Georgia" w:cs="Helvetica Neue"/>
          <w:color w:val="000000" w:themeColor="text1"/>
          <w:lang w:val="en-GB"/>
        </w:rPr>
        <w:t>in similarly</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sized sampled cod.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Additionally</w:t>
      </w:r>
      <w:r w:rsidRPr="00286ECD">
        <w:rPr>
          <w:rFonts w:ascii="Georgia" w:hAnsi="Georgia" w:cs="Helvetica Neue"/>
          <w:color w:val="000000" w:themeColor="text1"/>
          <w:lang w:val="en-GB"/>
        </w:rPr>
        <w:t xml:space="preserve">, we accounted for the ecotype diet preferences indicated by isotope analyses of the Fjord and North Sea ecotypes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{"citationItems":[{"id":"ITEM-1","itemData":{"DOI":"10.1002/ece3.7939","ISSN":"20457758","abstract":"Coexistence of ecotypes, genetically divergent population units, is a widespread phenomenon, potentially affecting ecosystem functioning and local food web stability. In coastal Skagerrak, Atlantic cod (Gadus morhua) occur as two such coexisting ecotypes. We applied a combination of acoustic telemetry, genotyping, and stable isotope analysis to 72 individuals to investigate movement ecology and food niche of putative local “Fjord” and putative oceanic “North Sea” ecotypes—thus named based on previous molecular studies. Genotyping and individual origin assignment suggested 41 individuals were Fjord and 31 were North Sea ecotypes. Both ecotypes were found throughout the fjord. Seven percent of Fjord ecotype individuals left the study system during the study while 42% of North Sea individuals left, potentially homing to natal spawning grounds. Home range sizes were similar for the two ecotypes but highly variable among individuals. Fjord ecotype cod had significantly higher δ13C and δ15N stable isotope values than North Sea ecotype cod, suggesting they exploited different food niches. The results suggest coexisting ecotypes may possess innate differences in feeding and movement ecologies and may thus fill different functional roles in marine ecosystems. This highlights the importance of conserving interconnected populations to ensure stable ecosystem functioning and food web structures.","author":[{"dropping-particle":"","family":"Kristensen","given":"Martin Lykke","non-dropping-particle":"","parse-names":false,"suffix":""},{"dropping-particle":"","family":"Olsen","given":"Esben Moland","non-dropping-particle":"","parse-names":false,"suffix":""},{"dropping-particle":"","family":"Moland","given":"Even","non-dropping-particle":"","parse-names":false,"suffix":""},{"dropping-particle":"","family":"Knutsen","given":"Halvor","non-dropping-particle":"","parse-names":false,"suffix":""},{"dropping-particle":"","family":"Grønkjær","given":"Peter","non-dropping-particle":"","parse-names":false,"suffix":""},{"dropping-particle":"","family":"Koed","given":"Anders","non-dropping-particle":"","parse-names":false,"suffix":""},{"dropping-particle":"","family":"Källo","given":"Kristi","non-dropping-particle":"","parse-names":false,"suffix":""},{"dropping-particle":"","family":"Aarestrup","given":"Kim","non-dropping-particle":"","parse-names":false,"suffix":""}],"container-title":"Ecology and Evolution","id":"ITEM-1","issue":"16","issued":{"date-parts":[["2021"]]},"page":"11477-11490","title":"Disparate movement behavior and feeding ecology in sympatric ecotypes of Atlantic cod","type":"article-journal","volume":"11"},"uris":["http://www.mendeley.com/documents/?uuid=db0ec745-58b2-4fa1-a5e4-99ef4d589a7a"]}],"mendeley":{"formattedCitation":"(Kristensen et al., 2021)","plainTextFormattedCitation":"(Kristensen et al., 2021)","previouslyFormattedCitation":"(Kristensen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(Kristensen et al.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prey size preference</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based on observations of North Sea cod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10.1139/F03-007","author":[{"dropping-particle":"","family":"Floeter","given":"Jens","non-dropping-particle":"","parse-names":false,"suffix":""},{"dropping-particle":"","family":"Temming","given":"Axel","non-dropping-particle":"","parse-names":false,"suffix":""}],"id":"ITEM-1","issued":{"date-parts":[["2003"]]},"page":"140-150","title":"Explaining diet composition of North Sea cod ( Gadus morhua ): prey size preference vs . prey availability","type":"article-journal","volume":"150"},"uris":["http://www.mendeley.com/documents/?uuid=126fabdb-ac8b-4ab4-9fdf-0a354d5d05fb"]}],"mendeley":{"formattedCitation":"(Floeter &amp; Temming, 2003)","plainTextFormattedCitation":"(Floeter &amp; Temming, 2003)","previouslyFormattedCitation":"(Floeter &amp; Temming, 2003)"},"properties":{"noteIndex":0},"schema":"https://github.com/citation-style-language/schema/raw/master/csl-citation.json"}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(Floeter &amp; Temming 2003)</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and reported feeding observations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{"citationItems":[{"id":"ITEM-1","itemData":{"DOI":"10.1093/icesjms/49.4.453","ISSN":"10959289","abstract":"Cod (Gadus morhua L.) is the most important species for the coastal fishery of southern Norway, but the feeding habits of cod in this area are virtually unknown. We studied the seasonal feeding ecology of cod from two locations on this coast, the Risorfjord and Flodevigen areas, during the period 1986-1989.The diet of cod, expressed as frequency of occurrence of prey items, varied seasonally.During the winter, larger cod (&gt; 15 cm) preyed mainly on caridean shrimp, anomuran crabs, and fish. Prey fish were predominantly gobiids, and, to a lesser extent, gadids.During the spring and summer less shrimp and fish, and more brachyuran crabs, were taken. Fish and brachyuran crabs were both taken frequently during the autumn. Small cod (&lt; 15 cm) ate a variety of zooplanktonic organisms, but included fish in the diet during autumn. Diets of larger cod differed between the two study areas. Fish from the Flodevigen area preyed on a broader spectrum of prey than Risorfjord cod. Stomach fullness varied little seasonally, but cod from the Flodevigen area tended to have more food in their stomachs than those from Risorfjord. Availability and diversity of prey were probably greater in the Flodevigen area, although there was no indication that food availability was critically low in the Riserfjord area. © 1992 Oxford University Press.","author":[{"dropping-particle":"","family":"Hop","given":"Haakon","non-dropping-particle":"","parse-names":false,"suffix":""},{"dropping-particle":"","family":"Gjosseter","given":"Jakob","non-dropping-particle":"","parse-names":false,"suffix":""},{"dropping-particle":"","family":"Danielssen","given":"Didrik S.","non-dropping-particle":"","parse-names":false,"suffix":""}],"container-title":"ICES Journal of Marine Science","id":"ITEM-1","issue":"4","issued":{"date-parts":[["1992"]]},"page":"453-461","title":"Seasonal feeding ecology of cod (Gadus morhua l.) on the norwegian skagerrak coast","type":"article-journal","volume":"49"},"uris":["http://www.mendeley.com/documents/?uuid=b67b048b-6ac6-44bc-b998-61c6e72ef45f"]}],"mendeley":{"formattedCitation":"(Hop et al., 1992)","plainTextFormattedCitation":"(Hop et al., 1992)","previouslyFormattedCitation":"(Hop et al., 1992)"},"properties":{"noteIndex":0},"schema":"https://github.com/citation-style-language/schema/raw/master/csl-citation.json"}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(Hop et al. 1992)</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 list of feeding links is available in Supporting Information S6.</w:t>
      </w:r>
    </w:p>
    <w:bookmarkEnd w:id="2"/>
    <w:bookmarkEnd w:id="3"/>
    <w:p w14:paraId="54AA6940"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2894A5D3" w14:textId="1F09ABFC"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4" w:name="OLE_LINK5"/>
      <w:bookmarkStart w:id="5" w:name="OLE_LINK6"/>
      <w:r w:rsidRPr="00286ECD">
        <w:rPr>
          <w:rFonts w:ascii="Georgia" w:hAnsi="Georgia" w:cs="Helvetica"/>
          <w:b/>
          <w:bCs/>
          <w:color w:val="000000" w:themeColor="text1"/>
          <w:lang w:val="en-GB"/>
        </w:rPr>
        <w:t xml:space="preserve">FOOD WEB METRICS. </w:t>
      </w:r>
      <w:r>
        <w:rPr>
          <w:rFonts w:ascii="Georgia" w:hAnsi="Georgia" w:cs="Helvetica Neue"/>
          <w:color w:val="000000" w:themeColor="text1"/>
          <w:lang w:val="en-GB"/>
        </w:rPr>
        <w:t>To</w:t>
      </w:r>
      <w:r w:rsidRPr="00286ECD">
        <w:rPr>
          <w:rFonts w:ascii="Georgia" w:hAnsi="Georgia" w:cs="Helvetica Neue"/>
          <w:color w:val="000000" w:themeColor="text1"/>
          <w:lang w:val="en-GB"/>
        </w:rPr>
        <w:t xml:space="preserve"> assess the </w:t>
      </w:r>
      <w:r>
        <w:rPr>
          <w:rFonts w:ascii="Georgia" w:hAnsi="Georgia" w:cs="Helvetica Neue"/>
          <w:color w:val="000000" w:themeColor="text1"/>
          <w:lang w:val="en-GB"/>
        </w:rPr>
        <w:t xml:space="preserve">structural </w:t>
      </w:r>
      <w:r w:rsidRPr="00286ECD">
        <w:rPr>
          <w:rFonts w:ascii="Georgia" w:hAnsi="Georgia" w:cs="Helvetica Neue"/>
          <w:color w:val="000000" w:themeColor="text1"/>
          <w:lang w:val="en-GB"/>
        </w:rPr>
        <w:t>characteristics of the food webs</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we estimated</w:t>
      </w:r>
      <w:r w:rsidRPr="00286ECD">
        <w:rPr>
          <w:rFonts w:ascii="Georgia" w:hAnsi="Georgia" w:cs="Helvetica Neue"/>
          <w:color w:val="000000" w:themeColor="text1"/>
          <w:lang w:val="en-GB"/>
        </w:rPr>
        <w:t xml:space="preserve"> 18 metrics</w:t>
      </w:r>
      <w:r>
        <w:rPr>
          <w:rFonts w:ascii="Georgia" w:hAnsi="Georgia" w:cs="Helvetica Neue"/>
          <w:color w:val="000000" w:themeColor="text1"/>
          <w:lang w:val="en-GB"/>
        </w:rPr>
        <w:t xml:space="preserve"> that</w:t>
      </w:r>
      <w:r w:rsidRPr="00286ECD">
        <w:rPr>
          <w:rFonts w:ascii="Georgia" w:hAnsi="Georgia" w:cs="Helvetica Neue"/>
          <w:color w:val="000000" w:themeColor="text1"/>
          <w:lang w:val="en-GB"/>
        </w:rPr>
        <w:t xml:space="preserve"> provide insights into various aspects of food web structure</w:t>
      </w:r>
      <w:r>
        <w:rPr>
          <w:rFonts w:ascii="Georgia" w:hAnsi="Georgia" w:cs="Helvetica Neue"/>
          <w:color w:val="000000" w:themeColor="text1"/>
          <w:lang w:val="en-GB"/>
        </w:rPr>
        <w:t>. These metrics include</w:t>
      </w:r>
      <w:r w:rsidRPr="00286ECD">
        <w:rPr>
          <w:rFonts w:ascii="Georgia" w:hAnsi="Georgia" w:cs="Helvetica Neue"/>
          <w:color w:val="000000" w:themeColor="text1"/>
          <w:lang w:val="en-GB"/>
        </w:rPr>
        <w:t xml:space="preserve"> fundamental properties such as the number of functional guilds (S), potential number of feeding interactions (L</w:t>
      </w:r>
      <w:r w:rsidRPr="00286ECD">
        <w:rPr>
          <w:rFonts w:ascii="Georgia" w:hAnsi="Georgia" w:cs="Helvetica Neue"/>
          <w:color w:val="000000" w:themeColor="text1"/>
          <w:vertAlign w:val="subscript"/>
          <w:lang w:val="en-GB"/>
        </w:rPr>
        <w:t>P</w:t>
      </w:r>
      <w:r w:rsidRPr="00286ECD">
        <w:rPr>
          <w:rFonts w:ascii="Georgia" w:hAnsi="Georgia" w:cs="Helvetica Neue"/>
          <w:color w:val="000000" w:themeColor="text1"/>
          <w:lang w:val="en-GB"/>
        </w:rPr>
        <w:t xml:space="preserve">), realized feeding interactions (L), linkage density (Z),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(C),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-weighted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(C</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generality (G), normalized standard deviation of generality (G</w:t>
      </w:r>
      <w:r w:rsidRPr="00286ECD">
        <w:rPr>
          <w:rFonts w:ascii="Georgia" w:hAnsi="Georgia" w:cs="Helvetica Neue"/>
          <w:color w:val="000000" w:themeColor="text1"/>
          <w:vertAlign w:val="subscript"/>
          <w:lang w:val="en-GB"/>
        </w:rPr>
        <w:t>SD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generality (G</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vulnerability (V), normalized standard deviation of vulnerability (V</w:t>
      </w:r>
      <w:r w:rsidRPr="00286ECD">
        <w:rPr>
          <w:rFonts w:ascii="Georgia" w:hAnsi="Georgia" w:cs="Helvetica Neue"/>
          <w:color w:val="000000" w:themeColor="text1"/>
          <w:vertAlign w:val="subscript"/>
          <w:lang w:val="en-GB"/>
        </w:rPr>
        <w:t>SD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vulnerability (V</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average length of food chains (D), mean and maximum trophic level (TL and TL</w:t>
      </w:r>
      <w:r w:rsidRPr="00286ECD">
        <w:rPr>
          <w:rFonts w:ascii="Georgia" w:hAnsi="Georgia" w:cs="Helvetica Neue"/>
          <w:color w:val="000000" w:themeColor="text1"/>
          <w:vertAlign w:val="subscript"/>
          <w:lang w:val="en-GB"/>
        </w:rPr>
        <w:t xml:space="preserve">MAX, </w:t>
      </w:r>
      <w:r w:rsidRPr="00286ECD">
        <w:rPr>
          <w:rFonts w:ascii="Georgia" w:hAnsi="Georgia" w:cs="Helvetica Neue"/>
          <w:color w:val="000000" w:themeColor="text1"/>
          <w:lang w:val="en-GB"/>
        </w:rPr>
        <w:t xml:space="preserve">respectively),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trophic level (T</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mean </w:t>
      </w:r>
      <w:proofErr w:type="spellStart"/>
      <w:r w:rsidRPr="00286ECD">
        <w:rPr>
          <w:rFonts w:ascii="Georgia" w:hAnsi="Georgia" w:cs="Helvetica Neue"/>
          <w:color w:val="000000" w:themeColor="text1"/>
          <w:lang w:val="en-GB"/>
        </w:rPr>
        <w:t>omnivory</w:t>
      </w:r>
      <w:proofErr w:type="spellEnd"/>
      <w:r w:rsidRPr="00286ECD">
        <w:rPr>
          <w:rFonts w:ascii="Georgia" w:hAnsi="Georgia" w:cs="Helvetica Neue"/>
          <w:color w:val="000000" w:themeColor="text1"/>
          <w:lang w:val="en-GB"/>
        </w:rPr>
        <w:t xml:space="preserve"> (O)</w:t>
      </w:r>
      <w:r>
        <w:rPr>
          <w:rFonts w:ascii="Georgia" w:hAnsi="Georgia" w:cs="Helvetica Neue"/>
          <w:color w:val="000000" w:themeColor="text1"/>
          <w:lang w:val="en-GB"/>
        </w:rPr>
        <w:t xml:space="preserve">, </w:t>
      </w:r>
      <w:r w:rsidRPr="00CA4C16">
        <w:rPr>
          <w:rFonts w:ascii="Georgia" w:hAnsi="Georgia" w:cs="Helvetica Neue"/>
          <w:color w:val="000000" w:themeColor="text1"/>
          <w:lang w:val="en-GB"/>
        </w:rPr>
        <w:t xml:space="preserve">modularity (Q), </w:t>
      </w:r>
      <w:proofErr w:type="spellStart"/>
      <w:r w:rsidRPr="00CA4C16">
        <w:rPr>
          <w:rFonts w:ascii="Georgia" w:hAnsi="Georgia" w:cs="Helvetica Neue"/>
          <w:color w:val="000000" w:themeColor="text1"/>
          <w:lang w:val="en-GB"/>
        </w:rPr>
        <w:t>assortativity</w:t>
      </w:r>
      <w:proofErr w:type="spellEnd"/>
      <w:r w:rsidRPr="00CA4C16">
        <w:rPr>
          <w:rFonts w:ascii="Georgia" w:hAnsi="Georgia" w:cs="Helvetica Neue"/>
          <w:color w:val="000000" w:themeColor="text1"/>
          <w:lang w:val="en-GB"/>
        </w:rPr>
        <w:t xml:space="preserve"> (A), structural robustness (R)</w:t>
      </w:r>
      <w:r>
        <w:rPr>
          <w:rFonts w:ascii="Georgia" w:hAnsi="Georgia" w:cs="Helvetica Neue"/>
          <w:color w:val="000000" w:themeColor="text1"/>
          <w:lang w:val="en-GB"/>
        </w:rPr>
        <w:t xml:space="preserve">, and </w:t>
      </w:r>
      <w:r w:rsidRPr="00CA4C16">
        <w:rPr>
          <w:rFonts w:ascii="Georgia" w:hAnsi="Georgia" w:cs="Helvetica Neue"/>
          <w:color w:val="000000" w:themeColor="text1"/>
          <w:lang w:val="en-GB"/>
        </w:rPr>
        <w:t>the degree distribution.</w:t>
      </w:r>
      <w:r>
        <w:rPr>
          <w:rFonts w:ascii="Georgia" w:hAnsi="Georgia" w:cs="Helvetica Neue"/>
          <w:color w:val="000000" w:themeColor="text1"/>
          <w:lang w:val="en-GB"/>
        </w:rPr>
        <w:t xml:space="preserve"> </w:t>
      </w:r>
      <w:r w:rsidRPr="00CA4C16">
        <w:rPr>
          <w:rFonts w:ascii="Georgia" w:hAnsi="Georgia" w:cs="Helvetica Neue"/>
          <w:color w:val="000000" w:themeColor="text1"/>
          <w:lang w:val="en-GB"/>
        </w:rPr>
        <w:t xml:space="preserve">We evaluated the impact of ecotypes on the </w:t>
      </w:r>
      <w:r>
        <w:rPr>
          <w:rFonts w:ascii="Georgia" w:hAnsi="Georgia" w:cs="Helvetica Neue"/>
          <w:color w:val="000000" w:themeColor="text1"/>
          <w:lang w:val="en-GB"/>
        </w:rPr>
        <w:t>structure</w:t>
      </w:r>
      <w:r w:rsidRPr="00CA4C16">
        <w:rPr>
          <w:rFonts w:ascii="Georgia" w:hAnsi="Georgia" w:cs="Helvetica Neue"/>
          <w:color w:val="000000" w:themeColor="text1"/>
          <w:lang w:val="en-GB"/>
        </w:rPr>
        <w:t xml:space="preserve"> of the coastal pelagic food web in Skagerrak by calculating </w:t>
      </w:r>
      <w:r>
        <w:rPr>
          <w:rFonts w:ascii="Georgia" w:hAnsi="Georgia" w:cs="Helvetica Neue"/>
          <w:color w:val="000000" w:themeColor="text1"/>
          <w:lang w:val="en-GB"/>
        </w:rPr>
        <w:t xml:space="preserve">these </w:t>
      </w:r>
      <w:r w:rsidRPr="00CA4C16">
        <w:rPr>
          <w:rFonts w:ascii="Georgia" w:hAnsi="Georgia" w:cs="Helvetica Neue"/>
          <w:color w:val="000000" w:themeColor="text1"/>
          <w:lang w:val="en-GB"/>
        </w:rPr>
        <w:t xml:space="preserve">metrics for each food web scenario. </w:t>
      </w:r>
      <w:r>
        <w:rPr>
          <w:rFonts w:ascii="Georgia" w:hAnsi="Georgia" w:cs="Helvetica Neue"/>
          <w:color w:val="000000" w:themeColor="text1"/>
          <w:lang w:val="en-GB"/>
        </w:rPr>
        <w:t>A detailed description of the calculated metrics, along with corresponding formulas and sources, is available in Supporting Information S</w:t>
      </w:r>
      <w:r w:rsidR="00B32800">
        <w:rPr>
          <w:rFonts w:ascii="Georgia" w:hAnsi="Georgia" w:cs="Helvetica Neue"/>
          <w:color w:val="000000" w:themeColor="text1"/>
          <w:lang w:val="en-GB"/>
        </w:rPr>
        <w:t>7</w:t>
      </w:r>
      <w:r>
        <w:rPr>
          <w:rFonts w:ascii="Georgia" w:hAnsi="Georgia" w:cs="Helvetica Neue"/>
          <w:color w:val="000000" w:themeColor="text1"/>
          <w:lang w:val="en-GB"/>
        </w:rPr>
        <w:t>.</w:t>
      </w:r>
      <w:r w:rsidRPr="00407C82">
        <w:rPr>
          <w:rFonts w:ascii="Georgia" w:hAnsi="Georgia" w:cs="Helvetica Neue"/>
          <w:color w:val="000000" w:themeColor="text1"/>
          <w:lang w:val="en-GB"/>
        </w:rPr>
        <w:t xml:space="preserve"> </w:t>
      </w:r>
    </w:p>
    <w:bookmarkEnd w:id="4"/>
    <w:bookmarkEnd w:id="5"/>
    <w:p w14:paraId="69AA66DE"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49393CF9" w14:textId="61503AC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6" w:name="OLE_LINK15"/>
      <w:bookmarkStart w:id="7" w:name="OLE_LINK16"/>
      <w:bookmarkStart w:id="8" w:name="OLE_LINK17"/>
      <w:bookmarkStart w:id="9" w:name="OLE_LINK18"/>
      <w:r w:rsidRPr="00286ECD">
        <w:rPr>
          <w:rFonts w:ascii="Georgia" w:hAnsi="Georgia" w:cs="Helvetica"/>
          <w:b/>
          <w:bCs/>
          <w:color w:val="000000" w:themeColor="text1"/>
          <w:lang w:val="en-GB"/>
        </w:rPr>
        <w:t xml:space="preserve">FOOD WEB DYNAMICS. </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The b</w:t>
      </w:r>
      <w:r w:rsidRPr="00286ECD">
        <w:rPr>
          <w:rFonts w:ascii="Georgia" w:hAnsi="Georgia" w:cs="Helvetica Neue"/>
          <w:color w:val="000000" w:themeColor="text1"/>
          <w:lang w:val="en-GB"/>
        </w:rPr>
        <w:t xml:space="preserve">iomass dynamics of the Skagerrak food web were simulated using the allometric trophic network model (ATN). </w:t>
      </w:r>
      <w:r>
        <w:rPr>
          <w:rFonts w:ascii="Georgia" w:hAnsi="Georgia" w:cs="Helvetica Neue"/>
          <w:color w:val="000000" w:themeColor="text1"/>
          <w:lang w:val="en-GB"/>
        </w:rPr>
        <w:t>O</w:t>
      </w:r>
      <w:r w:rsidRPr="00286ECD">
        <w:rPr>
          <w:rFonts w:ascii="Georgia" w:hAnsi="Georgia" w:cs="Helvetica Neue"/>
          <w:color w:val="000000" w:themeColor="text1"/>
          <w:lang w:val="en-GB"/>
        </w:rPr>
        <w:t>riginat</w:t>
      </w:r>
      <w:r>
        <w:rPr>
          <w:rFonts w:ascii="Georgia" w:hAnsi="Georgia" w:cs="Helvetica Neue"/>
          <w:color w:val="000000" w:themeColor="text1"/>
          <w:lang w:val="en-GB"/>
        </w:rPr>
        <w:t>ing</w:t>
      </w:r>
      <w:r w:rsidRPr="00286ECD">
        <w:rPr>
          <w:rFonts w:ascii="Georgia" w:hAnsi="Georgia" w:cs="Helvetica Neue"/>
          <w:color w:val="000000" w:themeColor="text1"/>
          <w:lang w:val="en-GB"/>
        </w:rPr>
        <w:t xml:space="preserve"> from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allometrically scaled bioenergetic theory of two species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{"citationItems":[{"id":"ITEM-1","itemData":{"abstract":"\"Plausible\" consumer-resource models, based on energetic reasoning and allometric empiricism, are formulated and their dynamics investigated. Most of the parameters in these models are determined by the body sizes and metabolic categories (endotherm, vertebrate ecto- therm, invertebrate ectotherm, or plant) of the populations in question. The remaining parame- ters have clear biological meanings. The intent of these models is to provide maximum realism from minimum data when needed because of constraints of time or of resources for empirical research. The models also demonstrate the influence of physiological power and body size on consumer-resource dynamics. For a given metabolic type, we define ecological scope as the ratio of maximal ingestion rate to respiration rate. Invertebrate ectotherms have greater ecologi- cal scope than do vertebrate ectotherms, which have greater scope than do endotherms. Greater ecological scope implies ability to subsist on scarcer resources and a tendency to more stable dynamics. Changes in dynamics associated with increased resource carrying capacity K (the \"paradox of enrichment\") are investigated. Robust limit cycles (sustained oscillations) require a Type III functional response, but even in this case the cycles quickly \"implode\" (with respect to changes in K) to extremely small densities if the resource-consumer body mass ratio is too high. Estimates are given for resource-consumer body mass ratios that permit robust limit cycles, and some pertinent data are discussed. An analytic expression for the periods of limit cycles is derived. In terms of body mass, the periods scale as (consumer body mass)\"l8 (resource body mass).","author":[{"dropping-particle":"","family":"Yodzis","given":"P.","non-dropping-particle":"","parse-names":false,"suffix":""},{"dropping-particle":"","family":"Innes","given":"S.","non-dropping-particle":"","parse-names":false,"suffix":""}],"id":"ITEM-1","issue":"6","issued":{"date-parts":[["1992"]]},"page":"1151-1175","title":"Body Size and Consumer-Resource Dynamics","type":"article-journal","volume":"139"},"uris":["http://www.mendeley.com/documents/?uuid=4be3f7d9-850f-4a92-afa0-c2bf54be8318"]}],"mendeley":{"formattedCitation":"(Yodzis &amp; Innes, 1992)","plainTextFormattedCitation":"(Yodzis &amp; Innes, 1992)","previouslyFormattedCitation":"(Yodzis &amp; Innes, 1992)"},"properties":{"noteIndex":0},"schema":"https://github.com/citation-style-language/schema/raw/master/csl-citation.json"}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(Yodzis &amp; Innes 1992)</w:t>
      </w:r>
      <w:r w:rsidRPr="00286ECD">
        <w:rPr>
          <w:rFonts w:ascii="Georgia" w:hAnsi="Georgia" w:cs="Helvetica Neue"/>
          <w:color w:val="000000" w:themeColor="text1"/>
          <w:lang w:val="en-GB"/>
        </w:rPr>
        <w:fldChar w:fldCharType="end"/>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the ATN model </w:t>
      </w:r>
      <w:r w:rsidRPr="00286ECD">
        <w:rPr>
          <w:rFonts w:ascii="Georgia" w:hAnsi="Georgia" w:cs="Helvetica Neue"/>
          <w:color w:val="000000" w:themeColor="text1"/>
          <w:lang w:val="en-GB"/>
        </w:rPr>
        <w:t xml:space="preserve">has since </w:t>
      </w:r>
      <w:r>
        <w:rPr>
          <w:rFonts w:ascii="Georgia" w:hAnsi="Georgia" w:cs="Helvetica Neue"/>
          <w:color w:val="000000" w:themeColor="text1"/>
          <w:lang w:val="en-GB"/>
        </w:rPr>
        <w:t>been expanded</w:t>
      </w:r>
      <w:r w:rsidRPr="00286ECD">
        <w:rPr>
          <w:rFonts w:ascii="Georgia" w:hAnsi="Georgia" w:cs="Helvetica Neue"/>
          <w:color w:val="000000" w:themeColor="text1"/>
          <w:lang w:val="en-GB"/>
        </w:rPr>
        <w:t xml:space="preserve"> to tackle complex networks</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incorporat</w:t>
      </w:r>
      <w:r>
        <w:rPr>
          <w:rFonts w:ascii="Georgia" w:hAnsi="Georgia" w:cs="Helvetica Neue"/>
          <w:color w:val="000000" w:themeColor="text1"/>
          <w:lang w:val="en-GB"/>
        </w:rPr>
        <w:t>ing</w:t>
      </w:r>
      <w:r w:rsidRPr="00286ECD">
        <w:rPr>
          <w:rFonts w:ascii="Georgia" w:hAnsi="Georgia" w:cs="Helvetica Neue"/>
          <w:color w:val="000000" w:themeColor="text1"/>
          <w:lang w:val="en-GB"/>
        </w:rPr>
        <w:t xml:space="preserve"> metabolic theory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{"citationItems":[{"id":"ITEM-1","itemData":{"abstract":"Metabolism provides a basis for using first principles of physics, chemistry, and biology to link the biology of individual organisms to the ecology of populations, communities, and ecosystems. Metabolic rate, the rate at which organisms take up, transform, and expend energy and materials, is the most fundamental biological rate. We have developed a quantitative theory for how metabolic rate varies with body size and temperature. Metabolic theory predicts how metabolic rate, by setting the rates of resource uptake from the environment and resource allocation to survival, growth, and reproduction, controls ecological processes at all levels of organization from individuals to the biosphere. Examples include: (1) life history attributes, including devel- opment rate, mortality rate, age at maturity, life span, and population growth rate; (2) population interactions, including carrying capacity, rates of competition and predation, and patterns of species diversity; and (3) ecosystem processes, including rates of biomass production and respiration and patterns of trophic dynamics. Data compiled from the ecological literature strongly support the theoretical predictions. Even- tually, metabolic theory may provide a conceptual foundation for much of ecology, just as genetic theory provides a foundation for much of evolutionary biology.","author":[{"dropping-particle":"","family":"Brown","given":"James H.","non-dropping-particle":"","parse-names":false,"suffix":""},{"dropping-particle":"","family":"Gillooly","given":"James F.","non-dropping-particle":"","parse-names":false,"suffix":""},{"dropping-particle":"","family":"Allen","given":"Andrew P.","non-dropping-particle":"","parse-names":false,"suffix":""},{"dropping-particle":"","family":"Savage","given":"Van M.","non-dropping-particle":"","parse-names":false,"suffix":""},{"dropping-particle":"","family":"West","given":"Geoffrey B","non-dropping-particle":"","parse-names":false,"suffix":""}],"container-title":"Ecology","id":"ITEM-1","issue":"7","issued":{"date-parts":[["2004"]]},"page":"1771-1789","title":"Perspectives","type":"article-journal","volume":"85"},"uris":["http://www.mendeley.com/documents/?uuid=7c3fc394-f796-4aff-9c7c-bf20058171ef"]}],"mendeley":{"formattedCitation":"(Brown et al., 2004)","plainTextFormattedCitation":"(Brown et al., 2004)","previouslyFormattedCitation":"(Brown et al., 2004)"},"properties":{"noteIndex":0},"schema":"https://github.com/citation-style-language/schema/raw/master/csl-citation.json"}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(Brown et al. 2004)</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sidR="00787EE9" w:rsidRPr="00286ECD">
        <w:rPr>
          <w:rFonts w:ascii="Georgia" w:hAnsi="Georgia" w:cs="Helvetica Neue"/>
          <w:color w:val="000000" w:themeColor="text1"/>
          <w:lang w:val="en-GB"/>
        </w:rPr>
        <w:t xml:space="preserve">modified functional response </w:t>
      </w:r>
      <w:r w:rsidR="00787EE9" w:rsidRPr="00286ECD">
        <w:rPr>
          <w:rFonts w:ascii="Georgia" w:hAnsi="Georgia" w:cs="Helvetica Neue"/>
          <w:color w:val="000000" w:themeColor="text1"/>
          <w:lang w:val="en-GB"/>
        </w:rPr>
        <w:fldChar w:fldCharType="begin" w:fldLock="1"/>
      </w:r>
      <w:r w:rsidR="00787EE9" w:rsidRPr="00286ECD">
        <w:rPr>
          <w:rFonts w:ascii="Georgia" w:hAnsi="Georgia" w:cs="Helvetica Neue"/>
          <w:color w:val="000000" w:themeColor="text1"/>
          <w:lang w:val="en-GB"/>
        </w:rPr>
        <w:instrText>ADDIN CSL_CITATION {"citationItems":[{"id":"ITEM-1","itemData":{"DOI":"10.1140/epjb/e2004-00122-1","ISSN":"14346028","abstract":"Several decades of dynamical analyses of food-web networks have led to important insights into the effects of complexity, omnivory and interaction strength on food-web stability. Several recent insights are based on nonlinear bioenergetic consumer-resource models that display chaotic behavior in three species food chains which can be stabilized by omnivory and weak interaction of a fourth species. We slightly relax feeding on low-density prey in these models by modifying standard food-web interactions known as \"type II\" functional responses. This change drastically alters the dynamics of realistic systems containing up to ten species. Our modification stabilizes chaotic dynamics in three species systems and reduces or eliminates extinctions and non-persistent chaos in ten species systems. This increased stability allows analysis of systems with greater biodiversity than in earlier work and suggests that dynamic stability is not as severe a constraint on the structure of large food webs as previously thought. The sensitivity of dynamical models to small changes in the predator-prey functional response well within the range of what is empirically observed suggests that functional response is a crucial aspect of species interactions that must be more precisely addressed in empirical studies.","author":[{"dropping-particle":"","family":"Williams","given":"R. J.","non-dropping-particle":"","parse-names":false,"suffix":""},{"dropping-particle":"","family":"Martinez","given":"N. D.","non-dropping-particle":"","parse-names":false,"suffix":""}],"container-title":"European Physical Journal B","id":"ITEM-1","issue":"2","issued":{"date-parts":[["2004"]]},"page":"297-303","title":"Stabilization of chaotic and non-permanent food-web dynamics","type":"article-journal","volume":"38"},"uris":["http://www.mendeley.com/documents/?uuid=8da4ad81-9681-4755-b590-02f6b433cd19"]}],"mendeley":{"formattedCitation":"(Williams &amp; Martinez, 2004)","plainTextFormattedCitation":"(Williams &amp; Martinez, 2004)","previouslyFormattedCitation":"(Williams &amp; Martinez, 2004)"},"properties":{"noteIndex":0},"schema":"https://github.com/citation-style-language/schema/raw/master/csl-citation.json"}</w:instrText>
      </w:r>
      <w:r w:rsidR="00787EE9" w:rsidRPr="00286ECD">
        <w:rPr>
          <w:rFonts w:ascii="Georgia" w:hAnsi="Georgia" w:cs="Helvetica Neue"/>
          <w:color w:val="000000" w:themeColor="text1"/>
          <w:lang w:val="en-GB"/>
        </w:rPr>
        <w:fldChar w:fldCharType="separate"/>
      </w:r>
      <w:r w:rsidR="00787EE9" w:rsidRPr="00286ECD">
        <w:rPr>
          <w:rFonts w:ascii="Georgia" w:hAnsi="Georgia" w:cs="Helvetica Neue"/>
          <w:noProof/>
          <w:color w:val="000000" w:themeColor="text1"/>
          <w:lang w:val="en-GB"/>
        </w:rPr>
        <w:t>(Williams &amp; Martinez 2004)</w:t>
      </w:r>
      <w:r w:rsidR="00787EE9" w:rsidRPr="00286ECD">
        <w:rPr>
          <w:rFonts w:ascii="Georgia" w:hAnsi="Georgia" w:cs="Helvetica Neue"/>
          <w:color w:val="000000" w:themeColor="text1"/>
          <w:lang w:val="en-GB"/>
        </w:rPr>
        <w:fldChar w:fldCharType="end"/>
      </w:r>
      <w:r w:rsidR="00787EE9">
        <w:rPr>
          <w:rFonts w:ascii="Georgia" w:hAnsi="Georgia" w:cs="Helvetica Neue"/>
          <w:color w:val="000000" w:themeColor="text1"/>
          <w:lang w:val="en-GB"/>
        </w:rPr>
        <w:t xml:space="preserve">, </w:t>
      </w:r>
      <w:r w:rsidRPr="00286ECD">
        <w:rPr>
          <w:rFonts w:ascii="Georgia" w:hAnsi="Georgia" w:cs="Helvetica Neue"/>
          <w:color w:val="000000" w:themeColor="text1"/>
          <w:lang w:val="en-GB"/>
        </w:rPr>
        <w:lastRenderedPageBreak/>
        <w:t xml:space="preserve">nutrient cycling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{"citationItems":[{"id":"ITEM-1","itemData":{"DOI":"10.1111/j.1461-0248.2006.00978.x","ISSN":"1461023X","PMID":"17040325","abstract":"Classic local stability theory predicts that complex ecological networks are unstable and are unlikely to persist despite empiricists' abundant documentation of such complexity in nature. This contradiction has puzzled biologists for decades. While some have explored how stability may be achieved in small modules of a few interacting species, rigorous demonstrations of how large complex and ecologically realistic networks dynamically persist remain scarce and inadequately understood. Here, we help fill this void by combining structural models of complex food webs with nonlinear bioenergetic models of population dynamics parameterized by biological rates that are allometrically scaled to populations' average body masses. Increasing predator-prey body mass ratios increase population persistence up to a saturation level that is reached by invertebrate and ectotherm vertebrate predators when being 10 or 100 times larger than their prey respectively. These values are corroborated by empirical predator-prey body mass ratios from a global data base. Moreover, negative effects of diversity (i.e. species richness) on stability (i.e. population persistence) become neutral or positive relationships at these empirical ratios. These results demonstrate that the predator-prey body mass ratios found in nature may be key to enabling persistence of populations in complex food webs and stabilizing the diversity of natural ecosystems. © 2006 Blackwell Publishing Ltd/CNRS.","author":[{"dropping-particle":"","family":"Brose","given":"Ulrich","non-dropping-particle":"","parse-names":false,"suffix":""},{"dropping-particle":"","family":"Williams","given":"Richard J.","non-dropping-particle":"","parse-names":false,"suffix":""},{"dropping-particle":"","family":"Martinez","given":"Neo D.","non-dropping-particle":"","parse-names":false,"suffix":""}],"container-title":"Ecology Letters","id":"ITEM-1","issue":"11","issued":{"date-parts":[["2006"]]},"page":"1228-1236","title":"Allometric scaling enhances stability in complex food webs","type":"article-journal","volume":"9"},"uris":["http://www.mendeley.com/documents/?uuid=3ac7a40c-b7ab-4115-b698-a4dccc59f215"]},{"id":"ITEM-2","itemData":{"DOI":"10.1111/j.1461-0248.2012.01777.x","ISSN":"1461023X","abstract":"Mechanistic understanding of consumer-resource dynamics is critical to predicting the effects of global change on ecosystem structure, function and services. Such understanding is severely limited by mechanistic models' inability to reproduce the dynamics of multiple populations interacting in the field. We surpass this limitation here by extending general consumer-resource network theory to the complex dynamics of a specific ecosystem comprised by the seasonal biomass and production patterns in a pelagic food web of a large, well-studied lake. We parameterised our allometric trophic network model of 24 guilds and 107 feeding relationships using the lake's food web structure, initial spring biomasses and body-masses. Adding activity respiration, the detrital loop, minimal abiotic forcing, prey resistance and several empirically observed rates substantially increased the model's fit to the observed seasonal dynamics and the size-abundance distribution. This process illuminates a promising approach towards improving food-web theory and dynamic models of specific habitats.","author":[{"dropping-particle":"","family":"Boit","given":"Alice","non-dropping-particle":"","parse-names":false,"suffix":""},{"dropping-particle":"","family":"Martinez","given":"Neo D.","non-dropping-particle":"","parse-names":false,"suffix":""},{"dropping-particle":"","family":"Williams","given":"Richard J.","non-dropping-particle":"","parse-names":false,"suffix":""},{"dropping-particle":"","family":"Gaedke","given":"Ursula","non-dropping-particle":"","parse-names":false,"suffix":""}],"container-title":"Ecology Letters","id":"ITEM-2","issue":"6","issued":{"date-parts":[["2012"]]},"page":"594-602","title":"Mechanistic theory and modelling of complex food-web dynamics in Lake Constance","type":"article-journal","volume":"15"},"uris":["http://www.mendeley.com/documents/?uuid=22532e2a-6a8f-4ce8-8270-d5b6deb5d939"]}],"mendeley":{"formattedCitation":"(Boit et al., 2012; Brose et al., 2006)","plainTextFormattedCitation":"(Boit et al., 2012; Brose et al., 2006)","previouslyFormattedCitation":"(Boit et al., 2012; Brose et al., 2006)"},"properties":{"noteIndex":0},"schema":"https://github.com/citation-style-language/schema/raw/master/csl-citation.json"}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(Boit et al. 2012; Brose et al. 2006)</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sidR="00787EE9" w:rsidRPr="00286ECD">
        <w:rPr>
          <w:rFonts w:ascii="Georgia" w:hAnsi="Georgia" w:cs="Helvetica Neue"/>
          <w:color w:val="000000" w:themeColor="text1"/>
          <w:lang w:val="en-GB"/>
        </w:rPr>
        <w:t xml:space="preserve">age-structured populations </w:t>
      </w:r>
      <w:r w:rsidR="00787EE9" w:rsidRPr="00286ECD">
        <w:rPr>
          <w:rFonts w:ascii="Georgia" w:hAnsi="Georgia" w:cs="Helvetica Neue"/>
          <w:color w:val="000000" w:themeColor="text1"/>
          <w:lang w:val="en-GB"/>
        </w:rPr>
        <w:fldChar w:fldCharType="begin" w:fldLock="1"/>
      </w:r>
      <w:r w:rsidR="00787EE9" w:rsidRPr="00286ECD">
        <w:rPr>
          <w:rFonts w:ascii="Georgia" w:hAnsi="Georgia" w:cs="Helvetica Neue"/>
          <w:color w:val="000000" w:themeColor="text1"/>
          <w:lang w:val="en-GB"/>
        </w:rPr>
        <w:instrText>ADDIN CSL_CITATION {"citationItems":[{"id":"ITEM-1","itemData":{"DOI":"10.1038/srep22245","ISSN":"20452322","PMID":"26915461","abstract":"Fishing is widely known to magnify fluctuations in targeted populations. These fluctuations are correlated with population shifts towards young, small, and more quickly maturing individuals. However, the existence and nature of the mechanistic basis for these correlations and their potential ecosystem impacts remain highly uncertain. Here, we elucidate this basis and associated impacts by showing how fishing can increase fluctuations in fishes and their ecosystem, particularly when coupled with decreasing body sizes and advancing maturation characteristic of the life-history changes induced by fishing. More specifically, using an empirically parameterized network model of a well-studied lake ecosystem, we show how fishing may both increase fluctuations in fish abundances and also, when accompanied by decreasing body size of adults, further decrease fish abundance and increase temporal variability of fishes' food resources and their ecosystem. In contrast, advanced maturation has relatively little effect except to increase variability in juvenile populations. Our findings illustrate how different mechanisms underlying life-history changes that may arise as evolutionary responses to intensive, size-selective fishing can rapidly and continuously destabilize and degrade ecosystems even after fishing has ceased. This research helps better predict how life-history changes may reduce fishes' resilience to fishing and ecosystems' resistance to environmental variations.","author":[{"dropping-particle":"","family":"Kuparinen","given":"Anna","non-dropping-particle":"","parse-names":false,"suffix":""},{"dropping-particle":"","family":"Boit","given":"Alice","non-dropping-particle":"","parse-names":false,"suffix":""},{"dropping-particle":"","family":"Valdovinos","given":"Fernanda S.","non-dropping-particle":"","parse-names":false,"suffix":""},{"dropping-particle":"","family":"Lassaux","given":"Hélène","non-dropping-particle":"","parse-names":false,"suffix":""},{"dropping-particle":"","family":"Martinez","given":"Neo D.","non-dropping-particle":"","parse-names":false,"suffix":""}],"container-title":"Scientific Reports","id":"ITEM-1","issued":{"date-parts":[["2016"]]},"page":"1-9","publisher":"Nature Publishing Group","title":"Fishing-induced life-history changes degrade and destabilize harvested ecosystems","type":"article-journal","volume":"6"},"uris":["http://www.mendeley.com/documents/?uuid=76a17ee7-e79e-4cdb-9815-6980c6c3d651"]}],"mendeley":{"formattedCitation":"(Kuparinen, Boit, et al., 2016)","plainTextFormattedCitation":"(Kuparinen, Boit, et al., 2016)","previouslyFormattedCitation":"(Kuparinen, Boit, et al., 2016)"},"properties":{"noteIndex":0},"schema":"https://github.com/citation-style-language/schema/raw/master/csl-citation.json"}</w:instrText>
      </w:r>
      <w:r w:rsidR="00787EE9" w:rsidRPr="00286ECD">
        <w:rPr>
          <w:rFonts w:ascii="Georgia" w:hAnsi="Georgia" w:cs="Helvetica Neue"/>
          <w:color w:val="000000" w:themeColor="text1"/>
          <w:lang w:val="en-GB"/>
        </w:rPr>
        <w:fldChar w:fldCharType="separate"/>
      </w:r>
      <w:r w:rsidR="00787EE9" w:rsidRPr="00286ECD">
        <w:rPr>
          <w:rFonts w:ascii="Georgia" w:hAnsi="Georgia" w:cs="Helvetica Neue"/>
          <w:noProof/>
          <w:color w:val="000000" w:themeColor="text1"/>
          <w:lang w:val="en-GB"/>
        </w:rPr>
        <w:t>(Kuparine</w:t>
      </w:r>
      <w:r w:rsidR="00787EE9">
        <w:rPr>
          <w:rFonts w:ascii="Georgia" w:hAnsi="Georgia" w:cs="Helvetica Neue"/>
          <w:noProof/>
          <w:color w:val="000000" w:themeColor="text1"/>
          <w:lang w:val="en-GB"/>
        </w:rPr>
        <w:t xml:space="preserve">n </w:t>
      </w:r>
      <w:r w:rsidR="00787EE9" w:rsidRPr="00286ECD">
        <w:rPr>
          <w:rFonts w:ascii="Georgia" w:hAnsi="Georgia" w:cs="Helvetica Neue"/>
          <w:noProof/>
          <w:color w:val="000000" w:themeColor="text1"/>
          <w:lang w:val="en-GB"/>
        </w:rPr>
        <w:t>et al. 2016</w:t>
      </w:r>
      <w:r w:rsidR="00787EE9">
        <w:rPr>
          <w:rFonts w:ascii="Georgia" w:hAnsi="Georgia" w:cs="Helvetica Neue"/>
          <w:noProof/>
          <w:color w:val="000000" w:themeColor="text1"/>
          <w:lang w:val="en-GB"/>
        </w:rPr>
        <w:t>b</w:t>
      </w:r>
      <w:r w:rsidR="00787EE9" w:rsidRPr="00286ECD">
        <w:rPr>
          <w:rFonts w:ascii="Georgia" w:hAnsi="Georgia" w:cs="Helvetica Neue"/>
          <w:noProof/>
          <w:color w:val="000000" w:themeColor="text1"/>
          <w:lang w:val="en-GB"/>
        </w:rPr>
        <w:t>)</w:t>
      </w:r>
      <w:r w:rsidR="00787EE9" w:rsidRPr="00286ECD">
        <w:rPr>
          <w:rFonts w:ascii="Georgia" w:hAnsi="Georgia" w:cs="Helvetica Neue"/>
          <w:color w:val="000000" w:themeColor="text1"/>
          <w:lang w:val="en-GB"/>
        </w:rPr>
        <w:fldChar w:fldCharType="end"/>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and </w:t>
      </w:r>
      <w:r w:rsidR="00787EE9" w:rsidRPr="00286ECD">
        <w:rPr>
          <w:rFonts w:ascii="Georgia" w:hAnsi="Georgia" w:cs="Helvetica Neue"/>
          <w:color w:val="000000" w:themeColor="text1"/>
          <w:lang w:val="en-GB"/>
        </w:rPr>
        <w:t xml:space="preserve">evolutionary processes </w:t>
      </w:r>
      <w:r w:rsidR="00787EE9" w:rsidRPr="00286ECD">
        <w:rPr>
          <w:rFonts w:ascii="Georgia" w:hAnsi="Georgia" w:cs="Helvetica Neue"/>
          <w:color w:val="000000" w:themeColor="text1"/>
          <w:lang w:val="en-GB"/>
        </w:rPr>
        <w:fldChar w:fldCharType="begin" w:fldLock="1"/>
      </w:r>
      <w:r w:rsidR="00787EE9" w:rsidRPr="00286ECD">
        <w:rPr>
          <w:rFonts w:ascii="Georgia" w:hAnsi="Georgia" w:cs="Helvetica Neue"/>
          <w:color w:val="000000" w:themeColor="text1"/>
          <w:lang w:val="en-GB"/>
        </w:rPr>
        <w:instrText>ADDIN CSL_CITATION {"citationItems":[{"id":"ITEM-1","itemData":{"DOI":"10.1111/eva.13058","ISSN":"17524571","abstract":"Evidence of contemporary evolution across ecological time scales stimulated research on the eco-evolutionary dynamics of natural populations. Aquatic systems provide a good setting to study eco-evolutionary dynamics owing to a wealth of long-term monitoring data and the detected trends in fish life-history traits across intensively harvested marine and freshwater systems. In the present study, we focus on modelling approaches to simulate eco-evolutionary dynamics of fishes and their ecosystems. Firstly, we review the development of modelling from single species to multispecies approaches. Secondly, we advance the current state-of-the-art methodology by implementing evolution of life-history traits of a top predator into the context of complex food web dynamics as described by the allometric trophic network (ATN) framework. The functioning of our newly developed eco-evolutionary ATNE framework is illustrated using a well-studied lake food web. Our simulations show how both natural selection arising from feeding interactions and size-selective fishing cause evolutionary changes in the top predator and how those feed back to its prey species and further cascade down to lower trophic levels. Finally, we discuss future directions, particularly the need to integrate genomic discoveries into eco-evolutionary projections.","author":[{"dropping-particle":"","family":"Perälä","given":"Tommi","non-dropping-particle":"","parse-names":false,"suffix":""},{"dropping-particle":"","family":"Kuparinen","given":"Anna","non-dropping-particle":"","parse-names":false,"suffix":""}],"container-title":"Evolutionary Applications","id":"ITEM-1","issue":"10","issued":{"date-parts":[["2020"]]},"page":"2507-2520","title":"Eco-evolutionary dynamics driven by fishing: From single species models to dynamic evolution within complex food webs","type":"article-journal","volume":"13"},"uris":["http://www.mendeley.com/documents/?uuid=94c51e35-f290-417a-9413-143df87e0d87"]}],"mendeley":{"formattedCitation":"(Perälä &amp; Kuparinen, 2020)","plainTextFormattedCitation":"(Perälä &amp; Kuparinen, 2020)","previouslyFormattedCitation":"(Perälä &amp; Kuparinen, 2020)"},"properties":{"noteIndex":0},"schema":"https://github.com/citation-style-language/schema/raw/master/csl-citation.json"}</w:instrText>
      </w:r>
      <w:r w:rsidR="00787EE9" w:rsidRPr="00286ECD">
        <w:rPr>
          <w:rFonts w:ascii="Georgia" w:hAnsi="Georgia" w:cs="Helvetica Neue"/>
          <w:color w:val="000000" w:themeColor="text1"/>
          <w:lang w:val="en-GB"/>
        </w:rPr>
        <w:fldChar w:fldCharType="separate"/>
      </w:r>
      <w:r w:rsidR="00787EE9" w:rsidRPr="00286ECD">
        <w:rPr>
          <w:rFonts w:ascii="Georgia" w:hAnsi="Georgia" w:cs="Helvetica Neue"/>
          <w:noProof/>
          <w:color w:val="000000" w:themeColor="text1"/>
          <w:lang w:val="en-GB"/>
        </w:rPr>
        <w:t>(Perälä &amp; Kuparinen 2020)</w:t>
      </w:r>
      <w:r w:rsidR="00787EE9"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Variants of the model have been adapted for diverse complex systems (reviewed in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{"citationItems":[{"id":"ITEM-1","itemData":{"DOI":"10.3389/fevo.2020.00092","ISSN":"2296701X","abstract":"A well-known parable is that of the blind men studying an elephant each of which assert the elephant is the part they first hold in their hands, e.g., “rope!” says the tail holder while the leg holder asserts “tree!” The various subdisciplines of ecology appear similar in that we each engage in our enthusiastic but at least somewhat myopic study with remarkably limited agreement or even discussion about the overall system which we all study. Allometric trophic network (ATN) theory offers a path out of this dilemma by integrating across scales, taxa, habitats and organizational levels from physiology to ecosystems based on consumer-resource interactions among co-existing organisms. The network architecture and the metabolic and behavioral processes that determine the structure and dynamics of these interactions form the first principles of ATN theory, which in turn provides a synthetic overview and powerfully predictive framework for ecology from organisms to ecosystems. Beyond ecology, ATN theory also synthesizes eco-evolutionary and socio-ecological research still largely based on consumer-resource mechanisms but respectively integrated with different processes including natural selection and market mechanisms. This paper briefly describes foundations, advances, and future directions of ATN theory including predicting an ecosystem’s phenotype from its community’s genotype in order to accelerate more predictive and unified understanding of the complex systems studied by ecologists and other environmental scientists.","author":[{"dropping-particle":"","family":"Martinez","given":"Neo D.","non-dropping-particle":"","parse-names":false,"suffix":""}],"container-title":"Frontiers in Ecology and Evolution","id":"ITEM-1","issue":"May","issued":{"date-parts":[["2020"]]},"page":"1-22","title":"Allometric Trophic Networks From Individuals to Socio-Ecosystems: Consumer–Resource Theory of the Ecological Elephant in the Room","type":"article-journal","volume":"8"},"uris":["http://www.mendeley.com/documents/?uuid=9725a58f-c551-41a2-a6f6-d02af5c9b500"]}],"mendeley":{"formattedCitation":"(Martinez, 2020)","manualFormatting":"Martinez, 2020)","plainTextFormattedCitation":"(Martinez, 2020)","previouslyFormattedCitation":"(Martinez, 2020)"},"properties":{"noteIndex":0},"schema":"https://github.com/citation-style-language/schema/raw/master/csl-citation.json"}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Martinez 2020)</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to explore novel trophic interaction dynamics across food webs. The </w:t>
      </w:r>
      <w:r>
        <w:rPr>
          <w:rFonts w:ascii="Georgia" w:hAnsi="Georgia" w:cs="Helvetica Neue"/>
          <w:color w:val="000000" w:themeColor="text1"/>
          <w:lang w:val="en-GB"/>
        </w:rPr>
        <w:t xml:space="preserve">model </w:t>
      </w:r>
      <w:r w:rsidRPr="00286ECD">
        <w:rPr>
          <w:rFonts w:ascii="Georgia" w:hAnsi="Georgia" w:cs="Helvetica Neue"/>
          <w:color w:val="000000" w:themeColor="text1"/>
          <w:lang w:val="en-GB"/>
        </w:rPr>
        <w:t xml:space="preserve">mechanics </w:t>
      </w:r>
      <w:r>
        <w:rPr>
          <w:rFonts w:ascii="Georgia" w:hAnsi="Georgia" w:cs="Helvetica Neue"/>
          <w:color w:val="000000" w:themeColor="text1"/>
          <w:lang w:val="en-GB"/>
        </w:rPr>
        <w:t>for simulating the</w:t>
      </w:r>
      <w:r w:rsidRPr="00286ECD">
        <w:rPr>
          <w:rFonts w:ascii="Georgia" w:hAnsi="Georgia" w:cs="Helvetica Neue"/>
          <w:color w:val="000000" w:themeColor="text1"/>
          <w:lang w:val="en-GB"/>
        </w:rPr>
        <w:t xml:space="preserve"> Skagerrak food web </w:t>
      </w:r>
      <w:r>
        <w:rPr>
          <w:rFonts w:ascii="Georgia" w:hAnsi="Georgia" w:cs="Helvetica Neue"/>
          <w:color w:val="000000" w:themeColor="text1"/>
          <w:lang w:val="en-GB"/>
        </w:rPr>
        <w:t>are</w:t>
      </w:r>
      <w:r w:rsidRPr="00286ECD">
        <w:rPr>
          <w:rFonts w:ascii="Georgia" w:hAnsi="Georgia" w:cs="Helvetica Neue"/>
          <w:color w:val="000000" w:themeColor="text1"/>
          <w:lang w:val="en-GB"/>
        </w:rPr>
        <w:t xml:space="preserve"> detailed in several studies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{"citationItems":[{"id":"ITEM-1","itemData":{"DOI":"10.1111/j.1461-0248.2006.00978.x","ISSN":"1461023X","PMID":"17040325","abstract":"Classic local stability theory predicts that complex ecological networks are unstable and are unlikely to persist despite empiricists' abundant documentation of such complexity in nature. This contradiction has puzzled biologists for decades. While some have explored how stability may be achieved in small modules of a few interacting species, rigorous demonstrations of how large complex and ecologically realistic networks dynamically persist remain scarce and inadequately understood. Here, we help fill this void by combining structural models of complex food webs with nonlinear bioenergetic models of population dynamics parameterized by biological rates that are allometrically scaled to populations' average body masses. Increasing predator-prey body mass ratios increase population persistence up to a saturation level that is reached by invertebrate and ectotherm vertebrate predators when being 10 or 100 times larger than their prey respectively. These values are corroborated by empirical predator-prey body mass ratios from a global data base. Moreover, negative effects of diversity (i.e. species richness) on stability (i.e. population persistence) become neutral or positive relationships at these empirical ratios. These results demonstrate that the predator-prey body mass ratios found in nature may be key to enabling persistence of populations in complex food webs and stabilizing the diversity of natural ecosystems. © 2006 Blackwell Publishing Ltd/CNRS.","author":[{"dropping-particle":"","family":"Brose","given":"Ulrich","non-dropping-particle":"","parse-names":false,"suffix":""},{"dropping-particle":"","family":"Williams","given":"Richard J.","non-dropping-particle":"","parse-names":false,"suffix":""},{"dropping-particle":"","family":"Martinez","given":"Neo D.","non-dropping-particle":"","parse-names":false,"suffix":""}],"container-title":"Ecology Letters","id":"ITEM-1","issue":"11","issued":{"date-parts":[["2006"]]},"page":"1228-1236","title":"Allometric scaling enhances stability in complex food webs","type":"article-journal","volume":"9"},"uris":["http://www.mendeley.com/documents/?uuid=3ac7a40c-b7ab-4115-b698-a4dccc59f215"]},{"id":"ITEM-2","itemData":{"DOI":"10.1111/j.1461-0248.2012.01777.x","ISSN":"1461023X","abstract":"Mechanistic understanding of consumer-resource dynamics is critical to predicting the effects of global change on ecosystem structure, function and services. Such understanding is severely limited by mechanistic models' inability to reproduce the dynamics of multiple populations interacting in the field. We surpass this limitation here by extending general consumer-resource network theory to the complex dynamics of a specific ecosystem comprised by the seasonal biomass and production patterns in a pelagic food web of a large, well-studied lake. We parameterised our allometric trophic network model of 24 guilds and 107 feeding relationships using the lake's food web structure, initial spring biomasses and body-masses. Adding activity respiration, the detrital loop, minimal abiotic forcing, prey resistance and several empirically observed rates substantially increased the model's fit to the observed seasonal dynamics and the size-abundance distribution. This process illuminates a promising approach towards improving food-web theory and dynamic models of specific habitats.","author":[{"dropping-particle":"","family":"Boit","given":"Alice","non-dropping-particle":"","parse-names":false,"suffix":""},{"dropping-particle":"","family":"Martinez","given":"Neo D.","non-dropping-particle":"","parse-names":false,"suffix":""},{"dropping-particle":"","family":"Williams","given":"Richard J.","non-dropping-particle":"","parse-names":false,"suffix":""},{"dropping-particle":"","family":"Gaedke","given":"Ursula","non-dropping-particle":"","parse-names":false,"suffix":""}],"container-title":"Ecology Letters","id":"ITEM-2","issue":"6","issued":{"date-parts":[["2012"]]},"page":"594-602","title":"Mechanistic theory and modelling of complex food-web dynamics in Lake Constance","type":"article-journal","volume":"15"},"uris":["http://www.mendeley.com/documents/?uuid=22532e2a-6a8f-4ce8-8270-d5b6deb5d939"]},{"id":"ITEM-3","itemData":{"DOI":"10.1038/srep22245","ISSN":"20452322","PMID":"26915461","abstract":"Fishing is widely known to magnify fluctuations in targeted populations. These fluctuations are correlated with population shifts towards young, small, and more quickly maturing individuals. However, the existence and nature of the mechanistic basis for these correlations and their potential ecosystem impacts remain highly uncertain. Here, we elucidate this basis and associated impacts by showing how fishing can increase fluctuations in fishes and their ecosystem, particularly when coupled with decreasing body sizes and advancing maturation characteristic of the life-history changes induced by fishing. More specifically, using an empirically parameterized network model of a well-studied lake ecosystem, we show how fishing may both increase fluctuations in fish abundances and also, when accompanied by decreasing body size of adults, further decrease fish abundance and increase temporal variability of fishes' food resources and their ecosystem. In contrast, advanced maturation has relatively little effect except to increase variability in juvenile populations. Our findings illustrate how different mechanisms underlying life-history changes that may arise as evolutionary responses to intensive, size-selective fishing can rapidly and continuously destabilize and degrade ecosystems even after fishing has ceased. This research helps better predict how life-history changes may reduce fishes' resilience to fishing and ecosystems' resistance to environmental variations.","author":[{"dropping-particle":"","family":"Kuparinen","given":"Anna","non-dropping-particle":"","parse-names":false,"suffix":""},{"dropping-particle":"","family":"Boit","given":"Alice","non-dropping-particle":"","parse-names":false,"suffix":""},{"dropping-particle":"","family":"Valdovinos","given":"Fernanda S.","non-dropping-particle":"","parse-names":false,"suffix":""},{"dropping-particle":"","family":"Lassaux","given":"Hélène","non-dropping-particle":"","parse-names":false,"suffix":""},{"dropping-particle":"","family":"Martinez","given":"Neo D.","non-dropping-particle":"","parse-names":false,"suffix":""}],"container-title":"Scientific Reports","id":"ITEM-3","issued":{"date-parts":[["2016"]]},"page":"1-9","publisher":"Nature Publishing Group","title":"Fishing-induced life-history changes degrade and destabilize harvested ecosystems","type":"article-journal","volume":"6"},"uris":["http://www.mendeley.com/documents/?uuid=76a17ee7-e79e-4cdb-9815-6980c6c3d651"]},{"id":"ITEM-4","itemData":{"DOI":"10.1002/ece3.4996","ISSN":"20457758","abstract":"Body size determines key ecological and evolutionary processes of organisms. Therefore, organisms undergo extensive shifts in resources, competitors, and predators as they grow in body size. While empirical and theoretical evidence show that these size-dependent ontogenetic shifts vastly influence the structure and dynamics of populations, theory on how those ontogenetic shifts affect the structure and dynamics of ecological networks is still virtually absent. Here, we expand the Allometric Trophic Network (ATN) theory in the context of aquatic food webs to incorporate size-structure in the population dynamics of fish species. We do this by modifying a food web generating algorithm, the niche model, to produce food webs where different fish life-history stages are described as separate nodes which are connected through growth and reproduction. Then, we apply a bioenergetic model that uses the food webs and the body sizes generated by our niche model to evaluate the effect of incorporating life-history structure into food web dynamics. We show that the larger the body size of a fish species respective to the body size of its preys, the higher the biomass attained by the fish species and the greater the ecosystem stability. We also find that the larger the asymptotic body size attained by fish species the larger the total ecosystem biomass, a result that holds true for both the largest fish in the ecosystem and each fish species in the ecosystem. This work provides an expanded ATN theory that generates food webs with life-history structure for chosen species. Our work offers a systematic approach for disentangling the effects of increasing life-history complexity in food-web models.","author":[{"dropping-particle":"","family":"Bland","given":"Stephanie","non-dropping-particle":"","parse-names":false,"suffix":""},{"dropping-particle":"","family":"Valdovinos","given":"Fernanda S.","non-dropping-particle":"","parse-names":false,"suffix":""},{"dropping-particle":"","family":"Hutchings","given":"Jeffrey A.","non-dropping-particle":"","parse-names":false,"suffix":""},{"dropping-particle":"","family":"Kuparinen","given":"Anna","non-dropping-particle":"","parse-names":false,"suffix":""}],"container-title":"Ecology and Evolution","id":"ITEM-4","issue":"6","issued":{"date-parts":[["2019"]]},"page":"3651-3660","title":"The role of fish life histories in allometrically scaled food-web dynamics","type":"article-journal","volume":"9"},"uris":["http://www.mendeley.com/documents/?uuid=fb4c88d8-6927-4a37-8005-4d25390f91bc"]},{"id":"ITEM-5","itemData":{"DOI":"10.3389/fevo.2020.00092","ISSN":"2296701X","abstract":"A well-known parable is that of the blind men studying an elephant each of which assert the elephant is the part they first hold in their hands, e.g., “rope!” says the tail holder while the leg holder asserts “tree!” The various subdisciplines of ecology appear similar in that we each engage in our enthusiastic but at least somewhat myopic study with remarkably limited agreement or even discussion about the overall system which we all study. Allometric trophic network (ATN) theory offers a path out of this dilemma by integrating across scales, taxa, habitats and organizational levels from physiology to ecosystems based on consumer-resource interactions among co-existing organisms. The network architecture and the metabolic and behavioral processes that determine the structure and dynamics of these interactions form the first principles of ATN theory, which in turn provides a synthetic overview and powerfully predictive framework for ecology from organisms to ecosystems. Beyond ecology, ATN theory also synthesizes eco-evolutionary and socio-ecological research still largely based on consumer-resourc</w:instrText>
      </w:r>
      <w:r w:rsidRPr="00286ECD">
        <w:rPr>
          <w:rFonts w:ascii="Georgia" w:hAnsi="Georgia" w:cs="Helvetica Neue"/>
          <w:color w:val="000000" w:themeColor="text1"/>
          <w:lang w:val="fi-FI"/>
        </w:rPr>
        <w:instrText>e mechanisms but respectively integrated with different processes including natural selection and market mechanisms. This paper briefly describes foundations, advances, and future directions of ATN theory including predicting an ecosystem’s phenotype from its community’s genotype in order to accelerate more predictive and unified understanding of the complex systems studied by ecologists and other environmental scientists.","author":[{"dropping-particle":"","family":"Martinez","given":"Neo D.","non-dropping-particle":"","parse-names":false,"suffix":""}],"container-title":"Frontiers in Ecology and Evolution","id":"ITEM-5","issue":"May","issued":{"date-parts":[["2020"]]},"page":"1-22","title":"Allometric Trophic Networks From Individuals to Socio-Ecosystems: Consumer–Resource Theory of the Ecological Elephant in the Room","type":"article-journal","volume":"8"},"uris":["http://www.mendeley.com/documents/?uuid=9725a58f-c551-41a2-a6f6-d02af5c9b500"]}],"mendeley":{"formattedCitation":"(Bland et al., 2019; Boit et al., 2012; Brose et al., 2006; Kuparinen, Boit, et al., 2016; Martinez, 2020)","plainTextFormattedCitation":"(Bland et al., 2019; Boit et al., 2012; Brose et al., 2006; Kuparinen, Boit, et al., 2016; Martinez, 2020)","previouslyFormattedCitation":"(Bland et al., 2019; Boit et al., 2012; Brose et al., 2006; Kuparinen, Boit, et al., 2016; Martinez, 2020)"},"properties":{"noteIndex":0},"schema":"https://github.com/citation-style-language/schema/raw/master/csl-citation.json"}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fi-FI"/>
        </w:rPr>
        <w:t xml:space="preserve">(Martinez 2020; Bland et al. 2019; Kuparinen et al. 2016b; Boit et al. </w:t>
      </w:r>
      <w:r w:rsidRPr="00286ECD">
        <w:rPr>
          <w:rFonts w:ascii="Georgia" w:hAnsi="Georgia" w:cs="Helvetica Neue"/>
          <w:noProof/>
          <w:color w:val="000000" w:themeColor="text1"/>
          <w:lang w:val="en-GB"/>
        </w:rPr>
        <w:t>2012; Brose et al. 2006)</w:t>
      </w:r>
      <w:r w:rsidRPr="00286ECD">
        <w:rPr>
          <w:rFonts w:ascii="Georgia" w:hAnsi="Georgia" w:cs="Helvetica Neue"/>
          <w:color w:val="000000" w:themeColor="text1"/>
          <w:lang w:val="en-GB"/>
        </w:rPr>
        <w:fldChar w:fldCharType="end"/>
      </w:r>
      <w:r>
        <w:rPr>
          <w:rFonts w:ascii="Georgia" w:hAnsi="Georgia" w:cs="Helvetica Neue"/>
          <w:color w:val="000000" w:themeColor="text1"/>
          <w:lang w:val="en-GB"/>
        </w:rPr>
        <w:t>. Additionally, a</w:t>
      </w:r>
      <w:r w:rsidRPr="00286ECD">
        <w:rPr>
          <w:rFonts w:ascii="Georgia" w:hAnsi="Georgia" w:cs="Helvetica Neue"/>
          <w:color w:val="000000" w:themeColor="text1"/>
          <w:lang w:val="en-GB"/>
        </w:rPr>
        <w:t xml:space="preserve"> methodological paper introducing </w:t>
      </w:r>
      <w:proofErr w:type="spellStart"/>
      <w:r w:rsidRPr="00CA4C16">
        <w:rPr>
          <w:rFonts w:ascii="Georgia" w:hAnsi="Georgia" w:cs="Helvetica Neue"/>
          <w:color w:val="000000" w:themeColor="text1"/>
          <w:lang w:val="en-GB"/>
        </w:rPr>
        <w:t>ATNr</w:t>
      </w:r>
      <w:proofErr w:type="spellEnd"/>
      <w:r w:rsidRPr="00CA4C16">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package of functions for solving ATN dynamics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Gauzens","given":"Benoit","non-dropping-particle":"","parse-names":false,"suffix":""},{"dropping-particle":"","family":"Berti","given":"Emilio","non-dropping-particle":"","parse-names":false,"suffix":""},{"dropping-particle":"","family":"Delmas","given":"Eva","non-dropping-particle":"","parse-names":false,"suffix":""},{"dropping-particle":"","family":"Brose","given":"Ulrich","non-dropping-particle":"","parse-names":false,"suffix":""}],"container-title":"bioRxiv preprint","id":"ITEM-1","issue":"iDiv","issued":{"date-parts":[["2022"]]},"page":"1-12","title":"ATNr : Allometric trophic models in R Unscaled version","type":"article-journal","volume":"2"},"uris":["http://www.mendeley.com/documents/?uuid=4f6cf9d1-9da5-499e-b5b1-780192165328"]}],"mendeley":{"formattedCitation":"(Gauzens et al., 2022)","plainTextFormattedCitation":"(Gauzens et al., 2022)","previouslyFormattedCitation":"(Gauzens et al., 2022)"},"properties":{"noteIndex":0},"schema":"https://github.com/citation-style-language/schema/raw/master/csl-citation.json"}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(Gauzens et al. 2022)</w:t>
      </w:r>
      <w:r w:rsidRPr="00286ECD">
        <w:rPr>
          <w:rFonts w:ascii="Georgia" w:hAnsi="Georgia" w:cs="Helvetica Neue"/>
          <w:color w:val="000000" w:themeColor="text1"/>
          <w:lang w:val="en-GB"/>
        </w:rPr>
        <w:fldChar w:fldCharType="end"/>
      </w:r>
      <w:r>
        <w:rPr>
          <w:rFonts w:ascii="Georgia" w:hAnsi="Georgia" w:cs="Helvetica Neue"/>
          <w:color w:val="000000" w:themeColor="text1"/>
          <w:lang w:val="en-GB"/>
        </w:rPr>
        <w:t xml:space="preserve"> provides further details. Here, we offer a brief description, with more information available in Supporting Information S</w:t>
      </w:r>
      <w:r w:rsidR="00787EE9">
        <w:rPr>
          <w:rFonts w:ascii="Georgia" w:hAnsi="Georgia" w:cs="Helvetica Neue"/>
          <w:color w:val="000000" w:themeColor="text1"/>
          <w:lang w:val="en-GB"/>
        </w:rPr>
        <w:t>8.</w:t>
      </w:r>
      <w:r w:rsidRPr="00286ECD">
        <w:rPr>
          <w:rFonts w:ascii="Georgia" w:hAnsi="Georgia" w:cs="Helvetica Neue"/>
          <w:color w:val="000000" w:themeColor="text1"/>
          <w:lang w:val="en-GB"/>
        </w:rPr>
        <w:t xml:space="preserve"> </w:t>
      </w:r>
    </w:p>
    <w:bookmarkEnd w:id="6"/>
    <w:bookmarkEnd w:id="7"/>
    <w:p w14:paraId="33E4ECA2" w14:textId="00545F8F" w:rsidR="005E45D8" w:rsidRPr="00286ECD" w:rsidRDefault="005E45D8" w:rsidP="005E45D8">
      <w:pPr>
        <w:autoSpaceDE w:val="0"/>
        <w:autoSpaceDN w:val="0"/>
        <w:adjustRightInd w:val="0"/>
        <w:spacing w:line="480" w:lineRule="auto"/>
        <w:jc w:val="both"/>
        <w:rPr>
          <w:rFonts w:ascii="Georgia" w:eastAsiaTheme="minorEastAsia" w:hAnsi="Georgia" w:cs="Helvetica Neue"/>
          <w:iCs/>
          <w:color w:val="000000" w:themeColor="text1"/>
          <w:lang w:val="en-GB"/>
        </w:rPr>
      </w:pPr>
      <w:r>
        <w:rPr>
          <w:rFonts w:ascii="Georgia" w:hAnsi="Georgia" w:cs="Helvetica Neue"/>
          <w:color w:val="000000" w:themeColor="text1"/>
          <w:lang w:val="en-GB"/>
        </w:rPr>
        <w:t>The average b</w:t>
      </w:r>
      <w:r w:rsidRPr="00286ECD">
        <w:rPr>
          <w:rFonts w:ascii="Georgia" w:hAnsi="Georgia" w:cs="Helvetica Neue"/>
          <w:color w:val="000000" w:themeColor="text1"/>
          <w:lang w:val="en-GB"/>
        </w:rPr>
        <w:t>ody mass of a</w:t>
      </w:r>
      <w:r>
        <w:rPr>
          <w:rFonts w:ascii="Georgia" w:hAnsi="Georgia" w:cs="Helvetica Neue"/>
          <w:color w:val="000000" w:themeColor="text1"/>
          <w:lang w:val="en-GB"/>
        </w:rPr>
        <w:t xml:space="preserve">n individual within a </w:t>
      </w:r>
      <w:r w:rsidRPr="00286ECD">
        <w:rPr>
          <w:rFonts w:ascii="Georgia" w:hAnsi="Georgia" w:cs="Helvetica Neue"/>
          <w:color w:val="000000" w:themeColor="text1"/>
          <w:lang w:val="en-GB"/>
        </w:rPr>
        <w:t xml:space="preserve">functional guild is </w:t>
      </w:r>
      <w:r>
        <w:rPr>
          <w:rFonts w:ascii="Georgia" w:hAnsi="Georgia" w:cs="Helvetica Neue"/>
          <w:color w:val="000000" w:themeColor="text1"/>
          <w:lang w:val="en-GB"/>
        </w:rPr>
        <w:t>a</w:t>
      </w:r>
      <w:r w:rsidRPr="00286ECD">
        <w:rPr>
          <w:rFonts w:ascii="Georgia" w:hAnsi="Georgia" w:cs="Helvetica Neue"/>
          <w:color w:val="000000" w:themeColor="text1"/>
          <w:lang w:val="en-GB"/>
        </w:rPr>
        <w:t xml:space="preserve"> key input </w:t>
      </w:r>
      <w:r>
        <w:rPr>
          <w:rFonts w:ascii="Georgia" w:hAnsi="Georgia" w:cs="Helvetica Neue"/>
          <w:color w:val="000000" w:themeColor="text1"/>
          <w:lang w:val="en-GB"/>
        </w:rPr>
        <w:t xml:space="preserve">parameter </w:t>
      </w:r>
      <w:r w:rsidRPr="00286ECD">
        <w:rPr>
          <w:rFonts w:ascii="Georgia" w:hAnsi="Georgia" w:cs="Helvetica Neue"/>
          <w:color w:val="000000" w:themeColor="text1"/>
          <w:lang w:val="en-GB"/>
        </w:rPr>
        <w:t>from which other biological parameters and processes</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such as metabolic rate, intrinsic growth rate, and consumption rate </w:t>
      </w:r>
      <w:r>
        <w:rPr>
          <w:rFonts w:ascii="Georgia" w:hAnsi="Georgia" w:cs="Helvetica Neue"/>
          <w:color w:val="000000" w:themeColor="text1"/>
          <w:lang w:val="en-GB"/>
        </w:rPr>
        <w:t>are</w:t>
      </w:r>
      <w:r w:rsidRPr="00286ECD">
        <w:rPr>
          <w:rFonts w:ascii="Georgia" w:hAnsi="Georgia" w:cs="Helvetica Neue"/>
          <w:color w:val="000000" w:themeColor="text1"/>
          <w:lang w:val="en-GB"/>
        </w:rPr>
        <w:t xml:space="preserve"> determined </w:t>
      </w:r>
      <w:r>
        <w:rPr>
          <w:rFonts w:ascii="Georgia" w:hAnsi="Georgia" w:cs="Helvetica Neue"/>
          <w:color w:val="000000" w:themeColor="text1"/>
          <w:lang w:val="en-GB"/>
        </w:rPr>
        <w:t>according to</w:t>
      </w:r>
      <w:r w:rsidRPr="00286ECD">
        <w:rPr>
          <w:rFonts w:ascii="Georgia" w:hAnsi="Georgia" w:cs="Helvetica Neue"/>
          <w:color w:val="000000" w:themeColor="text1"/>
          <w:lang w:val="en-GB"/>
        </w:rPr>
        <w:t xml:space="preserve"> allometric scaling laws. The backbone of the model is a set of ordinary differential equations </w:t>
      </w:r>
      <w:r>
        <w:rPr>
          <w:rFonts w:ascii="Georgia" w:hAnsi="Georgia" w:cs="Helvetica Neue"/>
          <w:color w:val="000000" w:themeColor="text1"/>
          <w:lang w:val="en-GB"/>
        </w:rPr>
        <w:t>that describe</w:t>
      </w:r>
      <w:r w:rsidRPr="00286ECD">
        <w:rPr>
          <w:rFonts w:ascii="Georgia" w:hAnsi="Georgia" w:cs="Helvetica Neue"/>
          <w:color w:val="000000" w:themeColor="text1"/>
          <w:lang w:val="en-GB"/>
        </w:rPr>
        <w:t xml:space="preserve"> the biomass flow among interacting </w:t>
      </w:r>
      <w:r>
        <w:rPr>
          <w:rFonts w:ascii="Georgia" w:hAnsi="Georgia" w:cs="Helvetica Neue"/>
          <w:color w:val="000000" w:themeColor="text1"/>
          <w:lang w:val="en-GB"/>
        </w:rPr>
        <w:t>functional guilds</w:t>
      </w:r>
      <w:r w:rsidRPr="00286ECD">
        <w:rPr>
          <w:rFonts w:ascii="Georgia" w:hAnsi="Georgia" w:cs="Helvetica Neue"/>
          <w:color w:val="000000" w:themeColor="text1"/>
          <w:lang w:val="en-GB"/>
        </w:rPr>
        <w:t xml:space="preserve"> during the growth season. </w:t>
      </w:r>
      <w:r>
        <w:rPr>
          <w:rFonts w:ascii="Georgia" w:hAnsi="Georgia" w:cs="Helvetica Neue"/>
          <w:color w:val="000000" w:themeColor="text1"/>
          <w:lang w:val="en-GB"/>
        </w:rPr>
        <w:t>The b</w:t>
      </w:r>
      <w:r w:rsidRPr="00286ECD">
        <w:rPr>
          <w:rFonts w:ascii="Georgia" w:hAnsi="Georgia" w:cs="Helvetica Neue"/>
          <w:color w:val="000000" w:themeColor="text1"/>
          <w:lang w:val="en-GB"/>
        </w:rPr>
        <w:t xml:space="preserve">iomass dynamics of producers </w:t>
      </w:r>
      <w:r>
        <w:rPr>
          <w:rFonts w:ascii="Georgia" w:hAnsi="Georgia" w:cs="Helvetica Neue"/>
          <w:color w:val="000000" w:themeColor="text1"/>
          <w:lang w:val="en-GB"/>
        </w:rPr>
        <w:t>are</w:t>
      </w:r>
      <w:r w:rsidRPr="00286ECD">
        <w:rPr>
          <w:rFonts w:ascii="Georgia" w:hAnsi="Georgia" w:cs="Helvetica Neue"/>
          <w:color w:val="000000" w:themeColor="text1"/>
          <w:lang w:val="en-GB"/>
        </w:rPr>
        <w:t xml:space="preserve"> described as </w:t>
      </w:r>
      <m:oMath>
        <m:f>
          <m:fPr>
            <m:ctrlPr>
              <w:rPr>
                <w:rFonts w:ascii="Cambria Math" w:hAnsi="Cambria Math" w:cs="Helvetica Neue"/>
                <w:b/>
                <w:bCs/>
                <w:i/>
                <w:iCs/>
                <w:color w:val="000000" w:themeColor="text1"/>
                <w:lang w:val="en-GB"/>
              </w:rPr>
            </m:ctrlPr>
          </m:fPr>
          <m:num>
            <m:r>
              <w:rPr>
                <w:rFonts w:ascii="Cambria Math" w:hAnsi="Cambria Math" w:cs="Helvetica Neue"/>
                <w:color w:val="000000" w:themeColor="text1"/>
                <w:lang w:val="en-GB"/>
              </w:rPr>
              <m:t>d</m:t>
            </m:r>
            <m:sSub>
              <m:sSubPr>
                <m:ctrlPr>
                  <w:rPr>
                    <w:rFonts w:ascii="Cambria Math" w:hAnsi="Cambria Math" w:cs="Helvetica Neue"/>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num>
          <m:den>
            <m:r>
              <w:rPr>
                <w:rFonts w:ascii="Cambria Math" w:hAnsi="Cambria Math" w:cs="Helvetica Neue"/>
                <w:color w:val="000000" w:themeColor="text1"/>
                <w:lang w:val="en-GB"/>
              </w:rPr>
              <m:t>dt</m:t>
            </m:r>
          </m:den>
        </m:f>
        <m:r>
          <m:rPr>
            <m:sty m:val="bi"/>
          </m:rPr>
          <w:rPr>
            <w:rFonts w:ascii="Cambria Math" w:hAnsi="Cambria Math" w:cs="Helvetica Neue"/>
            <w:color w:val="000000" w:themeColor="text1"/>
            <w:lang w:val="en-GB"/>
          </w:rPr>
          <m:t>=</m:t>
        </m:r>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r</m:t>
            </m:r>
          </m:e>
          <m:sub>
            <m:r>
              <w:rPr>
                <w:rFonts w:ascii="Cambria Math" w:hAnsi="Cambria Math" w:cs="Helvetica Neue"/>
                <w:color w:val="000000" w:themeColor="text1"/>
                <w:lang w:val="en-GB"/>
              </w:rPr>
              <m:t>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G</m:t>
            </m:r>
          </m:e>
          <m:sub>
            <m:r>
              <w:rPr>
                <w:rFonts w:ascii="Cambria Math" w:hAnsi="Cambria Math" w:cs="Helvetica Neue"/>
                <w:color w:val="000000" w:themeColor="text1"/>
                <w:lang w:val="en-GB"/>
              </w:rPr>
              <m:t>i</m:t>
            </m:r>
          </m:sub>
        </m:sSub>
        <m:d>
          <m:dPr>
            <m:ctrlPr>
              <w:rPr>
                <w:rFonts w:ascii="Cambria Math" w:hAnsi="Cambria Math" w:cs="Helvetica Neue"/>
                <w:b/>
                <w:bCs/>
                <w:i/>
                <w:iCs/>
                <w:color w:val="000000" w:themeColor="text1"/>
                <w:lang w:val="en-GB"/>
              </w:rPr>
            </m:ctrlPr>
          </m:dPr>
          <m:e>
            <m:r>
              <w:rPr>
                <w:rFonts w:ascii="Cambria Math" w:hAnsi="Cambria Math" w:cs="Helvetica Neue"/>
                <w:color w:val="000000" w:themeColor="text1"/>
                <w:lang w:val="en-GB"/>
              </w:rPr>
              <m:t>B</m:t>
            </m:r>
          </m:e>
        </m:d>
        <m:d>
          <m:dPr>
            <m:ctrlPr>
              <w:rPr>
                <w:rFonts w:ascii="Cambria Math" w:hAnsi="Cambria Math" w:cs="Helvetica Neue"/>
                <w:b/>
                <w:bCs/>
                <w:i/>
                <w:iCs/>
                <w:color w:val="000000" w:themeColor="text1"/>
                <w:lang w:val="en-GB"/>
              </w:rPr>
            </m:ctrlPr>
          </m:dPr>
          <m:e>
            <m:r>
              <w:rPr>
                <w:rFonts w:ascii="Cambria Math" w:hAnsi="Cambria Math" w:cs="Helvetica Neue"/>
                <w:color w:val="000000" w:themeColor="text1"/>
                <w:lang w:val="en-GB"/>
              </w:rPr>
              <m:t>1-</m:t>
            </m:r>
            <m:sSub>
              <m:sSubPr>
                <m:ctrlPr>
                  <w:rPr>
                    <w:rFonts w:ascii="Cambria Math" w:hAnsi="Cambria Math" w:cs="Helvetica Neue"/>
                    <w:i/>
                    <w:iCs/>
                    <w:color w:val="000000" w:themeColor="text1"/>
                    <w:lang w:val="en-GB"/>
                  </w:rPr>
                </m:ctrlPr>
              </m:sSubPr>
              <m:e>
                <m:r>
                  <w:rPr>
                    <w:rFonts w:ascii="Cambria Math" w:hAnsi="Cambria Math" w:cs="Helvetica Neue"/>
                    <w:color w:val="000000" w:themeColor="text1"/>
                    <w:lang w:val="en-GB"/>
                  </w:rPr>
                  <m:t>s</m:t>
                </m:r>
              </m:e>
              <m:sub>
                <m:r>
                  <w:rPr>
                    <w:rFonts w:ascii="Cambria Math" w:hAnsi="Cambria Math" w:cs="Helvetica Neue"/>
                    <w:color w:val="000000" w:themeColor="text1"/>
                    <w:lang w:val="en-GB"/>
                  </w:rPr>
                  <m:t>i</m:t>
                </m:r>
              </m:sub>
            </m:sSub>
          </m:e>
        </m:d>
        <m:r>
          <m:rPr>
            <m:sty m:val="bi"/>
          </m:rPr>
          <w:rPr>
            <w:rFonts w:ascii="Cambria Math" w:hAnsi="Cambria Math" w:cs="Helvetica Neue"/>
            <w:color w:val="000000" w:themeColor="text1"/>
            <w:lang w:val="en-GB"/>
          </w:rPr>
          <m:t>-</m:t>
        </m:r>
        <m:nary>
          <m:naryPr>
            <m:chr m:val="∑"/>
            <m:supHide m:val="1"/>
            <m:ctrlPr>
              <w:rPr>
                <w:rFonts w:ascii="Cambria Math" w:hAnsi="Cambria Math" w:cs="Helvetica Neue"/>
                <w:b/>
                <w:bCs/>
                <w:i/>
                <w:iCs/>
                <w:color w:val="000000" w:themeColor="text1"/>
                <w:lang w:val="en-GB"/>
              </w:rPr>
            </m:ctrlPr>
          </m:naryPr>
          <m:sub>
            <m:r>
              <w:rPr>
                <w:rFonts w:ascii="Cambria Math" w:hAnsi="Cambria Math" w:cs="Helvetica Neue"/>
                <w:color w:val="000000" w:themeColor="text1"/>
                <w:lang w:val="en-GB"/>
              </w:rPr>
              <m:t>j</m:t>
            </m:r>
          </m:sub>
          <m:sup/>
          <m:e>
            <m:f>
              <m:fPr>
                <m:ctrlPr>
                  <w:rPr>
                    <w:rFonts w:ascii="Cambria Math" w:hAnsi="Cambria Math" w:cs="Helvetica Neue"/>
                    <w:b/>
                    <w:bCs/>
                    <w:i/>
                    <w:iCs/>
                    <w:color w:val="000000" w:themeColor="text1"/>
                    <w:lang w:val="en-GB"/>
                  </w:rPr>
                </m:ctrlPr>
              </m:fPr>
              <m:num>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x</m:t>
                    </m:r>
                  </m:e>
                  <m:sub>
                    <m:r>
                      <w:rPr>
                        <w:rFonts w:ascii="Cambria Math" w:hAnsi="Cambria Math" w:cs="Helvetica Neue"/>
                        <w:color w:val="000000" w:themeColor="text1"/>
                        <w:lang w:val="en-GB"/>
                      </w:rPr>
                      <m:t>j</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y</m:t>
                    </m:r>
                  </m:e>
                  <m:sub>
                    <m:r>
                      <w:rPr>
                        <w:rFonts w:ascii="Cambria Math" w:hAnsi="Cambria Math" w:cs="Helvetica Neue"/>
                        <w:color w:val="000000" w:themeColor="text1"/>
                        <w:lang w:val="en-GB"/>
                      </w:rPr>
                      <m:t>ji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j</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ji</m:t>
                    </m:r>
                  </m:sub>
                </m:sSub>
                <m:d>
                  <m:dPr>
                    <m:ctrlPr>
                      <w:rPr>
                        <w:rFonts w:ascii="Cambria Math" w:hAnsi="Cambria Math" w:cs="Helvetica Neue"/>
                        <w:b/>
                        <w:bCs/>
                        <w:i/>
                        <w:iCs/>
                        <w:color w:val="000000" w:themeColor="text1"/>
                        <w:lang w:val="en-GB"/>
                      </w:rPr>
                    </m:ctrlPr>
                  </m:dPr>
                  <m:e>
                    <m:r>
                      <w:rPr>
                        <w:rFonts w:ascii="Cambria Math" w:hAnsi="Cambria Math" w:cs="Helvetica Neue"/>
                        <w:color w:val="000000" w:themeColor="text1"/>
                        <w:lang w:val="en-GB"/>
                      </w:rPr>
                      <m:t>B</m:t>
                    </m:r>
                  </m:e>
                </m:d>
              </m:num>
              <m:den>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e</m:t>
                    </m:r>
                  </m:e>
                  <m:sub>
                    <m:r>
                      <w:rPr>
                        <w:rFonts w:ascii="Cambria Math" w:hAnsi="Cambria Math" w:cs="Helvetica Neue"/>
                        <w:color w:val="000000" w:themeColor="text1"/>
                        <w:lang w:val="en-GB"/>
                      </w:rPr>
                      <m:t>ji</m:t>
                    </m:r>
                  </m:sub>
                </m:sSub>
              </m:den>
            </m:f>
          </m:e>
        </m:nary>
      </m:oMath>
      <w:r w:rsidRPr="00286ECD">
        <w:rPr>
          <w:rFonts w:ascii="Georgia" w:eastAsiaTheme="minorEastAsia" w:hAnsi="Georgia" w:cs="Helvetica Neue"/>
          <w:b/>
          <w:bCs/>
          <w:iCs/>
          <w:color w:val="000000" w:themeColor="text1"/>
          <w:lang w:val="en-GB"/>
        </w:rPr>
        <w:t xml:space="preserve">  </w:t>
      </w:r>
      <w:r w:rsidRPr="00286ECD">
        <w:rPr>
          <w:rFonts w:ascii="Georgia" w:hAnsi="Georgia" w:cs="Helvetica Neue"/>
          <w:color w:val="000000" w:themeColor="text1"/>
          <w:lang w:val="en-GB"/>
        </w:rPr>
        <w:t>, and the biomass dynamics of consumers as</w:t>
      </w:r>
      <m:oMath>
        <m:r>
          <m:rPr>
            <m:sty m:val="bi"/>
          </m:rPr>
          <w:rPr>
            <w:rFonts w:ascii="Cambria Math" w:eastAsiaTheme="minorEastAsia" w:hAnsi="Cambria Math" w:cs="Helvetica Neue"/>
            <w:color w:val="000000" w:themeColor="text1"/>
            <w:lang w:val="en-GB"/>
          </w:rPr>
          <m:t xml:space="preserve"> </m:t>
        </m:r>
        <m:f>
          <m:fPr>
            <m:ctrlPr>
              <w:rPr>
                <w:rFonts w:ascii="Cambria Math" w:hAnsi="Cambria Math" w:cs="Helvetica Neue"/>
                <w:b/>
                <w:bCs/>
                <w:i/>
                <w:iCs/>
                <w:color w:val="000000" w:themeColor="text1"/>
                <w:lang w:val="en-GB"/>
              </w:rPr>
            </m:ctrlPr>
          </m:fPr>
          <m:num>
            <m:r>
              <w:rPr>
                <w:rFonts w:ascii="Cambria Math" w:hAnsi="Cambria Math" w:cs="Helvetica Neue"/>
                <w:color w:val="000000" w:themeColor="text1"/>
                <w:lang w:val="en-GB"/>
              </w:rPr>
              <m:t>d</m:t>
            </m:r>
            <m:sSub>
              <m:sSubPr>
                <m:ctrlPr>
                  <w:rPr>
                    <w:rFonts w:ascii="Cambria Math" w:hAnsi="Cambria Math" w:cs="Helvetica Neue"/>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num>
          <m:den>
            <m:r>
              <w:rPr>
                <w:rFonts w:ascii="Cambria Math" w:hAnsi="Cambria Math" w:cs="Helvetica Neue"/>
                <w:color w:val="000000" w:themeColor="text1"/>
                <w:lang w:val="en-GB"/>
              </w:rPr>
              <m:t>dt</m:t>
            </m:r>
          </m:den>
        </m:f>
        <m:r>
          <m:rPr>
            <m:sty m:val="bi"/>
          </m:rPr>
          <w:rPr>
            <w:rFonts w:ascii="Cambria Math" w:hAnsi="Cambria Math" w:cs="Helvetica Neue"/>
            <w:color w:val="000000" w:themeColor="text1"/>
            <w:lang w:val="en-GB"/>
          </w:rPr>
          <m:t>=</m:t>
        </m:r>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m</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x</m:t>
            </m:r>
          </m:e>
          <m:sub>
            <m:r>
              <w:rPr>
                <w:rFonts w:ascii="Cambria Math" w:hAnsi="Cambria Math" w:cs="Helvetica Neue"/>
                <w:color w:val="000000" w:themeColor="text1"/>
                <w:lang w:val="en-GB"/>
              </w:rPr>
              <m:t>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r>
          <m:rPr>
            <m:sty m:val="bi"/>
          </m:rPr>
          <w:rPr>
            <w:rFonts w:ascii="Cambria Math" w:hAnsi="Cambria Math" w:cs="Helvetica Neue"/>
            <w:color w:val="000000" w:themeColor="text1"/>
            <w:lang w:val="en-GB"/>
          </w:rPr>
          <m:t>+</m:t>
        </m:r>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a</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x</m:t>
            </m:r>
          </m:e>
          <m:sub>
            <m:r>
              <w:rPr>
                <w:rFonts w:ascii="Cambria Math" w:hAnsi="Cambria Math" w:cs="Helvetica Neue"/>
                <w:color w:val="000000" w:themeColor="text1"/>
                <w:lang w:val="en-GB"/>
              </w:rPr>
              <m:t>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nary>
          <m:naryPr>
            <m:chr m:val="∑"/>
            <m:supHide m:val="1"/>
            <m:ctrlPr>
              <w:rPr>
                <w:rFonts w:ascii="Cambria Math" w:hAnsi="Cambria Math" w:cs="Helvetica Neue"/>
                <w:b/>
                <w:bCs/>
                <w:i/>
                <w:iCs/>
                <w:color w:val="000000" w:themeColor="text1"/>
                <w:lang w:val="en-GB"/>
              </w:rPr>
            </m:ctrlPr>
          </m:naryPr>
          <m:sub>
            <m:r>
              <w:rPr>
                <w:rFonts w:ascii="Cambria Math" w:hAnsi="Cambria Math" w:cs="Helvetica Neue"/>
                <w:color w:val="000000" w:themeColor="text1"/>
                <w:lang w:val="en-GB"/>
              </w:rPr>
              <m:t>j</m:t>
            </m:r>
          </m:sub>
          <m:sup/>
          <m:e>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y</m:t>
                </m:r>
              </m:e>
              <m:sub>
                <m:r>
                  <w:rPr>
                    <w:rFonts w:ascii="Cambria Math" w:hAnsi="Cambria Math" w:cs="Helvetica Neue"/>
                    <w:color w:val="000000" w:themeColor="text1"/>
                    <w:lang w:val="en-GB"/>
                  </w:rPr>
                  <m:t>ij</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ij</m:t>
                </m:r>
              </m:sub>
            </m:sSub>
            <m:r>
              <w:rPr>
                <w:rFonts w:ascii="Cambria Math" w:hAnsi="Cambria Math" w:cs="Helvetica Neue"/>
                <w:color w:val="000000" w:themeColor="text1"/>
                <w:lang w:val="en-GB"/>
              </w:rPr>
              <m:t>(B)</m:t>
            </m:r>
          </m:e>
        </m:nary>
        <m:r>
          <m:rPr>
            <m:sty m:val="bi"/>
          </m:rPr>
          <w:rPr>
            <w:rFonts w:ascii="Cambria Math" w:hAnsi="Cambria Math" w:cs="Helvetica Neue"/>
            <w:color w:val="000000" w:themeColor="text1"/>
            <w:lang w:val="en-GB"/>
          </w:rPr>
          <m:t>-</m:t>
        </m:r>
        <m:nary>
          <m:naryPr>
            <m:chr m:val="∑"/>
            <m:supHide m:val="1"/>
            <m:ctrlPr>
              <w:rPr>
                <w:rFonts w:ascii="Cambria Math" w:hAnsi="Cambria Math" w:cs="Helvetica Neue"/>
                <w:b/>
                <w:bCs/>
                <w:i/>
                <w:iCs/>
                <w:color w:val="000000" w:themeColor="text1"/>
                <w:lang w:val="en-GB"/>
              </w:rPr>
            </m:ctrlPr>
          </m:naryPr>
          <m:sub>
            <m:r>
              <w:rPr>
                <w:rFonts w:ascii="Cambria Math" w:hAnsi="Cambria Math" w:cs="Helvetica Neue"/>
                <w:color w:val="000000" w:themeColor="text1"/>
                <w:lang w:val="en-GB"/>
              </w:rPr>
              <m:t>j</m:t>
            </m:r>
          </m:sub>
          <m:sup/>
          <m:e>
            <m:f>
              <m:fPr>
                <m:ctrlPr>
                  <w:rPr>
                    <w:rFonts w:ascii="Cambria Math" w:hAnsi="Cambria Math" w:cs="Helvetica Neue"/>
                    <w:b/>
                    <w:bCs/>
                    <w:i/>
                    <w:iCs/>
                    <w:color w:val="000000" w:themeColor="text1"/>
                    <w:lang w:val="en-GB"/>
                  </w:rPr>
                </m:ctrlPr>
              </m:fPr>
              <m:num>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x</m:t>
                    </m:r>
                  </m:e>
                  <m:sub>
                    <m:r>
                      <w:rPr>
                        <w:rFonts w:ascii="Cambria Math" w:hAnsi="Cambria Math" w:cs="Helvetica Neue"/>
                        <w:color w:val="000000" w:themeColor="text1"/>
                        <w:lang w:val="en-GB"/>
                      </w:rPr>
                      <m:t>j</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y</m:t>
                    </m:r>
                  </m:e>
                  <m:sub>
                    <m:r>
                      <w:rPr>
                        <w:rFonts w:ascii="Cambria Math" w:hAnsi="Cambria Math" w:cs="Helvetica Neue"/>
                        <w:color w:val="000000" w:themeColor="text1"/>
                        <w:lang w:val="en-GB"/>
                      </w:rPr>
                      <m:t>ji</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j</m:t>
                    </m:r>
                  </m:sub>
                </m:sSub>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ji</m:t>
                    </m:r>
                  </m:sub>
                </m:sSub>
                <m:d>
                  <m:dPr>
                    <m:ctrlPr>
                      <w:rPr>
                        <w:rFonts w:ascii="Cambria Math" w:hAnsi="Cambria Math" w:cs="Helvetica Neue"/>
                        <w:b/>
                        <w:bCs/>
                        <w:i/>
                        <w:iCs/>
                        <w:color w:val="000000" w:themeColor="text1"/>
                        <w:lang w:val="en-GB"/>
                      </w:rPr>
                    </m:ctrlPr>
                  </m:dPr>
                  <m:e>
                    <m:r>
                      <w:rPr>
                        <w:rFonts w:ascii="Cambria Math" w:hAnsi="Cambria Math" w:cs="Helvetica Neue"/>
                        <w:color w:val="000000" w:themeColor="text1"/>
                        <w:lang w:val="en-GB"/>
                      </w:rPr>
                      <m:t>B</m:t>
                    </m:r>
                  </m:e>
                </m:d>
              </m:num>
              <m:den>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e</m:t>
                    </m:r>
                  </m:e>
                  <m:sub>
                    <m:r>
                      <w:rPr>
                        <w:rFonts w:ascii="Cambria Math" w:hAnsi="Cambria Math" w:cs="Helvetica Neue"/>
                        <w:color w:val="000000" w:themeColor="text1"/>
                        <w:lang w:val="en-GB"/>
                      </w:rPr>
                      <m:t>ji</m:t>
                    </m:r>
                  </m:sub>
                </m:sSub>
              </m:den>
            </m:f>
          </m:e>
        </m:nary>
      </m:oMath>
      <w:r>
        <w:rPr>
          <w:rFonts w:ascii="Georgia" w:hAnsi="Georgia" w:cs="Helvetica Neue"/>
          <w:color w:val="000000" w:themeColor="text1"/>
          <w:lang w:val="en-GB"/>
        </w:rPr>
        <w:t xml:space="preserve">, </w:t>
      </w:r>
      <w:r w:rsidRPr="00CA4C16">
        <w:rPr>
          <w:rFonts w:ascii="Georgia" w:hAnsi="Georgia" w:cs="Helvetica Neue"/>
          <w:color w:val="000000" w:themeColor="text1"/>
          <w:lang w:val="en-GB"/>
        </w:rPr>
        <w:t xml:space="preserve">where </w:t>
      </w:r>
      <m:oMath>
        <m:r>
          <w:rPr>
            <w:rFonts w:ascii="Cambria Math" w:hAnsi="Cambria Math" w:cs="Helvetica Neue"/>
            <w:color w:val="000000" w:themeColor="text1"/>
            <w:lang w:val="en-GB"/>
          </w:rPr>
          <m:t>B</m:t>
        </m:r>
      </m:oMath>
      <w:r w:rsidRPr="00CA4C16">
        <w:rPr>
          <w:rFonts w:ascii="Georgia" w:hAnsi="Georgia" w:cs="Helvetica Neue"/>
          <w:color w:val="000000" w:themeColor="text1"/>
          <w:lang w:val="en-GB"/>
        </w:rPr>
        <w:t xml:space="preserve"> is the biomass of all functional </w:t>
      </w:r>
      <w:r>
        <w:rPr>
          <w:rFonts w:ascii="Georgia" w:hAnsi="Georgia" w:cs="Helvetica Neue"/>
          <w:color w:val="000000" w:themeColor="text1"/>
          <w:lang w:val="en-GB"/>
        </w:rPr>
        <w:t>guild</w:t>
      </w:r>
      <w:r w:rsidRPr="00CA4C16">
        <w:rPr>
          <w:rFonts w:ascii="Georgia" w:hAnsi="Georgia" w:cs="Helvetica Neue"/>
          <w:color w:val="000000" w:themeColor="text1"/>
          <w:lang w:val="en-GB"/>
        </w:rPr>
        <w:t xml:space="preserve">s,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Sub>
      </m:oMath>
      <w:r w:rsidRPr="00CA4C16">
        <w:rPr>
          <w:rFonts w:ascii="Georgia" w:hAnsi="Georgia" w:cs="Helvetica Neue"/>
          <w:color w:val="000000" w:themeColor="text1"/>
          <w:lang w:val="en-GB"/>
        </w:rPr>
        <w:t xml:space="preserve"> is the biomass of </w:t>
      </w:r>
      <w:r>
        <w:rPr>
          <w:rFonts w:ascii="Georgia" w:hAnsi="Georgia" w:cs="Helvetica Neue"/>
          <w:color w:val="000000" w:themeColor="text1"/>
          <w:lang w:val="en-GB"/>
        </w:rPr>
        <w:t>guild</w:t>
      </w:r>
      <w:r w:rsidRPr="00CA4C16">
        <w:rPr>
          <w:rFonts w:ascii="Georgia" w:hAnsi="Georgia" w:cs="Helvetica Neue"/>
          <w:color w:val="000000" w:themeColor="text1"/>
          <w:lang w:val="en-GB"/>
        </w:rPr>
        <w:t xml:space="preserve"> </w:t>
      </w:r>
      <m:oMath>
        <m:r>
          <w:rPr>
            <w:rFonts w:ascii="Cambria Math" w:hAnsi="Cambria Math" w:cs="Helvetica Neue"/>
            <w:color w:val="000000" w:themeColor="text1"/>
            <w:lang w:val="en-GB"/>
          </w:rPr>
          <m:t>i</m:t>
        </m:r>
      </m:oMath>
      <w:r w:rsidRPr="00CA4C16">
        <w:rPr>
          <w:rFonts w:ascii="Georgia" w:hAnsi="Georgia" w:cs="Helvetica Neue"/>
          <w:color w:val="000000" w:themeColor="text1"/>
          <w:lang w:val="en-GB"/>
        </w:rPr>
        <w:t xml:space="preserve">, </w:t>
      </w:r>
      <m:oMath>
        <m:sSub>
          <m:sSubPr>
            <m:ctrlPr>
              <w:rPr>
                <w:rFonts w:ascii="Cambria Math" w:hAnsi="Cambria Math" w:cs="Helvetica Neue"/>
                <w:bCs/>
                <w:i/>
                <w:color w:val="000000" w:themeColor="text1"/>
                <w:lang w:val="en-GB"/>
              </w:rPr>
            </m:ctrlPr>
          </m:sSubPr>
          <m:e>
            <m:r>
              <w:rPr>
                <w:rFonts w:ascii="Cambria Math" w:hAnsi="Cambria Math" w:cs="Helvetica Neue"/>
                <w:color w:val="000000" w:themeColor="text1"/>
                <w:lang w:val="en-GB"/>
              </w:rPr>
              <m:t>r</m:t>
            </m:r>
          </m:e>
          <m:sub>
            <m:r>
              <w:rPr>
                <w:rFonts w:ascii="Cambria Math" w:hAnsi="Cambria Math" w:cs="Helvetica Neue"/>
                <w:color w:val="000000" w:themeColor="text1"/>
                <w:lang w:val="en-GB"/>
              </w:rPr>
              <m:t>i</m:t>
            </m:r>
          </m:sub>
        </m:sSub>
      </m:oMath>
      <w:r w:rsidRPr="00CA4C16">
        <w:rPr>
          <w:rFonts w:ascii="Georgia" w:hAnsi="Georgia" w:cs="Helvetica Neue"/>
          <w:color w:val="000000" w:themeColor="text1"/>
          <w:vertAlign w:val="subscript"/>
          <w:lang w:val="en-GB"/>
        </w:rPr>
        <w:t xml:space="preserve"> </w:t>
      </w:r>
      <w:r w:rsidRPr="00CA4C16">
        <w:rPr>
          <w:rFonts w:ascii="Georgia" w:hAnsi="Georgia" w:cs="Helvetica Neue"/>
          <w:color w:val="000000" w:themeColor="text1"/>
          <w:lang w:val="en-GB"/>
        </w:rPr>
        <w:t xml:space="preserve">is the intrinsic growth rate of autotroph </w:t>
      </w:r>
      <m:oMath>
        <m:r>
          <w:rPr>
            <w:rFonts w:ascii="Cambria Math" w:hAnsi="Cambria Math" w:cs="Helvetica Neue"/>
            <w:color w:val="000000" w:themeColor="text1"/>
            <w:lang w:val="en-GB"/>
          </w:rPr>
          <m:t>i</m:t>
        </m:r>
      </m:oMath>
      <w:r w:rsidRPr="00CA4C16">
        <w:rPr>
          <w:rFonts w:ascii="Georgia" w:hAnsi="Georgia" w:cs="Helvetica Neue"/>
          <w:color w:val="000000" w:themeColor="text1"/>
          <w:lang w:val="en-GB"/>
        </w:rPr>
        <w:t xml:space="preserve">, </w:t>
      </w:r>
      <m:oMath>
        <m:sSub>
          <m:sSubPr>
            <m:ctrlPr>
              <w:rPr>
                <w:rFonts w:ascii="Cambria Math" w:hAnsi="Cambria Math" w:cs="Helvetica Neue"/>
                <w:i/>
                <w:iCs/>
                <w:color w:val="000000" w:themeColor="text1"/>
                <w:lang w:val="en-GB"/>
              </w:rPr>
            </m:ctrlPr>
          </m:sSubPr>
          <m:e>
            <m:r>
              <w:rPr>
                <w:rFonts w:ascii="Cambria Math" w:hAnsi="Cambria Math" w:cs="Helvetica Neue"/>
                <w:color w:val="000000" w:themeColor="text1"/>
                <w:lang w:val="en-GB"/>
              </w:rPr>
              <m:t>G</m:t>
            </m:r>
          </m:e>
          <m:sub>
            <m:r>
              <w:rPr>
                <w:rFonts w:ascii="Cambria Math" w:hAnsi="Cambria Math" w:cs="Helvetica Neue"/>
                <w:color w:val="000000" w:themeColor="text1"/>
                <w:lang w:val="en-GB"/>
              </w:rPr>
              <m:t>i</m:t>
            </m:r>
          </m:sub>
        </m:sSub>
        <m:r>
          <w:rPr>
            <w:rFonts w:ascii="Cambria Math" w:hAnsi="Cambria Math" w:cs="Helvetica Neue"/>
            <w:color w:val="000000" w:themeColor="text1"/>
            <w:lang w:val="en-GB"/>
          </w:rPr>
          <m:t>=1-</m:t>
        </m:r>
        <m:f>
          <m:fPr>
            <m:ctrlPr>
              <w:rPr>
                <w:rFonts w:ascii="Cambria Math" w:hAnsi="Cambria Math" w:cs="Helvetica Neue"/>
                <w:bCs/>
                <w:i/>
                <w:color w:val="000000" w:themeColor="text1"/>
                <w:lang w:val="en-GB"/>
              </w:rPr>
            </m:ctrlPr>
          </m:fPr>
          <m:num>
            <m:r>
              <w:rPr>
                <w:rFonts w:ascii="Cambria Math" w:hAnsi="Cambria Math" w:cs="Helvetica Neue"/>
                <w:color w:val="000000" w:themeColor="text1"/>
                <w:lang w:val="en-GB"/>
              </w:rPr>
              <m:t>1</m:t>
            </m:r>
          </m:num>
          <m:den>
            <m:r>
              <w:rPr>
                <w:rFonts w:ascii="Cambria Math" w:hAnsi="Cambria Math" w:cs="Helvetica Neue"/>
                <w:color w:val="000000" w:themeColor="text1"/>
                <w:lang w:val="en-GB"/>
              </w:rPr>
              <m:t>K</m:t>
            </m:r>
          </m:den>
        </m:f>
        <m:nary>
          <m:naryPr>
            <m:chr m:val="∑"/>
            <m:limLoc m:val="undOvr"/>
            <m:subHide m:val="1"/>
            <m:supHide m:val="1"/>
            <m:ctrlPr>
              <w:rPr>
                <w:rFonts w:ascii="Cambria Math" w:hAnsi="Cambria Math" w:cs="Helvetica Neue"/>
                <w:bCs/>
                <w:i/>
                <w:color w:val="000000" w:themeColor="text1"/>
                <w:lang w:val="en-GB"/>
              </w:rPr>
            </m:ctrlPr>
          </m:naryPr>
          <m:sub/>
          <m:sup/>
          <m:e>
            <m:sSub>
              <m:sSubPr>
                <m:ctrlPr>
                  <w:rPr>
                    <w:rFonts w:ascii="Cambria Math" w:hAnsi="Cambria Math" w:cs="Helvetica Neue"/>
                    <w:bCs/>
                    <w:i/>
                    <w:color w:val="000000" w:themeColor="text1"/>
                    <w:lang w:val="en-GB"/>
                  </w:rPr>
                </m:ctrlPr>
              </m:sSubPr>
              <m:e>
                <m:r>
                  <w:rPr>
                    <w:rFonts w:ascii="Cambria Math" w:hAnsi="Cambria Math" w:cs="Helvetica Neue"/>
                    <w:color w:val="000000" w:themeColor="text1"/>
                    <w:lang w:val="en-GB"/>
                  </w:rPr>
                  <m:t>c</m:t>
                </m:r>
              </m:e>
              <m:sub>
                <m:r>
                  <w:rPr>
                    <w:rFonts w:ascii="Cambria Math" w:hAnsi="Cambria Math" w:cs="Helvetica Neue"/>
                    <w:color w:val="000000" w:themeColor="text1"/>
                    <w:lang w:val="en-GB"/>
                  </w:rPr>
                  <m:t>ij</m:t>
                </m:r>
              </m:sub>
            </m:sSub>
            <m:sSub>
              <m:sSubPr>
                <m:ctrlPr>
                  <w:rPr>
                    <w:rFonts w:ascii="Cambria Math" w:hAnsi="Cambria Math" w:cs="Helvetica Neue"/>
                    <w:bCs/>
                    <w:i/>
                    <w:color w:val="000000" w:themeColor="text1"/>
                    <w:lang w:val="en-GB"/>
                  </w:rPr>
                </m:ctrlPr>
              </m:sSubPr>
              <m:e>
                <m:r>
                  <w:rPr>
                    <w:rFonts w:ascii="Cambria Math" w:hAnsi="Cambria Math" w:cs="Helvetica Neue"/>
                    <w:color w:val="000000" w:themeColor="text1"/>
                    <w:lang w:val="en-GB"/>
                  </w:rPr>
                  <m:t>B</m:t>
                </m:r>
              </m:e>
              <m:sub>
                <m:r>
                  <w:rPr>
                    <w:rFonts w:ascii="Cambria Math" w:hAnsi="Cambria Math" w:cs="Helvetica Neue"/>
                    <w:color w:val="000000" w:themeColor="text1"/>
                    <w:lang w:val="en-GB"/>
                  </w:rPr>
                  <m:t>j</m:t>
                </m:r>
              </m:sub>
            </m:sSub>
          </m:e>
        </m:nary>
      </m:oMath>
      <w:r w:rsidRPr="00CA4C16">
        <w:rPr>
          <w:rFonts w:ascii="Georgia" w:hAnsi="Georgia" w:cs="Helvetica Neue"/>
          <w:color w:val="000000" w:themeColor="text1"/>
          <w:lang w:val="en-GB"/>
        </w:rPr>
        <w:t xml:space="preserve"> is the limiting factor in the logistic growth of autotroph biomass with the producer competition coefficients </w:t>
      </w:r>
      <m:oMath>
        <m:sSub>
          <m:sSubPr>
            <m:ctrlPr>
              <w:rPr>
                <w:rFonts w:ascii="Cambria Math" w:hAnsi="Cambria Math" w:cs="Helvetica Neue"/>
                <w:i/>
                <w:color w:val="000000" w:themeColor="text1"/>
                <w:lang w:val="en-GB"/>
              </w:rPr>
            </m:ctrlPr>
          </m:sSubPr>
          <m:e>
            <m:r>
              <w:rPr>
                <w:rFonts w:ascii="Cambria Math" w:hAnsi="Cambria Math" w:cs="Helvetica Neue"/>
                <w:color w:val="000000" w:themeColor="text1"/>
                <w:lang w:val="en-GB"/>
              </w:rPr>
              <m:t>c</m:t>
            </m:r>
          </m:e>
          <m:sub>
            <m:r>
              <w:rPr>
                <w:rFonts w:ascii="Cambria Math" w:hAnsi="Cambria Math" w:cs="Helvetica Neue"/>
                <w:color w:val="000000" w:themeColor="text1"/>
                <w:lang w:val="en-GB"/>
              </w:rPr>
              <m:t>ij</m:t>
            </m:r>
          </m:sub>
        </m:sSub>
      </m:oMath>
      <w:r w:rsidRPr="00CA4C16">
        <w:rPr>
          <w:rFonts w:ascii="Georgia" w:eastAsiaTheme="minorEastAsia" w:hAnsi="Georgia" w:cs="Helvetica Neue"/>
          <w:color w:val="000000" w:themeColor="text1"/>
          <w:lang w:val="en-GB"/>
        </w:rPr>
        <w:t xml:space="preserve"> and shared carrying capacity coefficient </w:t>
      </w:r>
      <m:oMath>
        <m:r>
          <w:rPr>
            <w:rFonts w:ascii="Cambria Math" w:eastAsiaTheme="minorEastAsia" w:hAnsi="Cambria Math" w:cs="Helvetica Neue"/>
            <w:color w:val="000000" w:themeColor="text1"/>
            <w:lang w:val="en-GB"/>
          </w:rPr>
          <m:t>K</m:t>
        </m:r>
      </m:oMath>
      <w:r w:rsidR="00FC64D0">
        <w:rPr>
          <w:rFonts w:ascii="Georgia" w:hAnsi="Georgia" w:cs="Helvetica Neue"/>
          <w:color w:val="000000" w:themeColor="text1"/>
          <w:lang w:val="en-GB"/>
        </w:rPr>
        <w:t>.</w:t>
      </w:r>
      <w:r w:rsidRPr="00CA4C16">
        <w:rPr>
          <w:rFonts w:ascii="Georgia" w:hAnsi="Georgia" w:cs="Helvetica Neue"/>
          <w:color w:val="000000" w:themeColor="text1"/>
          <w:lang w:val="en-GB"/>
        </w:rPr>
        <w:t xml:space="preserve"> </w:t>
      </w:r>
      <w:r w:rsidR="00FC64D0">
        <w:rPr>
          <w:rFonts w:ascii="Georgia" w:hAnsi="Georgia" w:cs="Helvetica Neue"/>
          <w:color w:val="000000" w:themeColor="text1"/>
          <w:lang w:val="en-GB"/>
        </w:rPr>
        <w:t>T</w:t>
      </w:r>
      <w:r w:rsidR="00FC64D0" w:rsidRPr="00CA4C16">
        <w:rPr>
          <w:rFonts w:ascii="Georgia" w:hAnsi="Georgia" w:cs="Helvetica Neue"/>
          <w:color w:val="000000" w:themeColor="text1"/>
          <w:lang w:val="en-GB"/>
        </w:rPr>
        <w:t>he proportion of the exudation or exfoliation</w:t>
      </w:r>
      <w:r w:rsidR="00FC64D0">
        <w:rPr>
          <w:rFonts w:ascii="Georgia" w:hAnsi="Georgia" w:cs="Helvetica Neue"/>
          <w:color w:val="000000" w:themeColor="text1"/>
          <w:lang w:val="en-GB"/>
        </w:rPr>
        <w:t xml:space="preserve"> is denoted by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s</m:t>
            </m:r>
          </m:e>
          <m:sub>
            <m:r>
              <w:rPr>
                <w:rFonts w:ascii="Cambria Math" w:hAnsi="Cambria Math" w:cs="Helvetica Neue"/>
                <w:color w:val="000000" w:themeColor="text1"/>
                <w:lang w:val="en-GB"/>
              </w:rPr>
              <m:t>i</m:t>
            </m:r>
          </m:sub>
        </m:sSub>
      </m:oMath>
      <w:r w:rsidRPr="00CA4C16">
        <w:rPr>
          <w:rFonts w:ascii="Georgia" w:hAnsi="Georgia" w:cs="Helvetica Neue"/>
          <w:color w:val="000000" w:themeColor="text1"/>
          <w:lang w:val="en-GB"/>
        </w:rPr>
        <w:t xml:space="preserve">,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x</m:t>
            </m:r>
          </m:e>
          <m:sub>
            <m:r>
              <w:rPr>
                <w:rFonts w:ascii="Cambria Math" w:hAnsi="Cambria Math" w:cs="Helvetica Neue"/>
                <w:color w:val="000000" w:themeColor="text1"/>
                <w:lang w:val="en-GB"/>
              </w:rPr>
              <m:t>i</m:t>
            </m:r>
          </m:sub>
        </m:sSub>
      </m:oMath>
      <w:r w:rsidRPr="00CA4C16">
        <w:rPr>
          <w:rFonts w:ascii="Georgia" w:hAnsi="Georgia" w:cs="Helvetica Neue"/>
          <w:color w:val="000000" w:themeColor="text1"/>
          <w:lang w:val="en-GB"/>
        </w:rPr>
        <w:t xml:space="preserve"> is the mass-specific metabolic rate of consumer </w:t>
      </w:r>
      <m:oMath>
        <m:r>
          <w:rPr>
            <w:rFonts w:ascii="Cambria Math" w:hAnsi="Cambria Math" w:cs="Helvetica Neue"/>
            <w:color w:val="000000" w:themeColor="text1"/>
            <w:lang w:val="en-GB"/>
          </w:rPr>
          <m:t>i</m:t>
        </m:r>
      </m:oMath>
      <w:r w:rsidRPr="00CA4C16">
        <w:rPr>
          <w:rFonts w:ascii="Georgia" w:hAnsi="Georgia" w:cs="Helvetica Neue"/>
          <w:color w:val="000000" w:themeColor="text1"/>
          <w:lang w:val="en-GB"/>
        </w:rPr>
        <w:t xml:space="preserve">,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y</m:t>
            </m:r>
          </m:e>
          <m:sub>
            <m:r>
              <w:rPr>
                <w:rFonts w:ascii="Cambria Math" w:hAnsi="Cambria Math" w:cs="Helvetica Neue"/>
                <w:color w:val="000000" w:themeColor="text1"/>
                <w:lang w:val="en-GB"/>
              </w:rPr>
              <m:t>ij</m:t>
            </m:r>
          </m:sub>
        </m:sSub>
      </m:oMath>
      <w:r w:rsidRPr="00CA4C16">
        <w:rPr>
          <w:rFonts w:ascii="Georgia" w:hAnsi="Georgia" w:cs="Helvetica Neue"/>
          <w:color w:val="000000" w:themeColor="text1"/>
          <w:lang w:val="en-GB"/>
        </w:rPr>
        <w:t xml:space="preserve"> is the maximum consumption rate scaling factor of species </w:t>
      </w:r>
      <m:oMath>
        <m:r>
          <w:rPr>
            <w:rFonts w:ascii="Cambria Math" w:hAnsi="Cambria Math" w:cs="Helvetica Neue"/>
            <w:color w:val="000000" w:themeColor="text1"/>
            <w:lang w:val="en-GB"/>
          </w:rPr>
          <m:t>i</m:t>
        </m:r>
      </m:oMath>
      <w:r w:rsidRPr="00CA4C16">
        <w:rPr>
          <w:rFonts w:ascii="Georgia" w:hAnsi="Georgia" w:cs="Helvetica Neue"/>
          <w:color w:val="000000" w:themeColor="text1"/>
          <w:lang w:val="en-GB"/>
        </w:rPr>
        <w:t xml:space="preserve"> feeding on species </w:t>
      </w:r>
      <m:oMath>
        <m:r>
          <w:rPr>
            <w:rFonts w:ascii="Cambria Math" w:hAnsi="Cambria Math" w:cs="Helvetica Neue"/>
            <w:color w:val="000000" w:themeColor="text1"/>
            <w:lang w:val="en-GB"/>
          </w:rPr>
          <m:t>j</m:t>
        </m:r>
      </m:oMath>
      <w:r w:rsidR="00FC64D0">
        <w:rPr>
          <w:rFonts w:ascii="Georgia" w:eastAsiaTheme="minorEastAsia" w:hAnsi="Georgia" w:cs="Helvetica Neue"/>
          <w:color w:val="000000" w:themeColor="text1"/>
          <w:lang w:val="en-GB"/>
        </w:rPr>
        <w:t>,</w:t>
      </w:r>
      <w:r w:rsidR="00FC64D0">
        <w:rPr>
          <w:rFonts w:ascii="Georgia" w:hAnsi="Georgia" w:cs="Helvetica Neue"/>
          <w:color w:val="000000" w:themeColor="text1"/>
          <w:lang w:val="en-GB"/>
        </w:rPr>
        <w:t xml:space="preserve"> and</w:t>
      </w:r>
      <w:r w:rsidRPr="00CA4C16">
        <w:rPr>
          <w:rFonts w:ascii="Georgia" w:hAnsi="Georgia" w:cs="Helvetica Neue"/>
          <w:color w:val="000000" w:themeColor="text1"/>
          <w:lang w:val="en-GB"/>
        </w:rPr>
        <w:t xml:space="preserve">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e</m:t>
            </m:r>
          </m:e>
          <m:sub>
            <m:r>
              <w:rPr>
                <w:rFonts w:ascii="Cambria Math" w:hAnsi="Cambria Math" w:cs="Helvetica Neue"/>
                <w:color w:val="000000" w:themeColor="text1"/>
                <w:lang w:val="en-GB"/>
              </w:rPr>
              <m:t>ij</m:t>
            </m:r>
          </m:sub>
        </m:sSub>
        <m:r>
          <m:rPr>
            <m:sty m:val="bi"/>
          </m:rPr>
          <w:rPr>
            <w:rFonts w:ascii="Cambria Math" w:hAnsi="Cambria Math" w:cs="Helvetica Neue"/>
            <w:color w:val="000000" w:themeColor="text1"/>
            <w:lang w:val="en-GB"/>
          </w:rPr>
          <m:t xml:space="preserve"> </m:t>
        </m:r>
      </m:oMath>
      <w:r w:rsidRPr="00CA4C16">
        <w:rPr>
          <w:rFonts w:ascii="Georgia" w:hAnsi="Georgia" w:cs="Helvetica Neue"/>
          <w:color w:val="000000" w:themeColor="text1"/>
          <w:lang w:val="en-GB"/>
        </w:rPr>
        <w:t xml:space="preserve">is the assimilation efficiency of ingested and </w:t>
      </w:r>
      <w:r w:rsidRPr="00CA4C16">
        <w:rPr>
          <w:rFonts w:ascii="Georgia" w:hAnsi="Georgia" w:cs="Helvetica Neue"/>
          <w:color w:val="000000" w:themeColor="text1"/>
          <w:lang w:val="en-GB"/>
        </w:rPr>
        <w:lastRenderedPageBreak/>
        <w:t>assimilated biomass</w:t>
      </w:r>
      <w:r w:rsidR="00FC64D0">
        <w:rPr>
          <w:rFonts w:ascii="Georgia" w:hAnsi="Georgia" w:cs="Helvetica Neue"/>
          <w:color w:val="000000" w:themeColor="text1"/>
          <w:lang w:val="en-GB"/>
        </w:rPr>
        <w:t>. Coefficient</w:t>
      </w:r>
      <w:r w:rsidRPr="00CA4C16">
        <w:rPr>
          <w:rFonts w:ascii="Georgia" w:hAnsi="Georgia" w:cs="Helvetica Neue"/>
          <w:color w:val="000000" w:themeColor="text1"/>
          <w:lang w:val="en-GB"/>
        </w:rPr>
        <w:t xml:space="preserve">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m</m:t>
            </m:r>
          </m:sub>
        </m:sSub>
      </m:oMath>
      <w:r w:rsidRPr="00CA4C16">
        <w:rPr>
          <w:rFonts w:ascii="Georgia" w:hAnsi="Georgia" w:cs="Helvetica Neue"/>
          <w:color w:val="000000" w:themeColor="text1"/>
          <w:lang w:val="en-GB"/>
        </w:rPr>
        <w:t xml:space="preserve"> </w:t>
      </w:r>
      <w:r w:rsidR="00FC64D0">
        <w:rPr>
          <w:rFonts w:ascii="Georgia" w:hAnsi="Georgia" w:cs="Helvetica Neue"/>
          <w:color w:val="000000" w:themeColor="text1"/>
          <w:lang w:val="en-GB"/>
        </w:rPr>
        <w:t xml:space="preserve">is </w:t>
      </w:r>
      <w:r w:rsidRPr="00CA4C16">
        <w:rPr>
          <w:rFonts w:ascii="Georgia" w:hAnsi="Georgia" w:cs="Helvetica Neue"/>
          <w:color w:val="000000" w:themeColor="text1"/>
          <w:lang w:val="en-GB"/>
        </w:rPr>
        <w:t>maintenance respiration</w:t>
      </w:r>
      <w:r w:rsidR="00FC64D0">
        <w:rPr>
          <w:rFonts w:ascii="Georgia" w:hAnsi="Georgia" w:cs="Helvetica Neue"/>
          <w:color w:val="000000" w:themeColor="text1"/>
          <w:lang w:val="en-GB"/>
        </w:rPr>
        <w:t xml:space="preserve"> and</w:t>
      </w:r>
      <w:r w:rsidRPr="00CA4C16">
        <w:rPr>
          <w:rFonts w:ascii="Georgia" w:hAnsi="Georgia" w:cs="Helvetica Neue"/>
          <w:color w:val="000000" w:themeColor="text1"/>
          <w:lang w:val="en-GB"/>
        </w:rPr>
        <w:t xml:space="preserve"> </w:t>
      </w:r>
      <m:oMath>
        <m:sSub>
          <m:sSubPr>
            <m:ctrlPr>
              <w:rPr>
                <w:rFonts w:ascii="Cambria Math" w:hAnsi="Cambria Math" w:cs="Helvetica Neue"/>
                <w:b/>
                <w:bCs/>
                <w:i/>
                <w:iCs/>
                <w:color w:val="000000" w:themeColor="text1"/>
                <w:lang w:val="en-GB"/>
              </w:rPr>
            </m:ctrlPr>
          </m:sSubPr>
          <m:e>
            <m:r>
              <w:rPr>
                <w:rFonts w:ascii="Cambria Math" w:hAnsi="Cambria Math" w:cs="Helvetica Neue"/>
                <w:color w:val="000000" w:themeColor="text1"/>
                <w:lang w:val="en-GB"/>
              </w:rPr>
              <m:t>f</m:t>
            </m:r>
          </m:e>
          <m:sub>
            <m:r>
              <w:rPr>
                <w:rFonts w:ascii="Cambria Math" w:hAnsi="Cambria Math" w:cs="Helvetica Neue"/>
                <w:color w:val="000000" w:themeColor="text1"/>
                <w:lang w:val="en-GB"/>
              </w:rPr>
              <m:t>a</m:t>
            </m:r>
          </m:sub>
        </m:sSub>
      </m:oMath>
      <w:r w:rsidRPr="00CA4C16">
        <w:rPr>
          <w:rFonts w:ascii="Georgia" w:eastAsiaTheme="minorEastAsia" w:hAnsi="Georgia" w:cs="Helvetica Neue"/>
          <w:iCs/>
          <w:color w:val="000000" w:themeColor="text1"/>
          <w:lang w:val="en-GB"/>
        </w:rPr>
        <w:t xml:space="preserve"> is the fraction of ingested biomass used for building the consumers biomass whereas the fraction </w:t>
      </w:r>
      <m:oMath>
        <m:r>
          <w:rPr>
            <w:rFonts w:ascii="Cambria Math" w:eastAsiaTheme="minorEastAsia" w:hAnsi="Cambria Math" w:cs="Helvetica Neue"/>
            <w:color w:val="000000" w:themeColor="text1"/>
            <w:lang w:val="en-GB"/>
          </w:rPr>
          <m:t>(1-</m:t>
        </m:r>
        <m:sSub>
          <m:sSubPr>
            <m:ctrlPr>
              <w:rPr>
                <w:rFonts w:ascii="Cambria Math" w:eastAsiaTheme="minorEastAsia" w:hAnsi="Cambria Math" w:cs="Helvetica Neue"/>
                <w:i/>
                <w:iCs/>
                <w:color w:val="000000" w:themeColor="text1"/>
                <w:lang w:val="en-GB"/>
              </w:rPr>
            </m:ctrlPr>
          </m:sSubPr>
          <m:e>
            <m:r>
              <w:rPr>
                <w:rFonts w:ascii="Cambria Math" w:eastAsiaTheme="minorEastAsia" w:hAnsi="Cambria Math" w:cs="Helvetica Neue"/>
                <w:color w:val="000000" w:themeColor="text1"/>
                <w:lang w:val="en-GB"/>
              </w:rPr>
              <m:t>f</m:t>
            </m:r>
          </m:e>
          <m:sub>
            <m:r>
              <w:rPr>
                <w:rFonts w:ascii="Cambria Math" w:eastAsiaTheme="minorEastAsia" w:hAnsi="Cambria Math" w:cs="Helvetica Neue"/>
                <w:color w:val="000000" w:themeColor="text1"/>
                <w:lang w:val="en-GB"/>
              </w:rPr>
              <m:t>a</m:t>
            </m:r>
          </m:sub>
        </m:sSub>
        <m:r>
          <w:rPr>
            <w:rFonts w:ascii="Cambria Math" w:eastAsiaTheme="minorEastAsia" w:hAnsi="Cambria Math" w:cs="Helvetica Neue"/>
            <w:color w:val="000000" w:themeColor="text1"/>
            <w:lang w:val="en-GB"/>
          </w:rPr>
          <m:t>)</m:t>
        </m:r>
      </m:oMath>
      <w:r w:rsidRPr="00CA4C16">
        <w:rPr>
          <w:rFonts w:ascii="Georgia" w:hAnsi="Georgia" w:cs="Helvetica Neue"/>
          <w:color w:val="000000" w:themeColor="text1"/>
          <w:lang w:val="en-GB"/>
        </w:rPr>
        <w:t xml:space="preserve"> is lost to activity related metabolism. The mature fish allocate </w:t>
      </w:r>
      <w:r>
        <w:rPr>
          <w:rFonts w:ascii="Georgia" w:hAnsi="Georgia" w:cs="Helvetica Neue"/>
          <w:color w:val="000000" w:themeColor="text1"/>
          <w:lang w:val="en-GB"/>
        </w:rPr>
        <w:t xml:space="preserve">part of their </w:t>
      </w:r>
      <w:r w:rsidRPr="00CA4C16">
        <w:rPr>
          <w:rFonts w:ascii="Georgia" w:hAnsi="Georgia" w:cs="Helvetica Neue"/>
          <w:color w:val="000000" w:themeColor="text1"/>
          <w:lang w:val="en-GB"/>
        </w:rPr>
        <w:t>biomass for reproduction (</w:t>
      </w:r>
      <m:oMath>
        <m:sSubSup>
          <m:sSubSupPr>
            <m:ctrlPr>
              <w:rPr>
                <w:rFonts w:ascii="Cambria Math" w:hAnsi="Cambria Math" w:cs="Helvetica Neue"/>
                <w:i/>
                <w:color w:val="000000" w:themeColor="text1"/>
                <w:lang w:val="en-GB"/>
              </w:rPr>
            </m:ctrlPr>
          </m:sSubSupPr>
          <m:e>
            <m:r>
              <w:rPr>
                <w:rFonts w:ascii="Cambria Math" w:hAnsi="Cambria Math" w:cs="Helvetica Neue"/>
                <w:color w:val="000000" w:themeColor="text1"/>
                <w:lang w:val="en-GB"/>
              </w:rPr>
              <m:t>B</m:t>
            </m:r>
          </m:e>
          <m:sub>
            <m:r>
              <w:rPr>
                <w:rFonts w:ascii="Cambria Math" w:hAnsi="Cambria Math" w:cs="Helvetica Neue"/>
                <w:color w:val="000000" w:themeColor="text1"/>
                <w:lang w:val="en-GB"/>
              </w:rPr>
              <m:t>i</m:t>
            </m:r>
          </m:sub>
          <m:sup>
            <m:r>
              <w:rPr>
                <w:rFonts w:ascii="Cambria Math" w:hAnsi="Cambria Math" w:cs="Helvetica Neue"/>
                <w:color w:val="000000" w:themeColor="text1"/>
                <w:lang w:val="en-GB"/>
              </w:rPr>
              <m:t>+</m:t>
            </m:r>
          </m:sup>
        </m:sSubSup>
      </m:oMath>
      <w:r w:rsidRPr="00CA4C16">
        <w:rPr>
          <w:rFonts w:ascii="Georgia" w:eastAsiaTheme="minorEastAsia" w:hAnsi="Georgia" w:cs="Helvetica Neue"/>
          <w:color w:val="000000" w:themeColor="text1"/>
          <w:lang w:val="en-GB"/>
        </w:rPr>
        <w:t>)</w:t>
      </w:r>
      <w:r>
        <w:rPr>
          <w:rFonts w:ascii="Georgia" w:eastAsiaTheme="minorEastAsia" w:hAnsi="Georgia" w:cs="Helvetica Neue"/>
          <w:color w:val="000000" w:themeColor="text1"/>
          <w:lang w:val="en-GB"/>
        </w:rPr>
        <w:t xml:space="preserve"> before the new growth season starts</w:t>
      </w:r>
      <w:r w:rsidRPr="00CA4C16">
        <w:rPr>
          <w:rFonts w:ascii="Georgia" w:hAnsi="Georgia" w:cs="Helvetica Neue"/>
          <w:color w:val="000000" w:themeColor="text1"/>
          <w:lang w:val="en-GB"/>
        </w:rPr>
        <w:t xml:space="preserve">, </w:t>
      </w:r>
      <w:r>
        <w:rPr>
          <w:rFonts w:ascii="Georgia" w:hAnsi="Georgia" w:cs="Helvetica Neue"/>
          <w:color w:val="000000" w:themeColor="text1"/>
          <w:lang w:val="en-GB"/>
        </w:rPr>
        <w:t>which</w:t>
      </w:r>
      <w:r w:rsidRPr="00CA4C16">
        <w:rPr>
          <w:rFonts w:ascii="Georgia" w:hAnsi="Georgia" w:cs="Helvetica Neue"/>
          <w:color w:val="000000" w:themeColor="text1"/>
          <w:lang w:val="en-GB"/>
        </w:rPr>
        <w:t xml:space="preserve"> </w:t>
      </w:r>
      <w:r>
        <w:rPr>
          <w:rFonts w:ascii="Georgia" w:hAnsi="Georgia" w:cs="Helvetica Neue"/>
          <w:color w:val="000000" w:themeColor="text1"/>
          <w:lang w:val="en-GB"/>
        </w:rPr>
        <w:t>the model</w:t>
      </w:r>
      <w:r w:rsidRPr="00CA4C16">
        <w:rPr>
          <w:rFonts w:ascii="Georgia" w:hAnsi="Georgia" w:cs="Helvetica Neue"/>
          <w:color w:val="000000" w:themeColor="text1"/>
          <w:lang w:val="en-GB"/>
        </w:rPr>
        <w:t xml:space="preserve"> track</w:t>
      </w:r>
      <w:r>
        <w:rPr>
          <w:rFonts w:ascii="Georgia" w:hAnsi="Georgia" w:cs="Helvetica Neue"/>
          <w:color w:val="000000" w:themeColor="text1"/>
          <w:lang w:val="en-GB"/>
        </w:rPr>
        <w:t>s</w:t>
      </w:r>
      <w:r w:rsidRPr="00CA4C16">
        <w:rPr>
          <w:rFonts w:ascii="Georgia" w:hAnsi="Georgia" w:cs="Helvetica Neue"/>
          <w:color w:val="000000" w:themeColor="text1"/>
          <w:lang w:val="en-GB"/>
        </w:rPr>
        <w:t xml:space="preserve"> separately</w:t>
      </w:r>
      <w:r>
        <w:rPr>
          <w:rFonts w:ascii="Georgia" w:hAnsi="Georgia" w:cs="Helvetica Neue"/>
          <w:color w:val="000000" w:themeColor="text1"/>
          <w:lang w:val="en-GB"/>
        </w:rPr>
        <w:t xml:space="preserve">. For all </w:t>
      </w:r>
      <w:bookmarkStart w:id="10" w:name="OLE_LINK19"/>
      <w:bookmarkStart w:id="11" w:name="OLE_LINK20"/>
      <w:r w:rsidRPr="00286ECD">
        <w:rPr>
          <w:rFonts w:ascii="Georgia" w:eastAsiaTheme="minorEastAsia" w:hAnsi="Georgia" w:cs="Helvetica Neue"/>
          <w:iCs/>
          <w:color w:val="000000" w:themeColor="text1"/>
          <w:lang w:val="en-GB"/>
        </w:rPr>
        <w:t>other functional guilds, the initial biomass for the forthcoming growth season always mirrors the final biomass from the preceding year’s growth season.</w:t>
      </w:r>
      <w:r>
        <w:rPr>
          <w:rFonts w:ascii="Georgia" w:eastAsiaTheme="minorEastAsia" w:hAnsi="Georgia" w:cs="Helvetica Neue"/>
          <w:iCs/>
          <w:color w:val="000000" w:themeColor="text1"/>
          <w:lang w:val="en-GB"/>
        </w:rPr>
        <w:t xml:space="preserve"> </w:t>
      </w:r>
    </w:p>
    <w:bookmarkEnd w:id="8"/>
    <w:bookmarkEnd w:id="9"/>
    <w:bookmarkEnd w:id="10"/>
    <w:bookmarkEnd w:id="11"/>
    <w:p w14:paraId="7056C3F6"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4BA8AEA6" w14:textId="21969DEF" w:rsidR="005E45D8" w:rsidRPr="00286ECD" w:rsidRDefault="005E45D8" w:rsidP="005E45D8">
      <w:pPr>
        <w:autoSpaceDE w:val="0"/>
        <w:autoSpaceDN w:val="0"/>
        <w:adjustRightInd w:val="0"/>
        <w:spacing w:line="480" w:lineRule="auto"/>
        <w:jc w:val="both"/>
        <w:rPr>
          <w:rFonts w:ascii="Georgia" w:hAnsi="Georgia" w:cs="Helvetica Neue"/>
          <w:b/>
          <w:bCs/>
          <w:color w:val="000000" w:themeColor="text1"/>
          <w:sz w:val="32"/>
          <w:szCs w:val="32"/>
          <w:lang w:val="en-GB"/>
        </w:rPr>
      </w:pPr>
      <w:bookmarkStart w:id="12" w:name="OLE_LINK21"/>
      <w:bookmarkStart w:id="13" w:name="OLE_LINK22"/>
      <w:r w:rsidRPr="00286ECD">
        <w:rPr>
          <w:rFonts w:ascii="Georgia" w:hAnsi="Georgia" w:cs="Helvetica Neue"/>
          <w:b/>
          <w:bCs/>
          <w:color w:val="000000" w:themeColor="text1"/>
          <w:lang w:val="en-GB"/>
        </w:rPr>
        <w:t>SIMULATION DESIGN.</w:t>
      </w:r>
      <w:r w:rsidRPr="00286ECD">
        <w:rPr>
          <w:rFonts w:ascii="Georgia" w:hAnsi="Georgia" w:cs="Helvetica Neue"/>
          <w:color w:val="000000" w:themeColor="text1"/>
          <w:lang w:val="en-GB"/>
        </w:rPr>
        <w:t xml:space="preserve"> To </w:t>
      </w:r>
      <w:r>
        <w:rPr>
          <w:rFonts w:ascii="Georgia" w:hAnsi="Georgia" w:cs="Helvetica Neue"/>
          <w:color w:val="000000" w:themeColor="text1"/>
          <w:lang w:val="en-GB"/>
        </w:rPr>
        <w:t>investigate</w:t>
      </w:r>
      <w:r w:rsidRPr="00286ECD">
        <w:rPr>
          <w:rFonts w:ascii="Georgia" w:hAnsi="Georgia" w:cs="Helvetica Neue"/>
          <w:color w:val="000000" w:themeColor="text1"/>
          <w:lang w:val="en-GB"/>
        </w:rPr>
        <w:t xml:space="preserve"> the </w:t>
      </w:r>
      <w:r>
        <w:rPr>
          <w:rFonts w:ascii="Georgia" w:hAnsi="Georgia" w:cs="Helvetica Neue"/>
          <w:color w:val="000000" w:themeColor="text1"/>
          <w:lang w:val="en-GB"/>
        </w:rPr>
        <w:t>impact</w:t>
      </w:r>
      <w:r w:rsidRPr="00286ECD">
        <w:rPr>
          <w:rFonts w:ascii="Georgia" w:hAnsi="Georgia" w:cs="Helvetica Neue"/>
          <w:color w:val="000000" w:themeColor="text1"/>
          <w:lang w:val="en-GB"/>
        </w:rPr>
        <w:t xml:space="preserve"> of ecotypes </w:t>
      </w:r>
      <w:r>
        <w:rPr>
          <w:rFonts w:ascii="Georgia" w:hAnsi="Georgia" w:cs="Helvetica Neue"/>
          <w:color w:val="000000" w:themeColor="text1"/>
          <w:lang w:val="en-GB"/>
        </w:rPr>
        <w:t>on the</w:t>
      </w:r>
      <w:r w:rsidRPr="00286ECD">
        <w:rPr>
          <w:rFonts w:ascii="Georgia" w:hAnsi="Georgia" w:cs="Helvetica Neue"/>
          <w:color w:val="000000" w:themeColor="text1"/>
          <w:lang w:val="en-GB"/>
        </w:rPr>
        <w:t xml:space="preserve"> Skagerrak food web, we </w:t>
      </w:r>
      <w:r>
        <w:rPr>
          <w:rFonts w:ascii="Georgia" w:hAnsi="Georgia" w:cs="Helvetica Neue"/>
          <w:color w:val="000000" w:themeColor="text1"/>
          <w:lang w:val="en-GB"/>
        </w:rPr>
        <w:t>conducted simulations across</w:t>
      </w:r>
      <w:r w:rsidRPr="00286ECD">
        <w:rPr>
          <w:rFonts w:ascii="Georgia" w:hAnsi="Georgia" w:cs="Helvetica Neue"/>
          <w:color w:val="000000" w:themeColor="text1"/>
          <w:lang w:val="en-GB"/>
        </w:rPr>
        <w:t xml:space="preserve"> four distinct scenarios</w:t>
      </w:r>
      <w:r>
        <w:rPr>
          <w:rFonts w:ascii="Georgia" w:hAnsi="Georgia" w:cs="Helvetica Neue"/>
          <w:color w:val="000000" w:themeColor="text1"/>
          <w:lang w:val="en-GB"/>
        </w:rPr>
        <w:t xml:space="preserve"> using </w:t>
      </w:r>
      <w:proofErr w:type="spellStart"/>
      <w:r w:rsidRPr="000C0E17">
        <w:rPr>
          <w:rFonts w:ascii="Georgia" w:hAnsi="Georgia" w:cs="Helvetica Neue"/>
          <w:color w:val="000000" w:themeColor="text1"/>
          <w:lang w:val="en-GB"/>
        </w:rPr>
        <w:t>Matlab</w:t>
      </w:r>
      <w:proofErr w:type="spellEnd"/>
      <w:r w:rsidRPr="000C0E17">
        <w:rPr>
          <w:rFonts w:ascii="Georgia" w:hAnsi="Georgia" w:cs="Helvetica Neue"/>
          <w:color w:val="000000" w:themeColor="text1"/>
          <w:lang w:val="en-GB"/>
        </w:rPr>
        <w:t xml:space="preserve"> </w:t>
      </w:r>
      <w:r w:rsidRPr="000C0E17">
        <w:rPr>
          <w:rFonts w:ascii="Georgia" w:hAnsi="Georgia" w:cs="Helvetica Neue"/>
          <w:color w:val="000000" w:themeColor="text1"/>
          <w:lang w:val="en-GB"/>
        </w:rPr>
        <w:fldChar w:fldCharType="begin" w:fldLock="1"/>
      </w:r>
      <w:r w:rsidRPr="000C0E17">
        <w:rPr>
          <w:rFonts w:ascii="Georgia" w:hAnsi="Georgia" w:cs="Helvetica Neue"/>
          <w:color w:val="000000" w:themeColor="text1"/>
          <w:lang w:val="en-GB"/>
        </w:rPr>
        <w:instrText>ADDIN CSL_CITATION {"citationItems":[{"id":"ITEM-1","itemData":{"author":[{"dropping-particle":"","family":"MATLAB","given":"","non-dropping-particle":"","parse-names":false,"suffix":""}],"container-title":"The MathWorks Inc. , Natick, Massachusetts","id":"ITEM-1","issued":{"date-parts":[["2018"]]},"title":"Version 9.4 (R2019b)","type":"article"},"uris":["http://www.mendeley.com/documents/?uuid=c0e5f682-a324-4446-a68c-5678a2647dfa"]}],"mendeley":{"formattedCitation":"(MATLAB, 2018)","plainTextFormattedCitation":"(MATLAB, 2018)","previouslyFormattedCitation":"(MATLAB, 2018)"},"properties":{"noteIndex":0},"schema":"https://github.com/citation-style-language/schema/raw/master/csl-citation.json"}</w:instrText>
      </w:r>
      <w:r w:rsidRPr="000C0E17">
        <w:rPr>
          <w:rFonts w:ascii="Georgia" w:hAnsi="Georgia" w:cs="Helvetica Neue"/>
          <w:color w:val="000000" w:themeColor="text1"/>
          <w:lang w:val="en-GB"/>
        </w:rPr>
        <w:fldChar w:fldCharType="separate"/>
      </w:r>
      <w:r w:rsidRPr="000C0E17">
        <w:rPr>
          <w:rFonts w:ascii="Georgia" w:hAnsi="Georgia" w:cs="Helvetica Neue"/>
          <w:noProof/>
          <w:color w:val="000000" w:themeColor="text1"/>
          <w:lang w:val="en-GB"/>
        </w:rPr>
        <w:t>(MATLAB 2018)</w:t>
      </w:r>
      <w:r w:rsidRPr="000C0E17">
        <w:rPr>
          <w:rFonts w:ascii="Georgia" w:hAnsi="Georgia" w:cs="Helvetica Neue"/>
          <w:color w:val="000000" w:themeColor="text1"/>
          <w:lang w:val="en-GB"/>
        </w:rPr>
        <w:fldChar w:fldCharType="end"/>
      </w:r>
      <w:r w:rsidRPr="000C0E17">
        <w:rPr>
          <w:rFonts w:ascii="Georgia" w:hAnsi="Georgia" w:cs="Helvetica Neue"/>
          <w:color w:val="000000" w:themeColor="text1"/>
          <w:lang w:val="en-GB"/>
        </w:rPr>
        <w:t>.</w:t>
      </w:r>
      <w:r>
        <w:rPr>
          <w:rFonts w:ascii="Georgia" w:hAnsi="Georgia" w:cs="Helvetica Neue"/>
          <w:color w:val="000000" w:themeColor="text1"/>
          <w:lang w:val="en-GB"/>
        </w:rPr>
        <w:t xml:space="preserve"> These scenarios included the</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presence of </w:t>
      </w:r>
      <w:r w:rsidRPr="00286ECD">
        <w:rPr>
          <w:rFonts w:ascii="Georgia" w:hAnsi="Georgia" w:cs="Helvetica Neue"/>
          <w:color w:val="000000" w:themeColor="text1"/>
          <w:lang w:val="en-GB"/>
        </w:rPr>
        <w:t xml:space="preserve">both North Sea and Fjord cod ecotypes, </w:t>
      </w:r>
      <w:r>
        <w:rPr>
          <w:rFonts w:ascii="Georgia" w:hAnsi="Georgia" w:cs="Helvetica Neue"/>
          <w:color w:val="000000" w:themeColor="text1"/>
          <w:lang w:val="en-GB"/>
        </w:rPr>
        <w:t>the removal of one ecotype</w:t>
      </w:r>
      <w:r w:rsidRPr="00286ECD">
        <w:rPr>
          <w:rFonts w:ascii="Georgia" w:hAnsi="Georgia" w:cs="Helvetica Neue"/>
          <w:color w:val="000000" w:themeColor="text1"/>
          <w:lang w:val="en-GB"/>
        </w:rPr>
        <w:t xml:space="preserve">, and </w:t>
      </w:r>
      <w:r>
        <w:rPr>
          <w:rFonts w:ascii="Georgia" w:hAnsi="Georgia" w:cs="Helvetica Neue"/>
          <w:color w:val="000000" w:themeColor="text1"/>
          <w:lang w:val="en-GB"/>
        </w:rPr>
        <w:t>the absence of</w:t>
      </w:r>
      <w:r w:rsidRPr="00286ECD">
        <w:rPr>
          <w:rFonts w:ascii="Georgia" w:hAnsi="Georgia" w:cs="Helvetica Neue"/>
          <w:color w:val="000000" w:themeColor="text1"/>
          <w:lang w:val="en-GB"/>
        </w:rPr>
        <w:t xml:space="preserve"> both cod ecotypes. Each simulation </w:t>
      </w:r>
      <w:r>
        <w:rPr>
          <w:rFonts w:ascii="Georgia" w:hAnsi="Georgia" w:cs="Helvetica Neue"/>
          <w:color w:val="000000" w:themeColor="text1"/>
          <w:lang w:val="en-GB"/>
        </w:rPr>
        <w:t xml:space="preserve">spanned 100 years, with each </w:t>
      </w:r>
      <w:r w:rsidRPr="00286ECD">
        <w:rPr>
          <w:rFonts w:ascii="Georgia" w:hAnsi="Georgia" w:cs="Helvetica Neue"/>
          <w:color w:val="000000" w:themeColor="text1"/>
          <w:lang w:val="en-GB"/>
        </w:rPr>
        <w:t xml:space="preserve">year </w:t>
      </w:r>
      <w:r>
        <w:rPr>
          <w:rFonts w:ascii="Georgia" w:hAnsi="Georgia" w:cs="Helvetica Neue"/>
          <w:color w:val="000000" w:themeColor="text1"/>
          <w:lang w:val="en-GB"/>
        </w:rPr>
        <w:t>consisting</w:t>
      </w:r>
      <w:r w:rsidRPr="00286ECD">
        <w:rPr>
          <w:rFonts w:ascii="Georgia" w:hAnsi="Georgia" w:cs="Helvetica Neue"/>
          <w:color w:val="000000" w:themeColor="text1"/>
          <w:lang w:val="en-GB"/>
        </w:rPr>
        <w:t xml:space="preserve"> of a 90-day growing season. This time frame was sufficiently long for the biomass to reach dynamic equilibrium and </w:t>
      </w:r>
      <w:r>
        <w:rPr>
          <w:rFonts w:ascii="Georgia" w:hAnsi="Georgia" w:cs="Helvetica Neue"/>
          <w:color w:val="000000" w:themeColor="text1"/>
          <w:lang w:val="en-GB"/>
        </w:rPr>
        <w:t xml:space="preserve">ensured stabilization of the </w:t>
      </w:r>
      <w:r w:rsidRPr="00286ECD">
        <w:rPr>
          <w:rFonts w:ascii="Georgia" w:hAnsi="Georgia" w:cs="Helvetica Neue"/>
          <w:color w:val="000000" w:themeColor="text1"/>
          <w:lang w:val="en-GB"/>
        </w:rPr>
        <w:t xml:space="preserve">food web </w:t>
      </w:r>
      <w:r>
        <w:rPr>
          <w:rFonts w:ascii="Georgia" w:hAnsi="Georgia" w:cs="Helvetica Neue"/>
          <w:color w:val="000000" w:themeColor="text1"/>
          <w:lang w:val="en-GB"/>
        </w:rPr>
        <w:t>dynamics</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B</w:t>
      </w:r>
      <w:r w:rsidRPr="00286ECD">
        <w:rPr>
          <w:rFonts w:ascii="Georgia" w:hAnsi="Georgia" w:cs="Helvetica Neue"/>
          <w:color w:val="000000" w:themeColor="text1"/>
          <w:lang w:val="en-GB"/>
        </w:rPr>
        <w:t xml:space="preserve">iomass dynamics datasets </w:t>
      </w:r>
      <w:r>
        <w:rPr>
          <w:rFonts w:ascii="Georgia" w:hAnsi="Georgia" w:cs="Helvetica Neue"/>
          <w:color w:val="000000" w:themeColor="text1"/>
          <w:lang w:val="en-GB"/>
        </w:rPr>
        <w:t xml:space="preserve">from these simulations were exported </w:t>
      </w:r>
      <w:r w:rsidRPr="00286ECD">
        <w:rPr>
          <w:rFonts w:ascii="Georgia" w:hAnsi="Georgia" w:cs="Helvetica Neue"/>
          <w:color w:val="000000" w:themeColor="text1"/>
          <w:lang w:val="en-GB"/>
        </w:rPr>
        <w:t>to R studio version 4.</w:t>
      </w:r>
      <w:r w:rsidR="00FE3796">
        <w:rPr>
          <w:rFonts w:ascii="Georgia" w:hAnsi="Georgia" w:cs="Helvetica Neue"/>
          <w:color w:val="000000" w:themeColor="text1"/>
          <w:lang w:val="en-GB"/>
        </w:rPr>
        <w:t>4</w:t>
      </w:r>
      <w:r w:rsidRPr="00286ECD">
        <w:rPr>
          <w:rFonts w:ascii="Georgia" w:hAnsi="Georgia" w:cs="Helvetica Neue"/>
          <w:color w:val="000000" w:themeColor="text1"/>
          <w:lang w:val="en-GB"/>
        </w:rPr>
        <w:t>.</w:t>
      </w:r>
      <w:r w:rsidR="00FE3796">
        <w:rPr>
          <w:rFonts w:ascii="Georgia" w:hAnsi="Georgia" w:cs="Helvetica Neue"/>
          <w:color w:val="000000" w:themeColor="text1"/>
          <w:lang w:val="en-GB"/>
        </w:rPr>
        <w:t>1</w:t>
      </w:r>
      <w:r w:rsidRPr="00286ECD">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{"citationItems":[{"id":"ITEM-1","itemData":{"author":[{"dropping-particle":"","family":"R Core Team","given":"","non-dropping-particle":"","parse-names":false,"suffix":""}],"id":"ITEM-1","issued":{"date-parts":[["2021"]]},"publisher":"R Foundation for Statistical Computing, Vienna, Austria","title":"R: A Language and Environment for Statistical Computing","type":"article"},"uris":["http://www.mendeley.com/documents/?uuid=08c78388-433e-4ebb-bec6-4efff3e625ea"]}],"mendeley":{"formattedCitation":"(R Core Team, 2021)","plainTextFormattedCitation":"(R Core Team, 2021)","previouslyFormattedCitation":"(R Core Team,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(R Core Team 202</w:t>
      </w:r>
      <w:r w:rsidR="00BD4307">
        <w:rPr>
          <w:rFonts w:ascii="Georgia" w:hAnsi="Georgia" w:cs="Helvetica Neue"/>
          <w:noProof/>
          <w:color w:val="000000" w:themeColor="text1"/>
          <w:lang w:val="en-GB"/>
        </w:rPr>
        <w:t>4</w:t>
      </w:r>
      <w:r w:rsidRPr="00286ECD">
        <w:rPr>
          <w:rFonts w:ascii="Georgia" w:hAnsi="Georgia" w:cs="Helvetica Neue"/>
          <w:noProof/>
          <w:color w:val="000000" w:themeColor="text1"/>
          <w:lang w:val="en-GB"/>
        </w:rPr>
        <w:t>)</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for food web analysis. We </w:t>
      </w:r>
      <w:r>
        <w:rPr>
          <w:rFonts w:ascii="Georgia" w:hAnsi="Georgia" w:cs="Helvetica Neue"/>
          <w:color w:val="000000" w:themeColor="text1"/>
          <w:lang w:val="en-GB"/>
        </w:rPr>
        <w:t>utilized</w:t>
      </w:r>
      <w:r w:rsidRPr="00286ECD">
        <w:rPr>
          <w:rFonts w:ascii="Georgia" w:hAnsi="Georgia" w:cs="Helvetica Neue"/>
          <w:color w:val="000000" w:themeColor="text1"/>
          <w:lang w:val="en-GB"/>
        </w:rPr>
        <w:t xml:space="preserve"> the </w:t>
      </w:r>
      <w:proofErr w:type="spellStart"/>
      <w:r w:rsidRPr="00286ECD">
        <w:rPr>
          <w:rFonts w:ascii="Georgia" w:hAnsi="Georgia" w:cs="Helvetica Neue"/>
          <w:color w:val="000000" w:themeColor="text1"/>
          <w:lang w:val="en-GB"/>
        </w:rPr>
        <w:t>igraph</w:t>
      </w:r>
      <w:proofErr w:type="spellEnd"/>
      <w:r w:rsidRPr="00286ECD">
        <w:rPr>
          <w:rFonts w:ascii="Georgia" w:hAnsi="Georgia" w:cs="Helvetica Neue"/>
          <w:color w:val="000000" w:themeColor="text1"/>
          <w:lang w:val="en-GB"/>
        </w:rPr>
        <w:t xml:space="preserve"> package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Csardi","given":"Gabor","non-dropping-particle":"","parse-names":false,"suffix":""},{"dropping-particle":"","family":"Nepusz","given":"Tamas","non-dropping-particle":"","parse-names":false,"suffix":""}],"container-title":"InterJournal","id":"ITEM-1","issued":{"date-parts":[["2006"]]},"page":"1695","title":"The igraph software package for complex network research","type":"article-journal"},"uris":["http://www.mendeley.com/documents/?uuid=b9663de3-3480-4677-86cb-8e61c85d4428"]}],"mendeley":{"formattedCitation":"(Csardi &amp; Nepusz, 2006)","plainTextFormattedCitation":"(Csardi &amp; Nepusz, 2006)","previouslyFormattedCitation":"(Csardi &amp; Nepusz, 2006)"},"properties":{"noteIndex":0},"schema":"https://github.com/citation-style-language/schema/raw/master/csl-citation.json"}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(Csardi &amp; Nepusz 2006)</w:t>
      </w:r>
      <w:r w:rsidRPr="00286ECD">
        <w:rPr>
          <w:rFonts w:ascii="Georgia" w:hAnsi="Georgia" w:cs="Helvetica Neue"/>
          <w:color w:val="000000" w:themeColor="text1"/>
          <w:lang w:val="en-GB"/>
        </w:rPr>
        <w:fldChar w:fldCharType="end"/>
      </w:r>
      <w:r>
        <w:rPr>
          <w:rFonts w:ascii="Georgia" w:hAnsi="Georgia" w:cs="Helvetica Neue"/>
          <w:color w:val="000000" w:themeColor="text1"/>
          <w:lang w:val="en-GB"/>
        </w:rPr>
        <w:t xml:space="preserve"> </w:t>
      </w:r>
      <w:r w:rsidRPr="000C0E17">
        <w:rPr>
          <w:rFonts w:ascii="Georgia" w:hAnsi="Georgia" w:cs="Helvetica Neue"/>
          <w:color w:val="000000" w:themeColor="text1"/>
          <w:lang w:val="en-GB"/>
        </w:rPr>
        <w:t xml:space="preserve">to calculate the modularity and </w:t>
      </w:r>
      <w:proofErr w:type="spellStart"/>
      <w:r w:rsidRPr="000C0E17">
        <w:rPr>
          <w:rFonts w:ascii="Georgia" w:hAnsi="Georgia" w:cs="Helvetica Neue"/>
          <w:color w:val="000000" w:themeColor="text1"/>
          <w:lang w:val="en-GB"/>
        </w:rPr>
        <w:t>assortativity</w:t>
      </w:r>
      <w:proofErr w:type="spellEnd"/>
      <w:r w:rsidRPr="00286ECD">
        <w:rPr>
          <w:rFonts w:ascii="Georgia" w:hAnsi="Georgia" w:cs="Helvetica Neue"/>
          <w:color w:val="000000" w:themeColor="text1"/>
          <w:lang w:val="en-GB"/>
        </w:rPr>
        <w:t xml:space="preserve">, the </w:t>
      </w:r>
      <w:proofErr w:type="spellStart"/>
      <w:r w:rsidRPr="00286ECD">
        <w:rPr>
          <w:rFonts w:ascii="Georgia" w:hAnsi="Georgia" w:cs="Helvetica Neue"/>
          <w:color w:val="000000" w:themeColor="text1"/>
          <w:lang w:val="en-GB"/>
        </w:rPr>
        <w:t>FWebs</w:t>
      </w:r>
      <w:proofErr w:type="spellEnd"/>
      <w:r w:rsidRPr="00286ECD">
        <w:rPr>
          <w:rFonts w:ascii="Georgia" w:hAnsi="Georgia" w:cs="Helvetica Neue"/>
          <w:color w:val="000000" w:themeColor="text1"/>
          <w:lang w:val="en-GB"/>
        </w:rPr>
        <w:t xml:space="preserve"> package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{"citationItems":[{"id":"ITEM-1","itemData":{"author":[{"dropping-particle":"","family":"Mestre","given":"F.","non-dropping-particle":"","parse-names":false,"suffix":""}],"container-title":"[Accessed 1st November 2022]","id":"ITEM-1","issued":{"date-parts":[["2022"]]},"title":"FWebs","type":"webpage"},"uris":["http://www.mendeley.com/documents/?uuid=20e7ce65-d86a-484e-987b-5365667b3f4e"]}],"mendeley":{"formattedCitation":"(Mestre, 2022)","plainTextFormattedCitation":"(Mestre, 2022)","previouslyFormattedCitation":"(Mestre, 2022)"},"properties":{"noteIndex":0},"schema":"https://github.com/citation-style-language/schema/raw/master/csl-citation.json"}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(Mestre 2022)</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sidRPr="000C0E17">
        <w:rPr>
          <w:rFonts w:ascii="Georgia" w:hAnsi="Georgia" w:cs="Helvetica Neue"/>
          <w:color w:val="000000" w:themeColor="text1"/>
          <w:lang w:val="en-GB"/>
        </w:rPr>
        <w:t>to estimate the robustness</w:t>
      </w:r>
      <w:r>
        <w:rPr>
          <w:rFonts w:ascii="Georgia" w:hAnsi="Georgia" w:cs="Helvetica Neue"/>
          <w:color w:val="000000" w:themeColor="text1"/>
          <w:lang w:val="en-GB"/>
        </w:rPr>
        <w:t>,</w:t>
      </w:r>
      <w:r w:rsidRPr="000C0E17">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and </w:t>
      </w:r>
      <w:r>
        <w:rPr>
          <w:rFonts w:ascii="Georgia" w:hAnsi="Georgia" w:cs="Helvetica Neue"/>
          <w:color w:val="000000" w:themeColor="text1"/>
          <w:lang w:val="en-GB"/>
        </w:rPr>
        <w:t>employed</w:t>
      </w:r>
      <w:r w:rsidRPr="00286ECD">
        <w:rPr>
          <w:rFonts w:ascii="Georgia" w:hAnsi="Georgia" w:cs="Helvetica Neue"/>
          <w:color w:val="000000" w:themeColor="text1"/>
          <w:lang w:val="en-GB"/>
        </w:rPr>
        <w:t xml:space="preserve"> </w:t>
      </w:r>
      <w:proofErr w:type="spellStart"/>
      <w:r w:rsidRPr="00286ECD">
        <w:rPr>
          <w:rFonts w:ascii="Georgia" w:hAnsi="Georgia" w:cs="Helvetica Neue"/>
          <w:color w:val="000000" w:themeColor="text1"/>
          <w:lang w:val="en-GB"/>
        </w:rPr>
        <w:t>tidyverse</w:t>
      </w:r>
      <w:proofErr w:type="spellEnd"/>
      <w:r w:rsidRPr="00286ECD">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{"citationItems":[{"id":"ITEM-1","itemData":{"author":[{"dropping-particle":"","family":"Wickham et al.","given":"","non-dropping-particle":"","parse-names":false,"suffix":""}],"container-title":"Journal of Open Source Software","id":"ITEM-1","issue":"43","issued":{"date-parts":[["2019"]]},"page":"1686","title":"Welcome to the {tidyverse}","type":"article-journal","volume":"4"},"uris":["http://www.mendeley.com/documents/?uuid=b6475ea8-05b0-49c6-a3b2-22e86e220c5f"]}],"mendeley":{"formattedCitation":"(Wickham et al., 2019)","plainTextFormattedCitation":"(Wickham et al., 2019)","previouslyFormattedCitation":"(Wickham et al., 2019)"},"properties":{"noteIndex":0},"schema":"https://github.com/citation-style-language/schema/raw/master/csl-citation.json"}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(Wickham et al. 2019)</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with </w:t>
      </w:r>
      <w:proofErr w:type="spellStart"/>
      <w:r w:rsidRPr="00286ECD">
        <w:rPr>
          <w:rFonts w:ascii="Georgia" w:hAnsi="Georgia" w:cs="Helvetica Neue"/>
          <w:color w:val="000000" w:themeColor="text1"/>
          <w:lang w:val="en-GB"/>
        </w:rPr>
        <w:t>ggnetwork</w:t>
      </w:r>
      <w:proofErr w:type="spellEnd"/>
      <w:r w:rsidRPr="00286ECD">
        <w:rPr>
          <w:rFonts w:ascii="Georgia" w:hAnsi="Georgia" w:cs="Helvetica Neue"/>
          <w:color w:val="000000" w:themeColor="text1"/>
          <w:lang w:val="en-GB"/>
        </w:rPr>
        <w:t xml:space="preserve"> </w:t>
      </w:r>
      <w:r w:rsidRPr="000C0E17">
        <w:rPr>
          <w:rFonts w:ascii="Georgia" w:hAnsi="Georgia" w:cs="Helvetica Neue"/>
          <w:color w:val="000000" w:themeColor="text1"/>
          <w:lang w:val="en-GB"/>
        </w:rPr>
        <w:t>package</w:t>
      </w:r>
      <w:r w:rsidRPr="007A1925">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{"citationItems":[{"id":"ITEM-1","itemData":{"author":[{"dropping-particle":"","family":"Briatte","given":"François","non-dropping-particle":"","parse-names":false,"suffix":""}],"container-title":"R package version 0.5.10","id":"ITEM-1","issued":{"date-parts":[["2021"]]},"title":"ggnetwork: Geometries to Plot Networks with 'ggplot2'","type":"article-journal"},"uris":["http://www.mendeley.com/documents/?uuid=41e1b633-790c-4cec-9421-d19d8564f5ae"]}],"mendeley":{"formattedCitation":"(Briatte, 2021)","plainTextFormattedCitation":"(Briatte, 2021)","previouslyFormattedCitation":"(Briatte,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(Briatte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for data wrangling and visualization.</w:t>
      </w:r>
      <w:bookmarkEnd w:id="12"/>
      <w:bookmarkEnd w:id="13"/>
      <w:r>
        <w:rPr>
          <w:rFonts w:ascii="Georgia" w:hAnsi="Georgia" w:cs="Helvetica Neue"/>
          <w:color w:val="000000" w:themeColor="text1"/>
          <w:lang w:val="en-GB"/>
        </w:rPr>
        <w:t xml:space="preserve"> The datasets and the complete set of codes to generate the results of this study are openly accessible on Dryad and </w:t>
      </w:r>
      <w:proofErr w:type="spellStart"/>
      <w:r w:rsidRPr="00BF3E23">
        <w:rPr>
          <w:rFonts w:ascii="Georgia" w:hAnsi="Georgia" w:cs="Helvetica Neue"/>
          <w:color w:val="000000" w:themeColor="text1"/>
          <w:lang w:val="en-GB"/>
        </w:rPr>
        <w:t>Zenodo</w:t>
      </w:r>
      <w:proofErr w:type="spellEnd"/>
      <w:r w:rsidRPr="00BF3E23">
        <w:rPr>
          <w:rFonts w:ascii="Georgia" w:hAnsi="Georgia" w:cs="Helvetica Neue"/>
          <w:color w:val="000000" w:themeColor="text1"/>
          <w:lang w:val="en-GB"/>
        </w:rPr>
        <w:t xml:space="preserve"> repositories (</w:t>
      </w:r>
      <w:r w:rsidR="00BF3E23" w:rsidRPr="00BF3E23">
        <w:rPr>
          <w:rFonts w:ascii="Georgia" w:hAnsi="Georgia"/>
          <w:color w:val="1C1D1E"/>
          <w:shd w:val="clear" w:color="auto" w:fill="FFFFFF"/>
          <w:lang w:val="en-GB"/>
        </w:rPr>
        <w:t>Ho</w:t>
      </w:r>
      <w:r w:rsidR="00F23143">
        <w:rPr>
          <w:rFonts w:ascii="Georgia" w:hAnsi="Georgia"/>
          <w:color w:val="1C1D1E"/>
          <w:shd w:val="clear" w:color="auto" w:fill="FFFFFF"/>
          <w:lang w:val="en-GB"/>
        </w:rPr>
        <w:t>č</w:t>
      </w:r>
      <w:r w:rsidR="00BF3E23" w:rsidRPr="00BF3E23">
        <w:rPr>
          <w:rFonts w:ascii="Georgia" w:hAnsi="Georgia"/>
          <w:color w:val="1C1D1E"/>
          <w:shd w:val="clear" w:color="auto" w:fill="FFFFFF"/>
          <w:lang w:val="en-GB"/>
        </w:rPr>
        <w:t>evar et al. 2024)</w:t>
      </w:r>
      <w:r w:rsidRPr="00BF3E23">
        <w:rPr>
          <w:rFonts w:ascii="Georgia" w:hAnsi="Georgia" w:cs="Helvetica Neue"/>
          <w:color w:val="000000" w:themeColor="text1"/>
          <w:lang w:val="en-GB"/>
        </w:rPr>
        <w:t>.</w:t>
      </w:r>
    </w:p>
    <w:p w14:paraId="214100EE"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55CD7025"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b/>
          <w:bCs/>
          <w:color w:val="000000" w:themeColor="text1"/>
          <w:sz w:val="32"/>
          <w:szCs w:val="32"/>
          <w:lang w:val="en-GB"/>
        </w:rPr>
        <w:t>RESULTS</w:t>
      </w:r>
    </w:p>
    <w:p w14:paraId="4554126F" w14:textId="6CC74CD4"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14" w:name="OLE_LINK23"/>
      <w:bookmarkStart w:id="15" w:name="OLE_LINK24"/>
      <w:bookmarkStart w:id="16" w:name="OLE_LINK25"/>
      <w:r w:rsidRPr="00286ECD">
        <w:rPr>
          <w:rFonts w:ascii="Georgia" w:hAnsi="Georgia" w:cs="Helvetica"/>
          <w:b/>
          <w:bCs/>
          <w:color w:val="000000" w:themeColor="text1"/>
          <w:lang w:val="en-GB"/>
        </w:rPr>
        <w:lastRenderedPageBreak/>
        <w:t>SKAGERRAK FOOD</w:t>
      </w:r>
      <w:r>
        <w:rPr>
          <w:rFonts w:ascii="Georgia" w:hAnsi="Georgia" w:cs="Helvetica"/>
          <w:b/>
          <w:bCs/>
          <w:color w:val="000000" w:themeColor="text1"/>
          <w:lang w:val="en-GB"/>
        </w:rPr>
        <w:t xml:space="preserve"> </w:t>
      </w:r>
      <w:r w:rsidRPr="00286ECD">
        <w:rPr>
          <w:rFonts w:ascii="Georgia" w:hAnsi="Georgia" w:cs="Helvetica"/>
          <w:b/>
          <w:bCs/>
          <w:color w:val="000000" w:themeColor="text1"/>
          <w:lang w:val="en-GB"/>
        </w:rPr>
        <w:t xml:space="preserve">WEB. </w:t>
      </w:r>
      <w:r>
        <w:rPr>
          <w:rFonts w:ascii="Georgia" w:hAnsi="Georgia" w:cs="Helvetica Neue"/>
          <w:color w:val="000000" w:themeColor="text1"/>
          <w:lang w:val="en-GB"/>
        </w:rPr>
        <w:t>The</w:t>
      </w:r>
      <w:r w:rsidRPr="00286ECD">
        <w:rPr>
          <w:rFonts w:ascii="Georgia" w:hAnsi="Georgia" w:cs="Helvetica Neue"/>
          <w:color w:val="000000" w:themeColor="text1"/>
          <w:lang w:val="en-GB"/>
        </w:rPr>
        <w:t xml:space="preserve"> coastal pelagic food web </w:t>
      </w:r>
      <w:r>
        <w:rPr>
          <w:rFonts w:ascii="Georgia" w:hAnsi="Georgia" w:cs="Helvetica Neue"/>
          <w:color w:val="000000" w:themeColor="text1"/>
          <w:lang w:val="en-GB"/>
        </w:rPr>
        <w:t>of</w:t>
      </w:r>
      <w:r w:rsidRPr="00286ECD">
        <w:rPr>
          <w:rFonts w:ascii="Georgia" w:hAnsi="Georgia" w:cs="Helvetica Neue"/>
          <w:color w:val="000000" w:themeColor="text1"/>
          <w:lang w:val="en-GB"/>
        </w:rPr>
        <w:t xml:space="preserve"> Skagerrak</w:t>
      </w:r>
      <w:r>
        <w:rPr>
          <w:rFonts w:ascii="Georgia" w:hAnsi="Georgia" w:cs="Helvetica Neue"/>
          <w:color w:val="000000" w:themeColor="text1"/>
          <w:lang w:val="en-GB"/>
        </w:rPr>
        <w:t xml:space="preserve"> encompassed a diverse array of ecological guilds, compromising </w:t>
      </w:r>
      <w:r w:rsidRPr="00286ECD">
        <w:rPr>
          <w:rFonts w:ascii="Georgia" w:hAnsi="Georgia" w:cs="Helvetica Neue"/>
          <w:color w:val="000000" w:themeColor="text1"/>
          <w:lang w:val="en-GB"/>
        </w:rPr>
        <w:t xml:space="preserve">13 phytoplankton, 12 microzooplankton, 14 zooplankton, and 109 fish guilds, including </w:t>
      </w:r>
      <w:r>
        <w:rPr>
          <w:rFonts w:ascii="Georgia" w:hAnsi="Georgia" w:cs="Helvetica Neue"/>
          <w:color w:val="000000" w:themeColor="text1"/>
          <w:lang w:val="en-GB"/>
        </w:rPr>
        <w:t>distinct</w:t>
      </w:r>
      <w:r w:rsidRPr="00286ECD">
        <w:rPr>
          <w:rFonts w:ascii="Georgia" w:hAnsi="Georgia" w:cs="Helvetica Neue"/>
          <w:color w:val="000000" w:themeColor="text1"/>
          <w:lang w:val="en-GB"/>
        </w:rPr>
        <w:t xml:space="preserve"> North Sea and Fjord cod ecotype</w:t>
      </w:r>
      <w:r>
        <w:rPr>
          <w:rFonts w:ascii="Georgia" w:hAnsi="Georgia" w:cs="Helvetica Neue"/>
          <w:color w:val="000000" w:themeColor="text1"/>
          <w:lang w:val="en-GB"/>
        </w:rPr>
        <w:t xml:space="preserve">s </w:t>
      </w:r>
      <w:r w:rsidR="00BD4307">
        <w:rPr>
          <w:rFonts w:ascii="Georgia" w:hAnsi="Georgia" w:cs="Helvetica Neue"/>
          <w:color w:val="000000" w:themeColor="text1"/>
          <w:lang w:val="en-GB"/>
        </w:rPr>
        <w:t>represented</w:t>
      </w:r>
      <w:r>
        <w:rPr>
          <w:rFonts w:ascii="Georgia" w:hAnsi="Georgia" w:cs="Helvetica Neue"/>
          <w:color w:val="000000" w:themeColor="text1"/>
          <w:lang w:val="en-GB"/>
        </w:rPr>
        <w:t xml:space="preserve"> across five age classes each</w:t>
      </w:r>
      <w:r w:rsidRPr="00286ECD">
        <w:rPr>
          <w:rFonts w:ascii="Georgia" w:hAnsi="Georgia" w:cs="Helvetica Neue"/>
          <w:color w:val="000000" w:themeColor="text1"/>
          <w:lang w:val="en-GB"/>
        </w:rPr>
        <w:t xml:space="preserve">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2). </w:t>
      </w:r>
      <w:r>
        <w:rPr>
          <w:rFonts w:ascii="Georgia" w:hAnsi="Georgia" w:cs="Helvetica Neue"/>
          <w:color w:val="000000" w:themeColor="text1"/>
          <w:lang w:val="en-GB"/>
        </w:rPr>
        <w:t xml:space="preserve">In </w:t>
      </w:r>
      <w:r w:rsidR="00BD4307">
        <w:rPr>
          <w:rFonts w:ascii="Georgia" w:hAnsi="Georgia" w:cs="Helvetica Neue"/>
          <w:color w:val="000000" w:themeColor="text1"/>
          <w:lang w:val="en-GB"/>
        </w:rPr>
        <w:t xml:space="preserve">total, </w:t>
      </w:r>
      <w:r w:rsidR="00BD4307" w:rsidRPr="00286ECD">
        <w:rPr>
          <w:rFonts w:ascii="Georgia" w:hAnsi="Georgia" w:cs="Helvetica Neue"/>
          <w:color w:val="000000" w:themeColor="text1"/>
          <w:lang w:val="en-GB"/>
        </w:rPr>
        <w:t>the</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Skagerrak food web comprised 148 functional guilds (S) and 2054 feeding interactions (L), from</w:t>
      </w:r>
      <w:r>
        <w:rPr>
          <w:rFonts w:ascii="Georgia" w:hAnsi="Georgia" w:cs="Helvetica Neue"/>
          <w:color w:val="000000" w:themeColor="text1"/>
          <w:lang w:val="en-GB"/>
        </w:rPr>
        <w:t xml:space="preserve"> a potential </w:t>
      </w:r>
      <w:r w:rsidRPr="00286ECD">
        <w:rPr>
          <w:rFonts w:ascii="Georgia" w:hAnsi="Georgia" w:cs="Helvetica Neue"/>
          <w:color w:val="000000" w:themeColor="text1"/>
          <w:lang w:val="en-GB"/>
        </w:rPr>
        <w:t xml:space="preserve">21904 </w:t>
      </w:r>
      <w:r>
        <w:rPr>
          <w:rFonts w:ascii="Georgia" w:hAnsi="Georgia" w:cs="Helvetica Neue"/>
          <w:color w:val="000000" w:themeColor="text1"/>
          <w:lang w:val="en-GB"/>
        </w:rPr>
        <w:t xml:space="preserve">interactions </w:t>
      </w:r>
      <w:r w:rsidRPr="00286ECD">
        <w:rPr>
          <w:rFonts w:ascii="Georgia" w:hAnsi="Georgia" w:cs="Helvetica Neue"/>
          <w:color w:val="000000" w:themeColor="text1"/>
          <w:lang w:val="en-GB"/>
        </w:rPr>
        <w:t>(L</w:t>
      </w:r>
      <w:r w:rsidRPr="00286ECD">
        <w:rPr>
          <w:rFonts w:ascii="Georgia" w:hAnsi="Georgia" w:cs="Helvetica Neue"/>
          <w:color w:val="000000" w:themeColor="text1"/>
          <w:vertAlign w:val="subscript"/>
          <w:lang w:val="en-GB"/>
        </w:rPr>
        <w:t>P</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The </w:t>
      </w:r>
      <w:proofErr w:type="spellStart"/>
      <w:r>
        <w:rPr>
          <w:rFonts w:ascii="Georgia" w:hAnsi="Georgia" w:cs="Helvetica Neue"/>
          <w:color w:val="000000" w:themeColor="text1"/>
          <w:lang w:val="en-GB"/>
        </w:rPr>
        <w:t>c</w:t>
      </w:r>
      <w:r w:rsidRPr="00286ECD">
        <w:rPr>
          <w:rFonts w:ascii="Georgia" w:hAnsi="Georgia" w:cs="Helvetica Neue"/>
          <w:color w:val="000000" w:themeColor="text1"/>
          <w:lang w:val="en-GB"/>
        </w:rPr>
        <w:t>onnectance</w:t>
      </w:r>
      <w:proofErr w:type="spellEnd"/>
      <w:r w:rsidRPr="00286ECD">
        <w:rPr>
          <w:rFonts w:ascii="Georgia" w:hAnsi="Georgia" w:cs="Helvetica Neue"/>
          <w:color w:val="000000" w:themeColor="text1"/>
          <w:lang w:val="en-GB"/>
        </w:rPr>
        <w:t xml:space="preserve"> </w:t>
      </w:r>
      <w:r w:rsidRPr="000C0E17">
        <w:rPr>
          <w:rFonts w:ascii="Georgia" w:hAnsi="Georgia" w:cs="Helvetica Neue"/>
          <w:color w:val="000000" w:themeColor="text1"/>
          <w:lang w:val="en-GB"/>
        </w:rPr>
        <w:t xml:space="preserve">(C) </w:t>
      </w:r>
      <w:r w:rsidRPr="00286ECD">
        <w:rPr>
          <w:rFonts w:ascii="Georgia" w:hAnsi="Georgia" w:cs="Helvetica Neue"/>
          <w:color w:val="000000" w:themeColor="text1"/>
          <w:lang w:val="en-GB"/>
        </w:rPr>
        <w:t>of the food web was 0.094</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while </w:t>
      </w:r>
      <w:r>
        <w:rPr>
          <w:rFonts w:ascii="Georgia" w:hAnsi="Georgia" w:cs="Helvetica Neue"/>
          <w:color w:val="000000" w:themeColor="text1"/>
          <w:lang w:val="en-GB"/>
        </w:rPr>
        <w:t>the guild</w:t>
      </w:r>
      <w:r w:rsidRPr="00286ECD">
        <w:rPr>
          <w:rFonts w:ascii="Georgia" w:hAnsi="Georgia" w:cs="Helvetica Neue"/>
          <w:color w:val="000000" w:themeColor="text1"/>
          <w:lang w:val="en-GB"/>
        </w:rPr>
        <w:t xml:space="preserve">-weighted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(C</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based on average biomass of guilds, was lower at 0.063. The average number of links per species </w:t>
      </w:r>
      <w:r w:rsidRPr="000C0E17">
        <w:rPr>
          <w:rFonts w:ascii="Georgia" w:hAnsi="Georgia" w:cs="Helvetica Neue"/>
          <w:color w:val="000000" w:themeColor="text1"/>
          <w:lang w:val="en-GB"/>
        </w:rPr>
        <w:t xml:space="preserve">(Z) </w:t>
      </w:r>
      <w:r w:rsidRPr="00286ECD">
        <w:rPr>
          <w:rFonts w:ascii="Georgia" w:hAnsi="Georgia" w:cs="Helvetica Neue"/>
          <w:color w:val="000000" w:themeColor="text1"/>
          <w:lang w:val="en-GB"/>
        </w:rPr>
        <w:t xml:space="preserve">was 13.878, </w:t>
      </w:r>
      <w:r>
        <w:rPr>
          <w:rFonts w:ascii="Georgia" w:hAnsi="Georgia" w:cs="Helvetica Neue"/>
          <w:color w:val="000000" w:themeColor="text1"/>
          <w:lang w:val="en-GB"/>
        </w:rPr>
        <w:t>ranging</w:t>
      </w:r>
      <w:r w:rsidRPr="00286ECD">
        <w:rPr>
          <w:rFonts w:ascii="Georgia" w:hAnsi="Georgia" w:cs="Helvetica Neue"/>
          <w:color w:val="000000" w:themeColor="text1"/>
          <w:lang w:val="en-GB"/>
        </w:rPr>
        <w:t xml:space="preserve"> from 2 for the least connected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 (cyanobacteria) to 76 for the most connected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 (amphipods). Generality (G)</w:t>
      </w:r>
      <w:r>
        <w:rPr>
          <w:rFonts w:ascii="Georgia" w:hAnsi="Georgia" w:cs="Helvetica Neue"/>
          <w:color w:val="000000" w:themeColor="text1"/>
          <w:lang w:val="en-GB"/>
        </w:rPr>
        <w:t>, representing</w:t>
      </w:r>
      <w:r w:rsidRPr="00286ECD">
        <w:rPr>
          <w:rFonts w:ascii="Georgia" w:hAnsi="Georgia" w:cs="Helvetica Neue"/>
          <w:color w:val="000000" w:themeColor="text1"/>
          <w:lang w:val="en-GB"/>
        </w:rPr>
        <w:t xml:space="preserve"> the mean number of </w:t>
      </w:r>
      <w:proofErr w:type="gramStart"/>
      <w:r w:rsidRPr="00286ECD">
        <w:rPr>
          <w:rFonts w:ascii="Georgia" w:hAnsi="Georgia" w:cs="Helvetica Neue"/>
          <w:color w:val="000000" w:themeColor="text1"/>
          <w:lang w:val="en-GB"/>
        </w:rPr>
        <w:t>prey</w:t>
      </w:r>
      <w:proofErr w:type="gramEnd"/>
      <w:r w:rsidRPr="00286ECD">
        <w:rPr>
          <w:rFonts w:ascii="Georgia" w:hAnsi="Georgia" w:cs="Helvetica Neue"/>
          <w:color w:val="000000" w:themeColor="text1"/>
          <w:lang w:val="en-GB"/>
        </w:rPr>
        <w:t xml:space="preserve"> per predator</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averaged at 14.67 (± 0.915 G</w:t>
      </w:r>
      <w:r w:rsidRPr="00286ECD">
        <w:rPr>
          <w:rFonts w:ascii="Georgia" w:hAnsi="Georgia" w:cs="Helvetica Neue"/>
          <w:color w:val="000000" w:themeColor="text1"/>
          <w:vertAlign w:val="subscript"/>
          <w:lang w:val="en-GB"/>
        </w:rPr>
        <w:t>SD</w:t>
      </w:r>
      <w:r w:rsidRPr="00286ECD">
        <w:rPr>
          <w:rFonts w:ascii="Georgia" w:hAnsi="Georgia" w:cs="Helvetica Neue"/>
          <w:color w:val="000000" w:themeColor="text1"/>
          <w:lang w:val="en-GB"/>
        </w:rPr>
        <w:t>), while vulnerability (V)</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indicating</w:t>
      </w:r>
      <w:r w:rsidRPr="00286ECD">
        <w:rPr>
          <w:rFonts w:ascii="Georgia" w:hAnsi="Georgia" w:cs="Helvetica Neue"/>
          <w:color w:val="000000" w:themeColor="text1"/>
          <w:lang w:val="en-GB"/>
        </w:rPr>
        <w:t xml:space="preserve"> the mean number of predators per prey</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was 15.215 (± 0.972 V</w:t>
      </w:r>
      <w:r w:rsidRPr="00286ECD">
        <w:rPr>
          <w:rFonts w:ascii="Georgia" w:hAnsi="Georgia" w:cs="Helvetica Neue"/>
          <w:color w:val="000000" w:themeColor="text1"/>
          <w:vertAlign w:val="subscript"/>
          <w:lang w:val="en-GB"/>
        </w:rPr>
        <w:t>SD</w:t>
      </w:r>
      <w:r w:rsidRPr="00286ECD">
        <w:rPr>
          <w:rFonts w:ascii="Georgia" w:hAnsi="Georgia" w:cs="Helvetica Neue"/>
          <w:color w:val="000000" w:themeColor="text1"/>
          <w:lang w:val="en-GB"/>
        </w:rPr>
        <w:t xml:space="preserve">). The average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generality (G</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was 13.712, and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vulnerability (V</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was higher at 16.387. With the average shortest path length </w:t>
      </w:r>
      <w:r w:rsidRPr="000C0E17">
        <w:rPr>
          <w:rFonts w:ascii="Georgia" w:hAnsi="Georgia" w:cs="Helvetica Neue"/>
          <w:color w:val="000000" w:themeColor="text1"/>
          <w:lang w:val="en-GB"/>
        </w:rPr>
        <w:t xml:space="preserve">(D) </w:t>
      </w:r>
      <w:r w:rsidRPr="00286ECD">
        <w:rPr>
          <w:rFonts w:ascii="Georgia" w:hAnsi="Georgia" w:cs="Helvetica Neue"/>
          <w:color w:val="000000" w:themeColor="text1"/>
          <w:lang w:val="en-GB"/>
        </w:rPr>
        <w:t xml:space="preserve">at 1.857 and the average trophic level </w:t>
      </w:r>
      <w:r w:rsidRPr="000C0E17">
        <w:rPr>
          <w:rFonts w:ascii="Georgia" w:hAnsi="Georgia" w:cs="Helvetica Neue"/>
          <w:color w:val="000000" w:themeColor="text1"/>
          <w:lang w:val="en-GB"/>
        </w:rPr>
        <w:t xml:space="preserve">(TL) </w:t>
      </w:r>
      <w:r w:rsidRPr="00286ECD">
        <w:rPr>
          <w:rFonts w:ascii="Georgia" w:hAnsi="Georgia" w:cs="Helvetica Neue"/>
          <w:color w:val="000000" w:themeColor="text1"/>
          <w:lang w:val="en-GB"/>
        </w:rPr>
        <w:t>at 3.769</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the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-weighted trophic level </w:t>
      </w:r>
      <w:r w:rsidRPr="000C0E17">
        <w:rPr>
          <w:rFonts w:ascii="Georgia" w:hAnsi="Georgia" w:cs="Helvetica Neue"/>
          <w:color w:val="000000" w:themeColor="text1"/>
          <w:lang w:val="en-GB"/>
        </w:rPr>
        <w:t>(</w:t>
      </w:r>
      <w:proofErr w:type="spellStart"/>
      <w:r w:rsidRPr="000C0E17">
        <w:rPr>
          <w:rFonts w:ascii="Georgia" w:hAnsi="Georgia" w:cs="Helvetica Neue"/>
          <w:color w:val="000000" w:themeColor="text1"/>
          <w:lang w:val="en-GB"/>
        </w:rPr>
        <w:t>TL</w:t>
      </w:r>
      <w:r w:rsidRPr="000C0E17">
        <w:rPr>
          <w:rFonts w:ascii="Georgia" w:hAnsi="Georgia" w:cs="Helvetica Neue"/>
          <w:color w:val="000000" w:themeColor="text1"/>
          <w:vertAlign w:val="subscript"/>
          <w:lang w:val="en-GB"/>
        </w:rPr>
        <w:t>w</w:t>
      </w:r>
      <w:proofErr w:type="spellEnd"/>
      <w:r w:rsidRPr="000C0E17">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of Skagerrak was 1.855 and </w:t>
      </w:r>
      <w:proofErr w:type="spellStart"/>
      <w:r w:rsidRPr="00286ECD">
        <w:rPr>
          <w:rFonts w:ascii="Georgia" w:hAnsi="Georgia" w:cs="Helvetica Neue"/>
          <w:color w:val="000000" w:themeColor="text1"/>
          <w:lang w:val="en-GB"/>
        </w:rPr>
        <w:t>omnivory</w:t>
      </w:r>
      <w:proofErr w:type="spellEnd"/>
      <w:r>
        <w:rPr>
          <w:rFonts w:ascii="Georgia" w:hAnsi="Georgia" w:cs="Helvetica Neue"/>
          <w:color w:val="000000" w:themeColor="text1"/>
          <w:lang w:val="en-GB"/>
        </w:rPr>
        <w:t xml:space="preserve"> </w:t>
      </w:r>
      <w:r w:rsidRPr="000C0E17">
        <w:rPr>
          <w:rFonts w:ascii="Georgia" w:hAnsi="Georgia" w:cs="Helvetica Neue"/>
          <w:color w:val="000000" w:themeColor="text1"/>
          <w:lang w:val="en-GB"/>
        </w:rPr>
        <w:t>(O)</w:t>
      </w:r>
      <w:r w:rsidRPr="00286ECD">
        <w:rPr>
          <w:rFonts w:ascii="Georgia" w:hAnsi="Georgia" w:cs="Helvetica Neue"/>
          <w:color w:val="000000" w:themeColor="text1"/>
          <w:lang w:val="en-GB"/>
        </w:rPr>
        <w:t xml:space="preserve"> 0.261</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Across all </w:t>
      </w:r>
      <w:r>
        <w:rPr>
          <w:rFonts w:ascii="Georgia" w:hAnsi="Georgia" w:cs="Helvetica Neue"/>
          <w:color w:val="000000" w:themeColor="text1"/>
          <w:lang w:val="en-GB"/>
        </w:rPr>
        <w:t>simulated</w:t>
      </w:r>
      <w:r w:rsidRPr="00286ECD">
        <w:rPr>
          <w:rFonts w:ascii="Georgia" w:hAnsi="Georgia" w:cs="Helvetica Neue"/>
          <w:color w:val="000000" w:themeColor="text1"/>
          <w:lang w:val="en-GB"/>
        </w:rPr>
        <w:t xml:space="preserve"> scenarios, the oldest age class of saithe </w:t>
      </w:r>
      <w:r>
        <w:rPr>
          <w:rFonts w:ascii="Georgia" w:hAnsi="Georgia" w:cs="Helvetica Neue"/>
          <w:color w:val="000000" w:themeColor="text1"/>
          <w:lang w:val="en-GB"/>
        </w:rPr>
        <w:t xml:space="preserve">consistently </w:t>
      </w:r>
      <w:r w:rsidRPr="00286ECD">
        <w:rPr>
          <w:rFonts w:ascii="Georgia" w:hAnsi="Georgia" w:cs="Helvetica Neue"/>
          <w:color w:val="000000" w:themeColor="text1"/>
          <w:lang w:val="en-GB"/>
        </w:rPr>
        <w:t xml:space="preserve">exhibited the highest number of prey links (66-59), while the amphipods </w:t>
      </w:r>
      <w:r>
        <w:rPr>
          <w:rFonts w:ascii="Georgia" w:hAnsi="Georgia" w:cs="Helvetica Neue"/>
          <w:color w:val="000000" w:themeColor="text1"/>
          <w:lang w:val="en-GB"/>
        </w:rPr>
        <w:t>emerged as</w:t>
      </w:r>
      <w:r w:rsidRPr="00286ECD">
        <w:rPr>
          <w:rFonts w:ascii="Georgia" w:hAnsi="Georgia" w:cs="Helvetica Neue"/>
          <w:color w:val="000000" w:themeColor="text1"/>
          <w:lang w:val="en-GB"/>
        </w:rPr>
        <w:t xml:space="preserve"> the most connected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 with </w:t>
      </w:r>
      <w:r>
        <w:rPr>
          <w:rFonts w:ascii="Georgia" w:hAnsi="Georgia" w:cs="Helvetica Neue"/>
          <w:color w:val="000000" w:themeColor="text1"/>
          <w:lang w:val="en-GB"/>
        </w:rPr>
        <w:t>the highest number of</w:t>
      </w:r>
      <w:r w:rsidRPr="00286ECD">
        <w:rPr>
          <w:rFonts w:ascii="Georgia" w:hAnsi="Georgia" w:cs="Helvetica Neue"/>
          <w:color w:val="000000" w:themeColor="text1"/>
          <w:lang w:val="en-GB"/>
        </w:rPr>
        <w:t xml:space="preserve"> predators (Table 1).</w:t>
      </w:r>
    </w:p>
    <w:bookmarkEnd w:id="14"/>
    <w:bookmarkEnd w:id="15"/>
    <w:bookmarkEnd w:id="16"/>
    <w:p w14:paraId="455401BE" w14:textId="77777777" w:rsidR="005E45D8" w:rsidRPr="00286ECD" w:rsidRDefault="005E45D8" w:rsidP="005E45D8">
      <w:pPr>
        <w:autoSpaceDE w:val="0"/>
        <w:autoSpaceDN w:val="0"/>
        <w:adjustRightInd w:val="0"/>
        <w:spacing w:line="480" w:lineRule="auto"/>
        <w:jc w:val="both"/>
        <w:rPr>
          <w:rFonts w:ascii="Georgia" w:hAnsi="Georgia" w:cs="Helvetica"/>
          <w:b/>
          <w:bCs/>
          <w:color w:val="000000" w:themeColor="text1"/>
          <w:lang w:val="en-GB"/>
        </w:rPr>
      </w:pPr>
    </w:p>
    <w:p w14:paraId="42D3B28F"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bookmarkStart w:id="17" w:name="OLE_LINK26"/>
      <w:bookmarkStart w:id="18" w:name="OLE_LINK27"/>
      <w:r w:rsidRPr="00286ECD">
        <w:rPr>
          <w:rFonts w:ascii="Georgia" w:hAnsi="Georgia" w:cs="Helvetica"/>
          <w:b/>
          <w:bCs/>
          <w:color w:val="000000" w:themeColor="text1"/>
          <w:lang w:val="en-GB"/>
        </w:rPr>
        <w:t>ROLE OF ECOTYPES FOR FOOD</w:t>
      </w:r>
      <w:r>
        <w:rPr>
          <w:rFonts w:ascii="Georgia" w:hAnsi="Georgia" w:cs="Helvetica"/>
          <w:b/>
          <w:bCs/>
          <w:color w:val="000000" w:themeColor="text1"/>
          <w:lang w:val="en-GB"/>
        </w:rPr>
        <w:t xml:space="preserve"> </w:t>
      </w:r>
      <w:r w:rsidRPr="00286ECD">
        <w:rPr>
          <w:rFonts w:ascii="Georgia" w:hAnsi="Georgia" w:cs="Helvetica"/>
          <w:b/>
          <w:bCs/>
          <w:color w:val="000000" w:themeColor="text1"/>
          <w:lang w:val="en-GB"/>
        </w:rPr>
        <w:t xml:space="preserve">WEB STRUCTURE. </w:t>
      </w:r>
      <w:r>
        <w:rPr>
          <w:rFonts w:ascii="Georgia" w:hAnsi="Georgia" w:cs="Helvetica Neue"/>
          <w:color w:val="000000" w:themeColor="text1"/>
          <w:lang w:val="en-GB"/>
        </w:rPr>
        <w:t>Removing one or both cod ecotypes from the Skagerrak food web considerably altered its</w:t>
      </w:r>
      <w:r w:rsidRPr="00286ECD">
        <w:rPr>
          <w:rFonts w:ascii="Georgia" w:hAnsi="Georgia" w:cs="Helvetica Neue"/>
          <w:color w:val="000000" w:themeColor="text1"/>
          <w:lang w:val="en-GB"/>
        </w:rPr>
        <w:t xml:space="preserve"> structural properties (Table 1). </w:t>
      </w:r>
      <w:r>
        <w:rPr>
          <w:rFonts w:ascii="Georgia" w:hAnsi="Georgia" w:cs="Helvetica Neue"/>
          <w:color w:val="000000" w:themeColor="text1"/>
          <w:lang w:val="en-GB"/>
        </w:rPr>
        <w:t>When both ecotypes were absent, the</w:t>
      </w:r>
      <w:r w:rsidRPr="00286ECD">
        <w:rPr>
          <w:rFonts w:ascii="Georgia" w:hAnsi="Georgia" w:cs="Helvetica Neue"/>
          <w:color w:val="000000" w:themeColor="text1"/>
          <w:lang w:val="en-GB"/>
        </w:rPr>
        <w:t xml:space="preserve"> number of </w:t>
      </w:r>
      <w:r>
        <w:rPr>
          <w:rFonts w:ascii="Georgia" w:hAnsi="Georgia" w:cs="Helvetica Neue"/>
          <w:color w:val="000000" w:themeColor="text1"/>
          <w:lang w:val="en-GB"/>
        </w:rPr>
        <w:t xml:space="preserve">guilds and feeding links decreased, reducing the average number of </w:t>
      </w:r>
      <w:r w:rsidRPr="00286ECD">
        <w:rPr>
          <w:rFonts w:ascii="Georgia" w:hAnsi="Georgia" w:cs="Helvetica Neue"/>
          <w:color w:val="000000" w:themeColor="text1"/>
          <w:lang w:val="en-GB"/>
        </w:rPr>
        <w:t xml:space="preserve">links per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 (Z) </w:t>
      </w:r>
      <w:r w:rsidRPr="000C0E17">
        <w:rPr>
          <w:rFonts w:ascii="Georgia" w:hAnsi="Georgia" w:cs="Helvetica Neue"/>
          <w:color w:val="000000" w:themeColor="text1"/>
          <w:lang w:val="en-GB"/>
        </w:rPr>
        <w:t xml:space="preserve">by 11.13 </w:t>
      </w:r>
      <w:proofErr w:type="gramStart"/>
      <w:r w:rsidRPr="000C0E17">
        <w:rPr>
          <w:rFonts w:ascii="Georgia" w:hAnsi="Georgia" w:cs="Helvetica Neue"/>
          <w:color w:val="000000" w:themeColor="text1"/>
          <w:lang w:val="en-GB"/>
        </w:rPr>
        <w:t xml:space="preserve">%  </w:t>
      </w:r>
      <w:r w:rsidRPr="00286ECD">
        <w:rPr>
          <w:rFonts w:ascii="Georgia" w:hAnsi="Georgia" w:cs="Helvetica Neue"/>
          <w:color w:val="000000" w:themeColor="text1"/>
          <w:lang w:val="en-GB"/>
        </w:rPr>
        <w:t>and</w:t>
      </w:r>
      <w:proofErr w:type="gramEnd"/>
      <w:r w:rsidRPr="00286ECD">
        <w:rPr>
          <w:rFonts w:ascii="Georgia" w:hAnsi="Georgia" w:cs="Helvetica Neue"/>
          <w:color w:val="000000" w:themeColor="text1"/>
          <w:lang w:val="en-GB"/>
        </w:rPr>
        <w:t xml:space="preserve">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(C) </w:t>
      </w:r>
      <w:r>
        <w:rPr>
          <w:rFonts w:ascii="Georgia" w:hAnsi="Georgia" w:cs="Helvetica Neue"/>
          <w:color w:val="000000" w:themeColor="text1"/>
          <w:lang w:val="en-GB"/>
        </w:rPr>
        <w:t xml:space="preserve">by </w:t>
      </w:r>
      <w:r w:rsidRPr="000C0E17">
        <w:rPr>
          <w:rFonts w:ascii="Georgia" w:hAnsi="Georgia" w:cs="Helvetica Neue"/>
          <w:color w:val="000000" w:themeColor="text1"/>
          <w:lang w:val="en-GB"/>
        </w:rPr>
        <w:t>4.65 %</w:t>
      </w:r>
      <w:r>
        <w:rPr>
          <w:rFonts w:ascii="Georgia" w:hAnsi="Georgia" w:cs="Helvetica Neue"/>
          <w:color w:val="000000" w:themeColor="text1"/>
          <w:lang w:val="en-GB"/>
        </w:rPr>
        <w:t xml:space="preserve">. However, </w:t>
      </w:r>
      <w:r w:rsidRPr="00286ECD">
        <w:rPr>
          <w:rFonts w:ascii="Georgia" w:hAnsi="Georgia" w:cs="Helvetica Neue"/>
          <w:color w:val="000000" w:themeColor="text1"/>
          <w:lang w:val="en-GB"/>
        </w:rPr>
        <w:t xml:space="preserve">weighted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w:t>
      </w:r>
      <w:proofErr w:type="spellStart"/>
      <w:r w:rsidRPr="00286ECD">
        <w:rPr>
          <w:rFonts w:ascii="Georgia" w:hAnsi="Georgia" w:cs="Helvetica Neue"/>
          <w:color w:val="000000" w:themeColor="text1"/>
          <w:lang w:val="en-GB"/>
        </w:rPr>
        <w:t>C</w:t>
      </w:r>
      <w:r w:rsidRPr="00286ECD">
        <w:rPr>
          <w:rFonts w:ascii="Georgia" w:hAnsi="Georgia" w:cs="Helvetica Neue"/>
          <w:color w:val="000000" w:themeColor="text1"/>
          <w:vertAlign w:val="subscript"/>
          <w:lang w:val="en-GB"/>
        </w:rPr>
        <w:t>w</w:t>
      </w:r>
      <w:proofErr w:type="spellEnd"/>
      <w:r w:rsidRPr="00286ECD">
        <w:rPr>
          <w:rFonts w:ascii="Georgia" w:hAnsi="Georgia" w:cs="Helvetica Neue"/>
          <w:color w:val="000000" w:themeColor="text1"/>
          <w:lang w:val="en-GB"/>
        </w:rPr>
        <w:t>) increased by 4.29 %. Similar</w:t>
      </w:r>
      <w:r>
        <w:rPr>
          <w:rFonts w:ascii="Georgia" w:hAnsi="Georgia" w:cs="Helvetica Neue"/>
          <w:color w:val="000000" w:themeColor="text1"/>
          <w:lang w:val="en-GB"/>
        </w:rPr>
        <w:t xml:space="preserve"> trends were observed when only one ecotype was removed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with decreases in </w:t>
      </w:r>
      <w:r w:rsidRPr="00286ECD">
        <w:rPr>
          <w:rFonts w:ascii="Georgia" w:hAnsi="Georgia" w:cs="Helvetica Neue"/>
          <w:color w:val="000000" w:themeColor="text1"/>
          <w:lang w:val="en-GB"/>
        </w:rPr>
        <w:t xml:space="preserve">link density and </w:t>
      </w:r>
      <w:proofErr w:type="spellStart"/>
      <w:r w:rsidRPr="00286ECD">
        <w:rPr>
          <w:rFonts w:ascii="Georgia" w:hAnsi="Georgia" w:cs="Helvetica Neue"/>
          <w:color w:val="000000" w:themeColor="text1"/>
          <w:lang w:val="en-GB"/>
        </w:rPr>
        <w:t>connectance</w:t>
      </w:r>
      <w:proofErr w:type="spellEnd"/>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and increases in weighted </w:t>
      </w:r>
      <w:proofErr w:type="spellStart"/>
      <w:r>
        <w:rPr>
          <w:rFonts w:ascii="Georgia" w:hAnsi="Georgia" w:cs="Helvetica Neue"/>
          <w:color w:val="000000" w:themeColor="text1"/>
          <w:lang w:val="en-GB"/>
        </w:rPr>
        <w:t>connectance</w:t>
      </w:r>
      <w:proofErr w:type="spellEnd"/>
      <w:r>
        <w:rPr>
          <w:rFonts w:ascii="Georgia" w:hAnsi="Georgia" w:cs="Helvetica Neue"/>
          <w:color w:val="000000" w:themeColor="text1"/>
          <w:lang w:val="en-GB"/>
        </w:rPr>
        <w:t xml:space="preserve"> </w:t>
      </w:r>
      <w:r>
        <w:rPr>
          <w:rFonts w:ascii="Georgia" w:hAnsi="Georgia" w:cs="Helvetica Neue"/>
          <w:color w:val="000000" w:themeColor="text1"/>
          <w:lang w:val="en-GB"/>
        </w:rPr>
        <w:lastRenderedPageBreak/>
        <w:t>(Table 1).</w:t>
      </w:r>
      <w:r w:rsidRPr="00286ECD">
        <w:rPr>
          <w:rFonts w:ascii="Georgia" w:hAnsi="Georgia" w:cs="Helvetica Neue"/>
          <w:color w:val="000000" w:themeColor="text1"/>
          <w:lang w:val="en-GB"/>
        </w:rPr>
        <w:t xml:space="preserve"> The prevalence of generalists, </w:t>
      </w:r>
      <w:r>
        <w:rPr>
          <w:rFonts w:ascii="Georgia" w:hAnsi="Georgia" w:cs="Helvetica Neue"/>
          <w:color w:val="000000" w:themeColor="text1"/>
          <w:lang w:val="en-GB"/>
        </w:rPr>
        <w:t>both</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guild</w:t>
      </w:r>
      <w:r w:rsidRPr="00286ECD">
        <w:rPr>
          <w:rFonts w:ascii="Georgia" w:hAnsi="Georgia" w:cs="Helvetica Neue"/>
          <w:color w:val="000000" w:themeColor="text1"/>
          <w:lang w:val="en-GB"/>
        </w:rPr>
        <w:t>-weighted (</w:t>
      </w:r>
      <w:proofErr w:type="spellStart"/>
      <w:r w:rsidRPr="00286ECD">
        <w:rPr>
          <w:rFonts w:ascii="Georgia" w:hAnsi="Georgia" w:cs="Helvetica Neue"/>
          <w:color w:val="000000" w:themeColor="text1"/>
          <w:lang w:val="en-GB"/>
        </w:rPr>
        <w:t>G</w:t>
      </w:r>
      <w:r w:rsidRPr="00286ECD">
        <w:rPr>
          <w:rFonts w:ascii="Georgia" w:hAnsi="Georgia" w:cs="Helvetica Neue"/>
          <w:color w:val="000000" w:themeColor="text1"/>
          <w:vertAlign w:val="subscript"/>
          <w:lang w:val="en-GB"/>
        </w:rPr>
        <w:t>w</w:t>
      </w:r>
      <w:proofErr w:type="spellEnd"/>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and</w:t>
      </w:r>
      <w:r w:rsidRPr="00286ECD">
        <w:rPr>
          <w:rFonts w:ascii="Georgia" w:hAnsi="Georgia" w:cs="Helvetica Neue"/>
          <w:color w:val="000000" w:themeColor="text1"/>
          <w:lang w:val="en-GB"/>
        </w:rPr>
        <w:t xml:space="preserve"> unweighted (G), </w:t>
      </w:r>
      <w:r>
        <w:rPr>
          <w:rFonts w:ascii="Georgia" w:hAnsi="Georgia" w:cs="Helvetica Neue"/>
          <w:color w:val="000000" w:themeColor="text1"/>
          <w:lang w:val="en-GB"/>
        </w:rPr>
        <w:t>decreased</w:t>
      </w:r>
      <w:r w:rsidRPr="00286ECD">
        <w:rPr>
          <w:rFonts w:ascii="Georgia" w:hAnsi="Georgia" w:cs="Helvetica Neue"/>
          <w:color w:val="000000" w:themeColor="text1"/>
          <w:lang w:val="en-GB"/>
        </w:rPr>
        <w:t xml:space="preserve"> when one or both ecotypes were missing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and the variability in prey </w:t>
      </w:r>
      <w:r>
        <w:rPr>
          <w:rFonts w:ascii="Georgia" w:hAnsi="Georgia" w:cs="Helvetica Neue"/>
          <w:color w:val="000000" w:themeColor="text1"/>
          <w:lang w:val="en-GB"/>
        </w:rPr>
        <w:t>guild</w:t>
      </w:r>
      <w:r w:rsidRPr="00286ECD">
        <w:rPr>
          <w:rFonts w:ascii="Georgia" w:hAnsi="Georgia" w:cs="Helvetica Neue"/>
          <w:color w:val="000000" w:themeColor="text1"/>
          <w:lang w:val="en-GB"/>
        </w:rPr>
        <w:t xml:space="preserve">s per predator </w:t>
      </w:r>
      <w:r w:rsidRPr="000C0E17">
        <w:rPr>
          <w:rFonts w:ascii="Georgia" w:hAnsi="Georgia" w:cs="Helvetica Neue"/>
          <w:color w:val="000000" w:themeColor="text1"/>
          <w:lang w:val="en-GB"/>
        </w:rPr>
        <w:t>(</w:t>
      </w:r>
      <w:proofErr w:type="spellStart"/>
      <w:r w:rsidRPr="000C0E17">
        <w:rPr>
          <w:rFonts w:ascii="Georgia" w:hAnsi="Georgia" w:cs="Helvetica Neue"/>
          <w:color w:val="000000" w:themeColor="text1"/>
          <w:lang w:val="en-GB"/>
        </w:rPr>
        <w:t>G</w:t>
      </w:r>
      <w:r>
        <w:rPr>
          <w:rFonts w:ascii="Georgia" w:hAnsi="Georgia" w:cs="Helvetica Neue"/>
          <w:color w:val="000000" w:themeColor="text1"/>
          <w:vertAlign w:val="subscript"/>
          <w:lang w:val="en-GB"/>
        </w:rPr>
        <w:t>sd</w:t>
      </w:r>
      <w:proofErr w:type="spellEnd"/>
      <w:r w:rsidRPr="000C0E17">
        <w:rPr>
          <w:rFonts w:ascii="Georgia" w:hAnsi="Georgia" w:cs="Helvetica Neue"/>
          <w:color w:val="000000" w:themeColor="text1"/>
          <w:lang w:val="en-GB"/>
        </w:rPr>
        <w:t xml:space="preserve">) </w:t>
      </w:r>
      <w:r>
        <w:rPr>
          <w:rFonts w:ascii="Georgia" w:hAnsi="Georgia" w:cs="Helvetica Neue"/>
          <w:color w:val="000000" w:themeColor="text1"/>
          <w:lang w:val="en-GB"/>
        </w:rPr>
        <w:t>increased</w:t>
      </w:r>
      <w:r w:rsidRPr="00286ECD">
        <w:rPr>
          <w:rFonts w:ascii="Georgia" w:hAnsi="Georgia" w:cs="Helvetica Neue"/>
          <w:color w:val="000000" w:themeColor="text1"/>
          <w:lang w:val="en-GB"/>
        </w:rPr>
        <w:t>.</w:t>
      </w:r>
      <w:bookmarkEnd w:id="17"/>
      <w:bookmarkEnd w:id="18"/>
      <w:r w:rsidRPr="00286ECD">
        <w:rPr>
          <w:rFonts w:ascii="Georgia" w:hAnsi="Georgia" w:cs="Helvetica Neue"/>
          <w:color w:val="000000" w:themeColor="text1"/>
          <w:lang w:val="en-GB"/>
        </w:rPr>
        <w:t xml:space="preserve"> </w:t>
      </w:r>
    </w:p>
    <w:p w14:paraId="4E75FE4D"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Pr>
          <w:rFonts w:ascii="Georgia" w:hAnsi="Georgia" w:cs="Helvetica Neue"/>
          <w:color w:val="000000" w:themeColor="text1"/>
          <w:lang w:val="en-GB"/>
        </w:rPr>
        <w:t>M</w:t>
      </w:r>
      <w:r w:rsidRPr="00286ECD">
        <w:rPr>
          <w:rFonts w:ascii="Georgia" w:hAnsi="Georgia" w:cs="Helvetica Neue"/>
          <w:color w:val="000000" w:themeColor="text1"/>
          <w:lang w:val="en-GB"/>
        </w:rPr>
        <w:t xml:space="preserve">ean </w:t>
      </w:r>
      <w:r>
        <w:rPr>
          <w:rFonts w:ascii="Georgia" w:hAnsi="Georgia" w:cs="Helvetica Neue"/>
          <w:color w:val="000000" w:themeColor="text1"/>
          <w:lang w:val="en-GB"/>
        </w:rPr>
        <w:t xml:space="preserve">vulnerability </w:t>
      </w:r>
      <w:r w:rsidRPr="00286ECD">
        <w:rPr>
          <w:rFonts w:ascii="Georgia" w:hAnsi="Georgia" w:cs="Helvetica Neue"/>
          <w:color w:val="000000" w:themeColor="text1"/>
          <w:lang w:val="en-GB"/>
        </w:rPr>
        <w:t>(V) and</w:t>
      </w:r>
      <w:r>
        <w:rPr>
          <w:rFonts w:ascii="Georgia" w:hAnsi="Georgia" w:cs="Helvetica Neue"/>
          <w:color w:val="000000" w:themeColor="text1"/>
          <w:lang w:val="en-GB"/>
        </w:rPr>
        <w:t xml:space="preserve"> guild-</w:t>
      </w:r>
      <w:r w:rsidRPr="00286ECD">
        <w:rPr>
          <w:rFonts w:ascii="Georgia" w:hAnsi="Georgia" w:cs="Helvetica Neue"/>
          <w:color w:val="000000" w:themeColor="text1"/>
          <w:lang w:val="en-GB"/>
        </w:rPr>
        <w:t xml:space="preserve">weighted </w:t>
      </w:r>
      <w:r>
        <w:rPr>
          <w:rFonts w:ascii="Georgia" w:hAnsi="Georgia" w:cs="Helvetica Neue"/>
          <w:color w:val="000000" w:themeColor="text1"/>
          <w:lang w:val="en-GB"/>
        </w:rPr>
        <w:t>vulnerability</w:t>
      </w:r>
      <w:r w:rsidRPr="00286ECD">
        <w:rPr>
          <w:rFonts w:ascii="Georgia" w:hAnsi="Georgia" w:cs="Helvetica Neue"/>
          <w:color w:val="000000" w:themeColor="text1"/>
          <w:lang w:val="en-GB"/>
        </w:rPr>
        <w:t xml:space="preserve"> (V</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declined </w:t>
      </w:r>
      <w:r>
        <w:rPr>
          <w:rFonts w:ascii="Georgia" w:hAnsi="Georgia" w:cs="Helvetica Neue"/>
          <w:color w:val="000000" w:themeColor="text1"/>
          <w:lang w:val="en-GB"/>
        </w:rPr>
        <w:t>when ecotypes were absent, with a sharper decrease observed in the absence of the North Sea ecotype. S</w:t>
      </w:r>
      <w:r w:rsidRPr="00286ECD">
        <w:rPr>
          <w:rFonts w:ascii="Georgia" w:hAnsi="Georgia" w:cs="Helvetica Neue"/>
          <w:color w:val="000000" w:themeColor="text1"/>
          <w:lang w:val="en-GB"/>
        </w:rPr>
        <w:t xml:space="preserve">hortest path length </w:t>
      </w:r>
      <w:r>
        <w:rPr>
          <w:rFonts w:ascii="Georgia" w:hAnsi="Georgia" w:cs="Helvetica Neue"/>
          <w:color w:val="000000" w:themeColor="text1"/>
          <w:lang w:val="en-GB"/>
        </w:rPr>
        <w:t>decreased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and both </w:t>
      </w:r>
      <w:r w:rsidRPr="00286ECD">
        <w:rPr>
          <w:rFonts w:ascii="Georgia" w:hAnsi="Georgia" w:cs="Helvetica Neue"/>
          <w:color w:val="000000" w:themeColor="text1"/>
          <w:lang w:val="en-GB"/>
        </w:rPr>
        <w:t>average unweighted (TL) and biomass</w:t>
      </w:r>
      <w:r>
        <w:rPr>
          <w:rFonts w:ascii="Georgia" w:hAnsi="Georgia" w:cs="Helvetica Neue"/>
          <w:color w:val="000000" w:themeColor="text1"/>
          <w:lang w:val="en-GB"/>
        </w:rPr>
        <w:t>-</w:t>
      </w:r>
      <w:r w:rsidRPr="00286ECD">
        <w:rPr>
          <w:rFonts w:ascii="Georgia" w:hAnsi="Georgia" w:cs="Helvetica Neue"/>
          <w:color w:val="000000" w:themeColor="text1"/>
          <w:lang w:val="en-GB"/>
        </w:rPr>
        <w:t>weighted (TL</w:t>
      </w:r>
      <w:r w:rsidRPr="00286ECD">
        <w:rPr>
          <w:rFonts w:ascii="Georgia" w:hAnsi="Georgia" w:cs="Helvetica Neue"/>
          <w:color w:val="000000" w:themeColor="text1"/>
          <w:vertAlign w:val="subscript"/>
          <w:lang w:val="en-GB"/>
        </w:rPr>
        <w:t>W</w:t>
      </w:r>
      <w:r w:rsidRPr="00286ECD">
        <w:rPr>
          <w:rFonts w:ascii="Georgia" w:hAnsi="Georgia" w:cs="Helvetica Neue"/>
          <w:color w:val="000000" w:themeColor="text1"/>
          <w:lang w:val="en-GB"/>
        </w:rPr>
        <w:t xml:space="preserve">) trophic levels </w:t>
      </w:r>
      <w:r>
        <w:rPr>
          <w:rFonts w:ascii="Georgia" w:hAnsi="Georgia" w:cs="Helvetica Neue"/>
          <w:color w:val="000000" w:themeColor="text1"/>
          <w:lang w:val="en-GB"/>
        </w:rPr>
        <w:t>decreased notably when</w:t>
      </w:r>
      <w:r w:rsidRPr="00286ECD">
        <w:rPr>
          <w:rFonts w:ascii="Georgia" w:hAnsi="Georgia" w:cs="Helvetica Neue"/>
          <w:color w:val="000000" w:themeColor="text1"/>
          <w:lang w:val="en-GB"/>
        </w:rPr>
        <w:t xml:space="preserve"> both ecotypes were missing. Proportion of </w:t>
      </w:r>
      <w:proofErr w:type="spellStart"/>
      <w:r w:rsidRPr="00286ECD">
        <w:rPr>
          <w:rFonts w:ascii="Georgia" w:hAnsi="Georgia" w:cs="Helvetica Neue"/>
          <w:color w:val="000000" w:themeColor="text1"/>
          <w:lang w:val="en-GB"/>
        </w:rPr>
        <w:t>omnivory</w:t>
      </w:r>
      <w:proofErr w:type="spellEnd"/>
      <w:r w:rsidRPr="00286ECD">
        <w:rPr>
          <w:rFonts w:ascii="Georgia" w:hAnsi="Georgia" w:cs="Helvetica Neue"/>
          <w:color w:val="000000" w:themeColor="text1"/>
          <w:lang w:val="en-GB"/>
        </w:rPr>
        <w:t xml:space="preserve"> or the fraction of functional guilds that eat at more than one trophic level declined when both ecotypes were </w:t>
      </w:r>
      <w:r>
        <w:rPr>
          <w:rFonts w:ascii="Georgia" w:hAnsi="Georgia" w:cs="Helvetica Neue"/>
          <w:color w:val="000000" w:themeColor="text1"/>
          <w:lang w:val="en-GB"/>
        </w:rPr>
        <w:t>absent</w:t>
      </w:r>
      <w:r w:rsidRPr="00286ECD">
        <w:rPr>
          <w:rFonts w:ascii="Georgia" w:hAnsi="Georgia" w:cs="Helvetica Neue"/>
          <w:color w:val="000000" w:themeColor="text1"/>
          <w:lang w:val="en-GB"/>
        </w:rPr>
        <w:t xml:space="preserve"> and increased when only one ecotype was </w:t>
      </w:r>
      <w:r>
        <w:rPr>
          <w:rFonts w:ascii="Georgia" w:hAnsi="Georgia" w:cs="Helvetica Neue"/>
          <w:color w:val="000000" w:themeColor="text1"/>
          <w:lang w:val="en-GB"/>
        </w:rPr>
        <w:t>missing</w:t>
      </w:r>
      <w:r w:rsidRPr="00286ECD">
        <w:rPr>
          <w:rFonts w:ascii="Georgia" w:hAnsi="Georgia" w:cs="Helvetica Neue"/>
          <w:color w:val="000000" w:themeColor="text1"/>
          <w:lang w:val="en-GB"/>
        </w:rPr>
        <w:t xml:space="preserve">. </w:t>
      </w:r>
    </w:p>
    <w:p w14:paraId="1FA9AE76" w14:textId="4A3AC5C0"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Pr>
          <w:rFonts w:ascii="Georgia" w:hAnsi="Georgia" w:cs="Helvetica Neue"/>
          <w:color w:val="000000" w:themeColor="text1"/>
          <w:lang w:val="en-GB"/>
        </w:rPr>
        <w:t>In all scenarios, the S</w:t>
      </w:r>
      <w:r w:rsidRPr="00286ECD">
        <w:rPr>
          <w:rFonts w:ascii="Georgia" w:hAnsi="Georgia" w:cs="Helvetica Neue"/>
          <w:color w:val="000000" w:themeColor="text1"/>
          <w:lang w:val="en-GB"/>
        </w:rPr>
        <w:t xml:space="preserve">kagerrak food web </w:t>
      </w:r>
      <w:r>
        <w:rPr>
          <w:rFonts w:ascii="Georgia" w:hAnsi="Georgia" w:cs="Helvetica Neue"/>
          <w:color w:val="000000" w:themeColor="text1"/>
          <w:lang w:val="en-GB"/>
        </w:rPr>
        <w:t xml:space="preserve">demonstrated a consistent division into </w:t>
      </w:r>
      <w:r w:rsidRPr="00286ECD">
        <w:rPr>
          <w:rFonts w:ascii="Georgia" w:hAnsi="Georgia" w:cs="Helvetica Neue"/>
          <w:color w:val="000000" w:themeColor="text1"/>
          <w:lang w:val="en-GB"/>
        </w:rPr>
        <w:t>four discrete</w:t>
      </w:r>
      <w:r>
        <w:rPr>
          <w:rFonts w:ascii="Georgia" w:hAnsi="Georgia" w:cs="Helvetica Neue"/>
          <w:color w:val="000000" w:themeColor="text1"/>
          <w:lang w:val="en-GB"/>
        </w:rPr>
        <w:t xml:space="preserve"> modules, with</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m</w:t>
      </w:r>
      <w:r w:rsidRPr="00286ECD">
        <w:rPr>
          <w:rFonts w:ascii="Georgia" w:hAnsi="Georgia" w:cs="Helvetica Neue"/>
          <w:color w:val="000000" w:themeColor="text1"/>
          <w:lang w:val="en-GB"/>
        </w:rPr>
        <w:t xml:space="preserve">odularity (Q) </w:t>
      </w:r>
      <w:r>
        <w:rPr>
          <w:rFonts w:ascii="Georgia" w:hAnsi="Georgia" w:cs="Helvetica Neue"/>
          <w:color w:val="000000" w:themeColor="text1"/>
          <w:lang w:val="en-GB"/>
        </w:rPr>
        <w:t xml:space="preserve">notably </w:t>
      </w:r>
      <w:r w:rsidRPr="00286ECD">
        <w:rPr>
          <w:rFonts w:ascii="Georgia" w:hAnsi="Georgia" w:cs="Helvetica Neue"/>
          <w:color w:val="000000" w:themeColor="text1"/>
          <w:lang w:val="en-GB"/>
        </w:rPr>
        <w:t>increas</w:t>
      </w:r>
      <w:r>
        <w:rPr>
          <w:rFonts w:ascii="Georgia" w:hAnsi="Georgia" w:cs="Helvetica Neue"/>
          <w:color w:val="000000" w:themeColor="text1"/>
          <w:lang w:val="en-GB"/>
        </w:rPr>
        <w:t>ing</w:t>
      </w:r>
      <w:r w:rsidRPr="00286ECD">
        <w:rPr>
          <w:rFonts w:ascii="Georgia" w:hAnsi="Georgia" w:cs="Helvetica Neue"/>
          <w:color w:val="000000" w:themeColor="text1"/>
          <w:lang w:val="en-GB"/>
        </w:rPr>
        <w:t xml:space="preserve"> </w:t>
      </w:r>
      <w:r w:rsidRPr="000C0E17">
        <w:rPr>
          <w:rFonts w:ascii="Georgia" w:hAnsi="Georgia" w:cs="Helvetica Neue"/>
          <w:color w:val="000000" w:themeColor="text1"/>
          <w:lang w:val="en-GB"/>
        </w:rPr>
        <w:t>(23.90%)</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when both ecotypes were </w:t>
      </w:r>
      <w:r>
        <w:rPr>
          <w:rFonts w:ascii="Georgia" w:hAnsi="Georgia" w:cs="Helvetica Neue"/>
          <w:color w:val="000000" w:themeColor="text1"/>
          <w:lang w:val="en-GB"/>
        </w:rPr>
        <w:t>absent</w:t>
      </w:r>
      <w:r w:rsidRPr="00286ECD">
        <w:rPr>
          <w:rFonts w:ascii="Georgia" w:hAnsi="Georgia" w:cs="Helvetica Neue"/>
          <w:color w:val="000000" w:themeColor="text1"/>
          <w:lang w:val="en-GB"/>
        </w:rPr>
        <w:t xml:space="preserve">. </w:t>
      </w:r>
      <w:proofErr w:type="spellStart"/>
      <w:r>
        <w:rPr>
          <w:rFonts w:ascii="Georgia" w:hAnsi="Georgia" w:cs="Helvetica Neue"/>
          <w:color w:val="000000" w:themeColor="text1"/>
          <w:lang w:val="en-GB"/>
        </w:rPr>
        <w:t>Assortativity</w:t>
      </w:r>
      <w:proofErr w:type="spellEnd"/>
      <w:r>
        <w:rPr>
          <w:rFonts w:ascii="Georgia" w:hAnsi="Georgia" w:cs="Helvetica Neue"/>
          <w:color w:val="000000" w:themeColor="text1"/>
          <w:lang w:val="en-GB"/>
        </w:rPr>
        <w:t xml:space="preserve"> decreased (-5.51 %) in the absence of ecotypes, indicating more connections between highly and less connected guilds. R</w:t>
      </w:r>
      <w:r w:rsidRPr="00286ECD">
        <w:rPr>
          <w:rFonts w:ascii="Georgia" w:hAnsi="Georgia" w:cs="Helvetica Neue"/>
          <w:color w:val="000000" w:themeColor="text1"/>
          <w:lang w:val="en-GB"/>
        </w:rPr>
        <w:t>obustness (R)</w:t>
      </w:r>
      <w:r>
        <w:rPr>
          <w:rFonts w:ascii="Georgia" w:hAnsi="Georgia" w:cs="Helvetica Neue"/>
          <w:color w:val="000000" w:themeColor="text1"/>
          <w:lang w:val="en-GB"/>
        </w:rPr>
        <w:t xml:space="preserve"> of the food web decreased </w:t>
      </w:r>
      <w:r w:rsidRPr="00286ECD">
        <w:rPr>
          <w:rFonts w:ascii="Georgia" w:hAnsi="Georgia" w:cs="Helvetica Neue"/>
          <w:color w:val="000000" w:themeColor="text1"/>
          <w:lang w:val="en-GB"/>
        </w:rPr>
        <w:t>in the absence of cod ecotypes</w:t>
      </w:r>
      <w:r>
        <w:rPr>
          <w:rFonts w:ascii="Georgia" w:hAnsi="Georgia" w:cs="Helvetica Neue"/>
          <w:color w:val="000000" w:themeColor="text1"/>
          <w:lang w:val="en-GB"/>
        </w:rPr>
        <w:t>, characterized by a lower threshold (</w:t>
      </w:r>
      <w:r w:rsidRPr="000C0E17">
        <w:rPr>
          <w:rFonts w:ascii="Georgia" w:hAnsi="Georgia" w:cs="Helvetica Neue"/>
          <w:color w:val="000000" w:themeColor="text1"/>
          <w:lang w:val="en-GB"/>
        </w:rPr>
        <w:t>2.49%</w:t>
      </w:r>
      <w:r>
        <w:rPr>
          <w:rFonts w:ascii="Georgia" w:hAnsi="Georgia" w:cs="Helvetica Neue"/>
          <w:color w:val="000000" w:themeColor="text1"/>
          <w:lang w:val="en-GB"/>
        </w:rPr>
        <w:t>) and greater variation (</w:t>
      </w:r>
      <w:r w:rsidRPr="000C0E17">
        <w:rPr>
          <w:rFonts w:ascii="Georgia" w:hAnsi="Georgia" w:cs="Helvetica Neue"/>
          <w:color w:val="000000" w:themeColor="text1"/>
          <w:lang w:val="en-GB"/>
        </w:rPr>
        <w:t>7.84%</w:t>
      </w:r>
      <w:r>
        <w:rPr>
          <w:rFonts w:ascii="Georgia" w:hAnsi="Georgia" w:cs="Helvetica Neue"/>
          <w:color w:val="000000" w:themeColor="text1"/>
          <w:lang w:val="en-GB"/>
        </w:rPr>
        <w:t>) in the number of primary extinctions required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to trigger</w:t>
      </w:r>
      <w:r w:rsidRPr="00286ECD">
        <w:rPr>
          <w:rFonts w:ascii="Georgia" w:hAnsi="Georgia" w:cs="Helvetica Neue"/>
          <w:color w:val="000000" w:themeColor="text1"/>
          <w:lang w:val="en-GB"/>
        </w:rPr>
        <w:t xml:space="preserve"> secondary extinctions. </w:t>
      </w:r>
      <w:r>
        <w:rPr>
          <w:rFonts w:ascii="Georgia" w:hAnsi="Georgia" w:cs="Helvetica Neue"/>
          <w:color w:val="000000" w:themeColor="text1"/>
          <w:lang w:val="en-GB"/>
        </w:rPr>
        <w:t xml:space="preserve">When </w:t>
      </w:r>
      <w:r w:rsidRPr="00286ECD">
        <w:rPr>
          <w:rFonts w:ascii="Georgia" w:hAnsi="Georgia" w:cs="Helvetica Neue"/>
          <w:color w:val="000000" w:themeColor="text1"/>
          <w:lang w:val="en-GB"/>
        </w:rPr>
        <w:t xml:space="preserve">only one ecotype </w:t>
      </w:r>
      <w:r>
        <w:rPr>
          <w:rFonts w:ascii="Georgia" w:hAnsi="Georgia" w:cs="Helvetica Neue"/>
          <w:color w:val="000000" w:themeColor="text1"/>
          <w:lang w:val="en-GB"/>
        </w:rPr>
        <w:t xml:space="preserve">was absent, average robustness remained unaffected, but its variation increased by </w:t>
      </w:r>
      <w:r w:rsidRPr="00286ECD">
        <w:rPr>
          <w:rFonts w:ascii="Georgia" w:hAnsi="Georgia" w:cs="Helvetica Neue"/>
          <w:color w:val="000000" w:themeColor="text1"/>
          <w:lang w:val="en-GB"/>
        </w:rPr>
        <w:t>20.77 % in the absence of the North Sea ecotype and by 13.14 % in the absence of the Fjord ecotype</w:t>
      </w:r>
      <w:r>
        <w:rPr>
          <w:rFonts w:ascii="Georgia" w:hAnsi="Georgia" w:cs="Helvetica Neue"/>
          <w:color w:val="000000" w:themeColor="text1"/>
          <w:lang w:val="en-GB"/>
        </w:rPr>
        <w:t xml:space="preserve"> (Table 1).</w:t>
      </w:r>
    </w:p>
    <w:p w14:paraId="4B969A37"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6BA71668" w14:textId="22BE1943"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w:b/>
          <w:bCs/>
          <w:color w:val="000000" w:themeColor="text1"/>
          <w:lang w:val="en-GB"/>
        </w:rPr>
        <w:t xml:space="preserve">ROLE OF ECOTYPES </w:t>
      </w:r>
      <w:r>
        <w:rPr>
          <w:rFonts w:ascii="Georgia" w:hAnsi="Georgia" w:cs="Helvetica"/>
          <w:b/>
          <w:bCs/>
          <w:color w:val="000000" w:themeColor="text1"/>
          <w:lang w:val="en-GB"/>
        </w:rPr>
        <w:t>IN</w:t>
      </w:r>
      <w:r w:rsidRPr="00286ECD">
        <w:rPr>
          <w:rFonts w:ascii="Georgia" w:hAnsi="Georgia" w:cs="Helvetica"/>
          <w:b/>
          <w:bCs/>
          <w:color w:val="000000" w:themeColor="text1"/>
          <w:lang w:val="en-GB"/>
        </w:rPr>
        <w:t xml:space="preserve"> FOOD</w:t>
      </w:r>
      <w:r>
        <w:rPr>
          <w:rFonts w:ascii="Georgia" w:hAnsi="Georgia" w:cs="Helvetica"/>
          <w:b/>
          <w:bCs/>
          <w:color w:val="000000" w:themeColor="text1"/>
          <w:lang w:val="en-GB"/>
        </w:rPr>
        <w:t xml:space="preserve"> </w:t>
      </w:r>
      <w:r w:rsidRPr="00286ECD">
        <w:rPr>
          <w:rFonts w:ascii="Georgia" w:hAnsi="Georgia" w:cs="Helvetica"/>
          <w:b/>
          <w:bCs/>
          <w:color w:val="000000" w:themeColor="text1"/>
          <w:lang w:val="en-GB"/>
        </w:rPr>
        <w:t>WEB FUNCTIONING.</w:t>
      </w:r>
      <w:r w:rsidRPr="00286ECD">
        <w:rPr>
          <w:rFonts w:ascii="Georgia" w:hAnsi="Georgia" w:cs="Helvetica Neue"/>
          <w:color w:val="000000" w:themeColor="text1"/>
          <w:lang w:val="en-GB"/>
        </w:rPr>
        <w:t xml:space="preserve">  In the absence of each other, the North Sea cod ecotype of the oldest age class occupied </w:t>
      </w:r>
      <w:r>
        <w:rPr>
          <w:rFonts w:ascii="Georgia" w:hAnsi="Georgia" w:cs="Helvetica Neue"/>
          <w:color w:val="000000" w:themeColor="text1"/>
          <w:lang w:val="en-GB"/>
        </w:rPr>
        <w:t>a</w:t>
      </w:r>
      <w:r w:rsidRPr="00286ECD">
        <w:rPr>
          <w:rFonts w:ascii="Georgia" w:hAnsi="Georgia" w:cs="Helvetica Neue"/>
          <w:color w:val="000000" w:themeColor="text1"/>
          <w:lang w:val="en-GB"/>
        </w:rPr>
        <w:t xml:space="preserve"> highe</w:t>
      </w:r>
      <w:r>
        <w:rPr>
          <w:rFonts w:ascii="Georgia" w:hAnsi="Georgia" w:cs="Helvetica Neue"/>
          <w:color w:val="000000" w:themeColor="text1"/>
          <w:lang w:val="en-GB"/>
        </w:rPr>
        <w:t>r</w:t>
      </w:r>
      <w:r w:rsidRPr="00286ECD">
        <w:rPr>
          <w:rFonts w:ascii="Georgia" w:hAnsi="Georgia" w:cs="Helvetica Neue"/>
          <w:color w:val="000000" w:themeColor="text1"/>
          <w:lang w:val="en-GB"/>
        </w:rPr>
        <w:t xml:space="preserve"> trophic position at 5.50</w:t>
      </w:r>
      <w:r>
        <w:rPr>
          <w:rFonts w:ascii="Georgia" w:hAnsi="Georgia" w:cs="Helvetica Neue"/>
          <w:color w:val="000000" w:themeColor="text1"/>
          <w:lang w:val="en-GB"/>
        </w:rPr>
        <w:t xml:space="preserve"> compared to 5.48 for </w:t>
      </w:r>
      <w:r w:rsidRPr="00286ECD">
        <w:rPr>
          <w:rFonts w:ascii="Georgia" w:hAnsi="Georgia" w:cs="Helvetica Neue"/>
          <w:color w:val="000000" w:themeColor="text1"/>
          <w:lang w:val="en-GB"/>
        </w:rPr>
        <w:t xml:space="preserve">the Fjord </w:t>
      </w:r>
      <w:r>
        <w:rPr>
          <w:rFonts w:ascii="Georgia" w:hAnsi="Georgia" w:cs="Helvetica Neue"/>
          <w:color w:val="000000" w:themeColor="text1"/>
          <w:lang w:val="en-GB"/>
        </w:rPr>
        <w:t xml:space="preserve">cod </w:t>
      </w:r>
      <w:r w:rsidR="00BD4307" w:rsidRPr="00286ECD">
        <w:rPr>
          <w:rFonts w:ascii="Georgia" w:hAnsi="Georgia" w:cs="Helvetica Neue"/>
          <w:color w:val="000000" w:themeColor="text1"/>
          <w:lang w:val="en-GB"/>
        </w:rPr>
        <w:t>ecotype (</w:t>
      </w:r>
      <w:r w:rsidRPr="00286ECD">
        <w:rPr>
          <w:rFonts w:ascii="Georgia" w:hAnsi="Georgia" w:cs="Helvetica Neue"/>
          <w:color w:val="000000" w:themeColor="text1"/>
          <w:lang w:val="en-GB"/>
        </w:rPr>
        <w:t>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2). </w:t>
      </w:r>
      <w:r>
        <w:rPr>
          <w:rFonts w:ascii="Georgia" w:hAnsi="Georgia" w:cs="Helvetica Neue"/>
          <w:color w:val="000000" w:themeColor="text1"/>
          <w:lang w:val="en-GB"/>
        </w:rPr>
        <w:t>Removing either</w:t>
      </w:r>
      <w:r w:rsidRPr="00286ECD">
        <w:rPr>
          <w:rFonts w:ascii="Georgia" w:hAnsi="Georgia" w:cs="Helvetica Neue"/>
          <w:color w:val="000000" w:themeColor="text1"/>
          <w:lang w:val="en-GB"/>
        </w:rPr>
        <w:t xml:space="preserve"> ecotype </w:t>
      </w:r>
      <w:r>
        <w:rPr>
          <w:rFonts w:ascii="Georgia" w:hAnsi="Georgia" w:cs="Helvetica Neue"/>
          <w:color w:val="000000" w:themeColor="text1"/>
          <w:lang w:val="en-GB"/>
        </w:rPr>
        <w:t>resulted in an</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overall increase in the </w:t>
      </w:r>
      <w:r w:rsidRPr="00286ECD">
        <w:rPr>
          <w:rFonts w:ascii="Georgia" w:hAnsi="Georgia" w:cs="Helvetica Neue"/>
          <w:color w:val="000000" w:themeColor="text1"/>
          <w:lang w:val="en-GB"/>
        </w:rPr>
        <w:t xml:space="preserve">biomass of the </w:t>
      </w:r>
      <w:r>
        <w:rPr>
          <w:rFonts w:ascii="Georgia" w:hAnsi="Georgia" w:cs="Helvetica Neue"/>
          <w:color w:val="000000" w:themeColor="text1"/>
          <w:lang w:val="en-GB"/>
        </w:rPr>
        <w:t xml:space="preserve">Skagerrak </w:t>
      </w:r>
      <w:r w:rsidRPr="00286ECD">
        <w:rPr>
          <w:rFonts w:ascii="Georgia" w:hAnsi="Georgia" w:cs="Helvetica Neue"/>
          <w:color w:val="000000" w:themeColor="text1"/>
          <w:lang w:val="en-GB"/>
        </w:rPr>
        <w:t>food web</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with each cod ecotype</w:t>
      </w:r>
      <w:r>
        <w:rPr>
          <w:rFonts w:ascii="Georgia" w:hAnsi="Georgia" w:cs="Helvetica Neue"/>
          <w:color w:val="000000" w:themeColor="text1"/>
          <w:lang w:val="en-GB"/>
        </w:rPr>
        <w:t xml:space="preserve"> exerting distinct effects </w:t>
      </w:r>
      <w:r w:rsidR="00BD4307">
        <w:rPr>
          <w:rFonts w:ascii="Georgia" w:hAnsi="Georgia" w:cs="Helvetica Neue"/>
          <w:color w:val="000000" w:themeColor="text1"/>
          <w:lang w:val="en-GB"/>
        </w:rPr>
        <w:t>on lower</w:t>
      </w:r>
      <w:r w:rsidRPr="00286ECD">
        <w:rPr>
          <w:rFonts w:ascii="Georgia" w:hAnsi="Georgia" w:cs="Helvetica Neue"/>
          <w:color w:val="000000" w:themeColor="text1"/>
          <w:lang w:val="en-GB"/>
        </w:rPr>
        <w:t xml:space="preserve"> functional guilds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3a</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Across</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all</w:t>
      </w:r>
      <w:r w:rsidRPr="00286ECD">
        <w:rPr>
          <w:rFonts w:ascii="Georgia" w:hAnsi="Georgia" w:cs="Helvetica Neue"/>
          <w:color w:val="000000" w:themeColor="text1"/>
          <w:lang w:val="en-GB"/>
        </w:rPr>
        <w:t xml:space="preserve"> scenarios, the absolute change in relative biomass </w:t>
      </w:r>
      <w:r>
        <w:rPr>
          <w:rFonts w:ascii="Georgia" w:hAnsi="Georgia" w:cs="Helvetica Neue"/>
          <w:color w:val="000000" w:themeColor="text1"/>
          <w:lang w:val="en-GB"/>
        </w:rPr>
        <w:t>diminished towards</w:t>
      </w:r>
      <w:r w:rsidRPr="00286ECD">
        <w:rPr>
          <w:rFonts w:ascii="Georgia" w:hAnsi="Georgia" w:cs="Helvetica Neue"/>
          <w:color w:val="000000" w:themeColor="text1"/>
          <w:lang w:val="en-GB"/>
        </w:rPr>
        <w:t xml:space="preserve"> </w:t>
      </w:r>
      <w:r w:rsidR="00BD4307" w:rsidRPr="00286ECD">
        <w:rPr>
          <w:rFonts w:ascii="Georgia" w:hAnsi="Georgia" w:cs="Helvetica Neue"/>
          <w:color w:val="000000" w:themeColor="text1"/>
          <w:lang w:val="en-GB"/>
        </w:rPr>
        <w:t>lowe</w:t>
      </w:r>
      <w:r w:rsidR="00BD4307">
        <w:rPr>
          <w:rFonts w:ascii="Georgia" w:hAnsi="Georgia" w:cs="Helvetica Neue"/>
          <w:color w:val="000000" w:themeColor="text1"/>
          <w:lang w:val="en-GB"/>
        </w:rPr>
        <w:t xml:space="preserve">r </w:t>
      </w:r>
      <w:r w:rsidR="00BD4307" w:rsidRPr="00286ECD">
        <w:rPr>
          <w:rFonts w:ascii="Georgia" w:hAnsi="Georgia" w:cs="Helvetica Neue"/>
          <w:color w:val="000000" w:themeColor="text1"/>
          <w:lang w:val="en-GB"/>
        </w:rPr>
        <w:lastRenderedPageBreak/>
        <w:t>trophic</w:t>
      </w:r>
      <w:r w:rsidRPr="00286ECD">
        <w:rPr>
          <w:rFonts w:ascii="Georgia" w:hAnsi="Georgia" w:cs="Helvetica Neue"/>
          <w:color w:val="000000" w:themeColor="text1"/>
          <w:lang w:val="en-GB"/>
        </w:rPr>
        <w:t xml:space="preserve"> level</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Specifically, a</w:t>
      </w:r>
      <w:r w:rsidRPr="00286ECD">
        <w:rPr>
          <w:rFonts w:ascii="Georgia" w:hAnsi="Georgia" w:cs="Helvetica Neue"/>
          <w:color w:val="000000" w:themeColor="text1"/>
          <w:lang w:val="en-GB"/>
        </w:rPr>
        <w:t>ggregated fish and zooplankton guild</w:t>
      </w:r>
      <w:r>
        <w:rPr>
          <w:rFonts w:ascii="Georgia" w:hAnsi="Georgia" w:cs="Helvetica Neue"/>
          <w:color w:val="000000" w:themeColor="text1"/>
          <w:lang w:val="en-GB"/>
        </w:rPr>
        <w:t xml:space="preserve"> biomasses</w:t>
      </w:r>
      <w:r w:rsidRPr="00286ECD">
        <w:rPr>
          <w:rFonts w:ascii="Georgia" w:hAnsi="Georgia" w:cs="Helvetica Neue"/>
          <w:color w:val="000000" w:themeColor="text1"/>
          <w:lang w:val="en-GB"/>
        </w:rPr>
        <w:t xml:space="preserve"> increased </w:t>
      </w:r>
      <w:r>
        <w:rPr>
          <w:rFonts w:ascii="Georgia" w:hAnsi="Georgia" w:cs="Helvetica Neue"/>
          <w:color w:val="000000" w:themeColor="text1"/>
          <w:lang w:val="en-GB"/>
        </w:rPr>
        <w:t>notably,</w:t>
      </w:r>
      <w:r w:rsidRPr="00286ECD">
        <w:rPr>
          <w:rFonts w:ascii="Georgia" w:hAnsi="Georgia" w:cs="Helvetica Neue"/>
          <w:color w:val="000000" w:themeColor="text1"/>
          <w:lang w:val="en-GB"/>
        </w:rPr>
        <w:t xml:space="preserve"> while microzooplankton </w:t>
      </w:r>
      <w:r>
        <w:rPr>
          <w:rFonts w:ascii="Georgia" w:hAnsi="Georgia" w:cs="Helvetica Neue"/>
          <w:color w:val="000000" w:themeColor="text1"/>
          <w:lang w:val="en-GB"/>
        </w:rPr>
        <w:t xml:space="preserve">showed a decrease and </w:t>
      </w:r>
      <w:r w:rsidRPr="00286ECD">
        <w:rPr>
          <w:rFonts w:ascii="Georgia" w:hAnsi="Georgia" w:cs="Helvetica Neue"/>
          <w:color w:val="000000" w:themeColor="text1"/>
          <w:lang w:val="en-GB"/>
        </w:rPr>
        <w:t xml:space="preserve">phytoplankton </w:t>
      </w:r>
      <w:r>
        <w:rPr>
          <w:rFonts w:ascii="Georgia" w:hAnsi="Georgia" w:cs="Helvetica Neue"/>
          <w:color w:val="000000" w:themeColor="text1"/>
          <w:lang w:val="en-GB"/>
        </w:rPr>
        <w:t>exhibited</w:t>
      </w:r>
      <w:r w:rsidRPr="00286ECD">
        <w:rPr>
          <w:rFonts w:ascii="Georgia" w:hAnsi="Georgia" w:cs="Helvetica Neue"/>
          <w:color w:val="000000" w:themeColor="text1"/>
          <w:lang w:val="en-GB"/>
        </w:rPr>
        <w:t xml:space="preserve"> a slight decline. </w:t>
      </w:r>
    </w:p>
    <w:p w14:paraId="0413793D"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The biomass of the Fjord ecotype increased by 30.</w:t>
      </w:r>
      <w:r>
        <w:rPr>
          <w:rFonts w:ascii="Georgia" w:hAnsi="Georgia" w:cs="Helvetica Neue"/>
          <w:color w:val="000000" w:themeColor="text1"/>
          <w:lang w:val="en-GB"/>
        </w:rPr>
        <w:t>73</w:t>
      </w:r>
      <w:r w:rsidRPr="00286ECD">
        <w:rPr>
          <w:rFonts w:ascii="Georgia" w:hAnsi="Georgia" w:cs="Helvetica Neue"/>
          <w:color w:val="000000" w:themeColor="text1"/>
          <w:lang w:val="en-GB"/>
        </w:rPr>
        <w:t xml:space="preserve"> % </w:t>
      </w:r>
      <w:r>
        <w:rPr>
          <w:rFonts w:ascii="Georgia" w:hAnsi="Georgia" w:cs="Helvetica Neue"/>
          <w:color w:val="000000" w:themeColor="text1"/>
          <w:lang w:val="en-GB"/>
        </w:rPr>
        <w:t xml:space="preserve">in the absence of </w:t>
      </w:r>
      <w:r w:rsidRPr="00286ECD">
        <w:rPr>
          <w:rFonts w:ascii="Georgia" w:hAnsi="Georgia" w:cs="Helvetica Neue"/>
          <w:color w:val="000000" w:themeColor="text1"/>
          <w:lang w:val="en-GB"/>
        </w:rPr>
        <w:t>the North Sea ecotype</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while the biomass of the North Sea ecotype increased by </w:t>
      </w:r>
      <w:r>
        <w:rPr>
          <w:rFonts w:ascii="Georgia" w:hAnsi="Georgia" w:cs="Helvetica Neue"/>
          <w:color w:val="000000" w:themeColor="text1"/>
          <w:lang w:val="en-GB"/>
        </w:rPr>
        <w:t>39</w:t>
      </w:r>
      <w:r w:rsidRPr="00286ECD">
        <w:rPr>
          <w:rFonts w:ascii="Georgia" w:hAnsi="Georgia" w:cs="Helvetica Neue"/>
          <w:color w:val="000000" w:themeColor="text1"/>
          <w:lang w:val="en-GB"/>
        </w:rPr>
        <w:t>.</w:t>
      </w:r>
      <w:r>
        <w:rPr>
          <w:rFonts w:ascii="Georgia" w:hAnsi="Georgia" w:cs="Helvetica Neue"/>
          <w:color w:val="000000" w:themeColor="text1"/>
          <w:lang w:val="en-GB"/>
        </w:rPr>
        <w:t>28</w:t>
      </w:r>
      <w:r w:rsidRPr="00286ECD">
        <w:rPr>
          <w:rFonts w:ascii="Georgia" w:hAnsi="Georgia" w:cs="Helvetica Neue"/>
          <w:color w:val="000000" w:themeColor="text1"/>
          <w:lang w:val="en-GB"/>
        </w:rPr>
        <w:t xml:space="preserve"> % in the absence of the Fjord ecotype. </w:t>
      </w:r>
      <w:r>
        <w:rPr>
          <w:rFonts w:ascii="Georgia" w:hAnsi="Georgia" w:cs="Helvetica Neue"/>
          <w:color w:val="000000" w:themeColor="text1"/>
          <w:lang w:val="en-GB"/>
        </w:rPr>
        <w:t>Conversely, a</w:t>
      </w:r>
      <w:r w:rsidRPr="00286ECD">
        <w:rPr>
          <w:rFonts w:ascii="Georgia" w:hAnsi="Georgia" w:cs="Helvetica Neue"/>
          <w:color w:val="000000" w:themeColor="text1"/>
          <w:lang w:val="en-GB"/>
        </w:rPr>
        <w:t>ggregated fish guild</w:t>
      </w:r>
      <w:r>
        <w:rPr>
          <w:rFonts w:ascii="Georgia" w:hAnsi="Georgia" w:cs="Helvetica Neue"/>
          <w:color w:val="000000" w:themeColor="text1"/>
          <w:lang w:val="en-GB"/>
        </w:rPr>
        <w:t xml:space="preserve"> biomass</w:t>
      </w:r>
      <w:r w:rsidRPr="00286ECD">
        <w:rPr>
          <w:rFonts w:ascii="Georgia" w:hAnsi="Georgia" w:cs="Helvetica Neue"/>
          <w:color w:val="000000" w:themeColor="text1"/>
          <w:lang w:val="en-GB"/>
        </w:rPr>
        <w:t xml:space="preserve"> increased </w:t>
      </w:r>
      <w:r>
        <w:rPr>
          <w:rFonts w:ascii="Georgia" w:hAnsi="Georgia" w:cs="Helvetica Neue"/>
          <w:color w:val="000000" w:themeColor="text1"/>
          <w:lang w:val="en-GB"/>
        </w:rPr>
        <w:t>by</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17.10 </w:t>
      </w:r>
      <w:r w:rsidRPr="00286ECD">
        <w:rPr>
          <w:rFonts w:ascii="Georgia" w:hAnsi="Georgia" w:cs="Helvetica Neue"/>
          <w:color w:val="000000" w:themeColor="text1"/>
          <w:lang w:val="en-GB"/>
        </w:rPr>
        <w:t xml:space="preserve">% in the absence of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North Sea </w:t>
      </w:r>
      <w:r>
        <w:rPr>
          <w:rFonts w:ascii="Georgia" w:hAnsi="Georgia" w:cs="Helvetica Neue"/>
          <w:color w:val="000000" w:themeColor="text1"/>
          <w:lang w:val="en-GB"/>
        </w:rPr>
        <w:t>ecotype</w:t>
      </w:r>
      <w:r w:rsidRPr="00286ECD">
        <w:rPr>
          <w:rFonts w:ascii="Georgia" w:hAnsi="Georgia" w:cs="Helvetica Neue"/>
          <w:color w:val="000000" w:themeColor="text1"/>
          <w:lang w:val="en-GB"/>
        </w:rPr>
        <w:t xml:space="preserve"> compared to</w:t>
      </w:r>
      <w:r>
        <w:rPr>
          <w:rFonts w:ascii="Georgia" w:hAnsi="Georgia" w:cs="Helvetica Neue"/>
          <w:color w:val="000000" w:themeColor="text1"/>
          <w:lang w:val="en-GB"/>
        </w:rPr>
        <w:t xml:space="preserve"> a</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12.69 % increase in </w:t>
      </w:r>
      <w:r w:rsidRPr="00286ECD">
        <w:rPr>
          <w:rFonts w:ascii="Georgia" w:hAnsi="Georgia" w:cs="Helvetica Neue"/>
          <w:color w:val="000000" w:themeColor="text1"/>
          <w:lang w:val="en-GB"/>
        </w:rPr>
        <w:t xml:space="preserve">the absence of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Fjord </w:t>
      </w:r>
      <w:r>
        <w:rPr>
          <w:rFonts w:ascii="Georgia" w:hAnsi="Georgia" w:cs="Helvetica Neue"/>
          <w:color w:val="000000" w:themeColor="text1"/>
          <w:lang w:val="en-GB"/>
        </w:rPr>
        <w:t>ecotype, a difference of 4.41 %.</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A</w:t>
      </w:r>
      <w:r w:rsidRPr="00286ECD">
        <w:rPr>
          <w:rFonts w:ascii="Georgia" w:hAnsi="Georgia" w:cs="Helvetica Neue"/>
          <w:color w:val="000000" w:themeColor="text1"/>
          <w:lang w:val="en-GB"/>
        </w:rPr>
        <w:t xml:space="preserve">ggregated zooplankton guild </w:t>
      </w:r>
      <w:r>
        <w:rPr>
          <w:rFonts w:ascii="Georgia" w:hAnsi="Georgia" w:cs="Helvetica Neue"/>
          <w:color w:val="000000" w:themeColor="text1"/>
          <w:lang w:val="en-GB"/>
        </w:rPr>
        <w:t>biomass was 2</w:t>
      </w:r>
      <w:r w:rsidRPr="00286ECD">
        <w:rPr>
          <w:rFonts w:ascii="Georgia" w:hAnsi="Georgia" w:cs="Helvetica Neue"/>
          <w:color w:val="000000" w:themeColor="text1"/>
          <w:lang w:val="en-GB"/>
        </w:rPr>
        <w:t>.</w:t>
      </w:r>
      <w:r>
        <w:rPr>
          <w:rFonts w:ascii="Georgia" w:hAnsi="Georgia" w:cs="Helvetica Neue"/>
          <w:color w:val="000000" w:themeColor="text1"/>
          <w:lang w:val="en-GB"/>
        </w:rPr>
        <w:t>05</w:t>
      </w:r>
      <w:r w:rsidRPr="00286ECD">
        <w:rPr>
          <w:rFonts w:ascii="Georgia" w:hAnsi="Georgia" w:cs="Helvetica Neue"/>
          <w:color w:val="000000" w:themeColor="text1"/>
          <w:lang w:val="en-GB"/>
        </w:rPr>
        <w:t xml:space="preserve"> % higher in the absence of the Fjord </w:t>
      </w:r>
      <w:r>
        <w:rPr>
          <w:rFonts w:ascii="Georgia" w:hAnsi="Georgia" w:cs="Helvetica Neue"/>
          <w:color w:val="000000" w:themeColor="text1"/>
          <w:lang w:val="en-GB"/>
        </w:rPr>
        <w:t>ecotype</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compared to </w:t>
      </w:r>
      <w:r w:rsidRPr="00286ECD">
        <w:rPr>
          <w:rFonts w:ascii="Georgia" w:hAnsi="Georgia" w:cs="Helvetica Neue"/>
          <w:color w:val="000000" w:themeColor="text1"/>
          <w:lang w:val="en-GB"/>
        </w:rPr>
        <w:t xml:space="preserve">the absence of the North Sea </w:t>
      </w:r>
      <w:r>
        <w:rPr>
          <w:rFonts w:ascii="Georgia" w:hAnsi="Georgia" w:cs="Helvetica Neue"/>
          <w:color w:val="000000" w:themeColor="text1"/>
          <w:lang w:val="en-GB"/>
        </w:rPr>
        <w:t>ecotype</w:t>
      </w:r>
      <w:r w:rsidRPr="00286ECD">
        <w:rPr>
          <w:rFonts w:ascii="Georgia" w:hAnsi="Georgia" w:cs="Helvetica Neue"/>
          <w:color w:val="000000" w:themeColor="text1"/>
          <w:lang w:val="en-GB"/>
        </w:rPr>
        <w:t xml:space="preserve"> (4.</w:t>
      </w:r>
      <w:r>
        <w:rPr>
          <w:rFonts w:ascii="Georgia" w:hAnsi="Georgia" w:cs="Helvetica Neue"/>
          <w:color w:val="000000" w:themeColor="text1"/>
          <w:lang w:val="en-GB"/>
        </w:rPr>
        <w:t>80</w:t>
      </w:r>
      <w:r w:rsidRPr="00286ECD">
        <w:rPr>
          <w:rFonts w:ascii="Georgia" w:hAnsi="Georgia" w:cs="Helvetica Neue"/>
          <w:color w:val="000000" w:themeColor="text1"/>
          <w:lang w:val="en-GB"/>
        </w:rPr>
        <w:t xml:space="preserve"> % and 2.</w:t>
      </w:r>
      <w:r>
        <w:rPr>
          <w:rFonts w:ascii="Georgia" w:hAnsi="Georgia" w:cs="Helvetica Neue"/>
          <w:color w:val="000000" w:themeColor="text1"/>
          <w:lang w:val="en-GB"/>
        </w:rPr>
        <w:t>75</w:t>
      </w:r>
      <w:r w:rsidRPr="00286ECD">
        <w:rPr>
          <w:rFonts w:ascii="Georgia" w:hAnsi="Georgia" w:cs="Helvetica Neue"/>
          <w:color w:val="000000" w:themeColor="text1"/>
          <w:lang w:val="en-GB"/>
        </w:rPr>
        <w:t xml:space="preserve"> %, respectively). The biomass of aggregated microzooplankton and phytoplankton guild</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declined </w:t>
      </w:r>
      <w:r>
        <w:rPr>
          <w:rFonts w:ascii="Georgia" w:hAnsi="Georgia" w:cs="Helvetica Neue"/>
          <w:color w:val="000000" w:themeColor="text1"/>
          <w:lang w:val="en-GB"/>
        </w:rPr>
        <w:t>by</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an additional </w:t>
      </w:r>
      <w:r w:rsidRPr="00286ECD">
        <w:rPr>
          <w:rFonts w:ascii="Georgia" w:hAnsi="Georgia" w:cs="Helvetica Neue"/>
          <w:color w:val="000000" w:themeColor="text1"/>
          <w:lang w:val="en-GB"/>
        </w:rPr>
        <w:t>0.1</w:t>
      </w:r>
      <w:r>
        <w:rPr>
          <w:rFonts w:ascii="Georgia" w:hAnsi="Georgia" w:cs="Helvetica Neue"/>
          <w:color w:val="000000" w:themeColor="text1"/>
          <w:lang w:val="en-GB"/>
        </w:rPr>
        <w:t>9</w:t>
      </w:r>
      <w:r w:rsidRPr="00286ECD">
        <w:rPr>
          <w:rFonts w:ascii="Georgia" w:hAnsi="Georgia" w:cs="Helvetica Neue"/>
          <w:color w:val="000000" w:themeColor="text1"/>
          <w:lang w:val="en-GB"/>
        </w:rPr>
        <w:t xml:space="preserve"> % and 0.0</w:t>
      </w:r>
      <w:r>
        <w:rPr>
          <w:rFonts w:ascii="Georgia" w:hAnsi="Georgia" w:cs="Helvetica Neue"/>
          <w:color w:val="000000" w:themeColor="text1"/>
          <w:lang w:val="en-GB"/>
        </w:rPr>
        <w:t>4</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respectively,</w:t>
      </w:r>
      <w:r w:rsidRPr="00286ECD">
        <w:rPr>
          <w:rFonts w:ascii="Georgia" w:hAnsi="Georgia" w:cs="Helvetica Neue"/>
          <w:color w:val="000000" w:themeColor="text1"/>
          <w:lang w:val="en-GB"/>
        </w:rPr>
        <w:t xml:space="preserve"> in the absence of the Fjord </w:t>
      </w:r>
      <w:r>
        <w:rPr>
          <w:rFonts w:ascii="Georgia" w:hAnsi="Georgia" w:cs="Helvetica Neue"/>
          <w:color w:val="000000" w:themeColor="text1"/>
          <w:lang w:val="en-GB"/>
        </w:rPr>
        <w:t>ecotype (Fig. 3a)</w:t>
      </w:r>
      <w:r w:rsidRPr="00286ECD">
        <w:rPr>
          <w:rFonts w:ascii="Georgia" w:hAnsi="Georgia" w:cs="Helvetica Neue"/>
          <w:color w:val="000000" w:themeColor="text1"/>
          <w:lang w:val="en-GB"/>
        </w:rPr>
        <w:t xml:space="preserve">. </w:t>
      </w:r>
    </w:p>
    <w:p w14:paraId="7A1ECA89" w14:textId="06FC31ED" w:rsidR="005E45D8" w:rsidRPr="00286ECD" w:rsidRDefault="005E45D8" w:rsidP="005E45D8">
      <w:pPr>
        <w:autoSpaceDE w:val="0"/>
        <w:autoSpaceDN w:val="0"/>
        <w:adjustRightInd w:val="0"/>
        <w:spacing w:line="480" w:lineRule="auto"/>
        <w:jc w:val="both"/>
        <w:rPr>
          <w:rFonts w:ascii="Georgia" w:hAnsi="Georgia" w:cs="Helvetica Neue"/>
          <w:b/>
          <w:bCs/>
          <w:color w:val="000000" w:themeColor="text1"/>
          <w:sz w:val="32"/>
          <w:szCs w:val="32"/>
          <w:lang w:val="en-GB"/>
        </w:rPr>
      </w:pPr>
      <w:r w:rsidRPr="00286ECD">
        <w:rPr>
          <w:rFonts w:ascii="Georgia" w:hAnsi="Georgia" w:cs="Helvetica Neue"/>
          <w:color w:val="000000" w:themeColor="text1"/>
          <w:lang w:val="en-GB"/>
        </w:rPr>
        <w:t>The biomass of</w:t>
      </w:r>
      <w:r>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Symphodus</w:t>
      </w:r>
      <w:proofErr w:type="spellEnd"/>
      <w:r w:rsidRPr="00286ECD">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melops</w:t>
      </w:r>
      <w:proofErr w:type="spellEnd"/>
      <w:r w:rsidRPr="00286ECD">
        <w:rPr>
          <w:rFonts w:ascii="Georgia" w:hAnsi="Georgia" w:cs="Helvetica Neue"/>
          <w:i/>
          <w:iCs/>
          <w:color w:val="000000" w:themeColor="text1"/>
          <w:lang w:val="en-GB"/>
        </w:rPr>
        <w:t xml:space="preserve"> </w:t>
      </w:r>
      <w:r>
        <w:rPr>
          <w:rFonts w:ascii="Georgia" w:hAnsi="Georgia" w:cs="Helvetica Neue"/>
          <w:color w:val="000000" w:themeColor="text1"/>
          <w:lang w:val="en-GB"/>
        </w:rPr>
        <w:t>(c</w:t>
      </w:r>
      <w:r w:rsidRPr="00286ECD">
        <w:rPr>
          <w:rFonts w:ascii="Georgia" w:hAnsi="Georgia" w:cs="Helvetica Neue"/>
          <w:color w:val="000000" w:themeColor="text1"/>
          <w:lang w:val="en-GB"/>
        </w:rPr>
        <w:t>orkwing wrasse</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was the only fish species </w:t>
      </w:r>
      <w:r>
        <w:rPr>
          <w:rFonts w:ascii="Georgia" w:hAnsi="Georgia" w:cs="Helvetica Neue"/>
          <w:color w:val="000000" w:themeColor="text1"/>
          <w:lang w:val="en-GB"/>
        </w:rPr>
        <w:t>to</w:t>
      </w:r>
      <w:r w:rsidRPr="00286ECD">
        <w:rPr>
          <w:rFonts w:ascii="Georgia" w:hAnsi="Georgia" w:cs="Helvetica Neue"/>
          <w:color w:val="000000" w:themeColor="text1"/>
          <w:lang w:val="en-GB"/>
        </w:rPr>
        <w:t xml:space="preserve"> decline</w:t>
      </w:r>
      <w:r>
        <w:rPr>
          <w:rFonts w:ascii="Georgia" w:hAnsi="Georgia" w:cs="Helvetica Neue"/>
          <w:color w:val="000000" w:themeColor="text1"/>
          <w:lang w:val="en-GB"/>
        </w:rPr>
        <w:t xml:space="preserve"> in the absence of either</w:t>
      </w:r>
      <w:r w:rsidRPr="00286ECD">
        <w:rPr>
          <w:rFonts w:ascii="Georgia" w:hAnsi="Georgia" w:cs="Helvetica Neue"/>
          <w:color w:val="000000" w:themeColor="text1"/>
          <w:lang w:val="en-GB"/>
        </w:rPr>
        <w:t xml:space="preserve"> cod ecotype</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(Supporting </w:t>
      </w:r>
      <w:r>
        <w:rPr>
          <w:rFonts w:ascii="Georgia" w:hAnsi="Georgia" w:cs="Helvetica Neue"/>
          <w:color w:val="000000" w:themeColor="text1"/>
          <w:lang w:val="en-GB"/>
        </w:rPr>
        <w:t>I</w:t>
      </w:r>
      <w:r w:rsidRPr="00286ECD">
        <w:rPr>
          <w:rFonts w:ascii="Georgia" w:hAnsi="Georgia" w:cs="Helvetica Neue"/>
          <w:color w:val="000000" w:themeColor="text1"/>
          <w:lang w:val="en-GB"/>
        </w:rPr>
        <w:t xml:space="preserve">nformation S), while </w:t>
      </w:r>
      <w:r>
        <w:rPr>
          <w:rFonts w:ascii="Georgia" w:hAnsi="Georgia" w:cs="Helvetica Neue"/>
          <w:color w:val="000000" w:themeColor="text1"/>
          <w:lang w:val="en-GB"/>
        </w:rPr>
        <w:t xml:space="preserve">the </w:t>
      </w:r>
      <w:r w:rsidRPr="00286ECD">
        <w:rPr>
          <w:rFonts w:ascii="Georgia" w:hAnsi="Georgia" w:cs="Helvetica Neue"/>
          <w:color w:val="000000" w:themeColor="text1"/>
          <w:lang w:val="en-GB"/>
        </w:rPr>
        <w:t xml:space="preserve">biomass of all other </w:t>
      </w:r>
      <w:r>
        <w:rPr>
          <w:rFonts w:ascii="Georgia" w:hAnsi="Georgia" w:cs="Helvetica Neue"/>
          <w:color w:val="000000" w:themeColor="text1"/>
          <w:lang w:val="en-GB"/>
        </w:rPr>
        <w:t>fish species</w:t>
      </w:r>
      <w:r w:rsidRPr="00286ECD">
        <w:rPr>
          <w:rFonts w:ascii="Georgia" w:hAnsi="Georgia" w:cs="Helvetica Neue"/>
          <w:color w:val="000000" w:themeColor="text1"/>
          <w:lang w:val="en-GB"/>
        </w:rPr>
        <w:t xml:space="preserve"> increased (Fig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3b</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Coastal fish species, including </w:t>
      </w:r>
      <w:proofErr w:type="spellStart"/>
      <w:r w:rsidRPr="00286ECD">
        <w:rPr>
          <w:rFonts w:ascii="Georgia" w:hAnsi="Georgia" w:cs="Helvetica Neue"/>
          <w:i/>
          <w:iCs/>
          <w:color w:val="000000" w:themeColor="text1"/>
          <w:lang w:val="en-GB"/>
        </w:rPr>
        <w:t>Spinachia</w:t>
      </w:r>
      <w:proofErr w:type="spellEnd"/>
      <w:r w:rsidRPr="00286ECD">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spinachia</w:t>
      </w:r>
      <w:proofErr w:type="spellEnd"/>
      <w:r w:rsidRPr="00D35648">
        <w:rPr>
          <w:rFonts w:ascii="Georgia" w:hAnsi="Georgia" w:cs="Helvetica Neue"/>
          <w:color w:val="000000" w:themeColor="text1"/>
          <w:lang w:val="en-GB"/>
        </w:rPr>
        <w:t xml:space="preserve"> </w:t>
      </w:r>
      <w:r>
        <w:rPr>
          <w:rFonts w:ascii="Georgia" w:hAnsi="Georgia" w:cs="Helvetica Neue"/>
          <w:color w:val="000000" w:themeColor="text1"/>
          <w:lang w:val="en-GB"/>
        </w:rPr>
        <w:t xml:space="preserve">(fifteen-spined stickleback), </w:t>
      </w:r>
      <w:proofErr w:type="spellStart"/>
      <w:r w:rsidRPr="00286ECD">
        <w:rPr>
          <w:rFonts w:ascii="Georgia" w:hAnsi="Georgia" w:cs="Helvetica Neue"/>
          <w:i/>
          <w:iCs/>
          <w:color w:val="000000" w:themeColor="text1"/>
          <w:lang w:val="en-GB"/>
        </w:rPr>
        <w:t>Ctenolabrus</w:t>
      </w:r>
      <w:proofErr w:type="spellEnd"/>
      <w:r w:rsidRPr="00286ECD">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rupestris</w:t>
      </w:r>
      <w:proofErr w:type="spellEnd"/>
      <w:r>
        <w:rPr>
          <w:rFonts w:ascii="Georgia" w:hAnsi="Georgia" w:cs="Helvetica Neue"/>
          <w:color w:val="000000" w:themeColor="text1"/>
          <w:lang w:val="en-GB"/>
        </w:rPr>
        <w:t xml:space="preserve"> (</w:t>
      </w:r>
      <w:proofErr w:type="spellStart"/>
      <w:r>
        <w:rPr>
          <w:rFonts w:ascii="Georgia" w:hAnsi="Georgia" w:cs="Helvetica Neue"/>
          <w:color w:val="000000" w:themeColor="text1"/>
          <w:lang w:val="en-GB"/>
        </w:rPr>
        <w:t>goldsinny</w:t>
      </w:r>
      <w:proofErr w:type="spellEnd"/>
      <w:r>
        <w:rPr>
          <w:rFonts w:ascii="Georgia" w:hAnsi="Georgia" w:cs="Helvetica Neue"/>
          <w:color w:val="000000" w:themeColor="text1"/>
          <w:lang w:val="en-GB"/>
        </w:rPr>
        <w:t xml:space="preserve"> wrasse), and </w:t>
      </w:r>
      <w:proofErr w:type="spellStart"/>
      <w:r w:rsidRPr="00286ECD">
        <w:rPr>
          <w:rFonts w:ascii="Georgia" w:hAnsi="Georgia" w:cs="Helvetica Neue"/>
          <w:i/>
          <w:iCs/>
          <w:color w:val="000000" w:themeColor="text1"/>
          <w:lang w:val="en-GB"/>
        </w:rPr>
        <w:t>Pomatoschistus</w:t>
      </w:r>
      <w:proofErr w:type="spellEnd"/>
      <w:r w:rsidRPr="00286ECD">
        <w:rPr>
          <w:rFonts w:ascii="Georgia" w:hAnsi="Georgia" w:cs="Helvetica Neue"/>
          <w:i/>
          <w:iCs/>
          <w:color w:val="000000" w:themeColor="text1"/>
          <w:lang w:val="en-GB"/>
        </w:rPr>
        <w:t xml:space="preserve"> </w:t>
      </w:r>
      <w:proofErr w:type="spellStart"/>
      <w:r w:rsidRPr="00286ECD">
        <w:rPr>
          <w:rFonts w:ascii="Georgia" w:hAnsi="Georgia" w:cs="Helvetica Neue"/>
          <w:i/>
          <w:iCs/>
          <w:color w:val="000000" w:themeColor="text1"/>
          <w:lang w:val="en-GB"/>
        </w:rPr>
        <w:t>minutus</w:t>
      </w:r>
      <w:proofErr w:type="spellEnd"/>
      <w:r>
        <w:rPr>
          <w:rFonts w:ascii="Georgia" w:hAnsi="Georgia" w:cs="Helvetica Neue"/>
          <w:color w:val="000000" w:themeColor="text1"/>
          <w:lang w:val="en-GB"/>
        </w:rPr>
        <w:t xml:space="preserve"> (sand goby), were more affected by the absence of the Fjord cod ecotype. In contrast, demersal and pelagic fish species exhibited greater sensitivity to the absence of the North Sea cod ecotype. Among demersal fish, the</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greatest </w:t>
      </w:r>
      <w:r w:rsidRPr="00286ECD">
        <w:rPr>
          <w:rFonts w:ascii="Georgia" w:hAnsi="Georgia" w:cs="Helvetica Neue"/>
          <w:color w:val="000000" w:themeColor="text1"/>
          <w:lang w:val="en-GB"/>
        </w:rPr>
        <w:t>relative biomass change</w:t>
      </w:r>
      <w:r>
        <w:rPr>
          <w:rFonts w:ascii="Georgia" w:hAnsi="Georgia" w:cs="Helvetica Neue"/>
          <w:color w:val="000000" w:themeColor="text1"/>
          <w:lang w:val="en-GB"/>
        </w:rPr>
        <w:t>s</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were</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observed in </w:t>
      </w:r>
      <w:r w:rsidRPr="00286ECD">
        <w:rPr>
          <w:rFonts w:ascii="Georgia" w:hAnsi="Georgia" w:cs="Helvetica Neue"/>
          <w:color w:val="000000" w:themeColor="text1"/>
          <w:lang w:val="en-GB"/>
        </w:rPr>
        <w:t xml:space="preserve">gadoid </w:t>
      </w:r>
      <w:r>
        <w:rPr>
          <w:rFonts w:ascii="Georgia" w:hAnsi="Georgia" w:cs="Helvetica Neue"/>
          <w:color w:val="000000" w:themeColor="text1"/>
          <w:lang w:val="en-GB"/>
        </w:rPr>
        <w:t>family,</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particularly in </w:t>
      </w:r>
      <w:r w:rsidRPr="00F22BF7">
        <w:rPr>
          <w:rFonts w:ascii="Georgia" w:hAnsi="Georgia"/>
          <w:i/>
          <w:iCs/>
          <w:color w:val="000000"/>
        </w:rPr>
        <w:t>Pollachius virens</w:t>
      </w:r>
      <w:r>
        <w:rPr>
          <w:rFonts w:ascii="Georgia" w:hAnsi="Georgia" w:cs="Helvetica Neue"/>
          <w:color w:val="000000" w:themeColor="text1"/>
          <w:lang w:val="en-GB"/>
        </w:rPr>
        <w:t xml:space="preserve"> (saithe), </w:t>
      </w:r>
      <w:r w:rsidRPr="00286ECD">
        <w:rPr>
          <w:rFonts w:ascii="Georgia" w:hAnsi="Georgia" w:cs="Helvetica Neue"/>
          <w:i/>
          <w:iCs/>
          <w:color w:val="000000" w:themeColor="text1"/>
          <w:lang w:val="en-GB"/>
        </w:rPr>
        <w:t xml:space="preserve">Pollachius </w:t>
      </w:r>
      <w:proofErr w:type="spellStart"/>
      <w:r w:rsidRPr="00286ECD">
        <w:rPr>
          <w:rFonts w:ascii="Georgia" w:hAnsi="Georgia" w:cs="Helvetica Neue"/>
          <w:i/>
          <w:iCs/>
          <w:color w:val="000000" w:themeColor="text1"/>
          <w:lang w:val="en-GB"/>
        </w:rPr>
        <w:t>pollachius</w:t>
      </w:r>
      <w:proofErr w:type="spellEnd"/>
      <w:r>
        <w:rPr>
          <w:rFonts w:ascii="Georgia" w:hAnsi="Georgia" w:cs="Helvetica Neue"/>
          <w:color w:val="000000" w:themeColor="text1"/>
          <w:lang w:val="en-GB"/>
        </w:rPr>
        <w:t xml:space="preserve"> (pollack), and </w:t>
      </w:r>
      <w:r w:rsidRPr="00F22BF7">
        <w:rPr>
          <w:rFonts w:ascii="Georgia" w:hAnsi="Georgia"/>
          <w:i/>
          <w:iCs/>
          <w:color w:val="000000"/>
        </w:rPr>
        <w:t>Melanogrammus aeglefinus</w:t>
      </w:r>
      <w:r>
        <w:rPr>
          <w:rFonts w:ascii="Georgia" w:hAnsi="Georgia" w:cs="Helvetica Neue"/>
          <w:color w:val="000000" w:themeColor="text1"/>
          <w:lang w:val="en-GB"/>
        </w:rPr>
        <w:t xml:space="preserve"> (haddock). For pelagic species, the most notable relative biomass changes occurred in </w:t>
      </w:r>
      <w:proofErr w:type="spellStart"/>
      <w:r w:rsidRPr="00F22BF7">
        <w:rPr>
          <w:rFonts w:ascii="Georgia" w:hAnsi="Georgia"/>
          <w:i/>
          <w:iCs/>
          <w:color w:val="000000"/>
        </w:rPr>
        <w:t>Merlangius</w:t>
      </w:r>
      <w:proofErr w:type="spellEnd"/>
      <w:r w:rsidRPr="00F22BF7">
        <w:rPr>
          <w:rFonts w:ascii="Georgia" w:hAnsi="Georgia"/>
          <w:i/>
          <w:iCs/>
          <w:color w:val="000000"/>
        </w:rPr>
        <w:t xml:space="preserve"> merlangus</w:t>
      </w:r>
      <w:r>
        <w:rPr>
          <w:rFonts w:ascii="Georgia" w:hAnsi="Georgia" w:cs="Helvetica Neue"/>
          <w:color w:val="000000" w:themeColor="text1"/>
          <w:lang w:val="en-GB"/>
        </w:rPr>
        <w:t xml:space="preserve"> (whiting), </w:t>
      </w:r>
      <w:proofErr w:type="spellStart"/>
      <w:r w:rsidRPr="00F22BF7">
        <w:rPr>
          <w:rFonts w:ascii="Georgia" w:hAnsi="Georgia"/>
          <w:i/>
          <w:iCs/>
          <w:color w:val="000000"/>
        </w:rPr>
        <w:t>Scomber</w:t>
      </w:r>
      <w:proofErr w:type="spellEnd"/>
      <w:r w:rsidRPr="00F22BF7">
        <w:rPr>
          <w:rFonts w:ascii="Georgia" w:hAnsi="Georgia"/>
          <w:i/>
          <w:iCs/>
          <w:color w:val="000000"/>
        </w:rPr>
        <w:t xml:space="preserve"> </w:t>
      </w:r>
      <w:proofErr w:type="spellStart"/>
      <w:r w:rsidRPr="00F22BF7">
        <w:rPr>
          <w:rFonts w:ascii="Georgia" w:hAnsi="Georgia"/>
          <w:i/>
          <w:iCs/>
          <w:color w:val="000000"/>
        </w:rPr>
        <w:t>scombrus</w:t>
      </w:r>
      <w:proofErr w:type="spellEnd"/>
      <w:r>
        <w:rPr>
          <w:rFonts w:ascii="Georgia" w:hAnsi="Georgia" w:cs="Helvetica Neue"/>
          <w:color w:val="000000" w:themeColor="text1"/>
          <w:lang w:val="en-GB"/>
        </w:rPr>
        <w:t xml:space="preserve"> (mackerel), and </w:t>
      </w:r>
      <w:proofErr w:type="spellStart"/>
      <w:r w:rsidRPr="00F22BF7">
        <w:rPr>
          <w:rFonts w:ascii="Georgia" w:hAnsi="Georgia"/>
          <w:i/>
          <w:iCs/>
          <w:color w:val="000000"/>
        </w:rPr>
        <w:t>Trisopterus</w:t>
      </w:r>
      <w:proofErr w:type="spellEnd"/>
      <w:r w:rsidRPr="00F22BF7">
        <w:rPr>
          <w:rFonts w:ascii="Georgia" w:hAnsi="Georgia"/>
          <w:i/>
          <w:iCs/>
          <w:color w:val="000000"/>
        </w:rPr>
        <w:t xml:space="preserve"> </w:t>
      </w:r>
      <w:proofErr w:type="spellStart"/>
      <w:r w:rsidRPr="00F22BF7">
        <w:rPr>
          <w:rFonts w:ascii="Georgia" w:hAnsi="Georgia"/>
          <w:i/>
          <w:iCs/>
          <w:color w:val="000000"/>
        </w:rPr>
        <w:t>minutus</w:t>
      </w:r>
      <w:proofErr w:type="spellEnd"/>
      <w:r>
        <w:rPr>
          <w:rFonts w:ascii="Georgia" w:hAnsi="Georgia" w:cs="Helvetica Neue"/>
          <w:color w:val="000000" w:themeColor="text1"/>
          <w:lang w:val="en-GB"/>
        </w:rPr>
        <w:t xml:space="preserve"> (poor cod)</w:t>
      </w:r>
      <w:r w:rsidRPr="00286ECD">
        <w:rPr>
          <w:rFonts w:ascii="Georgia" w:hAnsi="Georgia" w:cs="Helvetica Neue"/>
          <w:color w:val="000000" w:themeColor="text1"/>
          <w:lang w:val="en-GB"/>
        </w:rPr>
        <w:t>.</w:t>
      </w:r>
    </w:p>
    <w:p w14:paraId="0A4CDE83"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p>
    <w:p w14:paraId="4200FB11" w14:textId="77777777" w:rsidR="005E45D8" w:rsidRPr="00286ECD" w:rsidRDefault="005E45D8" w:rsidP="005E45D8">
      <w:pPr>
        <w:autoSpaceDE w:val="0"/>
        <w:autoSpaceDN w:val="0"/>
        <w:adjustRightInd w:val="0"/>
        <w:spacing w:line="480" w:lineRule="auto"/>
        <w:jc w:val="both"/>
        <w:rPr>
          <w:rFonts w:ascii="Georgia" w:hAnsi="Georgia" w:cs="Helvetica Neue"/>
          <w:b/>
          <w:bCs/>
          <w:color w:val="000000" w:themeColor="text1"/>
          <w:sz w:val="32"/>
          <w:szCs w:val="32"/>
          <w:lang w:val="en-GB"/>
        </w:rPr>
      </w:pPr>
      <w:r w:rsidRPr="00286ECD">
        <w:rPr>
          <w:rFonts w:ascii="Georgia" w:hAnsi="Georgia" w:cs="Helvetica Neue"/>
          <w:b/>
          <w:bCs/>
          <w:color w:val="000000" w:themeColor="text1"/>
          <w:sz w:val="32"/>
          <w:szCs w:val="32"/>
          <w:lang w:val="en-GB"/>
        </w:rPr>
        <w:lastRenderedPageBreak/>
        <w:t>DISCUSSION</w:t>
      </w:r>
    </w:p>
    <w:p w14:paraId="3AAC8CD9" w14:textId="4C0271A9" w:rsidR="005E45D8" w:rsidRPr="00286ECD" w:rsidRDefault="005E45D8" w:rsidP="005E45D8">
      <w:pPr>
        <w:autoSpaceDE w:val="0"/>
        <w:autoSpaceDN w:val="0"/>
        <w:adjustRightInd w:val="0"/>
        <w:spacing w:line="480" w:lineRule="auto"/>
        <w:jc w:val="both"/>
        <w:rPr>
          <w:rFonts w:ascii="Georgia" w:hAnsi="Georgia" w:cs="Georgia"/>
          <w:color w:val="000000" w:themeColor="text1"/>
          <w:lang w:val="en-GB"/>
        </w:rPr>
      </w:pPr>
      <w:bookmarkStart w:id="19" w:name="OLE_LINK28"/>
      <w:bookmarkStart w:id="20" w:name="OLE_LINK29"/>
      <w:r>
        <w:rPr>
          <w:rFonts w:ascii="Georgia" w:hAnsi="Georgia" w:cs="Georgia"/>
          <w:color w:val="000000" w:themeColor="text1"/>
          <w:lang w:val="en-GB"/>
        </w:rPr>
        <w:t>E</w:t>
      </w:r>
      <w:r w:rsidRPr="00286ECD">
        <w:rPr>
          <w:rFonts w:ascii="Georgia" w:hAnsi="Georgia" w:cs="Georgia"/>
          <w:color w:val="000000" w:themeColor="text1"/>
          <w:lang w:val="en-GB"/>
        </w:rPr>
        <w:t>mpirical findings from the Skagerrak system</w:t>
      </w:r>
      <w:r>
        <w:rPr>
          <w:rFonts w:ascii="Georgia" w:hAnsi="Georgia" w:cs="Georgia"/>
          <w:color w:val="000000" w:themeColor="text1"/>
          <w:lang w:val="en-GB"/>
        </w:rPr>
        <w:t>, embedded</w:t>
      </w:r>
      <w:r w:rsidRPr="00286ECD">
        <w:rPr>
          <w:rFonts w:ascii="Georgia" w:hAnsi="Georgia" w:cs="Georgia"/>
          <w:color w:val="000000" w:themeColor="text1"/>
          <w:lang w:val="en-GB"/>
        </w:rPr>
        <w:t xml:space="preserve"> in a</w:t>
      </w:r>
      <w:r>
        <w:rPr>
          <w:rFonts w:ascii="Georgia" w:hAnsi="Georgia" w:cs="Georgia"/>
          <w:color w:val="000000" w:themeColor="text1"/>
          <w:lang w:val="en-GB"/>
        </w:rPr>
        <w:t xml:space="preserve"> structured </w:t>
      </w:r>
      <w:r w:rsidRPr="00286ECD">
        <w:rPr>
          <w:rFonts w:ascii="Georgia" w:hAnsi="Georgia" w:cs="Georgia"/>
          <w:color w:val="000000" w:themeColor="text1"/>
          <w:lang w:val="en-GB"/>
        </w:rPr>
        <w:t>Allometric Trophic Network (ATN) model</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reveal</w:t>
      </w:r>
      <w:r w:rsidRPr="00286ECD">
        <w:rPr>
          <w:rFonts w:ascii="Georgia" w:hAnsi="Georgia" w:cs="Georgia"/>
          <w:color w:val="000000" w:themeColor="text1"/>
          <w:lang w:val="en-GB"/>
        </w:rPr>
        <w:t xml:space="preserve"> a top-down controlled ecosystem where intraspecific diversity</w:t>
      </w:r>
      <w:r>
        <w:rPr>
          <w:rFonts w:ascii="Georgia" w:hAnsi="Georgia" w:cs="Georgia"/>
          <w:color w:val="000000" w:themeColor="text1"/>
          <w:lang w:val="en-GB"/>
        </w:rPr>
        <w:t>, exemplified by</w:t>
      </w:r>
      <w:r w:rsidRPr="00286ECD">
        <w:rPr>
          <w:rFonts w:ascii="Georgia" w:hAnsi="Georgia" w:cs="Georgia"/>
          <w:color w:val="000000" w:themeColor="text1"/>
          <w:lang w:val="en-GB"/>
        </w:rPr>
        <w:t xml:space="preserve"> the two </w:t>
      </w:r>
      <w:r>
        <w:rPr>
          <w:rFonts w:ascii="Georgia" w:hAnsi="Georgia" w:cs="Georgia"/>
          <w:color w:val="000000" w:themeColor="text1"/>
          <w:lang w:val="en-GB"/>
        </w:rPr>
        <w:t xml:space="preserve">Atlantic </w:t>
      </w:r>
      <w:r w:rsidRPr="00286ECD">
        <w:rPr>
          <w:rFonts w:ascii="Georgia" w:hAnsi="Georgia" w:cs="Georgia"/>
          <w:color w:val="000000" w:themeColor="text1"/>
          <w:lang w:val="en-GB"/>
        </w:rPr>
        <w:t>cod ecotypes</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plays an important role in regulating</w:t>
      </w:r>
      <w:r w:rsidRPr="00286ECD">
        <w:rPr>
          <w:rFonts w:ascii="Georgia" w:hAnsi="Georgia" w:cs="Georgia"/>
          <w:color w:val="000000" w:themeColor="text1"/>
          <w:lang w:val="en-GB"/>
        </w:rPr>
        <w:t xml:space="preserve"> fish community</w:t>
      </w:r>
      <w:r>
        <w:rPr>
          <w:rFonts w:ascii="Georgia" w:hAnsi="Georgia" w:cs="Georgia"/>
          <w:color w:val="000000" w:themeColor="text1"/>
          <w:lang w:val="en-GB"/>
        </w:rPr>
        <w:t xml:space="preserve"> biomass</w:t>
      </w:r>
      <w:r w:rsidRPr="00286ECD">
        <w:rPr>
          <w:rFonts w:ascii="Georgia" w:hAnsi="Georgia" w:cs="Georgia"/>
          <w:color w:val="000000" w:themeColor="text1"/>
          <w:lang w:val="en-GB"/>
        </w:rPr>
        <w:t xml:space="preserve">. The Skagerrak ATN constructed in this study </w:t>
      </w:r>
      <w:r>
        <w:rPr>
          <w:rFonts w:ascii="Georgia" w:hAnsi="Georgia" w:cs="Georgia"/>
          <w:color w:val="000000" w:themeColor="text1"/>
          <w:lang w:val="en-GB"/>
        </w:rPr>
        <w:t>consists of</w:t>
      </w:r>
      <w:r w:rsidRPr="00286ECD">
        <w:rPr>
          <w:rFonts w:ascii="Georgia" w:hAnsi="Georgia" w:cs="Georgia"/>
          <w:color w:val="000000" w:themeColor="text1"/>
          <w:lang w:val="en-GB"/>
        </w:rPr>
        <w:t xml:space="preserve"> 148 functional guilds linked by 2054 feeding interactions, forming a </w:t>
      </w:r>
      <w:r>
        <w:rPr>
          <w:rFonts w:ascii="Georgia" w:hAnsi="Georgia" w:cs="Georgia"/>
          <w:color w:val="000000" w:themeColor="text1"/>
          <w:lang w:val="en-GB"/>
        </w:rPr>
        <w:t>complex web</w:t>
      </w:r>
      <w:r w:rsidRPr="00286ECD">
        <w:rPr>
          <w:rFonts w:ascii="Georgia" w:hAnsi="Georgia" w:cs="Georgia"/>
          <w:color w:val="000000" w:themeColor="text1"/>
          <w:lang w:val="en-GB"/>
        </w:rPr>
        <w:t xml:space="preserve"> of available channels through which biomass flows</w:t>
      </w:r>
      <w:r>
        <w:rPr>
          <w:rFonts w:ascii="Georgia" w:hAnsi="Georgia" w:cs="Georgia"/>
          <w:color w:val="000000" w:themeColor="text1"/>
          <w:lang w:val="en-GB"/>
        </w:rPr>
        <w:t xml:space="preserve"> within the ecosystem</w:t>
      </w:r>
      <w:r w:rsidRPr="00286ECD">
        <w:rPr>
          <w:rFonts w:ascii="Georgia" w:hAnsi="Georgia" w:cs="Georgia"/>
          <w:color w:val="000000" w:themeColor="text1"/>
          <w:lang w:val="en-GB"/>
        </w:rPr>
        <w:t xml:space="preserve">. By comparing the descriptive food web metrics of </w:t>
      </w:r>
      <w:r>
        <w:rPr>
          <w:rFonts w:ascii="Georgia" w:hAnsi="Georgia" w:cs="Georgia"/>
          <w:color w:val="000000" w:themeColor="text1"/>
          <w:lang w:val="en-GB"/>
        </w:rPr>
        <w:t xml:space="preserve">the </w:t>
      </w:r>
      <w:r w:rsidRPr="00286ECD">
        <w:rPr>
          <w:rFonts w:ascii="Georgia" w:hAnsi="Georgia" w:cs="Georgia"/>
          <w:color w:val="000000" w:themeColor="text1"/>
          <w:lang w:val="en-GB"/>
        </w:rPr>
        <w:t xml:space="preserve">Skagerrak ATN, which included both the Fjord and the North Sea cod ecotypes, with </w:t>
      </w:r>
      <w:r>
        <w:rPr>
          <w:rFonts w:ascii="Georgia" w:hAnsi="Georgia" w:cs="Georgia"/>
          <w:color w:val="000000" w:themeColor="text1"/>
          <w:lang w:val="en-GB"/>
        </w:rPr>
        <w:t>scenarios</w:t>
      </w:r>
      <w:r w:rsidRPr="00286ECD">
        <w:rPr>
          <w:rFonts w:ascii="Georgia" w:hAnsi="Georgia" w:cs="Georgia"/>
          <w:color w:val="000000" w:themeColor="text1"/>
          <w:lang w:val="en-GB"/>
        </w:rPr>
        <w:t xml:space="preserve"> where one or both ecotypes were removed</w:t>
      </w:r>
      <w:r>
        <w:rPr>
          <w:rFonts w:ascii="Georgia" w:hAnsi="Georgia" w:cs="Georgia"/>
          <w:color w:val="000000" w:themeColor="text1"/>
          <w:lang w:val="en-GB"/>
        </w:rPr>
        <w:t>,</w:t>
      </w:r>
      <w:r w:rsidRPr="00286ECD">
        <w:rPr>
          <w:rFonts w:ascii="Georgia" w:hAnsi="Georgia" w:cs="Georgia"/>
          <w:color w:val="000000" w:themeColor="text1"/>
          <w:lang w:val="en-GB"/>
        </w:rPr>
        <w:t xml:space="preserve"> we </w:t>
      </w:r>
      <w:r>
        <w:rPr>
          <w:rFonts w:ascii="Georgia" w:hAnsi="Georgia" w:cs="Georgia"/>
          <w:color w:val="000000" w:themeColor="text1"/>
          <w:lang w:val="en-GB"/>
        </w:rPr>
        <w:t>shed a light on</w:t>
      </w:r>
      <w:r w:rsidRPr="00286ECD">
        <w:rPr>
          <w:rFonts w:ascii="Georgia" w:hAnsi="Georgia" w:cs="Georgia"/>
          <w:color w:val="000000" w:themeColor="text1"/>
          <w:lang w:val="en-GB"/>
        </w:rPr>
        <w:t xml:space="preserve"> the </w:t>
      </w:r>
      <w:r>
        <w:rPr>
          <w:rFonts w:ascii="Georgia" w:hAnsi="Georgia" w:cs="Georgia"/>
          <w:color w:val="000000" w:themeColor="text1"/>
          <w:lang w:val="en-GB"/>
        </w:rPr>
        <w:t xml:space="preserve">significant contribution </w:t>
      </w:r>
      <w:r w:rsidR="0006011B">
        <w:rPr>
          <w:rFonts w:ascii="Georgia" w:hAnsi="Georgia" w:cs="Georgia"/>
          <w:color w:val="000000" w:themeColor="text1"/>
          <w:lang w:val="en-GB"/>
        </w:rPr>
        <w:t xml:space="preserve">of </w:t>
      </w:r>
      <w:r w:rsidR="0006011B" w:rsidRPr="00286ECD">
        <w:rPr>
          <w:rFonts w:ascii="Georgia" w:hAnsi="Georgia" w:cs="Georgia"/>
          <w:color w:val="000000" w:themeColor="text1"/>
          <w:lang w:val="en-GB"/>
        </w:rPr>
        <w:t>intraspecific</w:t>
      </w:r>
      <w:r w:rsidRPr="00286ECD">
        <w:rPr>
          <w:rFonts w:ascii="Georgia" w:hAnsi="Georgia" w:cs="Georgia"/>
          <w:color w:val="000000" w:themeColor="text1"/>
          <w:lang w:val="en-GB"/>
        </w:rPr>
        <w:t xml:space="preserve"> diversity not only to the structure of a food web</w:t>
      </w:r>
      <w:r>
        <w:rPr>
          <w:rFonts w:ascii="Georgia" w:hAnsi="Georgia" w:cs="Georgia"/>
          <w:color w:val="000000" w:themeColor="text1"/>
          <w:lang w:val="en-GB"/>
        </w:rPr>
        <w:t>,</w:t>
      </w:r>
      <w:r w:rsidRPr="00286ECD">
        <w:rPr>
          <w:rFonts w:ascii="Georgia" w:hAnsi="Georgia" w:cs="Georgia"/>
          <w:color w:val="000000" w:themeColor="text1"/>
          <w:lang w:val="en-GB"/>
        </w:rPr>
        <w:t xml:space="preserve"> but </w:t>
      </w:r>
      <w:r>
        <w:rPr>
          <w:rFonts w:ascii="Georgia" w:hAnsi="Georgia" w:cs="Georgia"/>
          <w:color w:val="000000" w:themeColor="text1"/>
          <w:lang w:val="en-GB"/>
        </w:rPr>
        <w:t xml:space="preserve">more importantly, to </w:t>
      </w:r>
      <w:r w:rsidRPr="00286ECD">
        <w:rPr>
          <w:rFonts w:ascii="Georgia" w:hAnsi="Georgia" w:cs="Georgia"/>
          <w:color w:val="000000" w:themeColor="text1"/>
          <w:lang w:val="en-GB"/>
        </w:rPr>
        <w:t xml:space="preserve">its </w:t>
      </w:r>
      <w:r>
        <w:rPr>
          <w:rFonts w:ascii="Georgia" w:hAnsi="Georgia" w:cs="Georgia"/>
          <w:color w:val="000000" w:themeColor="text1"/>
          <w:lang w:val="en-GB"/>
        </w:rPr>
        <w:t xml:space="preserve">overall </w:t>
      </w:r>
      <w:r w:rsidRPr="00286ECD">
        <w:rPr>
          <w:rFonts w:ascii="Georgia" w:hAnsi="Georgia" w:cs="Georgia"/>
          <w:color w:val="000000" w:themeColor="text1"/>
          <w:lang w:val="en-GB"/>
        </w:rPr>
        <w:t xml:space="preserve">functioning. </w:t>
      </w:r>
    </w:p>
    <w:bookmarkEnd w:id="19"/>
    <w:bookmarkEnd w:id="20"/>
    <w:p w14:paraId="08A43A3A" w14:textId="4A28598B" w:rsidR="005E45D8" w:rsidRPr="00286ECD" w:rsidRDefault="005E45D8" w:rsidP="005E45D8">
      <w:pPr>
        <w:autoSpaceDE w:val="0"/>
        <w:autoSpaceDN w:val="0"/>
        <w:adjustRightInd w:val="0"/>
        <w:spacing w:line="480" w:lineRule="auto"/>
        <w:jc w:val="both"/>
        <w:rPr>
          <w:rFonts w:ascii="Georgia" w:hAnsi="Georgia" w:cs="Georgia"/>
          <w:color w:val="000000" w:themeColor="text1"/>
          <w:lang w:val="en-GB"/>
        </w:rPr>
      </w:pPr>
      <w:r>
        <w:rPr>
          <w:rFonts w:ascii="Georgia" w:hAnsi="Georgia" w:cs="Georgia"/>
          <w:color w:val="000000" w:themeColor="text1"/>
          <w:lang w:val="en-GB"/>
        </w:rPr>
        <w:t>T</w:t>
      </w:r>
      <w:r w:rsidRPr="00286ECD">
        <w:rPr>
          <w:rFonts w:ascii="Georgia" w:hAnsi="Georgia" w:cs="Georgia"/>
          <w:color w:val="000000" w:themeColor="text1"/>
          <w:lang w:val="en-GB"/>
        </w:rPr>
        <w:t xml:space="preserve">he </w:t>
      </w:r>
      <w:r>
        <w:rPr>
          <w:rFonts w:ascii="Georgia" w:hAnsi="Georgia" w:cs="Georgia"/>
          <w:color w:val="000000" w:themeColor="text1"/>
          <w:lang w:val="en-GB"/>
        </w:rPr>
        <w:t>Skagerrak coastal</w:t>
      </w:r>
      <w:r w:rsidRPr="00286ECD">
        <w:rPr>
          <w:rFonts w:ascii="Georgia" w:hAnsi="Georgia" w:cs="Georgia"/>
          <w:color w:val="000000" w:themeColor="text1"/>
          <w:lang w:val="en-GB"/>
        </w:rPr>
        <w:t xml:space="preserve"> pelagic food web</w:t>
      </w:r>
      <w:r>
        <w:rPr>
          <w:rFonts w:ascii="Georgia" w:hAnsi="Georgia" w:cs="Georgia"/>
          <w:color w:val="000000" w:themeColor="text1"/>
          <w:lang w:val="en-GB"/>
        </w:rPr>
        <w:t xml:space="preserve"> is </w:t>
      </w:r>
      <w:r w:rsidRPr="00286ECD">
        <w:rPr>
          <w:rFonts w:ascii="Georgia" w:hAnsi="Georgia" w:cs="Georgia"/>
          <w:color w:val="000000" w:themeColor="text1"/>
          <w:lang w:val="en-GB"/>
        </w:rPr>
        <w:t>moderately connected (Fig</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2</w:t>
      </w:r>
      <w:r w:rsidRPr="00286ECD">
        <w:rPr>
          <w:rFonts w:ascii="Georgia" w:hAnsi="Georgia" w:cs="Georgia"/>
          <w:color w:val="000000" w:themeColor="text1"/>
          <w:lang w:val="en-GB"/>
        </w:rPr>
        <w:t>)</w:t>
      </w:r>
      <w:r>
        <w:rPr>
          <w:rFonts w:ascii="Georgia" w:hAnsi="Georgia" w:cs="Georgia"/>
          <w:color w:val="000000" w:themeColor="text1"/>
          <w:lang w:val="en-GB"/>
        </w:rPr>
        <w:t>, with 9.4 %</w:t>
      </w:r>
      <w:r w:rsidRPr="00286ECD">
        <w:rPr>
          <w:rFonts w:ascii="Georgia" w:hAnsi="Georgia" w:cs="Georgia"/>
          <w:color w:val="000000" w:themeColor="text1"/>
          <w:lang w:val="en-GB"/>
        </w:rPr>
        <w:t xml:space="preserve"> of possible feeding links realized</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In comparison,</w:t>
      </w:r>
      <w:r w:rsidRPr="00286ECD">
        <w:rPr>
          <w:rFonts w:ascii="Georgia" w:hAnsi="Georgia" w:cs="Georgia"/>
          <w:color w:val="000000" w:themeColor="text1"/>
          <w:lang w:val="en-GB"/>
        </w:rPr>
        <w:t xml:space="preserve"> nearby food webs</w:t>
      </w:r>
      <w:r>
        <w:rPr>
          <w:rFonts w:ascii="Georgia" w:hAnsi="Georgia" w:cs="Georgia"/>
          <w:color w:val="000000" w:themeColor="text1"/>
          <w:lang w:val="en-GB"/>
        </w:rPr>
        <w:t xml:space="preserve"> like</w:t>
      </w:r>
      <w:r w:rsidRPr="00286ECD">
        <w:rPr>
          <w:rFonts w:ascii="Georgia" w:hAnsi="Georgia" w:cs="Georgia"/>
          <w:color w:val="000000" w:themeColor="text1"/>
          <w:lang w:val="en-GB"/>
        </w:rPr>
        <w:t xml:space="preserve"> the Gulf of Riga </w:t>
      </w:r>
      <w:r>
        <w:rPr>
          <w:rFonts w:ascii="Georgia" w:hAnsi="Georgia" w:cs="Georgia"/>
          <w:color w:val="000000" w:themeColor="text1"/>
          <w:lang w:val="en-GB"/>
        </w:rPr>
        <w:t xml:space="preserve">food web </w:t>
      </w:r>
      <w:r w:rsidRPr="00286ECD">
        <w:rPr>
          <w:rFonts w:ascii="Georgia" w:hAnsi="Georgia" w:cs="Georgia"/>
          <w:color w:val="000000" w:themeColor="text1"/>
          <w:lang w:val="en-GB"/>
        </w:rPr>
        <w:t xml:space="preserve">in Baltic Sea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{"citationItems":[{"id":"ITEM-1","itemData":{"DOI":"10.1111/1365-2656.13447","ISSN":"13652656","PMID":"33608888","abstract":"Studying how food web structure and function vary through time represents an opportunity to better comprehend and anticipate ecosystem changes. Yet, temporal studies of highly resolved food web structure are scarce. With few exceptions, most temporal food web studies are either too simplified, preventing a detailed assessment of structural properties or binary, missing the temporal dynamics of energy fluxes among species. Using long-term, multi-trophic biomass data coupled with highly resolved information on species feeding relationships, we analysed food web dynamics in the Gulf of Riga (Baltic Sea) over more than three decades (1981–2014). We combined unweighted (topology-based) and weighted (biomass- and flux-based) food web approaches, first, to unravel how distinct descriptors can highlight differences (or similarities) in food web dynamics through time, and second, to compare temporal dynamics of food web structure and function. We find that food web descriptors vary substantially and distinctively through time, likely reflecting different underlying ecosystem processes. While node- and link-weighted metrics reflect changes related to alterations in species dominance and fluxes, unweighted metrics are more sensitive to changes in species and link richness. Comparing unweighted, topology-based metrics and flux-based functions further indicates that temporal changes in functions cannot be predicted using unweighted food web structure. Rather, information on species population dynamics and weighted, flux-based networks should be included to better comprehend temporal food web dynamics. By integrating unweighted, node- and link-weighted metrics, we here demonstrate how different approaches can be used to compare food web structure and function, and identify complementary patterns of change in temporal food web dynamics, which enables a more complete understanding of the ecological processes at play in ecosystems undergoing change.","author":[{"dropping-particle":"","family":"Kortsch","given":"Susanne","non-dropping-particle":"","parse-names":false,"suffix":""},{"dropping-particle":"","family":"Frelat","given":"Romain","non-dropping-particle":"","parse-names":false,"suffix":""},{"dropping-particle":"","family":"Pecuchet","given":"Laurene","non-dropping-particle":"","parse-names":false,"suffix":""},{"dropping-particle":"","family":"Olivier","given":"Pierre","non-dropping-particle":"","parse-names":false,"suffix":""},{"dropping-particle":"","family":"Putnis","given":"Ivars","non-dropping-particle":"","parse-names":false,"suffix":""},{"dropping-particle":"","family":"Bonsdorff","given":"Erik","non-dropping-particle":"","parse-names":false,"suffix":""},{"dropping-particle":"","family":"Ojaveer","given":"Henn","non-dropping-particle":"","parse-names":false,"suffix":""},{"dropping-particle":"","family":"Jurgensone","given":"Iveta","non-dropping-particle":"","parse-names":false,"suffix":""},{"dropping-particle":"","family":"Strāķe","given":"Solvita","non-dropping-particle":"","parse-names":false,"suffix":""},{"dropping-particle":"","family":"Rubene","given":"Gunta","non-dropping-particle":"","parse-names":false,"suffix":""},{"dropping-particle":"","family":"Krūze","given":"Ēriks","non-dropping-particle":"","parse-names":false,"suffix":""},{"dropping-particle":"","family":"Nordström","given":"Marie C.","non-dropping-particle":"","parse-names":false,"suffix":""}],"container-title":"Journal of Animal Ecology","id":"ITEM-1","issue":"5","issued":{"date-parts":[["2021"]]},"page":"1205-1216","title":"Disentangling temporal food web dynamics facilitates understanding of ecosystem functioning","type":"article-journal","volume":"90"},"uris":["http://www.mendeley.com/documents/?uuid=11dda475-62de-4870-8ea6-6701b87ec52f"]}],"mendeley":{"formattedCitation":"(Kortsch et al., 2021)","plainTextFormattedCitation":"(Kortsch et al., 2021)","previouslyFormattedCitation":"(Kortsch et al., 2021)"},"properties":{"noteIndex":0},"schema":"https://github.com/citation-style-language/schema/raw/master/csl-citation.json"}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(Kortsch et al. 2021)</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and the German Bight </w:t>
      </w:r>
      <w:r>
        <w:rPr>
          <w:rFonts w:ascii="Georgia" w:hAnsi="Georgia" w:cs="Georgia"/>
          <w:color w:val="000000" w:themeColor="text1"/>
          <w:lang w:val="en-GB"/>
        </w:rPr>
        <w:t xml:space="preserve">benthic food web </w:t>
      </w:r>
      <w:r w:rsidRPr="00286ECD">
        <w:rPr>
          <w:rFonts w:ascii="Georgia" w:hAnsi="Georgia" w:cs="Georgia"/>
          <w:color w:val="000000" w:themeColor="text1"/>
          <w:lang w:val="en-GB"/>
        </w:rPr>
        <w:t xml:space="preserve">in the North Sea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{"citationItems":[{"id":"ITEM-1","itemData":{"DOI":"10.1111/ecog.04461","ISBN":"0000000264","ISSN":"16000587","abstract":"Ecological communities are constantly being reshaped in the face of environmental change and anthropogenic pressures. Yet, how food webs change over time remains poorly understood. Food web science is characterized by a trade-off between complexity (in terms of the number of species and feeding links) and dynamics. Topological analysis can use complex, highly resolved empirical food web models to explore the architecture of feeding interactions but is limited to a static view, whereas ecosystem models can be dynamic but use highly aggregated food webs. Here, we explore the temporal dynamics of a highly resolved empirical food web over a time period of 18 years, using the German Bight fish and benthic epifauna community as our case study. We relied on long-term monitoring ecosystem surveys (from 1998 to 2015) to build a metaweb, i.e. the meta food web containing all species recorded over the time span of our study. We then combined time series of species abundances with topological network analysis to construct annual food web snapshots. We developed a new approach, ‘node-weighted’ food web metrics by including species abundances to represent the temporal dynamics of food web structure, focusing on generality and vulnerability. Our results suggest that structural food web properties change through time; however, binary food web structural properties may not be as temporally variable as the underlying changes in species composition. Further, the node-weighted metrics enabled us to detect that food web structure was influenced by changes in species composition during the first half of the time series and more strongly by changes in species dominance during the second half. Our results demonstrate how ecosystem surveys can be used to monitor temporal changes in food web structure, which are important ecosystem indicators for building marine management and conservation plans.","author":[{"dropping-particle":"","family":"Olivier","given":"Pierre","non-dropping-particle":"","parse-names":false,"suffix":""},{"dropping-particle":"","family":"Frelat","given":"Romain","non-dropping-particle":"","parse-names":false,"suffix":""},{"dropping-particle":"","family":"Bonsdorff","given":"Erik","non-dropping-particle":"","parse-names":false,"suffix":""},{"dropping-particle":"","family":"Kortsch","given":"Susanne","non-dropping-particle":"","parse-names":false,"suffix":""},{"dropping-particle":"","family":"Kröncke","given":"Ingrid","non-dropping-particle":"","parse-names":false,"suffix":""},{"dropping-particle":"","family":"Möllmann","given":"Christian","non-dropping-particle":"","parse-names":false,"suffix":""},{"dropping-particle":"","family":"Neumann","given":"Hermann","non-dropping-particle":"","parse-names":false,"suffix":""},{"dropping-particle":"","family":"Sell","given":"Anne F.","non-dropping-particle":"","parse-names":false,"suffix":""},{"dropping-particle":"","family":"Nordström","given":"Marie C.","non-dropping-particle":"","parse-names":false,"suffix":""}],"container-title":"Ecography","id":"ITEM-1","issue":"12","issued":{"date-parts":[["2019"]]},"page":"2107-2121","title":"Exploring the temporal variability of a food web using long-term biomonitoring data","type":"article-journal","volume":"42"},"uris":["http://www.mendeley.com/documents/?uuid=5e88327c-e598-497d-b438-9d6131387e39"]}],"mendeley":{"formattedCitation":"(Olivier et al., 2019)","plainTextFormattedCitation":"(Olivier et al., 2019)","previouslyFormattedCitation":"(Olivier et al., 2019)"},"properties":{"noteIndex":0},"schema":"https://github.com/citation-style-language/schema/raw/master/csl-citation.json"}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(Olivier et al. 2019)</w:t>
      </w:r>
      <w:r w:rsidRPr="00286ECD">
        <w:rPr>
          <w:rFonts w:ascii="Georgia" w:hAnsi="Georgia" w:cs="Georgia"/>
          <w:color w:val="000000" w:themeColor="text1"/>
          <w:lang w:val="en-GB"/>
        </w:rPr>
        <w:fldChar w:fldCharType="end"/>
      </w:r>
      <w:r>
        <w:rPr>
          <w:rFonts w:ascii="Georgia" w:hAnsi="Georgia" w:cs="Georgia"/>
          <w:color w:val="000000" w:themeColor="text1"/>
          <w:lang w:val="en-GB"/>
        </w:rPr>
        <w:t xml:space="preserve"> have </w:t>
      </w:r>
      <w:r w:rsidRPr="00286ECD">
        <w:rPr>
          <w:rFonts w:ascii="Georgia" w:hAnsi="Georgia" w:cs="Georgia"/>
          <w:color w:val="000000" w:themeColor="text1"/>
          <w:lang w:val="en-GB"/>
        </w:rPr>
        <w:t xml:space="preserve">higher </w:t>
      </w:r>
      <w:proofErr w:type="spellStart"/>
      <w:r w:rsidRPr="00286ECD">
        <w:rPr>
          <w:rFonts w:ascii="Georgia" w:hAnsi="Georgia" w:cs="Georgia"/>
          <w:color w:val="000000" w:themeColor="text1"/>
          <w:lang w:val="en-GB"/>
        </w:rPr>
        <w:t>connectance</w:t>
      </w:r>
      <w:proofErr w:type="spellEnd"/>
      <w:r w:rsidRPr="00286ECD">
        <w:rPr>
          <w:rFonts w:ascii="Georgia" w:hAnsi="Georgia" w:cs="Georgia"/>
          <w:color w:val="000000" w:themeColor="text1"/>
          <w:lang w:val="en-GB"/>
        </w:rPr>
        <w:t xml:space="preserve"> (0.215 and 0.19, respectively)</w:t>
      </w:r>
      <w:r>
        <w:rPr>
          <w:rFonts w:ascii="Georgia" w:hAnsi="Georgia" w:cs="Georgia"/>
          <w:color w:val="000000" w:themeColor="text1"/>
          <w:lang w:val="en-GB"/>
        </w:rPr>
        <w:t xml:space="preserve"> despite </w:t>
      </w:r>
      <w:r w:rsidRPr="00286ECD">
        <w:rPr>
          <w:rFonts w:ascii="Georgia" w:hAnsi="Georgia" w:cs="Georgia"/>
          <w:color w:val="000000" w:themeColor="text1"/>
          <w:lang w:val="en-GB"/>
        </w:rPr>
        <w:t>fewer functional guilds (34 and 52 guilds, respectively)</w:t>
      </w:r>
      <w:r>
        <w:rPr>
          <w:rFonts w:ascii="Georgia" w:hAnsi="Georgia" w:cs="Georgia"/>
          <w:color w:val="000000" w:themeColor="text1"/>
          <w:lang w:val="en-GB"/>
        </w:rPr>
        <w:t>.</w:t>
      </w:r>
      <w:r w:rsidRPr="00286ECD">
        <w:rPr>
          <w:rFonts w:ascii="Georgia" w:hAnsi="Georgia" w:cs="Georgia"/>
          <w:color w:val="000000" w:themeColor="text1"/>
          <w:lang w:val="en-GB"/>
        </w:rPr>
        <w:t xml:space="preserve"> Although the Skagerrak</w:t>
      </w:r>
      <w:r>
        <w:rPr>
          <w:rFonts w:ascii="Georgia" w:hAnsi="Georgia" w:cs="Georgia"/>
          <w:color w:val="000000" w:themeColor="text1"/>
          <w:lang w:val="en-GB"/>
        </w:rPr>
        <w:t xml:space="preserve"> food web </w:t>
      </w:r>
      <w:r w:rsidRPr="00286ECD">
        <w:rPr>
          <w:rFonts w:ascii="Georgia" w:hAnsi="Georgia" w:cs="Georgia"/>
          <w:color w:val="000000" w:themeColor="text1"/>
          <w:lang w:val="en-GB"/>
        </w:rPr>
        <w:t xml:space="preserve">has more feeding links per guild (13.88 </w:t>
      </w:r>
      <w:r>
        <w:rPr>
          <w:rFonts w:ascii="Georgia" w:hAnsi="Georgia" w:cs="Georgia"/>
          <w:color w:val="000000" w:themeColor="text1"/>
          <w:lang w:val="en-GB"/>
        </w:rPr>
        <w:t>versus</w:t>
      </w:r>
      <w:r w:rsidRPr="00286ECD">
        <w:rPr>
          <w:rFonts w:ascii="Georgia" w:hAnsi="Georgia" w:cs="Georgia"/>
          <w:color w:val="000000" w:themeColor="text1"/>
          <w:lang w:val="en-GB"/>
        </w:rPr>
        <w:t xml:space="preserve"> 10.7 links per guild</w:t>
      </w:r>
      <w:r>
        <w:rPr>
          <w:rFonts w:ascii="Georgia" w:hAnsi="Georgia" w:cs="Georgia"/>
          <w:color w:val="000000" w:themeColor="text1"/>
          <w:lang w:val="en-GB"/>
        </w:rPr>
        <w:t xml:space="preserve"> </w:t>
      </w:r>
      <w:r w:rsidRPr="00286ECD">
        <w:rPr>
          <w:rFonts w:ascii="Georgia" w:hAnsi="Georgia" w:cs="Georgia"/>
          <w:color w:val="000000" w:themeColor="text1"/>
          <w:lang w:val="en-GB"/>
        </w:rPr>
        <w:t xml:space="preserve">in German Bight), the high </w:t>
      </w:r>
      <w:r>
        <w:rPr>
          <w:rFonts w:ascii="Georgia" w:hAnsi="Georgia" w:cs="Georgia"/>
          <w:color w:val="000000" w:themeColor="text1"/>
          <w:lang w:val="en-GB"/>
        </w:rPr>
        <w:t xml:space="preserve">age-class </w:t>
      </w:r>
      <w:r w:rsidRPr="00286ECD">
        <w:rPr>
          <w:rFonts w:ascii="Georgia" w:hAnsi="Georgia" w:cs="Georgia"/>
          <w:color w:val="000000" w:themeColor="text1"/>
          <w:lang w:val="en-GB"/>
        </w:rPr>
        <w:t>resolution of fish decrease</w:t>
      </w:r>
      <w:r w:rsidR="0006011B">
        <w:rPr>
          <w:rFonts w:ascii="Georgia" w:hAnsi="Georgia" w:cs="Georgia"/>
          <w:color w:val="000000" w:themeColor="text1"/>
          <w:lang w:val="en-GB"/>
        </w:rPr>
        <w:t>d</w:t>
      </w:r>
      <w:r w:rsidRPr="00286ECD">
        <w:rPr>
          <w:rFonts w:ascii="Georgia" w:hAnsi="Georgia" w:cs="Georgia"/>
          <w:color w:val="000000" w:themeColor="text1"/>
          <w:lang w:val="en-GB"/>
        </w:rPr>
        <w:t xml:space="preserve"> </w:t>
      </w:r>
      <w:r>
        <w:rPr>
          <w:rFonts w:ascii="Georgia" w:hAnsi="Georgia" w:cs="Georgia"/>
          <w:color w:val="000000" w:themeColor="text1"/>
          <w:lang w:val="en-GB"/>
        </w:rPr>
        <w:t>overall</w:t>
      </w:r>
      <w:r w:rsidRPr="00286ECD">
        <w:rPr>
          <w:rFonts w:ascii="Georgia" w:hAnsi="Georgia" w:cs="Georgia"/>
          <w:color w:val="000000" w:themeColor="text1"/>
          <w:lang w:val="en-GB"/>
        </w:rPr>
        <w:t xml:space="preserve"> </w:t>
      </w:r>
      <w:proofErr w:type="spellStart"/>
      <w:r w:rsidRPr="00286ECD">
        <w:rPr>
          <w:rFonts w:ascii="Georgia" w:hAnsi="Georgia" w:cs="Georgia"/>
          <w:color w:val="000000" w:themeColor="text1"/>
          <w:lang w:val="en-GB"/>
        </w:rPr>
        <w:t>connectance</w:t>
      </w:r>
      <w:proofErr w:type="spellEnd"/>
      <w:r w:rsidRPr="00286ECD">
        <w:rPr>
          <w:rFonts w:ascii="Georgia" w:hAnsi="Georgia" w:cs="Georgia"/>
          <w:color w:val="000000" w:themeColor="text1"/>
          <w:lang w:val="en-GB"/>
        </w:rPr>
        <w:t xml:space="preserve"> by increasing potential predator-prey interactions</w:t>
      </w:r>
      <w:r>
        <w:rPr>
          <w:rFonts w:ascii="Georgia" w:hAnsi="Georgia" w:cs="Georgia"/>
          <w:color w:val="000000" w:themeColor="text1"/>
          <w:lang w:val="en-GB"/>
        </w:rPr>
        <w:t xml:space="preserve">. </w:t>
      </w:r>
      <w:r w:rsidRPr="00286ECD">
        <w:rPr>
          <w:rFonts w:ascii="Georgia" w:hAnsi="Georgia" w:cs="Georgia"/>
          <w:color w:val="000000" w:themeColor="text1"/>
          <w:lang w:val="en-GB"/>
        </w:rPr>
        <w:t xml:space="preserve">This </w:t>
      </w:r>
      <w:r>
        <w:rPr>
          <w:rFonts w:ascii="Georgia" w:hAnsi="Georgia" w:cs="Georgia"/>
          <w:color w:val="000000" w:themeColor="text1"/>
          <w:lang w:val="en-GB"/>
        </w:rPr>
        <w:t xml:space="preserve">increased </w:t>
      </w:r>
      <w:r w:rsidR="0006011B">
        <w:rPr>
          <w:rFonts w:ascii="Georgia" w:hAnsi="Georgia" w:cs="Georgia"/>
          <w:color w:val="000000" w:themeColor="text1"/>
          <w:lang w:val="en-GB"/>
        </w:rPr>
        <w:t>resolution also</w:t>
      </w:r>
      <w:r w:rsidRPr="00286ECD">
        <w:rPr>
          <w:rFonts w:ascii="Georgia" w:hAnsi="Georgia" w:cs="Georgia"/>
          <w:color w:val="000000" w:themeColor="text1"/>
          <w:lang w:val="en-GB"/>
        </w:rPr>
        <w:t xml:space="preserve"> explain</w:t>
      </w:r>
      <w:r>
        <w:rPr>
          <w:rFonts w:ascii="Georgia" w:hAnsi="Georgia" w:cs="Georgia"/>
          <w:color w:val="000000" w:themeColor="text1"/>
          <w:lang w:val="en-GB"/>
        </w:rPr>
        <w:t>s</w:t>
      </w:r>
      <w:r w:rsidRPr="00286ECD">
        <w:rPr>
          <w:rFonts w:ascii="Georgia" w:hAnsi="Georgia" w:cs="Georgia"/>
          <w:color w:val="000000" w:themeColor="text1"/>
          <w:lang w:val="en-GB"/>
        </w:rPr>
        <w:t xml:space="preserve"> the counterintuitive </w:t>
      </w:r>
      <w:r>
        <w:rPr>
          <w:rFonts w:ascii="Georgia" w:hAnsi="Georgia" w:cs="Georgia"/>
          <w:color w:val="000000" w:themeColor="text1"/>
          <w:lang w:val="en-GB"/>
        </w:rPr>
        <w:t xml:space="preserve">increase in guild-weighted </w:t>
      </w:r>
      <w:proofErr w:type="spellStart"/>
      <w:r>
        <w:rPr>
          <w:rFonts w:ascii="Georgia" w:hAnsi="Georgia" w:cs="Georgia"/>
          <w:color w:val="000000" w:themeColor="text1"/>
          <w:lang w:val="en-GB"/>
        </w:rPr>
        <w:t>connectance</w:t>
      </w:r>
      <w:proofErr w:type="spellEnd"/>
      <w:r>
        <w:rPr>
          <w:rFonts w:ascii="Georgia" w:hAnsi="Georgia" w:cs="Georgia"/>
          <w:color w:val="000000" w:themeColor="text1"/>
          <w:lang w:val="en-GB"/>
        </w:rPr>
        <w:t xml:space="preserve"> upon removing both cod ecotypes </w:t>
      </w:r>
      <w:r w:rsidRPr="00286ECD">
        <w:rPr>
          <w:rFonts w:ascii="Georgia" w:hAnsi="Georgia" w:cs="Georgia"/>
          <w:color w:val="000000" w:themeColor="text1"/>
          <w:lang w:val="en-GB"/>
        </w:rPr>
        <w:t>(Table 1)</w:t>
      </w:r>
      <w:r>
        <w:rPr>
          <w:rFonts w:ascii="Georgia" w:hAnsi="Georgia" w:cs="Georgia"/>
          <w:color w:val="000000" w:themeColor="text1"/>
          <w:lang w:val="en-GB"/>
        </w:rPr>
        <w:t>,</w:t>
      </w:r>
      <w:r w:rsidRPr="00286ECD">
        <w:rPr>
          <w:rFonts w:ascii="Georgia" w:hAnsi="Georgia" w:cs="Georgia"/>
          <w:color w:val="000000" w:themeColor="text1"/>
          <w:lang w:val="en-GB"/>
        </w:rPr>
        <w:t xml:space="preserve"> suggesting </w:t>
      </w:r>
      <w:r>
        <w:rPr>
          <w:rFonts w:ascii="Georgia" w:hAnsi="Georgia" w:cs="Georgia"/>
          <w:color w:val="000000" w:themeColor="text1"/>
          <w:lang w:val="en-GB"/>
        </w:rPr>
        <w:t>their</w:t>
      </w:r>
      <w:r w:rsidRPr="00286ECD">
        <w:rPr>
          <w:rFonts w:ascii="Georgia" w:hAnsi="Georgia" w:cs="Georgia"/>
          <w:color w:val="000000" w:themeColor="text1"/>
          <w:lang w:val="en-GB"/>
        </w:rPr>
        <w:t xml:space="preserve"> presence</w:t>
      </w:r>
      <w:r>
        <w:rPr>
          <w:rFonts w:ascii="Georgia" w:hAnsi="Georgia" w:cs="Georgia"/>
          <w:color w:val="000000" w:themeColor="text1"/>
          <w:lang w:val="en-GB"/>
        </w:rPr>
        <w:t xml:space="preserve"> reduces</w:t>
      </w:r>
      <w:r w:rsidRPr="00286ECD">
        <w:rPr>
          <w:rFonts w:ascii="Georgia" w:hAnsi="Georgia" w:cs="Georgia"/>
          <w:color w:val="000000" w:themeColor="text1"/>
          <w:lang w:val="en-GB"/>
        </w:rPr>
        <w:t xml:space="preserve"> </w:t>
      </w:r>
      <w:r>
        <w:rPr>
          <w:rFonts w:ascii="Georgia" w:hAnsi="Georgia" w:cs="Georgia"/>
          <w:color w:val="000000" w:themeColor="text1"/>
          <w:lang w:val="en-GB"/>
        </w:rPr>
        <w:t>interaction</w:t>
      </w:r>
      <w:r w:rsidRPr="00286ECD">
        <w:rPr>
          <w:rFonts w:ascii="Georgia" w:hAnsi="Georgia" w:cs="Georgia"/>
          <w:color w:val="000000" w:themeColor="text1"/>
          <w:lang w:val="en-GB"/>
        </w:rPr>
        <w:t xml:space="preserve"> strength between </w:t>
      </w:r>
      <w:r>
        <w:rPr>
          <w:rFonts w:ascii="Georgia" w:hAnsi="Georgia" w:cs="Georgia"/>
          <w:color w:val="000000" w:themeColor="text1"/>
          <w:lang w:val="en-GB"/>
        </w:rPr>
        <w:t>guild</w:t>
      </w:r>
      <w:r w:rsidRPr="00286ECD">
        <w:rPr>
          <w:rFonts w:ascii="Georgia" w:hAnsi="Georgia" w:cs="Georgia"/>
          <w:color w:val="000000" w:themeColor="text1"/>
          <w:lang w:val="en-GB"/>
        </w:rPr>
        <w:t xml:space="preserve">s. </w:t>
      </w:r>
      <w:r>
        <w:rPr>
          <w:rFonts w:ascii="Georgia" w:hAnsi="Georgia" w:cs="Georgia"/>
          <w:color w:val="000000" w:themeColor="text1"/>
          <w:lang w:val="en-GB"/>
        </w:rPr>
        <w:t>The removal of cod ecotypes also led to increases in m</w:t>
      </w:r>
      <w:r w:rsidRPr="00286ECD">
        <w:rPr>
          <w:rFonts w:ascii="Georgia" w:hAnsi="Georgia" w:cs="Georgia"/>
          <w:color w:val="000000" w:themeColor="text1"/>
          <w:lang w:val="en-GB"/>
        </w:rPr>
        <w:t xml:space="preserve">odularity and </w:t>
      </w:r>
      <w:proofErr w:type="spellStart"/>
      <w:r w:rsidRPr="00286ECD">
        <w:rPr>
          <w:rFonts w:ascii="Georgia" w:hAnsi="Georgia" w:cs="Georgia"/>
          <w:color w:val="000000" w:themeColor="text1"/>
          <w:lang w:val="en-GB"/>
        </w:rPr>
        <w:t>assortativity</w:t>
      </w:r>
      <w:proofErr w:type="spellEnd"/>
      <w:r w:rsidRPr="00286ECD">
        <w:rPr>
          <w:rFonts w:ascii="Georgia" w:hAnsi="Georgia" w:cs="Georgia"/>
          <w:color w:val="000000" w:themeColor="text1"/>
          <w:lang w:val="en-GB"/>
        </w:rPr>
        <w:t xml:space="preserve">, indicating </w:t>
      </w:r>
      <w:r>
        <w:rPr>
          <w:rFonts w:ascii="Georgia" w:hAnsi="Georgia" w:cs="Georgia"/>
          <w:color w:val="000000" w:themeColor="text1"/>
          <w:lang w:val="en-GB"/>
        </w:rPr>
        <w:t xml:space="preserve">that their presence enhances connectivity among the four distinct communities identified within the food web. The change in </w:t>
      </w:r>
      <w:proofErr w:type="spellStart"/>
      <w:r>
        <w:rPr>
          <w:rFonts w:ascii="Georgia" w:hAnsi="Georgia" w:cs="Georgia"/>
          <w:color w:val="000000" w:themeColor="text1"/>
          <w:lang w:val="en-GB"/>
        </w:rPr>
        <w:lastRenderedPageBreak/>
        <w:t>assortativity</w:t>
      </w:r>
      <w:proofErr w:type="spellEnd"/>
      <w:r>
        <w:rPr>
          <w:rFonts w:ascii="Georgia" w:hAnsi="Georgia" w:cs="Georgia"/>
          <w:color w:val="000000" w:themeColor="text1"/>
          <w:lang w:val="en-GB"/>
        </w:rPr>
        <w:t xml:space="preserve"> reflects a potential reorganization of ecological interactions in the absence of the ecotypes. </w:t>
      </w:r>
      <w:r w:rsidRPr="00286ECD">
        <w:rPr>
          <w:rFonts w:ascii="Georgia" w:hAnsi="Georgia" w:cs="Georgia"/>
          <w:color w:val="000000" w:themeColor="text1"/>
          <w:lang w:val="en-GB"/>
        </w:rPr>
        <w:t>Modularity</w:t>
      </w:r>
      <w:r>
        <w:rPr>
          <w:rFonts w:ascii="Georgia" w:hAnsi="Georgia" w:cs="Georgia"/>
          <w:color w:val="000000" w:themeColor="text1"/>
          <w:lang w:val="en-GB"/>
        </w:rPr>
        <w:t xml:space="preserve"> tends to</w:t>
      </w:r>
      <w:r w:rsidRPr="00286ECD">
        <w:rPr>
          <w:rFonts w:ascii="Georgia" w:hAnsi="Georgia" w:cs="Georgia"/>
          <w:color w:val="000000" w:themeColor="text1"/>
          <w:lang w:val="en-GB"/>
        </w:rPr>
        <w:t xml:space="preserve"> </w:t>
      </w:r>
      <w:r>
        <w:rPr>
          <w:rFonts w:ascii="Georgia" w:hAnsi="Georgia" w:cs="Georgia"/>
          <w:color w:val="000000" w:themeColor="text1"/>
          <w:lang w:val="en-GB"/>
        </w:rPr>
        <w:t>relate to</w:t>
      </w:r>
      <w:r w:rsidRPr="00286ECD">
        <w:rPr>
          <w:rFonts w:ascii="Georgia" w:hAnsi="Georgia" w:cs="Georgia"/>
          <w:color w:val="000000" w:themeColor="text1"/>
          <w:lang w:val="en-GB"/>
        </w:rPr>
        <w:t xml:space="preserve"> food-web persistence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{"citationItems":[{"id":"ITEM-1","itemData":{"DOI":"10.1073/pnas.1014353108","ISSN":"00278424","PMID":"21307311","abstract":"It has recently been noted that empirical food webs are significantly compartmentalized; that is, subsets of species exist that interact more frequently among themselves than with other species in the community. Although the dynamic implications of compartmentalization have been debated for at least four decades, a general answer has remained elusive. Here, we unambiguously demonstrate that compartmentalization acts to increase the persistence of multitrophic food webs. We then identify the mechanisms behind this result. Compartments in food webs act directly to buffer the propagation of extinctions throughout the community and augment the long-term persistence of its constituent species. This contribution to persistence is greater the more complex the food web, which helps to reconcile the simultaneous complexity and stability of natural communities.","author":[{"dropping-particle":"","family":"Stouffer","given":"Daniel B.","non-dropping-particle":"","parse-names":false,"suffix":""},{"dropping-particle":"","family":"Bascompte","given":"Jordi","non-dropping-particle":"","parse-names":false,"suffix":""}],"container-title":"Proceedings of the National Academy of Sciences of the United States of America","id":"ITEM-1","issue":"9","issued":{"date-parts":[["2011"]]},"page":"3648-3652","title":"Compartmentalization increases food-web persistence","type":"article-journal","volume":"108"},"uris":["http://www.mendeley.com/documents/?uuid=aa813ba8-9363-4a1c-bbe3-9515eca1b634"]}],"mendeley":{"formattedCitation":"(Stouffer &amp; Bascompte, 2011)","plainTextFormattedCitation":"(Stouffer &amp; Bascompte, 2011)","previouslyFormattedCitation":"(Stouffer &amp; Bascompte, 2011)"},"properties":{"noteIndex":0},"schema":"https://github.com/citation-style-language/schema/raw/master/csl-citation.json"}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(Stouffer &amp; Bascompte 2011)</w:t>
      </w:r>
      <w:r w:rsidRPr="00286ECD">
        <w:rPr>
          <w:rFonts w:ascii="Georgia" w:hAnsi="Georgia" w:cs="Georgia"/>
          <w:color w:val="000000" w:themeColor="text1"/>
          <w:lang w:val="en-GB"/>
        </w:rPr>
        <w:fldChar w:fldCharType="end"/>
      </w:r>
      <w:r>
        <w:rPr>
          <w:rFonts w:ascii="Georgia" w:hAnsi="Georgia" w:cs="Georgia"/>
          <w:color w:val="000000" w:themeColor="text1"/>
          <w:lang w:val="en-GB"/>
        </w:rPr>
        <w:t xml:space="preserve"> and is </w:t>
      </w:r>
      <w:r w:rsidRPr="00286ECD">
        <w:rPr>
          <w:rFonts w:ascii="Georgia" w:hAnsi="Georgia" w:cs="Georgia"/>
          <w:color w:val="000000" w:themeColor="text1"/>
          <w:lang w:val="en-GB"/>
        </w:rPr>
        <w:t>compar</w:t>
      </w:r>
      <w:r>
        <w:rPr>
          <w:rFonts w:ascii="Georgia" w:hAnsi="Georgia" w:cs="Georgia"/>
          <w:color w:val="000000" w:themeColor="text1"/>
          <w:lang w:val="en-GB"/>
        </w:rPr>
        <w:t>able</w:t>
      </w:r>
      <w:r w:rsidRPr="00286ECD">
        <w:rPr>
          <w:rFonts w:ascii="Georgia" w:hAnsi="Georgia" w:cs="Georgia"/>
          <w:color w:val="000000" w:themeColor="text1"/>
          <w:lang w:val="en-GB"/>
        </w:rPr>
        <w:t xml:space="preserve"> in Skagerrak (0.195) </w:t>
      </w:r>
      <w:r>
        <w:rPr>
          <w:rFonts w:ascii="Georgia" w:hAnsi="Georgia" w:cs="Georgia"/>
          <w:color w:val="000000" w:themeColor="text1"/>
          <w:lang w:val="en-GB"/>
        </w:rPr>
        <w:t>to</w:t>
      </w:r>
      <w:r w:rsidRPr="00286ECD">
        <w:rPr>
          <w:rFonts w:ascii="Georgia" w:hAnsi="Georgia" w:cs="Georgia"/>
          <w:color w:val="000000" w:themeColor="text1"/>
          <w:lang w:val="en-GB"/>
        </w:rPr>
        <w:t xml:space="preserve"> estimates </w:t>
      </w:r>
      <w:r>
        <w:rPr>
          <w:rFonts w:ascii="Georgia" w:hAnsi="Georgia" w:cs="Georgia"/>
          <w:color w:val="000000" w:themeColor="text1"/>
          <w:lang w:val="en-GB"/>
        </w:rPr>
        <w:t>from</w:t>
      </w:r>
      <w:r w:rsidRPr="00286ECD">
        <w:rPr>
          <w:rFonts w:ascii="Georgia" w:hAnsi="Georgia" w:cs="Georgia"/>
          <w:color w:val="000000" w:themeColor="text1"/>
          <w:lang w:val="en-GB"/>
        </w:rPr>
        <w:t xml:space="preserve"> boreal and </w:t>
      </w:r>
      <w:r w:rsidR="0006011B">
        <w:rPr>
          <w:rFonts w:ascii="Georgia" w:hAnsi="Georgia" w:cs="Georgia"/>
          <w:color w:val="000000" w:themeColor="text1"/>
          <w:lang w:val="en-GB"/>
        </w:rPr>
        <w:t>a</w:t>
      </w:r>
      <w:r w:rsidRPr="00286ECD">
        <w:rPr>
          <w:rFonts w:ascii="Georgia" w:hAnsi="Georgia" w:cs="Georgia"/>
          <w:color w:val="000000" w:themeColor="text1"/>
          <w:lang w:val="en-GB"/>
        </w:rPr>
        <w:t>rctic food web</w:t>
      </w:r>
      <w:r>
        <w:rPr>
          <w:rFonts w:ascii="Georgia" w:hAnsi="Georgia" w:cs="Georgia"/>
          <w:color w:val="000000" w:themeColor="text1"/>
          <w:lang w:val="en-GB"/>
        </w:rPr>
        <w:t>s</w:t>
      </w:r>
      <w:r w:rsidRPr="00286ECD">
        <w:rPr>
          <w:rFonts w:ascii="Georgia" w:hAnsi="Georgia" w:cs="Georgia"/>
          <w:color w:val="000000" w:themeColor="text1"/>
          <w:lang w:val="en-GB"/>
        </w:rPr>
        <w:t xml:space="preserve"> </w:t>
      </w:r>
      <w:r>
        <w:rPr>
          <w:rFonts w:ascii="Georgia" w:hAnsi="Georgia" w:cs="Georgia"/>
          <w:color w:val="000000" w:themeColor="text1"/>
          <w:lang w:val="en-GB"/>
        </w:rPr>
        <w:t>in</w:t>
      </w:r>
      <w:r w:rsidRPr="00286ECD">
        <w:rPr>
          <w:rFonts w:ascii="Georgia" w:hAnsi="Georgia" w:cs="Georgia"/>
          <w:color w:val="000000" w:themeColor="text1"/>
          <w:lang w:val="en-GB"/>
        </w:rPr>
        <w:t xml:space="preserve"> the Barents Sea (0.27 and 0.35, respectively)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{"citationItems":[{"id":"ITEM-1","itemData":{"DOI":"10.1098/rspb.2015.1546","ISSN":"14712954","PMID":"26336179","abstract":"Climate-driven poleward shifts, leading to changes in species composition and relative abundances, have been recently documented in the Arctic. Among the fastest moving species are boreal generalist fish which are expected to affect arctic marine food web structure and ecosystem functioning substantially. Here, we address structural changes at the food web level induced by pole-ward shifts via topological network analysis of highly resolved boreal and arctic food webs of the Barents Sea. We detected considerable differences in structural properties and link configuration between the boreal and the arctic food webs, the latter being more modular and less connected. We found that a main characteristic of the boreal fish moving poleward into the arctic region of the Barents Sea is high generalism, a property that increases connectance and reduces modularity in the arctic marine food web. Our results reveal that habitats form natural boundaries for food web modules, and that generalists play an important functional role in coupling pelagic and benthic modules. We posit that these habitat couplers have the potential to promote the transfer of energy and matter between habitats, but also the spread of pertubations, thereby changing arctic marine food web structure considerably with implications for ecosystem dynamics and functioning.","author":[{"dropping-particle":"","family":"Kortsch","given":"Susanne","non-dropping-particle":"","parse-names":false,"suffix":""},{"dropping-particle":"","family":"Primicerio","given":"Raul","non-dropping-particle":"","parse-names":false,"suffix":""},{"dropping-particle":"","family":"Fossheim","given":"Maria","non-dropping-particle":"","parse-names":false,"suffix":""},{"dropping-particle":"V.","family":"Dolgov","given":"Andrey","non-dropping-particle":"","parse-names":false,"suffix":""},{"dropping-particle":"","family":"Aschan","given":"Michaela","non-dropping-particle":"","parse-names":false,"suffix":""}],"container-title":"Proceedings of the Royal Society B: Biological Sciences","id":"ITEM-1","issue":"1814","issued":{"date-parts":[["2015"]]},"title":"Climate change alters the structure of arctic marine food webs due to poleward shifts of boreal generalists","type":"article-journal","volume":"282"},"uris":["http://www.mendeley.com/documents/?uuid=607eb20b-4b3d-4cd3-a851-7e1d498d9e0b"]}],"mendeley":{"formattedCitation":"(Kortsch et al., 2015)","plainTextFormattedCitation":"(Kortsch et al., 2015)","previouslyFormattedCitation":"(Kortsch et al., 2015)"},"properties":{"noteIndex":0},"schema":"https://github.com/citation-style-language/schema/raw/master/csl-citation.json"}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(Kortsch et al. 2015)</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p>
    <w:p w14:paraId="1F5A6AEF"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Pr>
          <w:rFonts w:ascii="Georgia" w:hAnsi="Georgia" w:cs="Georgia"/>
          <w:color w:val="000000" w:themeColor="text1"/>
          <w:lang w:val="en-GB"/>
        </w:rPr>
        <w:t>A</w:t>
      </w:r>
      <w:r w:rsidRPr="00286ECD">
        <w:rPr>
          <w:rFonts w:ascii="Georgia" w:hAnsi="Georgia" w:cs="Georgia"/>
          <w:color w:val="000000" w:themeColor="text1"/>
          <w:lang w:val="en-GB"/>
        </w:rPr>
        <w:t xml:space="preserve">dditional food web metric </w:t>
      </w:r>
      <w:r>
        <w:rPr>
          <w:rFonts w:ascii="Georgia" w:hAnsi="Georgia" w:cs="Georgia"/>
          <w:color w:val="000000" w:themeColor="text1"/>
          <w:lang w:val="en-GB"/>
        </w:rPr>
        <w:t>in our analysis that</w:t>
      </w:r>
      <w:r w:rsidRPr="00286ECD">
        <w:rPr>
          <w:rFonts w:ascii="Georgia" w:hAnsi="Georgia" w:cs="Georgia"/>
          <w:color w:val="000000" w:themeColor="text1"/>
          <w:lang w:val="en-GB"/>
        </w:rPr>
        <w:t xml:space="preserve"> signifies the resilience of a food web against external disturbances, </w:t>
      </w:r>
      <w:r>
        <w:rPr>
          <w:rFonts w:ascii="Georgia" w:hAnsi="Georgia" w:cs="Georgia"/>
          <w:color w:val="000000" w:themeColor="text1"/>
          <w:lang w:val="en-GB"/>
        </w:rPr>
        <w:t xml:space="preserve">is </w:t>
      </w:r>
      <w:r w:rsidRPr="00286ECD">
        <w:rPr>
          <w:rFonts w:ascii="Georgia" w:hAnsi="Georgia" w:cs="Georgia"/>
          <w:color w:val="000000" w:themeColor="text1"/>
          <w:lang w:val="en-GB"/>
        </w:rPr>
        <w:t xml:space="preserve">robustness. The Skagerrak food web </w:t>
      </w:r>
      <w:r>
        <w:rPr>
          <w:rFonts w:ascii="Georgia" w:hAnsi="Georgia" w:cs="Georgia"/>
          <w:color w:val="000000" w:themeColor="text1"/>
          <w:lang w:val="en-GB"/>
        </w:rPr>
        <w:t>demonstrated</w:t>
      </w:r>
      <w:r w:rsidRPr="00286ECD">
        <w:rPr>
          <w:rFonts w:ascii="Georgia" w:hAnsi="Georgia" w:cs="Georgia"/>
          <w:color w:val="000000" w:themeColor="text1"/>
          <w:lang w:val="en-GB"/>
        </w:rPr>
        <w:t xml:space="preserve"> moderately high structural robustness, </w:t>
      </w:r>
      <w:r>
        <w:rPr>
          <w:rFonts w:ascii="Georgia" w:hAnsi="Georgia" w:cs="Georgia"/>
          <w:color w:val="000000" w:themeColor="text1"/>
          <w:lang w:val="en-GB"/>
        </w:rPr>
        <w:t>comparable</w:t>
      </w:r>
      <w:r w:rsidRPr="00286ECD">
        <w:rPr>
          <w:rFonts w:ascii="Georgia" w:hAnsi="Georgia" w:cs="Georgia"/>
          <w:color w:val="000000" w:themeColor="text1"/>
          <w:lang w:val="en-GB"/>
        </w:rPr>
        <w:t xml:space="preserve"> to the Benguela and Caribbean Reef </w:t>
      </w:r>
      <w:r>
        <w:rPr>
          <w:rFonts w:ascii="Georgia" w:hAnsi="Georgia" w:cs="Georgia"/>
          <w:color w:val="000000" w:themeColor="text1"/>
          <w:lang w:val="en-GB"/>
        </w:rPr>
        <w:t>food webs, aligning with the</w:t>
      </w:r>
      <w:r w:rsidRPr="00286ECD">
        <w:rPr>
          <w:rFonts w:ascii="Georgia" w:hAnsi="Georgia" w:cs="Georgia"/>
          <w:color w:val="000000" w:themeColor="text1"/>
          <w:lang w:val="en-GB"/>
        </w:rPr>
        <w:t xml:space="preserve"> </w:t>
      </w:r>
      <w:proofErr w:type="spellStart"/>
      <w:r w:rsidRPr="00286ECD">
        <w:rPr>
          <w:rFonts w:ascii="Georgia" w:hAnsi="Georgia" w:cs="Georgia"/>
          <w:color w:val="000000" w:themeColor="text1"/>
          <w:lang w:val="en-GB"/>
        </w:rPr>
        <w:t>connectance</w:t>
      </w:r>
      <w:proofErr w:type="spellEnd"/>
      <w:r w:rsidRPr="00286ECD">
        <w:rPr>
          <w:rFonts w:ascii="Georgia" w:hAnsi="Georgia" w:cs="Georgia"/>
          <w:color w:val="000000" w:themeColor="text1"/>
          <w:lang w:val="en-GB"/>
        </w:rPr>
        <w:t xml:space="preserve">-robustness trend </w:t>
      </w:r>
      <w:r>
        <w:rPr>
          <w:rFonts w:ascii="Georgia" w:hAnsi="Georgia" w:cs="Georgia"/>
          <w:color w:val="000000" w:themeColor="text1"/>
          <w:lang w:val="en-GB"/>
        </w:rPr>
        <w:t>observed in</w:t>
      </w:r>
      <w:r w:rsidRPr="00286ECD">
        <w:rPr>
          <w:rFonts w:ascii="Georgia" w:hAnsi="Georgia" w:cs="Georgia"/>
          <w:color w:val="000000" w:themeColor="text1"/>
          <w:lang w:val="en-GB"/>
        </w:rPr>
        <w:t xml:space="preserve"> 19 reconstructed food webs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{"citationItems":[{"id":"ITEM-1","itemData":{"DOI":"10.3354/meps273291","ISSN":"01718630","abstract":"Previous studies suggest that food-web theory has yet to account for major differences in food-web properties of marine versus other types of ecosystems. We examined this issue by analyzing the network structure of food webs for the Northeast US Shelf, a Caribbean reef, and Benguela, off South Africa. The values of connectance (links per species2), link density (links per species), mean chain length, and fractions of intermediate, omnivorous, and cannibalistic taxa of these marine webs are somewhat high but still within the ranges observed in other webs. We further compared the marine webs by using the empirically corroborated 'niche model' that accounts for observed variation in diversity (taxon number) and complexity (connectance). Our results substantiate previously reported results for estuarine, fresh-water, and terrestrial datasets, which suggests that food webs from different types of ecosystems with variable diversity and complexity share fundamental structural and ordering characteristics. Analyses of potential secondary extinctions resulting from species loss show that the structural robustness of marine food webs is also consistent with trends from other food webs. As expected, given their relatively high connectance, marine food webs appear fairly robust to loss of most-connected taxa as well as random taxa. Still, the short average path length between marine taxa (1.6 links) suggests that effects from perturbations, such as overfishing, can be transmitted more widely throughout marine ecosystems than previously appreciated.","author":[{"dropping-particle":"","family":"Dunne","given":"Jennifer A.","non-dropping-particle":"","parse-names":false,"suffix":""},{"dropping-particle":"","family":"Williams","given":"Richard J.","non-dropping-particle":"","parse-names":false,"suffix":""},{"dropping-particle":"","family":"Martinez","given":"Neo D.","non-dropping-particle":"","parse-names":false,"suffix":""}],"container-title":"Marine Ecology Progress Series","id":"ITEM-1","issued":{"date-parts":[["2004"]]},"page":"291-302","title":"Network structure and robustness of marine food webs","type":"article-journal","volume":"273"},"uris":["http://www.mendeley.com/documents/?uuid=555c917b-da1a-4fa0-92b5-49d3123e35e9"]}],"mendeley":{"formattedCitation":"(Dunne et al., 2004)","manualFormatting":"Dunne et al., 2004)","plainTextFormattedCitation":"(Dunne et al., 2004)","previouslyFormattedCitation":"(Dunne et al., 2004)"},"properties":{"noteIndex":0},"schema":"https://github.com/citation-style-language/schema/raw/master/csl-citation.json"}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Dunne et al. 2004)</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r>
        <w:rPr>
          <w:rFonts w:ascii="Georgia" w:hAnsi="Georgia" w:cs="Georgia"/>
          <w:color w:val="000000" w:themeColor="text1"/>
          <w:lang w:val="en-GB"/>
        </w:rPr>
        <w:t>Generally, food webs are more sensitive</w:t>
      </w:r>
      <w:r w:rsidRPr="00286ECD">
        <w:rPr>
          <w:rFonts w:ascii="Georgia" w:hAnsi="Georgia" w:cs="Georgia"/>
          <w:color w:val="000000" w:themeColor="text1"/>
          <w:lang w:val="en-GB"/>
        </w:rPr>
        <w:t xml:space="preserve"> to the loss of highly connected species </w:t>
      </w:r>
      <w:r>
        <w:rPr>
          <w:rFonts w:ascii="Georgia" w:hAnsi="Georgia" w:cs="Georgia"/>
          <w:color w:val="000000" w:themeColor="text1"/>
          <w:lang w:val="en-GB"/>
        </w:rPr>
        <w:t>than to</w:t>
      </w:r>
      <w:r w:rsidRPr="00286ECD">
        <w:rPr>
          <w:rFonts w:ascii="Georgia" w:hAnsi="Georgia" w:cs="Georgia"/>
          <w:color w:val="000000" w:themeColor="text1"/>
          <w:lang w:val="en-GB"/>
        </w:rPr>
        <w:t xml:space="preserve"> random species </w:t>
      </w:r>
      <w:r>
        <w:rPr>
          <w:rFonts w:ascii="Georgia" w:hAnsi="Georgia" w:cs="Georgia"/>
          <w:color w:val="000000" w:themeColor="text1"/>
          <w:lang w:val="en-GB"/>
        </w:rPr>
        <w:t xml:space="preserve">losses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{"citationItems":[{"id":"ITEM-1","itemData":{"DOI":"10.3354/meps273291","ISSN":"01718630","abstract":"Previous studies suggest that food-web theory has yet to account for major differences in food-web properties of marine versus other types of ecosystems. We examined this issue by analyzing the network structure of food webs for the Northeast US Shelf, a Caribbean reef, and Benguela, off South Africa. The values of connectance (links per species2), link density (links per species), mean chain length, and fractions of intermediate, omnivorous, and cannibalistic taxa of these marine webs are somewhat high but still within the ranges observed in other webs. We further compared the marine webs by using the empirically corroborated 'niche model' that accounts for observed variation in diversity (taxon number) and complexity (connectance). Our results substantiate previously reported results for estuarine, fresh-water, and terrestrial datasets, which suggests that food webs from different types of ecosystems with variable diversity and complexity share fundamental structural and ordering characteristics. Analyses of potential secondary extinctions resulting from species loss show that the structural robustness of marine food webs is also consistent with trends from other food webs. As expected, given their relatively high connectance, marine food webs appear fairly robust to loss of most-connected taxa as well as random taxa. Still, the short average path length between marine taxa (1.6 links) suggests that effects from perturbations, such as overfishing, can be transmitted more widely throughout marine ecosystems than previously appreciated.","author":[{"dropping-particle":"","family":"Dunne","given":"Jennifer A.","non-dropping-particle":"","parse-names":false,"suffix":""},{"dropping-particle":"","family":"Williams","given":"Richard J.","non-dropping-particle":"","parse-names":false,"suffix":""},{"dropping-particle":"","family":"Martinez","given":"Neo D.","non-dropping-particle":"","parse-names":false,"suffix":""}],"container-title":"Marine Ecology Progress Series","id":"ITEM-1","issued":{"date-parts":[["2004"]]},"page":"291-302","title":"Network structure and robustness of marine food webs","type":"article-journal","volume":"273"},"uris":["http://www.mendeley.com/documents/?uuid=555c917b-da1a-4fa0-92b5-49d3123e35e9"]}],"mendeley":{"formattedCitation":"(Dunne et al., 2004)","plainTextFormattedCitation":"(Dunne et al., 2004)","previouslyFormattedCitation":"(Dunne et al., 2004)"},"properties":{"noteIndex":0},"schema":"https://github.com/citation-style-language/schema/raw/master/csl-citation.json"}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(Dunne et al. 2004)</w:t>
      </w:r>
      <w:r w:rsidRPr="00286ECD">
        <w:rPr>
          <w:rFonts w:ascii="Georgia" w:hAnsi="Georgia" w:cs="Georgia"/>
          <w:color w:val="000000" w:themeColor="text1"/>
          <w:lang w:val="en-GB"/>
        </w:rPr>
        <w:fldChar w:fldCharType="end"/>
      </w:r>
      <w:r>
        <w:rPr>
          <w:rFonts w:ascii="Georgia" w:hAnsi="Georgia" w:cs="Georgia"/>
          <w:color w:val="000000" w:themeColor="text1"/>
          <w:lang w:val="en-GB"/>
        </w:rPr>
        <w:t>, and it is the</w:t>
      </w:r>
      <w:r w:rsidRPr="00286ECD">
        <w:rPr>
          <w:rFonts w:ascii="Georgia" w:hAnsi="Georgia" w:cs="Georgia"/>
          <w:color w:val="000000" w:themeColor="text1"/>
          <w:lang w:val="en-GB"/>
        </w:rPr>
        <w:t xml:space="preserve"> systems with higher </w:t>
      </w:r>
      <w:proofErr w:type="spellStart"/>
      <w:r w:rsidRPr="00286ECD">
        <w:rPr>
          <w:rFonts w:ascii="Georgia" w:hAnsi="Georgia" w:cs="Georgia"/>
          <w:color w:val="000000" w:themeColor="text1"/>
          <w:lang w:val="en-GB"/>
        </w:rPr>
        <w:t>connectance</w:t>
      </w:r>
      <w:proofErr w:type="spellEnd"/>
      <w:r w:rsidRPr="00286ECD">
        <w:rPr>
          <w:rFonts w:ascii="Georgia" w:hAnsi="Georgia" w:cs="Georgia"/>
          <w:color w:val="000000" w:themeColor="text1"/>
          <w:lang w:val="en-GB"/>
        </w:rPr>
        <w:t xml:space="preserve"> (</w:t>
      </w:r>
      <w:r w:rsidRPr="00286ECD">
        <w:rPr>
          <w:rFonts w:ascii="Georgia" w:hAnsi="Georgia" w:cs="Georgia"/>
          <w:color w:val="000000" w:themeColor="text1"/>
          <w:lang w:val="en-GB"/>
        </w:rPr>
        <w:sym w:font="Symbol" w:char="F0B3"/>
      </w:r>
      <w:r w:rsidRPr="00286ECD">
        <w:rPr>
          <w:rFonts w:ascii="Georgia" w:hAnsi="Georgia" w:cs="Georgia"/>
          <w:color w:val="000000" w:themeColor="text1"/>
          <w:lang w:val="en-GB"/>
        </w:rPr>
        <w:t xml:space="preserve">0.07) </w:t>
      </w:r>
      <w:r>
        <w:rPr>
          <w:rFonts w:ascii="Georgia" w:hAnsi="Georgia" w:cs="Georgia"/>
          <w:color w:val="000000" w:themeColor="text1"/>
          <w:lang w:val="en-GB"/>
        </w:rPr>
        <w:t>that have</w:t>
      </w:r>
      <w:r w:rsidRPr="00286ECD">
        <w:rPr>
          <w:rFonts w:ascii="Georgia" w:hAnsi="Georgia" w:cs="Georgia"/>
          <w:color w:val="000000" w:themeColor="text1"/>
          <w:lang w:val="en-GB"/>
        </w:rPr>
        <w:t xml:space="preserve"> heightened vulnerability to the removal of </w:t>
      </w:r>
      <w:r>
        <w:rPr>
          <w:rFonts w:ascii="Georgia" w:hAnsi="Georgia" w:cs="Georgia"/>
          <w:color w:val="000000" w:themeColor="text1"/>
          <w:lang w:val="en-GB"/>
        </w:rPr>
        <w:t>these</w:t>
      </w:r>
      <w:r w:rsidRPr="00286ECD">
        <w:rPr>
          <w:rFonts w:ascii="Georgia" w:hAnsi="Georgia" w:cs="Georgia"/>
          <w:color w:val="000000" w:themeColor="text1"/>
          <w:lang w:val="en-GB"/>
        </w:rPr>
        <w:t xml:space="preserve"> </w:t>
      </w:r>
      <w:r>
        <w:rPr>
          <w:rFonts w:ascii="Georgia" w:hAnsi="Georgia" w:cs="Georgia"/>
          <w:color w:val="000000" w:themeColor="text1"/>
          <w:lang w:val="en-GB"/>
        </w:rPr>
        <w:t>key</w:t>
      </w:r>
      <w:r w:rsidRPr="00286ECD">
        <w:rPr>
          <w:rFonts w:ascii="Georgia" w:hAnsi="Georgia" w:cs="Georgia"/>
          <w:color w:val="000000" w:themeColor="text1"/>
          <w:lang w:val="en-GB"/>
        </w:rPr>
        <w:t xml:space="preserve"> species</w:t>
      </w:r>
      <w:r>
        <w:rPr>
          <w:rFonts w:ascii="Georgia" w:hAnsi="Georgia" w:cs="Georgia"/>
          <w:color w:val="000000" w:themeColor="text1"/>
          <w:lang w:val="en-GB"/>
        </w:rPr>
        <w:t xml:space="preserve">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{"citationItems":[{"id":"ITEM-1","itemData":{"DOI":"10.1073/pnas.192407699","ISSN":"00278424","PMID":"12235364","abstract":"Networks from a wide range of physical, biological, and social systems have been recently described as \"small-world\" and \"scale-free.\" However, studies disagree whether ecological networks called food webs possess the characteristic path lengths, clustering coefficients, and degree distributions required for membership in these classes of networks. Our analysis suggests that the disagreements are based on selective use of relatively few food webs, as well as analytical decisions that obscure important variability in the data. We analyze a broad range of 16 high-quality food webs, with 25-172 nodes, from a variety of aquatic and terrestrial ecosystems. Food webs generally have much higher complexity, measured as connectance (the fraction of all possible links that are realized in a network), and much smaller size than other networks studied, which have important implications for network topology. Our results resolve prior conflicts by demonstrating that although some food webs have small-world and scale-free structure, most do not if they exceed a relatively low level of connectance. Although food-web degree distributions do not display a universal functional form, observed distributions are systematically related to network connectance and size. Also, although food webs often lack small-world structure because of low clustering, we identify a continuum of real-world networks including food webs whose ratios of observed to random clustering coefficients increase as a power-law function of network size over 7 orders of magnitude. Although food webs are generally not small-world, scale-free networks, food-web topology is consistent with patterns found within those classes of networks.","author":[{"dropping-particle":"","family":"Dunne","given":"Jennifer A.","non-dropping-particle":"","parse-names":false,"suffix":""},{"dropping-particle":"","family":"Williams","given":"Richard J.","non-dropping-particle":"","parse-names":false,"suffix":""},{"dropping-particle":"","family":"Martinez","given":"Neo D.","non-dropping-particle":"","parse-names":false,"suffix":""}],"container-title":"Proceedings of the National Academy of Sciences of the United States of America","id":"ITEM-1","issue":"20","issued":{"date-parts":[["2002"]]},"page":"12917-12922","title":"Food-web structure and network theory: The role of connectance and size","type":"article-journal","volume":"99"},"uris":["http://www.mendeley.com/documents/?uuid=d327ec65-e577-47f5-b283-2ee9aa5fb4a6"]}],"mendeley":{"formattedCitation":"(Dunne et al., 2002)","plainTextFormattedCitation":"(Dunne et al., 2002)","previouslyFormattedCitation":"(Dunne et al., 2002)"},"properties":{"noteIndex":0},"schema":"https://github.com/citation-style-language/schema/raw/master/csl-citation.json"}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(Dunne et al. 2002)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This </w:t>
      </w:r>
      <w:r>
        <w:rPr>
          <w:rFonts w:ascii="Georgia" w:hAnsi="Georgia" w:cs="Georgia"/>
          <w:color w:val="000000" w:themeColor="text1"/>
          <w:lang w:val="en-GB"/>
        </w:rPr>
        <w:t>helps explain</w:t>
      </w:r>
      <w:r w:rsidRPr="00286ECD">
        <w:rPr>
          <w:rFonts w:ascii="Georgia" w:hAnsi="Georgia" w:cs="Georgia"/>
          <w:color w:val="000000" w:themeColor="text1"/>
          <w:lang w:val="en-GB"/>
        </w:rPr>
        <w:t xml:space="preserve"> the decrease in robustness </w:t>
      </w:r>
      <w:r>
        <w:rPr>
          <w:rFonts w:ascii="Georgia" w:hAnsi="Georgia" w:cs="Georgia"/>
          <w:color w:val="000000" w:themeColor="text1"/>
          <w:lang w:val="en-GB"/>
        </w:rPr>
        <w:t>in the</w:t>
      </w:r>
      <w:r w:rsidRPr="00286ECD">
        <w:rPr>
          <w:rFonts w:ascii="Georgia" w:hAnsi="Georgia" w:cs="Georgia"/>
          <w:color w:val="000000" w:themeColor="text1"/>
          <w:lang w:val="en-GB"/>
        </w:rPr>
        <w:t xml:space="preserve"> Skagerrak</w:t>
      </w:r>
      <w:r>
        <w:rPr>
          <w:rFonts w:ascii="Georgia" w:hAnsi="Georgia" w:cs="Georgia"/>
          <w:color w:val="000000" w:themeColor="text1"/>
          <w:lang w:val="en-GB"/>
        </w:rPr>
        <w:t xml:space="preserve"> food web when </w:t>
      </w:r>
      <w:r w:rsidRPr="00286ECD">
        <w:rPr>
          <w:rFonts w:ascii="Georgia" w:hAnsi="Georgia" w:cs="Georgia"/>
          <w:color w:val="000000" w:themeColor="text1"/>
          <w:lang w:val="en-GB"/>
        </w:rPr>
        <w:t xml:space="preserve">both </w:t>
      </w:r>
      <w:r>
        <w:rPr>
          <w:rFonts w:ascii="Georgia" w:hAnsi="Georgia" w:cs="Georgia"/>
          <w:color w:val="000000" w:themeColor="text1"/>
          <w:lang w:val="en-GB"/>
        </w:rPr>
        <w:t xml:space="preserve">cod </w:t>
      </w:r>
      <w:r w:rsidRPr="00286ECD">
        <w:rPr>
          <w:rFonts w:ascii="Georgia" w:hAnsi="Georgia" w:cs="Georgia"/>
          <w:color w:val="000000" w:themeColor="text1"/>
          <w:lang w:val="en-GB"/>
        </w:rPr>
        <w:t>ecotypes were removed</w:t>
      </w:r>
      <w:r>
        <w:rPr>
          <w:rFonts w:ascii="Georgia" w:hAnsi="Georgia" w:cs="Georgia"/>
          <w:color w:val="000000" w:themeColor="text1"/>
          <w:lang w:val="en-GB"/>
        </w:rPr>
        <w:t>,</w:t>
      </w:r>
      <w:r w:rsidRPr="00286ECD">
        <w:rPr>
          <w:rFonts w:ascii="Georgia" w:hAnsi="Georgia" w:cs="Georgia"/>
          <w:color w:val="000000" w:themeColor="text1"/>
          <w:lang w:val="en-GB"/>
        </w:rPr>
        <w:t xml:space="preserve"> despite </w:t>
      </w:r>
      <w:r>
        <w:rPr>
          <w:rFonts w:ascii="Georgia" w:hAnsi="Georgia" w:cs="Georgia"/>
          <w:color w:val="000000" w:themeColor="text1"/>
          <w:lang w:val="en-GB"/>
        </w:rPr>
        <w:t>an increase in</w:t>
      </w:r>
      <w:r w:rsidRPr="00286ECD">
        <w:rPr>
          <w:rFonts w:ascii="Georgia" w:hAnsi="Georgia" w:cs="Georgia"/>
          <w:color w:val="000000" w:themeColor="text1"/>
          <w:lang w:val="en-GB"/>
        </w:rPr>
        <w:t xml:space="preserve"> </w:t>
      </w:r>
      <w:r>
        <w:rPr>
          <w:rFonts w:ascii="Georgia" w:hAnsi="Georgia" w:cs="Georgia"/>
          <w:color w:val="000000" w:themeColor="text1"/>
          <w:lang w:val="en-GB"/>
        </w:rPr>
        <w:t>guild</w:t>
      </w:r>
      <w:r w:rsidRPr="00286ECD">
        <w:rPr>
          <w:rFonts w:ascii="Georgia" w:hAnsi="Georgia" w:cs="Georgia"/>
          <w:color w:val="000000" w:themeColor="text1"/>
          <w:lang w:val="en-GB"/>
        </w:rPr>
        <w:t xml:space="preserve">-weighted </w:t>
      </w:r>
      <w:proofErr w:type="spellStart"/>
      <w:r w:rsidRPr="00286ECD">
        <w:rPr>
          <w:rFonts w:ascii="Georgia" w:hAnsi="Georgia" w:cs="Georgia"/>
          <w:color w:val="000000" w:themeColor="text1"/>
          <w:lang w:val="en-GB"/>
        </w:rPr>
        <w:t>connectance</w:t>
      </w:r>
      <w:proofErr w:type="spellEnd"/>
      <w:r w:rsidRPr="00286ECD">
        <w:rPr>
          <w:rFonts w:ascii="Georgia" w:hAnsi="Georgia" w:cs="Georgia"/>
          <w:color w:val="000000" w:themeColor="text1"/>
          <w:lang w:val="en-GB"/>
        </w:rPr>
        <w:t xml:space="preserve"> (Table 1). </w:t>
      </w:r>
      <w:r w:rsidRPr="00286ECD">
        <w:rPr>
          <w:rFonts w:ascii="Georgia" w:hAnsi="Georgia" w:cs="Helvetica Neue"/>
          <w:color w:val="000000" w:themeColor="text1"/>
          <w:lang w:val="en-GB"/>
        </w:rPr>
        <w:t xml:space="preserve">Our findings, that the two cod ecotypes not only enhance the functional richness of the ecosystem but also contribute to its robustness, </w:t>
      </w:r>
      <w:r>
        <w:rPr>
          <w:rFonts w:ascii="Georgia" w:hAnsi="Georgia" w:cs="Helvetica Neue"/>
          <w:color w:val="000000" w:themeColor="text1"/>
          <w:lang w:val="en-GB"/>
        </w:rPr>
        <w:t xml:space="preserve">suggest the additive impact of the ecotypes coexistence and </w:t>
      </w:r>
      <w:r w:rsidRPr="00286ECD">
        <w:rPr>
          <w:rFonts w:ascii="Georgia" w:hAnsi="Georgia" w:cs="Helvetica Neue"/>
          <w:color w:val="000000" w:themeColor="text1"/>
          <w:lang w:val="en-GB"/>
        </w:rPr>
        <w:t xml:space="preserve">hold potential </w:t>
      </w:r>
      <w:r>
        <w:rPr>
          <w:rFonts w:ascii="Georgia" w:hAnsi="Georgia" w:cs="Helvetica Neue"/>
          <w:color w:val="000000" w:themeColor="text1"/>
          <w:lang w:val="en-GB"/>
        </w:rPr>
        <w:t xml:space="preserve">for </w:t>
      </w:r>
      <w:r w:rsidRPr="00286ECD">
        <w:rPr>
          <w:rFonts w:ascii="Georgia" w:hAnsi="Georgia" w:cs="Helvetica Neue"/>
          <w:color w:val="000000" w:themeColor="text1"/>
          <w:lang w:val="en-GB"/>
        </w:rPr>
        <w:t xml:space="preserve">broader conservation implications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{"citationItems":[{"id":"ITEM-1","itemData":{"DOI":"10.1038/s41559-021-01403-5","ISSN":"2397334X","PMID":"33649544","abstract":"The rapid loss of intraspecific variation is a hidden biodiversity crisis. Intraspecific variation, which includes the genomic and phenotypic diversity found within and among populations, is threatened by local extinctions, abundance declines, and anthropogenic selection. However, biodiversity assessments often fail to highlight this loss of diversity within species. We review the literature on how intraspecific variation supports critical ecological functions and nature’s contributions to people (NCP). Results show that the main categories of NCP (material, non-material, and regulating) are supported by intraspecific variation. We highlight new strategies that are needed to further explore these connections and to make explicit the value of intraspecific variation for NCP. These strategies will require collaboration with local and Indigenous groups who possess critical knowledge on the relationships between intraspecific variation and ecosystem function. New genomic methods provide a promising set of tools to uncover hidden variation. Urgent action is needed to document, conserve, and restore the intraspecific variation that supports nature and people. Thus, we propose that the maintenance and restoration of intraspecific variation should be raised to a major global conservation objective.","author":[{"dropping-particle":"","family":"Roches","given":"Simone","non-dropping-particle":"Des","parse-names":false,"suffix":""},{"dropping-particle":"","family":"Pendleton","given":"Linwood H.","non-dropping-particle":"","parse-names":false,"suffix":""},{"dropping-particle":"","family":"Shapiro","given":"Beth","non-dropping-particle":"","parse-names":false,"suffix":""},{"dropping-particle":"","family":"Palkovacs","given":"Eric P.","non-dropping-particle":"","parse-names":false,"suffix":""}],"container-title":"Nature Ecology and Evolution","id":"ITEM-1","issue":"5","issued":{"date-parts":[["2021"]]},"page":"574-582","publisher":"Springer US","title":"Conserving intraspecific variation for nature’s contributions to people","type":"article-journal","volume":"5"},"uris":["http://www.mendeley.com/documents/?uuid=13902ca2-99ce-4648-976a-c7a309dd7727"]}],"mendeley":{"formattedCitation":"(Des Roches et al., 2021)","plainTextFormattedCitation":"(Des Roches et al., 2021)","previouslyFormattedCitation":"(Des Roches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(Des Roches et al. 2021)</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Higher functional diversity </w:t>
      </w:r>
      <w:r>
        <w:rPr>
          <w:rFonts w:ascii="Georgia" w:hAnsi="Georgia" w:cs="Helvetica Neue"/>
          <w:color w:val="000000" w:themeColor="text1"/>
          <w:lang w:val="en-GB"/>
        </w:rPr>
        <w:t>seems</w:t>
      </w:r>
      <w:r w:rsidRPr="00286ECD">
        <w:rPr>
          <w:rFonts w:ascii="Georgia" w:hAnsi="Georgia" w:cs="Helvetica Neue"/>
          <w:color w:val="000000" w:themeColor="text1"/>
          <w:lang w:val="en-GB"/>
        </w:rPr>
        <w:t xml:space="preserve"> to </w:t>
      </w:r>
      <w:r>
        <w:rPr>
          <w:rFonts w:ascii="Georgia" w:hAnsi="Georgia" w:cs="Helvetica Neue"/>
          <w:color w:val="000000" w:themeColor="text1"/>
          <w:lang w:val="en-GB"/>
        </w:rPr>
        <w:t>buffer against</w:t>
      </w:r>
      <w:r w:rsidRPr="00286ECD">
        <w:rPr>
          <w:rFonts w:ascii="Georgia" w:hAnsi="Georgia" w:cs="Helvetica Neue"/>
          <w:color w:val="000000" w:themeColor="text1"/>
          <w:lang w:val="en-GB"/>
        </w:rPr>
        <w:t xml:space="preserve"> random extinctions, </w:t>
      </w:r>
      <w:r>
        <w:rPr>
          <w:rFonts w:ascii="Georgia" w:hAnsi="Georgia" w:cs="Helvetica Neue"/>
          <w:color w:val="000000" w:themeColor="text1"/>
          <w:lang w:val="en-GB"/>
        </w:rPr>
        <w:t>supporting the idea that complexity fosters resilience</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This addresses o</w:t>
      </w:r>
      <w:r w:rsidRPr="00286ECD">
        <w:rPr>
          <w:rFonts w:ascii="Georgia" w:hAnsi="Georgia" w:cs="Helvetica Neue"/>
          <w:color w:val="000000" w:themeColor="text1"/>
          <w:lang w:val="en-GB"/>
        </w:rPr>
        <w:t xml:space="preserve">ne of the central </w:t>
      </w:r>
      <w:r>
        <w:rPr>
          <w:rFonts w:ascii="Georgia" w:hAnsi="Georgia" w:cs="Helvetica Neue"/>
          <w:color w:val="000000" w:themeColor="text1"/>
          <w:lang w:val="en-GB"/>
        </w:rPr>
        <w:t>questions</w:t>
      </w:r>
      <w:r w:rsidRPr="00286ECD">
        <w:rPr>
          <w:rFonts w:ascii="Georgia" w:hAnsi="Georgia" w:cs="Helvetica Neue"/>
          <w:color w:val="000000" w:themeColor="text1"/>
          <w:lang w:val="en-GB"/>
        </w:rPr>
        <w:t xml:space="preserve"> in ecology</w:t>
      </w:r>
      <w:r>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whether </w:t>
      </w:r>
      <w:r>
        <w:rPr>
          <w:rFonts w:ascii="Georgia" w:hAnsi="Georgia" w:cs="Helvetica Neue"/>
          <w:color w:val="000000" w:themeColor="text1"/>
          <w:lang w:val="en-GB"/>
        </w:rPr>
        <w:t>increased</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community </w:t>
      </w:r>
      <w:r w:rsidRPr="00286ECD">
        <w:rPr>
          <w:rFonts w:ascii="Georgia" w:hAnsi="Georgia" w:cs="Helvetica Neue"/>
          <w:color w:val="000000" w:themeColor="text1"/>
          <w:lang w:val="en-GB"/>
        </w:rPr>
        <w:t>complexity</w:t>
      </w:r>
      <w:r>
        <w:rPr>
          <w:rFonts w:ascii="Georgia" w:hAnsi="Georgia" w:cs="Helvetica Neue"/>
          <w:color w:val="000000" w:themeColor="text1"/>
          <w:lang w:val="en-GB"/>
        </w:rPr>
        <w:t xml:space="preserve">, with more </w:t>
      </w:r>
      <w:r w:rsidRPr="00286ECD">
        <w:rPr>
          <w:rFonts w:ascii="Georgia" w:hAnsi="Georgia" w:cs="Helvetica Neue"/>
          <w:color w:val="000000" w:themeColor="text1"/>
          <w:lang w:val="en-GB"/>
        </w:rPr>
        <w:t>opportunities for ecological interactions</w:t>
      </w:r>
      <w:r>
        <w:rPr>
          <w:rFonts w:ascii="Georgia" w:hAnsi="Georgia" w:cs="Helvetica Neue"/>
          <w:color w:val="000000" w:themeColor="text1"/>
          <w:lang w:val="en-GB"/>
        </w:rPr>
        <w:t xml:space="preserve">, enhances </w:t>
      </w:r>
      <w:r w:rsidRPr="00286ECD">
        <w:rPr>
          <w:rFonts w:ascii="Georgia" w:hAnsi="Georgia" w:cs="Helvetica Neue"/>
          <w:color w:val="000000" w:themeColor="text1"/>
          <w:lang w:val="en-GB"/>
        </w:rPr>
        <w:t xml:space="preserve">ecosystem stability, or if alternative eco-evolutionary mechanisms are at play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{"citationItems":[{"id":"ITEM-1","itemData":{"DOI":"10.2307/1929601","ISSN":"00129658","abstract":"See full-text article at JSTOR","author":[{"dropping-particle":"","family":"MacArthur","given":"Robert","non-dropping-particle":"","parse-names":false,"suffix":""}],"container-title":"Ecology","id":"ITEM-1","issue":"3","issued":{"date-parts":[["1955"]]},"page":"533","title":"Fluctuations of Animal Populations and a Measure of Community Stability","type":"article-journal","volume":"36"},"uris":["http://www.mendeley.com/documents/?uuid=a19683a7-898a-478c-87b7-9a301916a5fe"]},{"id":"ITEM-2","itemData":{"author":[{"dropping-particle":"","family":"Elton","given":"C.S.","non-dropping-particle":"","parse-names":false,"suffix":""}],"id":"ITEM-2","issued":{"date-parts":[["1958"]]},"number-of-pages":"159","publisher":"Methuen Ltd.","publisher-place":"London, England","title":"The ecology of invasions by animals and plants","type":"book"},"uris":["http://www.mendeley.com/documents/?uuid=124166e8-cf39-4717-93e8-dcebb897f86d"]},{"id":"ITEM-3","itemData":{"abstract":"We discuss deductions that can be made as to the stability of multispecies com- munities, knowing only the structure of the food web, i.e., knowing only the signs of the ele- ments in the interaction matrix. Systems which are stable in these circumstances are called qualitatively stable and have been treated in economic and other contexts. The discussion touches upon general aspects of the relation between complexity and stability in multispecies systems, and in particular suggests that on stability grounds predator-prey bonds should be more common than mutualistic ones. This result is not intuitively obvious, but is a feature of many real-world ecosystems.","author":[{"dropping-particle":"","family":"May","given":"Robert M.","non-dropping-particle":"","parse-names":false,"suffix":""}],"container-title":"Ecology","id":"ITEM-3","issue":"3","issued":{"date-parts":[["1973"]]},"page":"638-641","title":"Qualitative Stability in Model Ecosystems","type":"article-journal","volume":"54"},"uris":["http://www.mendeley.com/documents/?uuid=16549dd9-a81f-4342-867e-984e8d621e8d"]},{"id":"ITEM-4","itemData":{"abstract":"Computer studies by Gardner and Ashby (1970) show that large randomly connected systems have a decreasing probability of being stable as the number of connections increases. These conclusions are not appropriate to some plausible food web models. If the food web is characterized by low assimilation efficiencies, a bias toward strong self-regulation of higher trophic level species, or a bias toward donor dependence, the probability of stability can increase with increasing connectance.","author":[{"dropping-particle":"","family":"Angelis","given":"D. L.","non-dropping-particle":"De","parse-names":false,"suffix":""}],"container-title":"Ecology","id":"ITEM-4","issue":"1","issued":{"date-parts":[["1975"]]},"page":"238-243","title":"Stability and Connectance in Food Web Models","type":"article-journal","volume":"56"},"uris":["http://www.mendeley.com/documents/?uuid=2178e312-65e9-4e16-be2f-713540e6765a"]}],"mendeley":{"formattedCitation":"(De Angelis, 1975; Elton, 1958; MacArthur, 1955; May, 1973)","plainTextFormattedCitation":"(De Angelis, 1975; Elton, 1958; MacArthur, 1955; May, 1973)","previouslyFormattedCitation":"(De Angelis, 1975; Elton, 1958; MacArthur, 1955; May, 1973)"},"properties":{"noteIndex":0},"schema":"https://github.com/citation-style-language/schema/raw/master/csl-citation.json"}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(De Angelis 1975; May 1973</w:t>
      </w:r>
      <w:r>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Elton 1958; MacArthur 1955)</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p>
    <w:p w14:paraId="6AC51E93" w14:textId="7B4CF30B" w:rsidR="005E45D8" w:rsidRPr="00286ECD" w:rsidRDefault="005E45D8" w:rsidP="005E45D8">
      <w:pPr>
        <w:autoSpaceDE w:val="0"/>
        <w:autoSpaceDN w:val="0"/>
        <w:adjustRightInd w:val="0"/>
        <w:spacing w:line="480" w:lineRule="auto"/>
        <w:jc w:val="both"/>
        <w:rPr>
          <w:rFonts w:ascii="Georgia" w:hAnsi="Georgia" w:cs="Georgia"/>
          <w:color w:val="000000" w:themeColor="text1"/>
          <w:lang w:val="en-GB"/>
        </w:rPr>
      </w:pPr>
      <w:r w:rsidRPr="00286ECD">
        <w:rPr>
          <w:rFonts w:ascii="Georgia" w:hAnsi="Georgia" w:cs="Georgia"/>
          <w:color w:val="000000" w:themeColor="text1"/>
          <w:lang w:val="en-GB"/>
        </w:rPr>
        <w:t xml:space="preserve">Partitioning fish species into age classes </w:t>
      </w:r>
      <w:r>
        <w:rPr>
          <w:rFonts w:ascii="Georgia" w:hAnsi="Georgia" w:cs="Georgia"/>
          <w:color w:val="000000" w:themeColor="text1"/>
          <w:lang w:val="en-GB"/>
        </w:rPr>
        <w:t>with</w:t>
      </w:r>
      <w:r w:rsidRPr="00286ECD">
        <w:rPr>
          <w:rFonts w:ascii="Georgia" w:hAnsi="Georgia" w:cs="Georgia"/>
          <w:color w:val="000000" w:themeColor="text1"/>
          <w:lang w:val="en-GB"/>
        </w:rPr>
        <w:t xml:space="preserve"> tailored dietary niche</w:t>
      </w:r>
      <w:r>
        <w:rPr>
          <w:rFonts w:ascii="Georgia" w:hAnsi="Georgia" w:cs="Georgia"/>
          <w:color w:val="000000" w:themeColor="text1"/>
          <w:lang w:val="en-GB"/>
        </w:rPr>
        <w:t>s</w:t>
      </w:r>
      <w:r w:rsidRPr="00286ECD">
        <w:rPr>
          <w:rFonts w:ascii="Georgia" w:hAnsi="Georgia" w:cs="Georgia"/>
          <w:color w:val="000000" w:themeColor="text1"/>
          <w:lang w:val="en-GB"/>
        </w:rPr>
        <w:t xml:space="preserve"> </w:t>
      </w:r>
      <w:r>
        <w:rPr>
          <w:rFonts w:ascii="Georgia" w:hAnsi="Georgia" w:cs="Georgia"/>
          <w:color w:val="000000" w:themeColor="text1"/>
          <w:lang w:val="en-GB"/>
        </w:rPr>
        <w:t>affected other</w:t>
      </w:r>
      <w:r w:rsidRPr="00286ECD">
        <w:rPr>
          <w:rFonts w:ascii="Georgia" w:hAnsi="Georgia" w:cs="Georgia"/>
          <w:color w:val="000000" w:themeColor="text1"/>
          <w:lang w:val="en-GB"/>
        </w:rPr>
        <w:t xml:space="preserve"> topological metrics</w:t>
      </w:r>
      <w:r>
        <w:rPr>
          <w:rFonts w:ascii="Georgia" w:hAnsi="Georgia" w:cs="Georgia"/>
          <w:color w:val="000000" w:themeColor="text1"/>
          <w:lang w:val="en-GB"/>
        </w:rPr>
        <w:t xml:space="preserve"> in our study</w:t>
      </w:r>
      <w:r w:rsidRPr="00286ECD">
        <w:rPr>
          <w:rFonts w:ascii="Georgia" w:hAnsi="Georgia" w:cs="Georgia"/>
          <w:color w:val="000000" w:themeColor="text1"/>
          <w:lang w:val="en-GB"/>
        </w:rPr>
        <w:t xml:space="preserve">. </w:t>
      </w:r>
      <w:proofErr w:type="spellStart"/>
      <w:r w:rsidRPr="00286ECD">
        <w:rPr>
          <w:rFonts w:ascii="Georgia" w:hAnsi="Georgia" w:cs="Georgia"/>
          <w:color w:val="000000" w:themeColor="text1"/>
          <w:lang w:val="en-GB"/>
        </w:rPr>
        <w:t>Omnivory</w:t>
      </w:r>
      <w:proofErr w:type="spellEnd"/>
      <w:r w:rsidRPr="00286ECD">
        <w:rPr>
          <w:rFonts w:ascii="Georgia" w:hAnsi="Georgia" w:cs="Georgia"/>
          <w:color w:val="000000" w:themeColor="text1"/>
          <w:lang w:val="en-GB"/>
        </w:rPr>
        <w:t xml:space="preserve"> and  mean trophic level in </w:t>
      </w:r>
      <w:r>
        <w:rPr>
          <w:rFonts w:ascii="Georgia" w:hAnsi="Georgia" w:cs="Georgia"/>
          <w:color w:val="000000" w:themeColor="text1"/>
          <w:lang w:val="en-GB"/>
        </w:rPr>
        <w:t xml:space="preserve">the </w:t>
      </w:r>
      <w:r w:rsidRPr="00286ECD">
        <w:rPr>
          <w:rFonts w:ascii="Georgia" w:hAnsi="Georgia" w:cs="Georgia"/>
          <w:color w:val="000000" w:themeColor="text1"/>
          <w:lang w:val="en-GB"/>
        </w:rPr>
        <w:t xml:space="preserve">Skagerrak </w:t>
      </w:r>
      <w:r>
        <w:rPr>
          <w:rFonts w:ascii="Georgia" w:hAnsi="Georgia" w:cs="Georgia"/>
          <w:color w:val="000000" w:themeColor="text1"/>
          <w:lang w:val="en-GB"/>
        </w:rPr>
        <w:lastRenderedPageBreak/>
        <w:t xml:space="preserve">food web </w:t>
      </w:r>
      <w:r w:rsidRPr="00286ECD">
        <w:rPr>
          <w:rFonts w:ascii="Georgia" w:hAnsi="Georgia" w:cs="Georgia"/>
          <w:color w:val="000000" w:themeColor="text1"/>
          <w:lang w:val="en-GB"/>
        </w:rPr>
        <w:t xml:space="preserve">were </w:t>
      </w:r>
      <w:r>
        <w:rPr>
          <w:rFonts w:ascii="Georgia" w:hAnsi="Georgia" w:cs="Georgia"/>
          <w:color w:val="000000" w:themeColor="text1"/>
          <w:lang w:val="en-GB"/>
        </w:rPr>
        <w:t>higher</w:t>
      </w:r>
      <w:r w:rsidRPr="00286ECD">
        <w:rPr>
          <w:rFonts w:ascii="Georgia" w:hAnsi="Georgia" w:cs="Georgia"/>
          <w:color w:val="000000" w:themeColor="text1"/>
          <w:lang w:val="en-GB"/>
        </w:rPr>
        <w:t xml:space="preserve"> compared to food webs </w:t>
      </w:r>
      <w:r>
        <w:rPr>
          <w:rFonts w:ascii="Georgia" w:hAnsi="Georgia" w:cs="Georgia"/>
          <w:color w:val="000000" w:themeColor="text1"/>
          <w:lang w:val="en-GB"/>
        </w:rPr>
        <w:t>that did not account for ontogenetic dietary shifts</w:t>
      </w:r>
      <w:r w:rsidRPr="00286ECD">
        <w:rPr>
          <w:rFonts w:ascii="Georgia" w:hAnsi="Georgia" w:cs="Georgia"/>
          <w:color w:val="000000" w:themeColor="text1"/>
          <w:lang w:val="en-GB"/>
        </w:rPr>
        <w:t xml:space="preserve">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{"citationItems":[{"id":"ITEM-1","itemData":{"DOI":"10.1038/s41598-022-14363-y","ISBN":"4159802214","ISSN":"20452322","PMID":"35760984","abstract":"Demersal fisheries are one of the top anthropic stressors in marine environments. In the long term, some species are more vulnerable to fishery impacts than others, which can lead to permanent changes on the food web. The trophic relationships between predator and prey constitute the food web and it represents a network of the energy channels in an ecosystem. In turn, the network structure influences ecosystem diversity and stability. The first aim of this study was to describe for the first time the food web of the San Jorge Gulf (Patagonia Argentina) with high resolution, i.e. to the species level when information is available. The San Jorge Gulf was subject to intense fisheries thus our second aim is to analyse the food web structure with and without fishery to evaluate if the bottom-trawl industrial fishery altered the network structure and stability. We used several network metrics like: mean trophic level, omnivory, modularity and quasi-sign stability. We included these metrics because they are related to stability and can be evaluated using predator diets that can weight the links between predators and prey. The network presented 165 species organized in almost five trophic levels. The inclusion of a fishery node adds 69 new trophic links. All weighted and unweighted metrics showed differences between the two networks, reflecting a decrease in stability when fishery was included in the system. Thus, our results suggested a probable change of state of the system. The observed changes in species abundances since the fishery was established, could represent the state change predicted by network analysis. Our results suggests that changes in the stability of food webs can be used to evaluate the impacts of human activity on ecosystems.","author":[{"dropping-particle":"","family":"Funes","given":"Manuela","non-dropping-particle":"","parse-names":false,"suffix":""},{"dropping-particle":"","family":"Saravia","given":"Leonardo A.","non-dropping-particle":"","parse-names":false,"suffix":""},{"dropping-particle":"","family":"Cordone","given":"Georgina","non-dropping-particle":"","parse-names":false,"suffix":""},{"dropping-particle":"","family":"Iribarne","given":"Oscar O.","non-dropping-particle":"","parse-names":false,"suffix":""},{"dropping-particle":"","family":"Galván","given":"David E.","non-dropping-particle":"","parse-names":false,"suffix":""}],"container-title":"Scientific Reports","id":"ITEM-1","issue":"1","issued":{"date-parts":[["2022"]]},"page":"1-10","publisher":"Nature Publishing Group UK","title":"Network analysis suggests changes in food web stability produced by bottom trawl fishery in Patagonia","type":"article-journal","volume":"12"},"uris":["http://www.mendeley.com/documents/?uuid=6b1588d5-15df-4c0b-84b0-172cfed18074"]},{"id":"ITEM-2","itemData":{"DOI":"10.1111/ecog.04461","ISBN":"0000000264","ISSN":"16000587","abstract":"Ecological communities are constantly being reshaped in the face of environmental change and anthropogenic pressures. Yet, how food webs change over time remains poorly understood. Food web science is characterized by a trade-off between complexity (in terms of the number of species and feeding links) and dynamics. Topological analysis can use complex, highly resolved empirical food web models to explore the architecture of feeding interactions but is limited to a static view, whereas ecosystem models can be dynamic but use highly aggregated food webs. Here, we explore the temporal dynamics of a highly resolved empirical food web over a time period of 18 years, using the German Bight fish and benthic epifauna community as our case study. We relied on long-term monitoring ecosystem surveys (from 1998 to 2015) to build a metaweb, i.e. the meta food web containing all species recorded over the time span of our study. We then combined time series of species abundances with topological network analysis to construct annual food web snapshots. We developed a new approach, ‘node-weighted’ food web metrics by including species abundances to represent the temporal dynamics of food web structure, focusing on generality and vulnerability. Our results suggest that structural food web properties change through time; however, binary food web structural properties may not be as temporally variable as the underlying changes in species composition. Further, the node-weighted metrics enabled us to detect that food web structure was influenced by changes in species composition during the first half of the time series and more strongly by changes in species dominance during the second half. Our results demonstrate how ecosystem surveys can be used to monitor temporal changes in food web structure, which are important ecosystem indicators for building marine management and conservation plans.","author":[{"dropping-particle":"","family":"Olivier","given":"Pierre","non-dropping-particle":"","parse-names":false,"suffix":""},{"dropping-particle":"","family":"Frelat","given":"Romain","non-dropping-particle":"","parse-names":false,"suffix":""},{"dropping-particle":"","family":"Bonsdorff","given":"Erik","non-dropping-particle":"","parse-names":false,"suffix":""},{"dropping-particle":"","family":"Kortsch","given":"Susanne","non-dropping-particle":"","parse-names":false,"suffix":""},{"dropping-particle":"","family":"Kröncke","given":"Ingrid","non-dropping-particle":"","parse-names":false,"suffix":""},{"dropping-particle":"","family":"Möllmann","given":"Christian","non-dropping-particle":"","parse-names":false,"suffix":""},{"dropping-particle":"","family":"Neumann","given":"Hermann","non-dropping-particle":"","parse-names":false,"suffix":""},{"dropping-particle":"","family":"Sell","given":"Anne F.","non-dropping-particle":"","parse-names":false,"suffix":""},{"dropping-particle":"","family":"Nordström","given":"Marie C.","non-dropping-particle":"","parse-names":false,"suffix":""}],"container-title":"Ecography","id":"ITEM-2","issue":"12","issued":{"date-parts":[["2019"]]},"page":"2107-2121","title":"Exploring the temporal variability of a food web using long-term biomonitoring data","type":"article-journal","volume":"42"},"uris":["http://www.mendeley.com/documents/?uuid=5e88327c-e598-497d-b438-9d6131387e39"]}],"mendeley":{"formattedCitation":"(Funes et al., 2022; Olivier et al., 2019)","plainTextFormattedCitation":"(Funes et al., 2022; Olivier et al., 2019)","previouslyFormattedCitation":"(Funes et al., 2022; Olivier et al., 2019)"},"properties":{"noteIndex":0},"schema":"https://github.com/citation-style-language/schema/raw/master/csl-citation.json"}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(Funes et al. 2022; Olivier et al. 2019)</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r>
        <w:rPr>
          <w:rFonts w:ascii="Georgia" w:hAnsi="Georgia" w:cs="Georgia"/>
          <w:color w:val="000000" w:themeColor="text1"/>
          <w:lang w:val="en-GB"/>
        </w:rPr>
        <w:t xml:space="preserve">Higher </w:t>
      </w:r>
      <w:r w:rsidRPr="00286ECD">
        <w:rPr>
          <w:rFonts w:ascii="Georgia" w:hAnsi="Georgia" w:cs="Georgia"/>
          <w:color w:val="000000" w:themeColor="text1"/>
          <w:lang w:val="en-GB"/>
        </w:rPr>
        <w:t xml:space="preserve">rate of feeding at more than one trophic level and the strength of such </w:t>
      </w:r>
      <w:proofErr w:type="spellStart"/>
      <w:r>
        <w:rPr>
          <w:rFonts w:ascii="Georgia" w:hAnsi="Georgia" w:cs="Georgia"/>
          <w:color w:val="000000" w:themeColor="text1"/>
          <w:lang w:val="en-GB"/>
        </w:rPr>
        <w:t>omnivourous</w:t>
      </w:r>
      <w:proofErr w:type="spellEnd"/>
      <w:r>
        <w:rPr>
          <w:rFonts w:ascii="Georgia" w:hAnsi="Georgia" w:cs="Georgia"/>
          <w:color w:val="000000" w:themeColor="text1"/>
          <w:lang w:val="en-GB"/>
        </w:rPr>
        <w:t xml:space="preserve"> </w:t>
      </w:r>
      <w:r w:rsidRPr="00286ECD">
        <w:rPr>
          <w:rFonts w:ascii="Georgia" w:hAnsi="Georgia" w:cs="Georgia"/>
          <w:color w:val="000000" w:themeColor="text1"/>
          <w:lang w:val="en-GB"/>
        </w:rPr>
        <w:t xml:space="preserve">interactions </w:t>
      </w:r>
      <w:r>
        <w:rPr>
          <w:rFonts w:ascii="Georgia" w:hAnsi="Georgia" w:cs="Georgia"/>
          <w:color w:val="000000" w:themeColor="text1"/>
          <w:lang w:val="en-GB"/>
        </w:rPr>
        <w:t xml:space="preserve">can destabilize </w:t>
      </w:r>
      <w:r w:rsidRPr="00286ECD">
        <w:rPr>
          <w:rFonts w:ascii="Georgia" w:hAnsi="Georgia" w:cs="Georgia"/>
          <w:color w:val="000000" w:themeColor="text1"/>
          <w:lang w:val="en-GB"/>
        </w:rPr>
        <w:t>food web</w:t>
      </w:r>
      <w:r>
        <w:rPr>
          <w:rFonts w:ascii="Georgia" w:hAnsi="Georgia" w:cs="Georgia"/>
          <w:color w:val="000000" w:themeColor="text1"/>
          <w:lang w:val="en-GB"/>
        </w:rPr>
        <w:t xml:space="preserve">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{"citationItems":[{"id":"ITEM-1","itemData":{"DOI":"10.1086/663191","ISSN":"00030147","PMID":"22173458","abstract":"Despite attempts at reconciliation, the role of omnivory in food web stability remains unclear. Here we develop a novel community matrix approach that is analogous to the bifurcation method of modular food web theory to show that the stability of omnivorous food chains depends critically on interaction strength. We find that there are only six possible ways that omnivorous interaction strengths can influence the stability of linear food chains. The results from these six cases suggest that: (1) strong omnivory is always destabilizing, (2) stabilization by weak to intermediate omnivorous interaction strengths dominates the set of possible stability responses, and, (3) omnivory can be occasionally strictly destabilizing or intermittently destabilizing. We then revisit the classical results of Pimm and Lawton to show that although their parameterization tends to produce a low percentage of stable omnivorous webs, the same parameterization shows strong theoretical support for the weak interaction effect. Finally, we end by arguing that our current empirical knowledge of omnivory resonates with this general theory. © 2011 by The University of Chicago.","author":[{"dropping-particle":"","family":"Gellner","given":"Gabriel","non-dropping-particle":"","parse-names":false,"suffix":""},{"dropping-particle":"","family":"McCann","given":"Kevin","non-dropping-particle":"","parse-names":false,"suffix":""}],"container-title":"American Naturalist","id":"ITEM-1","issue":"1","issued":{"date-parts":[["2012"]]},"page":"22-37","title":"Reconciling the omnivory-stability debate","type":"article-journal","volume":"179"},"uris":["http://www.mendeley.com/documents/?uuid=d2ea2bf3-49d8-420c-848a-a8058471b058"]}],"mendeley":{"formattedCitation":"(Gellner &amp; McCann, 2012)","plainTextFormattedCitation":"(Gellner &amp; McCann, 2012)","previouslyFormattedCitation":"(Gellner &amp; McCann, 2012)"},"properties":{"noteIndex":0},"schema":"https://github.com/citation-style-language/schema/raw/master/csl-citation.json"}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(Gellner &amp; McCann 2012)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r>
        <w:rPr>
          <w:rFonts w:ascii="Georgia" w:hAnsi="Georgia" w:cs="Georgia"/>
          <w:color w:val="000000" w:themeColor="text1"/>
          <w:lang w:val="en-GB"/>
        </w:rPr>
        <w:t>However</w:t>
      </w:r>
      <w:r w:rsidRPr="00286ECD">
        <w:rPr>
          <w:rFonts w:ascii="Georgia" w:hAnsi="Georgia" w:cs="Georgia"/>
          <w:color w:val="000000" w:themeColor="text1"/>
          <w:lang w:val="en-GB"/>
        </w:rPr>
        <w:t xml:space="preserve">, </w:t>
      </w:r>
      <w:proofErr w:type="spellStart"/>
      <w:r w:rsidRPr="00286ECD">
        <w:rPr>
          <w:rFonts w:ascii="Georgia" w:hAnsi="Georgia" w:cs="Georgia"/>
          <w:color w:val="000000" w:themeColor="text1"/>
          <w:lang w:val="en-GB"/>
        </w:rPr>
        <w:t>omnivory</w:t>
      </w:r>
      <w:proofErr w:type="spellEnd"/>
      <w:r w:rsidRPr="00286ECD">
        <w:rPr>
          <w:rFonts w:ascii="Georgia" w:hAnsi="Georgia" w:cs="Georgia"/>
          <w:color w:val="000000" w:themeColor="text1"/>
          <w:lang w:val="en-GB"/>
        </w:rPr>
        <w:t xml:space="preserve"> </w:t>
      </w:r>
      <w:r>
        <w:rPr>
          <w:rFonts w:ascii="Georgia" w:hAnsi="Georgia" w:cs="Georgia"/>
          <w:color w:val="000000" w:themeColor="text1"/>
          <w:lang w:val="en-GB"/>
        </w:rPr>
        <w:t>resulting</w:t>
      </w:r>
      <w:r w:rsidRPr="00286ECD">
        <w:rPr>
          <w:rFonts w:ascii="Georgia" w:hAnsi="Georgia" w:cs="Georgia"/>
          <w:color w:val="000000" w:themeColor="text1"/>
          <w:lang w:val="en-GB"/>
        </w:rPr>
        <w:t xml:space="preserve"> from ontogenetic development, </w:t>
      </w:r>
      <w:r>
        <w:rPr>
          <w:rFonts w:ascii="Georgia" w:hAnsi="Georgia" w:cs="Georgia"/>
          <w:color w:val="000000" w:themeColor="text1"/>
          <w:lang w:val="en-GB"/>
        </w:rPr>
        <w:t>which</w:t>
      </w:r>
      <w:r w:rsidRPr="00286ECD">
        <w:rPr>
          <w:rFonts w:ascii="Georgia" w:hAnsi="Georgia" w:cs="Georgia"/>
          <w:color w:val="000000" w:themeColor="text1"/>
          <w:lang w:val="en-GB"/>
        </w:rPr>
        <w:t xml:space="preserve"> manifest</w:t>
      </w:r>
      <w:r>
        <w:rPr>
          <w:rFonts w:ascii="Georgia" w:hAnsi="Georgia" w:cs="Georgia"/>
          <w:color w:val="000000" w:themeColor="text1"/>
          <w:lang w:val="en-GB"/>
        </w:rPr>
        <w:t>s</w:t>
      </w:r>
      <w:r w:rsidRPr="00286ECD">
        <w:rPr>
          <w:rFonts w:ascii="Georgia" w:hAnsi="Georgia" w:cs="Georgia"/>
          <w:color w:val="000000" w:themeColor="text1"/>
          <w:lang w:val="en-GB"/>
        </w:rPr>
        <w:t xml:space="preserve"> </w:t>
      </w:r>
      <w:r>
        <w:rPr>
          <w:rFonts w:ascii="Georgia" w:hAnsi="Georgia" w:cs="Georgia"/>
          <w:color w:val="000000" w:themeColor="text1"/>
          <w:lang w:val="en-GB"/>
        </w:rPr>
        <w:t>across</w:t>
      </w:r>
      <w:r w:rsidRPr="00286ECD">
        <w:rPr>
          <w:rFonts w:ascii="Georgia" w:hAnsi="Georgia" w:cs="Georgia"/>
          <w:color w:val="000000" w:themeColor="text1"/>
          <w:lang w:val="en-GB"/>
        </w:rPr>
        <w:t xml:space="preserve"> different life-history stages, has been </w:t>
      </w:r>
      <w:r>
        <w:rPr>
          <w:rFonts w:ascii="Georgia" w:hAnsi="Georgia" w:cs="Georgia"/>
          <w:color w:val="000000" w:themeColor="text1"/>
          <w:lang w:val="en-GB"/>
        </w:rPr>
        <w:t>shown</w:t>
      </w:r>
      <w:r w:rsidRPr="00286ECD">
        <w:rPr>
          <w:rFonts w:ascii="Georgia" w:hAnsi="Georgia" w:cs="Georgia"/>
          <w:color w:val="000000" w:themeColor="text1"/>
          <w:lang w:val="en-GB"/>
        </w:rPr>
        <w:t xml:space="preserve"> to yield stabilizing effects within the food webs. </w:t>
      </w:r>
      <w:r>
        <w:rPr>
          <w:rFonts w:ascii="Georgia" w:hAnsi="Georgia" w:cs="Georgia"/>
          <w:color w:val="000000" w:themeColor="text1"/>
          <w:lang w:val="en-GB"/>
        </w:rPr>
        <w:t>Our</w:t>
      </w:r>
      <w:r w:rsidRPr="00286ECD">
        <w:rPr>
          <w:rFonts w:ascii="Georgia" w:hAnsi="Georgia" w:cs="Georgia"/>
          <w:color w:val="000000" w:themeColor="text1"/>
          <w:lang w:val="en-GB"/>
        </w:rPr>
        <w:t xml:space="preserve"> ATN </w:t>
      </w:r>
      <w:r>
        <w:rPr>
          <w:rFonts w:ascii="Georgia" w:hAnsi="Georgia" w:cs="Georgia"/>
          <w:color w:val="000000" w:themeColor="text1"/>
          <w:lang w:val="en-GB"/>
        </w:rPr>
        <w:t xml:space="preserve">model </w:t>
      </w:r>
      <w:r w:rsidRPr="00286ECD">
        <w:rPr>
          <w:rFonts w:ascii="Georgia" w:hAnsi="Georgia" w:cs="Georgia"/>
          <w:color w:val="000000" w:themeColor="text1"/>
          <w:lang w:val="en-GB"/>
        </w:rPr>
        <w:t xml:space="preserve">does not explicitly </w:t>
      </w:r>
      <w:r>
        <w:rPr>
          <w:rFonts w:ascii="Georgia" w:hAnsi="Georgia" w:cs="Georgia"/>
          <w:color w:val="000000" w:themeColor="text1"/>
          <w:lang w:val="en-GB"/>
        </w:rPr>
        <w:t>account</w:t>
      </w:r>
      <w:r w:rsidRPr="00286ECD">
        <w:rPr>
          <w:rFonts w:ascii="Georgia" w:hAnsi="Georgia" w:cs="Georgia"/>
          <w:color w:val="000000" w:themeColor="text1"/>
          <w:lang w:val="en-GB"/>
        </w:rPr>
        <w:t xml:space="preserve"> </w:t>
      </w:r>
      <w:r>
        <w:rPr>
          <w:rFonts w:ascii="Georgia" w:hAnsi="Georgia" w:cs="Georgia"/>
          <w:color w:val="000000" w:themeColor="text1"/>
          <w:lang w:val="en-GB"/>
        </w:rPr>
        <w:t>for</w:t>
      </w:r>
      <w:r w:rsidRPr="00286ECD">
        <w:rPr>
          <w:rFonts w:ascii="Georgia" w:hAnsi="Georgia" w:cs="Georgia"/>
          <w:color w:val="000000" w:themeColor="text1"/>
          <w:lang w:val="en-GB"/>
        </w:rPr>
        <w:t xml:space="preserve"> the relative strength of feeding </w:t>
      </w:r>
      <w:r w:rsidR="00C228A7" w:rsidRPr="00286ECD">
        <w:rPr>
          <w:rFonts w:ascii="Georgia" w:hAnsi="Georgia" w:cs="Georgia"/>
          <w:color w:val="000000" w:themeColor="text1"/>
          <w:lang w:val="en-GB"/>
        </w:rPr>
        <w:t>interactions</w:t>
      </w:r>
      <w:r w:rsidRPr="00286ECD">
        <w:rPr>
          <w:rFonts w:ascii="Georgia" w:hAnsi="Georgia" w:cs="Georgia"/>
          <w:color w:val="000000" w:themeColor="text1"/>
          <w:lang w:val="en-GB"/>
        </w:rPr>
        <w:t xml:space="preserve">. </w:t>
      </w:r>
      <w:r>
        <w:rPr>
          <w:rFonts w:ascii="Georgia" w:hAnsi="Georgia" w:cs="Georgia"/>
          <w:color w:val="000000" w:themeColor="text1"/>
          <w:lang w:val="en-GB"/>
        </w:rPr>
        <w:t>Once</w:t>
      </w:r>
      <w:r w:rsidRPr="00286ECD">
        <w:rPr>
          <w:rFonts w:ascii="Georgia" w:hAnsi="Georgia" w:cs="Georgia"/>
          <w:color w:val="000000" w:themeColor="text1"/>
          <w:lang w:val="en-GB"/>
        </w:rPr>
        <w:t xml:space="preserve"> connections between predators, consumers, and their prospective prey and resources</w:t>
      </w:r>
      <w:r>
        <w:rPr>
          <w:rFonts w:ascii="Georgia" w:hAnsi="Georgia" w:cs="Georgia"/>
          <w:color w:val="000000" w:themeColor="text1"/>
          <w:lang w:val="en-GB"/>
        </w:rPr>
        <w:t xml:space="preserve"> are established</w:t>
      </w:r>
      <w:r w:rsidRPr="00286ECD">
        <w:rPr>
          <w:rFonts w:ascii="Georgia" w:hAnsi="Georgia" w:cs="Georgia"/>
          <w:color w:val="000000" w:themeColor="text1"/>
          <w:lang w:val="en-GB"/>
        </w:rPr>
        <w:t xml:space="preserve">, feeding pressure </w:t>
      </w:r>
      <w:r>
        <w:rPr>
          <w:rFonts w:ascii="Georgia" w:hAnsi="Georgia" w:cs="Georgia"/>
          <w:color w:val="000000" w:themeColor="text1"/>
          <w:lang w:val="en-GB"/>
        </w:rPr>
        <w:t>is</w:t>
      </w:r>
      <w:r w:rsidRPr="00286ECD">
        <w:rPr>
          <w:rFonts w:ascii="Georgia" w:hAnsi="Georgia" w:cs="Georgia"/>
          <w:color w:val="000000" w:themeColor="text1"/>
          <w:lang w:val="en-GB"/>
        </w:rPr>
        <w:t xml:space="preserve"> uniformly distributed among all available diet options. However, if one prey </w:t>
      </w:r>
      <w:r>
        <w:rPr>
          <w:rFonts w:ascii="Georgia" w:hAnsi="Georgia" w:cs="Georgia"/>
          <w:color w:val="000000" w:themeColor="text1"/>
          <w:lang w:val="en-GB"/>
        </w:rPr>
        <w:t>guild</w:t>
      </w:r>
      <w:r w:rsidRPr="00286ECD">
        <w:rPr>
          <w:rFonts w:ascii="Georgia" w:hAnsi="Georgia" w:cs="Georgia"/>
          <w:color w:val="000000" w:themeColor="text1"/>
          <w:lang w:val="en-GB"/>
        </w:rPr>
        <w:t xml:space="preserve"> face</w:t>
      </w:r>
      <w:r>
        <w:rPr>
          <w:rFonts w:ascii="Georgia" w:hAnsi="Georgia" w:cs="Georgia"/>
          <w:color w:val="000000" w:themeColor="text1"/>
          <w:lang w:val="en-GB"/>
        </w:rPr>
        <w:t>s</w:t>
      </w:r>
      <w:r w:rsidRPr="00286ECD">
        <w:rPr>
          <w:rFonts w:ascii="Georgia" w:hAnsi="Georgia" w:cs="Georgia"/>
          <w:color w:val="000000" w:themeColor="text1"/>
          <w:lang w:val="en-GB"/>
        </w:rPr>
        <w:t xml:space="preserve"> extinction, the growth of predator biomass would remain unhindered as long as at least one viable prey </w:t>
      </w:r>
      <w:r>
        <w:rPr>
          <w:rFonts w:ascii="Georgia" w:hAnsi="Georgia" w:cs="Georgia"/>
          <w:color w:val="000000" w:themeColor="text1"/>
          <w:lang w:val="en-GB"/>
        </w:rPr>
        <w:t>guild</w:t>
      </w:r>
      <w:r w:rsidRPr="00286ECD">
        <w:rPr>
          <w:rFonts w:ascii="Georgia" w:hAnsi="Georgia" w:cs="Georgia"/>
          <w:color w:val="000000" w:themeColor="text1"/>
          <w:lang w:val="en-GB"/>
        </w:rPr>
        <w:t xml:space="preserve"> persists. In this context, weak feeding links </w:t>
      </w:r>
      <w:r>
        <w:rPr>
          <w:rFonts w:ascii="Georgia" w:hAnsi="Georgia" w:cs="Georgia"/>
          <w:color w:val="000000" w:themeColor="text1"/>
          <w:lang w:val="en-GB"/>
        </w:rPr>
        <w:t>can</w:t>
      </w:r>
      <w:r w:rsidRPr="00286ECD">
        <w:rPr>
          <w:rFonts w:ascii="Georgia" w:hAnsi="Georgia" w:cs="Georgia"/>
          <w:color w:val="000000" w:themeColor="text1"/>
          <w:lang w:val="en-GB"/>
        </w:rPr>
        <w:t xml:space="preserve"> be vital </w:t>
      </w:r>
      <w:r>
        <w:rPr>
          <w:rFonts w:ascii="Georgia" w:hAnsi="Georgia" w:cs="Georgia"/>
          <w:color w:val="000000" w:themeColor="text1"/>
          <w:lang w:val="en-GB"/>
        </w:rPr>
        <w:t>for</w:t>
      </w:r>
      <w:r w:rsidRPr="00286ECD">
        <w:rPr>
          <w:rFonts w:ascii="Georgia" w:hAnsi="Georgia" w:cs="Georgia"/>
          <w:color w:val="000000" w:themeColor="text1"/>
          <w:lang w:val="en-GB"/>
        </w:rPr>
        <w:t xml:space="preserve"> the survival of taxa, as they </w:t>
      </w:r>
      <w:r>
        <w:rPr>
          <w:rFonts w:ascii="Georgia" w:hAnsi="Georgia" w:cs="Georgia"/>
          <w:color w:val="000000" w:themeColor="text1"/>
          <w:lang w:val="en-GB"/>
        </w:rPr>
        <w:t>help maintain</w:t>
      </w:r>
      <w:r w:rsidRPr="00286ECD">
        <w:rPr>
          <w:rFonts w:ascii="Georgia" w:hAnsi="Georgia" w:cs="Georgia"/>
          <w:color w:val="000000" w:themeColor="text1"/>
          <w:lang w:val="en-GB"/>
        </w:rPr>
        <w:t xml:space="preserve"> biomass dynamics of closely interconnected </w:t>
      </w:r>
      <w:r>
        <w:rPr>
          <w:rFonts w:ascii="Georgia" w:hAnsi="Georgia" w:cs="Georgia"/>
          <w:color w:val="000000" w:themeColor="text1"/>
          <w:lang w:val="en-GB"/>
        </w:rPr>
        <w:t>guild</w:t>
      </w:r>
      <w:r w:rsidRPr="00286ECD">
        <w:rPr>
          <w:rFonts w:ascii="Georgia" w:hAnsi="Georgia" w:cs="Georgia"/>
          <w:color w:val="000000" w:themeColor="text1"/>
          <w:lang w:val="en-GB"/>
        </w:rPr>
        <w:t xml:space="preserve">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{"citationItems":[{"id":"ITEM-1","itemData":{"DOI":"10.1111/j.1461-0248.2012.01777.x","ISSN":"1461023X","abstract":"Mechanistic understanding of consumer-resource dynamics is critical to predicting the effects of global change on ecosystem structure, function and services. Such understanding is severely limited by mechanistic models' inability to reproduce the dynamics of multiple populations interacting in the field. We surpass this limitation here by extending general consumer-resource network theory to the complex dynamics of a specific ecosystem comprised by the seasonal biomass and production patterns in a pelagic food web of a large, well-studied lake. We parameterised our allometric trophic network model of 24 guilds and 107 feeding relationships using the lake's food web structure, initial spring biomasses and body-masses. Adding activity respiration, the detrital loop, minimal abiotic forcing, prey resistance and several empirically observed rates substantially increased the model's fit to the observed seasonal dynamics and the size-abundance distribution. This process illuminates a promising approach towards improving food-web theory and dynamic models of specific habitats.","author":[{"dropping-particle":"","family":"Boit","given":"Alice","non-dropping-particle":"","parse-names":false,"suffix":""},{"dropping-particle":"","family":"Martinez","given":"Neo D.","non-dropping-particle":"","parse-names":false,"suffix":""},{"dropping-particle":"","family":"Williams","given":"Richard J.","non-dropping-particle":"","parse-names":false,"suffix":""},{"dropping-particle":"","family":"Gaedke","given":"Ursula","non-dropping-particle":"","parse-names":false,"suffix":""}],"container-title":"Ecology Letters","id":"ITEM-1","issue":"6","issued":{"date-parts":[["2012"]]},"page":"594-602","title":"Mechanistic theory and modelling of complex food-web dynamics in Lake Constance","type":"article-journal","volume":"15"},"uris":["http://www.mendeley.com/documents/?uuid=22532e2a-6a8f-4ce8-8270-d5b6deb5d939"]}],"mendeley":{"formattedCitation":"(Boit et al., 2012)","plainTextFormattedCitation":"(Boit et al., 2012)","previouslyFormattedCitation":"(Boit et al., 2012)"},"properties":{"noteIndex":0},"schema":"https://github.com/citation-style-language/schema/raw/master/csl-citation.json"}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(Boit et al. 2012)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p>
    <w:p w14:paraId="2732DFBF" w14:textId="2D13B436"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Georgia"/>
          <w:color w:val="000000" w:themeColor="text1"/>
          <w:lang w:val="en-GB"/>
        </w:rPr>
        <w:t xml:space="preserve">A key contribution of our study is the depiction </w:t>
      </w:r>
      <w:r>
        <w:rPr>
          <w:rFonts w:ascii="Georgia" w:hAnsi="Georgia" w:cs="Georgia"/>
          <w:color w:val="000000" w:themeColor="text1"/>
          <w:lang w:val="en-GB"/>
        </w:rPr>
        <w:t>how</w:t>
      </w:r>
      <w:r w:rsidRPr="00286ECD">
        <w:rPr>
          <w:rFonts w:ascii="Georgia" w:hAnsi="Georgia" w:cs="Georgia"/>
          <w:color w:val="000000" w:themeColor="text1"/>
          <w:lang w:val="en-GB"/>
        </w:rPr>
        <w:t xml:space="preserve"> intraspecific variation in life history, </w:t>
      </w:r>
      <w:r>
        <w:rPr>
          <w:rFonts w:ascii="Georgia" w:hAnsi="Georgia" w:cs="Georgia"/>
          <w:color w:val="000000" w:themeColor="text1"/>
          <w:lang w:val="en-GB"/>
        </w:rPr>
        <w:t xml:space="preserve">as </w:t>
      </w:r>
      <w:r w:rsidRPr="00286ECD">
        <w:rPr>
          <w:rFonts w:ascii="Georgia" w:hAnsi="Georgia" w:cs="Georgia"/>
          <w:color w:val="000000" w:themeColor="text1"/>
          <w:lang w:val="en-GB"/>
        </w:rPr>
        <w:t xml:space="preserve">displayed by ecotypes, can wield a </w:t>
      </w:r>
      <w:r>
        <w:rPr>
          <w:rFonts w:ascii="Georgia" w:hAnsi="Georgia" w:cs="Georgia"/>
          <w:color w:val="000000" w:themeColor="text1"/>
          <w:lang w:val="en-GB"/>
        </w:rPr>
        <w:t xml:space="preserve">distinct and </w:t>
      </w:r>
      <w:r w:rsidRPr="00286ECD">
        <w:rPr>
          <w:rFonts w:ascii="Georgia" w:hAnsi="Georgia" w:cs="Georgia"/>
          <w:color w:val="000000" w:themeColor="text1"/>
          <w:lang w:val="en-GB"/>
        </w:rPr>
        <w:t>widespread top-down impact on the surrounding community (Fig</w:t>
      </w:r>
      <w:r>
        <w:rPr>
          <w:rFonts w:ascii="Georgia" w:hAnsi="Georgia" w:cs="Georgia"/>
          <w:color w:val="000000" w:themeColor="text1"/>
          <w:lang w:val="en-GB"/>
        </w:rPr>
        <w:t>.</w:t>
      </w:r>
      <w:r w:rsidRPr="00286ECD">
        <w:rPr>
          <w:rFonts w:ascii="Georgia" w:hAnsi="Georgia" w:cs="Georgia"/>
          <w:color w:val="000000" w:themeColor="text1"/>
          <w:lang w:val="en-GB"/>
        </w:rPr>
        <w:t xml:space="preserve"> 3</w:t>
      </w:r>
      <w:r w:rsidR="00C228A7">
        <w:rPr>
          <w:rFonts w:ascii="Georgia" w:hAnsi="Georgia" w:cs="Georgia"/>
          <w:color w:val="000000" w:themeColor="text1"/>
          <w:lang w:val="en-GB"/>
        </w:rPr>
        <w:t>a</w:t>
      </w:r>
      <w:r w:rsidRPr="00286ECD">
        <w:rPr>
          <w:rFonts w:ascii="Georgia" w:hAnsi="Georgia" w:cs="Georgia"/>
          <w:color w:val="000000" w:themeColor="text1"/>
          <w:lang w:val="en-GB"/>
        </w:rPr>
        <w:t xml:space="preserve">). These effects </w:t>
      </w:r>
      <w:r>
        <w:rPr>
          <w:rFonts w:ascii="Georgia" w:hAnsi="Georgia" w:cs="Georgia"/>
          <w:color w:val="000000" w:themeColor="text1"/>
          <w:lang w:val="en-GB"/>
        </w:rPr>
        <w:t>arise</w:t>
      </w:r>
      <w:r w:rsidRPr="00286ECD">
        <w:rPr>
          <w:rFonts w:ascii="Georgia" w:hAnsi="Georgia" w:cs="Georgia"/>
          <w:color w:val="000000" w:themeColor="text1"/>
          <w:lang w:val="en-GB"/>
        </w:rPr>
        <w:t xml:space="preserve"> from an allometrically coupled influence governed by size-related traits and dietary niches. Throughout an individual’s lifespan</w:t>
      </w:r>
      <w:r w:rsidR="00C228A7">
        <w:rPr>
          <w:rFonts w:ascii="Georgia" w:hAnsi="Georgia" w:cs="Georgia"/>
          <w:color w:val="000000" w:themeColor="text1"/>
          <w:lang w:val="en-GB"/>
        </w:rPr>
        <w:t xml:space="preserve"> </w:t>
      </w:r>
      <w:r w:rsidRPr="00286ECD">
        <w:rPr>
          <w:rFonts w:ascii="Georgia" w:hAnsi="Georgia" w:cs="Helvetica Neue"/>
          <w:color w:val="000000" w:themeColor="text1"/>
          <w:lang w:val="en-GB"/>
        </w:rPr>
        <w:t xml:space="preserve">substantial physiological growth unfolds. This growth </w:t>
      </w:r>
      <w:r>
        <w:rPr>
          <w:rFonts w:ascii="Georgia" w:hAnsi="Georgia" w:cs="Helvetica Neue"/>
          <w:color w:val="000000" w:themeColor="text1"/>
          <w:lang w:val="en-GB"/>
        </w:rPr>
        <w:t>involves</w:t>
      </w:r>
      <w:r w:rsidRPr="00286ECD">
        <w:rPr>
          <w:rFonts w:ascii="Georgia" w:hAnsi="Georgia" w:cs="Helvetica Neue"/>
          <w:color w:val="000000" w:themeColor="text1"/>
          <w:lang w:val="en-GB"/>
        </w:rPr>
        <w:t xml:space="preserve"> changes in biological processes, such as the metabolic energy allocation to growth </w:t>
      </w:r>
      <w:r>
        <w:rPr>
          <w:rFonts w:ascii="Georgia" w:hAnsi="Georgia" w:cs="Helvetica Neue"/>
          <w:color w:val="000000" w:themeColor="text1"/>
          <w:lang w:val="en-GB"/>
        </w:rPr>
        <w:t>and</w:t>
      </w:r>
      <w:r w:rsidRPr="00286ECD">
        <w:rPr>
          <w:rFonts w:ascii="Georgia" w:hAnsi="Georgia" w:cs="Helvetica Neue"/>
          <w:color w:val="000000" w:themeColor="text1"/>
          <w:lang w:val="en-GB"/>
        </w:rPr>
        <w:t xml:space="preserve"> reproduction costs, which commonly scale with body size </w:t>
      </w:r>
      <w:r>
        <w:rPr>
          <w:rFonts w:ascii="Georgia" w:hAnsi="Georgia" w:cs="Helvetica Neue"/>
          <w:color w:val="000000" w:themeColor="text1"/>
          <w:lang w:val="en-GB"/>
        </w:rPr>
        <w:t>across</w:t>
      </w:r>
      <w:r w:rsidRPr="00286ECD">
        <w:rPr>
          <w:rFonts w:ascii="Georgia" w:hAnsi="Georgia" w:cs="Helvetica Neue"/>
          <w:color w:val="000000" w:themeColor="text1"/>
          <w:lang w:val="en-GB"/>
        </w:rPr>
        <w:t xml:space="preserve"> diverse species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{"citationItems":[{"id":"ITEM-1","itemData":{"DOI":"10.1038/35098076","ISSN":"00280836","PMID":"11675785","abstract":"Several equations have been proposed to describe ontogenetic growth trajectories for organisms justified primarily on the goodness of fit rather than on any biological mechanism. Here, we derive a general quantitative model based on fundamental principles for the allocation of metabolic energy between maintenance of existing tissue and the production of new biomass. We thus predict the parameters governing growth curves from basic cellular properties and derive a single parameterless universal curve that describes the growth of many diverse species. The model provides the basis for deriving allometric relationships for growth rates and the timing of life history events.","author":[{"dropping-particle":"","family":"West","given":"Geoffrey B.","non-dropping-particle":"","parse-names":false,"suffix":""},{"dropping-particle":"","family":"Brown","given":"James H.","non-dropping-particle":"","parse-names":false,"suffix":""},{"dropping-particle":"","family":"Enquist","given":"Brian J.","non-dropping-particle":"","parse-names":false,"suffix":""}],"container-title":"Nature","id":"ITEM-1","issue":"6856","issued":{"date-parts":[["2001"]]},"page":"628-631","title":"A general model for ontogenetic growth","type":"article-journal","volume":"413"},"uris":["http://www.mendeley.com/documents/?uuid=1e5d76da-a1fe-4403-989a-ba0de3bf3ea2"]},{"id":"ITEM-2","itemData":{"ISBN":"9788576501367","author":[{"dropping-particle":"","family":"Bertalanffy","given":"L.","non-dropping-particle":"von","parse-names":false,"suffix":""}],"container-title":"The Quarterly review of biology","id":"ITEM-2","issue":"3","issued":{"date-parts":[["1957"]]},"page":"217-231","title":"Quantitative","type":"article-journal","volume":"32"},"uris":["http://www.mendeley.com/documents/?uuid=9bf604da-676b-4f05-9782-c59e8659f0b6"]}],"mendeley":{"formattedCitation":"(von Bertalanffy, 1957; West et al., 2001)","plainTextFormattedCitation":"(von Bertalanffy, 1957; West et al., 2001)","previouslyFormattedCitation":"(von Bertalanffy, 1957; West et al., 2001)"},"properties":{"noteIndex":0},"schema":"https://github.com/citation-style-language/schema/raw/master/csl-citation.json"}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w:t>
      </w:r>
      <w:r w:rsidRPr="00D16A65">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West et al. 2001</w:t>
      </w:r>
      <w:r>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von Bertalanffy 1957)</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Simultaneously, ecological processes tied to feeding ecology</w:t>
      </w:r>
      <w:r>
        <w:rPr>
          <w:rFonts w:ascii="Georgia" w:hAnsi="Georgia" w:cs="Helvetica Neue"/>
          <w:color w:val="000000" w:themeColor="text1"/>
          <w:lang w:val="en-GB"/>
        </w:rPr>
        <w:t xml:space="preserve"> - such as </w:t>
      </w:r>
      <w:r w:rsidRPr="00286ECD">
        <w:rPr>
          <w:rFonts w:ascii="Georgia" w:hAnsi="Georgia" w:cs="Helvetica Neue"/>
          <w:color w:val="000000" w:themeColor="text1"/>
          <w:lang w:val="en-GB"/>
        </w:rPr>
        <w:t xml:space="preserve">foraging </w:t>
      </w:r>
      <w:r w:rsidR="00C228A7" w:rsidRPr="00286ECD">
        <w:rPr>
          <w:rFonts w:ascii="Georgia" w:hAnsi="Georgia" w:cs="Helvetica Neue"/>
          <w:color w:val="000000" w:themeColor="text1"/>
          <w:lang w:val="en-GB"/>
        </w:rPr>
        <w:t>behaviour</w:t>
      </w:r>
      <w:r w:rsidRPr="00286ECD">
        <w:rPr>
          <w:rFonts w:ascii="Georgia" w:hAnsi="Georgia" w:cs="Helvetica Neue"/>
          <w:color w:val="000000" w:themeColor="text1"/>
          <w:lang w:val="en-GB"/>
        </w:rPr>
        <w:t>, diet preference, and intake</w:t>
      </w:r>
      <w:r>
        <w:rPr>
          <w:rFonts w:ascii="Georgia" w:hAnsi="Georgia" w:cs="Helvetica Neue"/>
          <w:color w:val="000000" w:themeColor="text1"/>
          <w:lang w:val="en-GB"/>
        </w:rPr>
        <w:t xml:space="preserve"> - often</w:t>
      </w:r>
      <w:r w:rsidRPr="00286ECD">
        <w:rPr>
          <w:rFonts w:ascii="Georgia" w:hAnsi="Georgia" w:cs="Helvetica Neue"/>
          <w:color w:val="000000" w:themeColor="text1"/>
          <w:lang w:val="en-GB"/>
        </w:rPr>
        <w:t xml:space="preserve"> shift </w:t>
      </w:r>
      <w:r>
        <w:rPr>
          <w:rFonts w:ascii="Georgia" w:hAnsi="Georgia" w:cs="Helvetica Neue"/>
          <w:color w:val="000000" w:themeColor="text1"/>
          <w:lang w:val="en-GB"/>
        </w:rPr>
        <w:t>in response</w:t>
      </w:r>
      <w:r w:rsidRPr="00286ECD">
        <w:rPr>
          <w:rFonts w:ascii="Georgia" w:hAnsi="Georgia" w:cs="Helvetica Neue"/>
          <w:color w:val="000000" w:themeColor="text1"/>
          <w:lang w:val="en-GB"/>
        </w:rPr>
        <w:t xml:space="preserve"> to energy demands</w:t>
      </w:r>
      <w:r>
        <w:rPr>
          <w:rFonts w:ascii="Georgia" w:hAnsi="Georgia" w:cs="Helvetica Neue"/>
          <w:color w:val="000000" w:themeColor="text1"/>
          <w:lang w:val="en-GB"/>
        </w:rPr>
        <w:t>, leading to the</w:t>
      </w:r>
      <w:r w:rsidR="00C228A7">
        <w:rPr>
          <w:rFonts w:ascii="Georgia" w:hAnsi="Georgia" w:cs="Helvetica Neue"/>
          <w:color w:val="000000" w:themeColor="text1"/>
          <w:lang w:val="en-GB"/>
        </w:rPr>
        <w:t xml:space="preserve"> </w:t>
      </w:r>
      <w:r w:rsidRPr="00286ECD">
        <w:rPr>
          <w:rFonts w:ascii="Georgia" w:hAnsi="Georgia" w:cs="Helvetica Neue"/>
          <w:color w:val="000000" w:themeColor="text1"/>
          <w:lang w:val="en-GB"/>
        </w:rPr>
        <w:t xml:space="preserve">emergence of </w:t>
      </w:r>
      <w:r>
        <w:rPr>
          <w:rFonts w:ascii="Georgia" w:hAnsi="Georgia" w:cs="Helvetica Neue"/>
          <w:color w:val="000000" w:themeColor="text1"/>
          <w:lang w:val="en-GB"/>
        </w:rPr>
        <w:t>new</w:t>
      </w:r>
      <w:r w:rsidRPr="00286ECD">
        <w:rPr>
          <w:rFonts w:ascii="Georgia" w:hAnsi="Georgia" w:cs="Helvetica Neue"/>
          <w:color w:val="000000" w:themeColor="text1"/>
          <w:lang w:val="en-GB"/>
        </w:rPr>
        <w:t xml:space="preserve"> trophic interactions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{"citationItems":[{"id":"ITEM-1","itemData":{"DOI":"10.3354/meps208229","ISSN":"01718630","abstract":"We utilized a long-term data base collected over a broad geographic range to examine predator size-prey size relationships for 18 species of marine fish predators from continental shelf waters off the northeast US coast. Regression analysis was used to illustrate interspecific variation in ontogenetic patterns of prey size use, gape allometries, and ratio-based trophic niche breadths. Size-based feeding strategies were assessed through comparison of frequency distributions of relative prey sizes eaten and were related to general predator feeding tactics and gape morphology. The results demonstrated that the range of prey sizes eaten expanded with increasing predator body size for each of the marine predators examined, leading to asymmetric predator size -prey size distributions. Absolute maximum prey size and slopes of maximum prey size versus predator size varied widely among predator taxa. Distinct size-based feeding strategies were evident, as diets of some predators were dominated by prey that were 10 to 20% of predator size, whereas other predators frequently consumed prey &gt;50% of predator size. Gape sizes and allometric relationships with body size were also diverse among predators and often were closely associated with maximum prey sizes. Ratio-based trophic-niche breadths generally did not expand with predator ontogeny and tended to narrow for the largest predators, which may be common for animal taxa.","author":[{"dropping-particle":"","family":"Scharf","given":"F. S.","non-dropping-particle":"","parse-names":false,"suffix":""},{"dropping-particle":"","family":"Juanes","given":"F.","non-dropping-particle":"","parse-names":false,"suffix":""},{"dropping-particle":"","family":"Rountree","given":"R. A.","non-dropping-particle":"","parse-names":false,"suffix":""}],"container-title":"Marine Ecology Progress Series","id":"ITEM-1","issued":{"date-parts":[["2000"]]},"page":"229-248","title":"Predator size - Prey size relationships of marine fish predators: Interspecific variation and effects of ontogeny and body size on trophic-niche breadth","type":"article-journal","volume":"208"},"uris":["http://www.mendeley.com/documents/?uuid=751eee53-c275-479e-9860-15fb5a5ad411"]},{"id":"ITEM-2","itemData":{"DOI":"10.1111/brv.12468","ISSN":"1469185X","PMID":"30251433","abstract":"Ontogenetic dietary shifts (ODSs), the changes in diet utilisation occurring over the life span of an individual consumer, are widespread in the animal kingdom. Understanding ODSs provides fundamental insights into the biological and ecological processes that function at the individual, population and community levels, and is critical for the development and testing of hypotheses around key concepts in trophic theory on model organisms. Here, we synthesise historic and contemporary research on ODSs in fishes, and identify where further research is required. Numerous biotic and abiotic factors can directly or indirectly influence ODSs, but the most influential of these may vary spatially, temporally and interspecifically. Within the constraints imposed by prey availability, we identified competition and predation risk as the major drivers of ODSs in fishes. These drivers do not directly affect the trophic ontogeny of fishes, but may have an indirect effect on diet trajectories through ontogenetic changes in habitat use and concomitant changes in prey availability. The synthesis provides compelling evidence that ODSs can have profound ecological consequences for fish by, for example, enhancing individual growth and lifetime reproductive output or reducing the risk of mortality. ODSs may also influence food-web dynamics and facilitate the coexistence of sympatric species through resource partitioning, but we currently lack a holistic understanding of the consequences of ODSs for population, community and ecosystem processes and functioning. Studies attempting to address these knowledge gaps have largely focused on theoretical approaches, but empirical research under natural conditions, including phylogenetic and evolutionary considerations, is required to test the concepts. Research focusing on inter-individual variation in ontogenetic trajectories has also been limited, with the complex relationships between individual behaviour and environmental heterogeneity representing a particularly promising area for future research.","author":[{"dropping-particle":"","family":"Sánchez-Hernández","given":"Javier","non-dropping-particle":"","parse-names":false,"suffix":""},{"dropping-particle":"","family":"Nunn","given":"Andy D.","non-dropping-particle":"","parse-names":false,"suffix":""},{"dropping-particle":"","family":"Adams","given":"Colin E.","non-dropping-particle":"","parse-names":false,"suffix":""},{"dropping-particle":"","family":"Amundsen","given":"Per Arne","non-dropping-particle":"","parse-names":false,"suffix":""}],"container-title":"Biological Reviews","id":"ITEM-2","issue":"2","issued":{"date-parts":[["2019"]]},"page":"539-554","title":"Causes and consequences of ontogenetic dietary shifts: a global synthesis using fish models","type":"article-journal","volume":"94"},"uris":["http://www.mendeley.com/documents/?uuid=4be145f7-7be8-4129-894c-4bc7f57dcced"]}],"mendeley":{"formattedCitation":"(Sánchez-Hernández et al., 2019; Scharf et al., 2000)","plainTextFormattedCitation":"(Sánchez-Hernández et al., 2019; Scharf et al., 2000)","previouslyFormattedCitation":"(Sánchez-Hernández et al., 2019; Scharf et al., 2000)"},"properties":{"noteIndex":0},"schema":"https://github.com/citation-style-language/schema/raw/master/csl-citation.json"}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(Sánchez-Hernández et al. 2019;</w:t>
      </w:r>
      <w:r>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Scharf et al. 2000)</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These</w:t>
      </w:r>
      <w:r w:rsidRPr="00286ECD">
        <w:rPr>
          <w:rFonts w:ascii="Georgia" w:hAnsi="Georgia" w:cs="Helvetica Neue"/>
          <w:color w:val="000000" w:themeColor="text1"/>
          <w:lang w:val="en-GB"/>
        </w:rPr>
        <w:t xml:space="preserve"> ontogenetic dietary shifts can </w:t>
      </w:r>
      <w:r>
        <w:rPr>
          <w:rFonts w:ascii="Georgia" w:hAnsi="Georgia" w:cs="Helvetica Neue"/>
          <w:color w:val="000000" w:themeColor="text1"/>
          <w:lang w:val="en-GB"/>
        </w:rPr>
        <w:t>result in</w:t>
      </w:r>
      <w:r w:rsidRPr="00286ECD">
        <w:rPr>
          <w:rFonts w:ascii="Georgia" w:hAnsi="Georgia" w:cs="Helvetica Neue"/>
          <w:color w:val="000000" w:themeColor="text1"/>
          <w:lang w:val="en-GB"/>
        </w:rPr>
        <w:t xml:space="preserve"> a single species </w:t>
      </w:r>
      <w:r>
        <w:rPr>
          <w:rFonts w:ascii="Georgia" w:hAnsi="Georgia" w:cs="Helvetica Neue"/>
          <w:color w:val="000000" w:themeColor="text1"/>
          <w:lang w:val="en-GB"/>
        </w:rPr>
        <w:t>occupying</w:t>
      </w:r>
      <w:r w:rsidRPr="00286ECD">
        <w:rPr>
          <w:rFonts w:ascii="Georgia" w:hAnsi="Georgia" w:cs="Helvetica Neue"/>
          <w:color w:val="000000" w:themeColor="text1"/>
          <w:lang w:val="en-GB"/>
        </w:rPr>
        <w:t xml:space="preserve"> diverse ecological niches </w:t>
      </w:r>
      <w:r>
        <w:rPr>
          <w:rFonts w:ascii="Georgia" w:hAnsi="Georgia" w:cs="Helvetica Neue"/>
          <w:color w:val="000000" w:themeColor="text1"/>
          <w:lang w:val="en-GB"/>
        </w:rPr>
        <w:t>throughout</w:t>
      </w:r>
      <w:r w:rsidRPr="00286ECD">
        <w:rPr>
          <w:rFonts w:ascii="Georgia" w:hAnsi="Georgia" w:cs="Helvetica Neue"/>
          <w:color w:val="000000" w:themeColor="text1"/>
          <w:lang w:val="en-GB"/>
        </w:rPr>
        <w:t xml:space="preserve"> its lifespan, a phenomenon known as the </w:t>
      </w:r>
      <w:proofErr w:type="spellStart"/>
      <w:r w:rsidRPr="00286ECD">
        <w:rPr>
          <w:rFonts w:ascii="Georgia" w:hAnsi="Georgia" w:cs="Helvetica Neue"/>
          <w:color w:val="000000" w:themeColor="text1"/>
          <w:lang w:val="en-GB"/>
        </w:rPr>
        <w:t>metaphoetesis</w:t>
      </w:r>
      <w:proofErr w:type="spellEnd"/>
      <w:r w:rsidRPr="00286ECD">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{"citationItems":[{"id":"ITEM-1","itemData":{"abstract":"This database allows users to search the complete printed text of Acta Sanctorum, from the edition published in sixty-eight volumes by the Soci�t� des Bollandistes in Antwerp and Brussels. It contains the entire Acta Sanctorum, including all prefatory material, original texts, critical apparatus and indices; Bibliotheca Hagiographica Latina reference numbers and references for scholars are also included.","author":[{"dropping-particle":"","family":"Hutchinson","given":"G.E.","non-dropping-particle":"","parse-names":false,"suffix":""}],"container-title":"the American Naturalist","id":"ITEM-1","issue":"870","issued":{"date-parts":[["1959"]]},"page":"145-159","title":"Homage to Santa Rosalia or Why Are There So Many Kinds of Animals?","type":"article-journal","volume":"93"},"uris":["http://www.mendeley.com/documents/?uuid=0546263b-679e-44a9-b8ad-f2647e01cbbd"]}],"mendeley":{"formattedCitation":"(Hutchinson, 1959)","plainTextFormattedCitation":"(Hutchinson, 1959)","previouslyFormattedCitation":"(Hutchinson, 1959)"},"properties":{"noteIndex":0},"schema":"https://github.com/citation-style-language/schema/raw/master/csl-citation.json"}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(Hutchinson 1959)</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w:t>
      </w:r>
      <w:r>
        <w:rPr>
          <w:rFonts w:ascii="Georgia" w:hAnsi="Georgia" w:cs="Helvetica Neue"/>
          <w:color w:val="000000" w:themeColor="text1"/>
          <w:lang w:val="en-GB"/>
        </w:rPr>
        <w:t xml:space="preserve"> D</w:t>
      </w:r>
      <w:r w:rsidRPr="00286ECD">
        <w:rPr>
          <w:rFonts w:ascii="Georgia" w:hAnsi="Georgia" w:cs="Helvetica Neue"/>
          <w:color w:val="000000" w:themeColor="text1"/>
          <w:lang w:val="en-GB"/>
        </w:rPr>
        <w:t xml:space="preserve">ue to </w:t>
      </w:r>
      <w:r>
        <w:rPr>
          <w:rFonts w:ascii="Georgia" w:hAnsi="Georgia" w:cs="Helvetica Neue"/>
          <w:color w:val="000000" w:themeColor="text1"/>
          <w:lang w:val="en-GB"/>
        </w:rPr>
        <w:lastRenderedPageBreak/>
        <w:t>differences</w:t>
      </w:r>
      <w:r w:rsidRPr="00286ECD">
        <w:rPr>
          <w:rFonts w:ascii="Georgia" w:hAnsi="Georgia" w:cs="Helvetica Neue"/>
          <w:color w:val="000000" w:themeColor="text1"/>
          <w:lang w:val="en-GB"/>
        </w:rPr>
        <w:t xml:space="preserve"> in  growth trajectories among cod ecotypes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{"citationItems":[{"id":"ITEM-1","itemData":{"DOI":"10.1093/icesjms/fsv181","ISSN":"10959289","abstract":"A basic challenge to successful management and conflict resolution is to correctly identify the spatial scale at which strategies for harvesting are developed. For commercially exploited marine fish, distributional boundaries of many stocks are based on the premise that productivity is similar at spatial scales that represent a small fraction of an individual's potential migration distance. Within such confined geographic regions, differences among individual life history traits - primary determinants of population productivity - are assumed to be negligible. The empirical basis for these assumptions bears re-examination for some widely distributed species, such as Atlantic cod (Gadus morhua L.), for which there is evidence that life history structuring is evident at much finer scales than previously thought. Here, we focus on a unique system in the Norwegian Skagerrak, divided into inner and outer fjord habitats between which cod movement across distances of a few kilometres is limited and populations show signals of genetic differentiation. Based on back-calculated length-at-age data, cod in the inner fjord are systematically smaller at young ages (1-5 years) and are characterized by shorter asymptotic body lengths than cod in the outer fjord. Our work on growth and life history supports genetic analyses which indicate that productivity and resilience of widely distributed marine fish are likely to differ at considerably smaller spatial scales than those delineated by traditional stock management boundaries.","author":[{"dropping-particle":"","family":"Kuparinen","given":"Anna","non-dropping-particle":"","parse-names":false,"suffix":""},{"dropping-particle":"","family":"Roney","given":"Nancy E.","non-dropping-particle":"","parse-names":false,"suffix":""},{"dropping-particle":"","family":"Oomen","given":"Rebekah A.","non-dropping-particle":"","parse-names":false,"suffix":""},{"dropping-particle":"","family":"Hutchings","given":"Jeffrey A.","non-dropping-particle":"","parse-names":false,"suffix":""},{"dropping-particle":"","family":"Olsen","given":"Esben M.","non-dropping-particle":"","parse-names":false,"suffix":""}],"container-title":"ICES Journal of Marine Science","id":"ITEM-1","issue":"2","issued":{"date-parts":[["2016"]]},"page":"286-292","title":"Small-scale life history variability suggests potential for spatial mismatches in Atlantic cod management units","type":"article-journal","volume":"73"},"uris":["http://www.mendeley.com/documents/?uuid=b1465f3f-17bf-4fc8-970a-e8582dc208ff"]}],"mendeley":{"formattedCitation":"(Kuparinen, Roney, et al., 2016)","plainTextFormattedCitation":"(Kuparinen, Roney, et al., 2016)","previouslyFormattedCitation":"(Kuparinen, Roney, et al., 2016)"},"properties":{"noteIndex":0},"schema":"https://github.com/citation-style-language/schema/raw/master/csl-citation.json"}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(Kuparinen et al. 2016</w:t>
      </w:r>
      <w:r w:rsidR="00C228A7">
        <w:rPr>
          <w:rFonts w:ascii="Georgia" w:hAnsi="Georgia" w:cs="Helvetica Neue"/>
          <w:noProof/>
          <w:color w:val="000000" w:themeColor="text1"/>
          <w:lang w:val="en-GB"/>
        </w:rPr>
        <w:t>a</w:t>
      </w:r>
      <w:r w:rsidRPr="00286ECD">
        <w:rPr>
          <w:rFonts w:ascii="Georgia" w:hAnsi="Georgia" w:cs="Helvetica Neue"/>
          <w:noProof/>
          <w:color w:val="000000" w:themeColor="text1"/>
          <w:lang w:val="en-GB"/>
        </w:rPr>
        <w:t>)</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we </w:t>
      </w:r>
      <w:r w:rsidR="00C228A7">
        <w:rPr>
          <w:rFonts w:ascii="Georgia" w:hAnsi="Georgia" w:cs="Helvetica Neue"/>
          <w:color w:val="000000" w:themeColor="text1"/>
          <w:lang w:val="en-GB"/>
        </w:rPr>
        <w:t xml:space="preserve">could </w:t>
      </w:r>
      <w:r>
        <w:rPr>
          <w:rFonts w:ascii="Georgia" w:hAnsi="Georgia" w:cs="Helvetica Neue"/>
          <w:color w:val="000000" w:themeColor="text1"/>
          <w:lang w:val="en-GB"/>
        </w:rPr>
        <w:t>observe how their</w:t>
      </w:r>
      <w:r w:rsidRPr="00286ECD">
        <w:rPr>
          <w:rFonts w:ascii="Georgia" w:hAnsi="Georgia" w:cs="Helvetica Neue"/>
          <w:color w:val="000000" w:themeColor="text1"/>
          <w:lang w:val="en-GB"/>
        </w:rPr>
        <w:t xml:space="preserve"> </w:t>
      </w:r>
      <w:r w:rsidR="00C228A7">
        <w:rPr>
          <w:rFonts w:ascii="Georgia" w:hAnsi="Georgia" w:cs="Helvetica Neue"/>
          <w:color w:val="000000" w:themeColor="text1"/>
          <w:lang w:val="en-GB"/>
        </w:rPr>
        <w:t>trophic</w:t>
      </w:r>
      <w:r w:rsidRPr="00286ECD">
        <w:rPr>
          <w:rFonts w:ascii="Georgia" w:hAnsi="Georgia" w:cs="Helvetica Neue"/>
          <w:color w:val="000000" w:themeColor="text1"/>
          <w:lang w:val="en-GB"/>
        </w:rPr>
        <w:t xml:space="preserve"> roles </w:t>
      </w:r>
      <w:r>
        <w:rPr>
          <w:rFonts w:ascii="Georgia" w:hAnsi="Georgia" w:cs="Helvetica Neue"/>
          <w:color w:val="000000" w:themeColor="text1"/>
          <w:lang w:val="en-GB"/>
        </w:rPr>
        <w:t>transform</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uniquely </w:t>
      </w:r>
      <w:r w:rsidRPr="00286ECD">
        <w:rPr>
          <w:rFonts w:ascii="Georgia" w:hAnsi="Georgia" w:cs="Helvetica Neue"/>
          <w:color w:val="000000" w:themeColor="text1"/>
          <w:lang w:val="en-GB"/>
        </w:rPr>
        <w:t xml:space="preserve">as they </w:t>
      </w:r>
      <w:r>
        <w:rPr>
          <w:rFonts w:ascii="Georgia" w:hAnsi="Georgia" w:cs="Helvetica Neue"/>
          <w:color w:val="000000" w:themeColor="text1"/>
          <w:lang w:val="en-GB"/>
        </w:rPr>
        <w:t>age</w:t>
      </w:r>
      <w:r w:rsidRPr="00286ECD">
        <w:rPr>
          <w:rFonts w:ascii="Georgia" w:hAnsi="Georgia" w:cs="Helvetica Neue"/>
          <w:color w:val="000000" w:themeColor="text1"/>
          <w:lang w:val="en-GB"/>
        </w:rPr>
        <w:t xml:space="preserve">. </w:t>
      </w:r>
    </w:p>
    <w:p w14:paraId="65BE5D0E" w14:textId="17DAFE13" w:rsidR="005E45D8" w:rsidRPr="00286ECD" w:rsidRDefault="005E45D8" w:rsidP="005E45D8">
      <w:pPr>
        <w:autoSpaceDE w:val="0"/>
        <w:autoSpaceDN w:val="0"/>
        <w:adjustRightInd w:val="0"/>
        <w:spacing w:line="480" w:lineRule="auto"/>
        <w:jc w:val="both"/>
        <w:rPr>
          <w:rFonts w:ascii="Georgia" w:hAnsi="Georgia" w:cs="Georgia"/>
          <w:color w:val="000000" w:themeColor="text1"/>
          <w:lang w:val="en-GB"/>
        </w:rPr>
      </w:pPr>
      <w:r w:rsidRPr="00286ECD">
        <w:rPr>
          <w:rFonts w:ascii="Georgia" w:hAnsi="Georgia" w:cs="Helvetica Neue"/>
          <w:color w:val="000000" w:themeColor="text1"/>
          <w:lang w:val="en-GB"/>
        </w:rPr>
        <w:t>At larval and juvenile stages</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cod ecotypes </w:t>
      </w:r>
      <w:r>
        <w:rPr>
          <w:rFonts w:ascii="Georgia" w:hAnsi="Georgia" w:cs="Helvetica Neue"/>
          <w:color w:val="000000" w:themeColor="text1"/>
          <w:lang w:val="en-GB"/>
        </w:rPr>
        <w:t xml:space="preserve">may compete for </w:t>
      </w:r>
      <w:r w:rsidRPr="00286ECD">
        <w:rPr>
          <w:rFonts w:ascii="Georgia" w:hAnsi="Georgia" w:cs="Helvetica Neue"/>
          <w:color w:val="000000" w:themeColor="text1"/>
          <w:lang w:val="en-GB"/>
        </w:rPr>
        <w:t xml:space="preserve">similar </w:t>
      </w:r>
      <w:r>
        <w:rPr>
          <w:rFonts w:ascii="Georgia" w:hAnsi="Georgia" w:cs="Helvetica Neue"/>
          <w:color w:val="000000" w:themeColor="text1"/>
          <w:lang w:val="en-GB"/>
        </w:rPr>
        <w:t>prey</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but</w:t>
      </w:r>
      <w:r w:rsidRPr="00286ECD">
        <w:rPr>
          <w:rFonts w:ascii="Georgia" w:hAnsi="Georgia" w:cs="Helvetica Neue"/>
          <w:color w:val="000000" w:themeColor="text1"/>
          <w:lang w:val="en-GB"/>
        </w:rPr>
        <w:t xml:space="preserve"> their trophic positions </w:t>
      </w:r>
      <w:r>
        <w:rPr>
          <w:rFonts w:ascii="Georgia" w:hAnsi="Georgia" w:cs="Helvetica Neue"/>
          <w:color w:val="000000" w:themeColor="text1"/>
          <w:lang w:val="en-GB"/>
        </w:rPr>
        <w:t>diverge as they mature</w:t>
      </w:r>
      <w:r w:rsidRPr="00286ECD">
        <w:rPr>
          <w:rFonts w:ascii="Georgia" w:hAnsi="Georgia" w:cs="Helvetica Neue"/>
          <w:color w:val="000000" w:themeColor="text1"/>
          <w:lang w:val="en-GB"/>
        </w:rPr>
        <w:t xml:space="preserve"> </w:t>
      </w:r>
      <w:r w:rsidRPr="00286ECD">
        <w:rPr>
          <w:rFonts w:ascii="Georgia" w:hAnsi="Georgia" w:cs="Helvetica Neue"/>
          <w:color w:val="000000" w:themeColor="text1"/>
          <w:lang w:val="en-GB"/>
        </w:rPr>
        <w:fldChar w:fldCharType="begin" w:fldLock="1"/>
      </w:r>
      <w:r w:rsidRPr="00286ECD">
        <w:rPr>
          <w:rFonts w:ascii="Georgia" w:hAnsi="Georgia" w:cs="Helvetica Neue"/>
          <w:color w:val="000000" w:themeColor="text1"/>
          <w:lang w:val="en-GB"/>
        </w:rPr>
        <w:instrText>ADDIN CSL_CITATION {"citationItems":[{"id":"ITEM-1","itemData":{"DOI":"10.1111/eva.12640","ISSN":"17524571","abstract":"Coexistence in the same habitat of closely related yet genetically different populations is a phenomenon that challenges our understanding of local population structure and adaptation. Identifying the underlying mechanisms for such coexistence can yield new insight into adaptive evolution, diversification, and the potential for organisms to adapt and persist in response to a changing environment. Recent studies have documented cryptic, sympatric populations of Atlantic cod (Gadus morhua) in coastal areas. We analyzed genetic origin of 6483 individual cod sampled annually over 14 years from 125 locations along the Norwegian Skagerrak coast and document stable coexistence of two genetically divergent Atlantic cod ecotypes throughout the study area and study period. A ‘fjord’ ecotype dominated in numbers deep inside fjords while a ‘North Sea’ ecotype was the only type found in offshore North Sea. Both ecotypes coexisted in similar proportions throughout coastal habitats at all spatial scales. The size</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at</w:instrText>
      </w:r>
      <w:r w:rsidRPr="00286ECD">
        <w:rPr>
          <w:rFonts w:ascii="Cambria Math" w:hAnsi="Cambria Math" w:cs="Cambria Math"/>
          <w:color w:val="000000" w:themeColor="text1"/>
          <w:lang w:val="en-GB"/>
        </w:rPr>
        <w:instrText>‐</w:instrText>
      </w:r>
      <w:r w:rsidRPr="00286ECD">
        <w:rPr>
          <w:rFonts w:ascii="Georgia" w:hAnsi="Georgia" w:cs="Helvetica Neue"/>
          <w:color w:val="000000" w:themeColor="text1"/>
          <w:lang w:val="en-GB"/>
        </w:rPr>
        <w:instrText>age of the North Sea ecotype on average exceeded that of the fjord ecotype by 20% in length and 80% in weight across all habitats. Different growth and size among individuals of the two types might be one of several ecologically significant variables that allow for stable coexistence of closely related populations within the same habitat. Management plans, biodiversity initiatives, and other mitigation strategies that do not account for the mixture of species ecotypes are unlikely to meet objectives related to the sustainability of fish and fisheries.","author":[{"dropping-particle":"","family":"Knutsen","given":"Halvor","non-dropping-particle":"","parse-names":false,"suffix":""},{"dropping-particle":"","family":"Jorde","given":"Per Erik","non-dropping-particle":"","parse-names":false,"suffix":""},{"dropping-particle":"","family":"Hutchings","given":"Jeffrey A.","non-dropping-particle":"","parse-names":false,"suffix":""},{"dropping-particle":"","family":"Hemmer-Hansen","given":"Jakob","non-dropping-particle":"","parse-names":false,"suffix":""},{"dropping-particle":"","family":"Grønkjær","given":"Peter","non-dropping-particle":"","parse-names":false,"suffix":""},{"dropping-particle":"","family":"Jørgensen","given":"Kris Emil Mose","non-dropping-particle":"","parse-names":false,"suffix":""},{"dropping-particle":"","family":"André","given":"Carl","non-dropping-particle":"","parse-names":false,"suffix":""},{"dropping-particle":"","family":"Sodeland","given":"Marte","non-dropping-particle":"","parse-names":false,"suffix":""},{"dropping-particle":"","family":"Albretsen","given":"Jon","non-dropping-particle":"","parse-names":false,"suffix":""},{"dropping-particle":"","family":"Olsen","given":"Esben M.","non-dropping-particle":"","parse-names":false,"suffix":""}],"container-title":"Evolutionary Applications","id":"ITEM-1","issue":"9","issued":{"date-parts":[["2018"]]},"page":"1527-1539","title":"Stable coexistence of genetically divergent Atlantic cod ecotypes at multiple spatial scales","type":"article-journal","volume":"11"},"uris":["http://www.mendeley.com/documents/?uuid=a439a14f-ac36-4554-853d-493ac9b8e7e9"]},{"id":"ITEM-2","itemData":{"DOI":"10.1002/ece3.7939","ISSN":"20457758","abstract":"Coexistence of ecotypes, genetically divergent population units, is a widespread phenomenon, potentially affecting ecosystem functioning and local food web stability. In coastal Skagerrak, Atlantic cod (Gadus morhua) occur as two such coexisting ecotypes. We applied a combination of acoustic telemetry, genotyping, and stable isotope analysis to 72 individuals to investigate movement ecology and food niche of putative local “Fjord” and putative oceanic “North Sea” ecotypes—thus named based on previous molecular studies. Genotyping and individual origin assignment suggested 41 individuals were Fjord and 31 were North Sea ecotypes. Both ecotypes were found throughout the fjord. Seven percent of Fjord ecotype individuals left the study system during the study while 42% of North Sea individuals left, potentially homing to natal spawning grounds. Home range sizes were similar for the two ecotypes but highly variable among individuals. Fjord ecotype cod had significantly higher δ13C and δ15N stable isotope values than North Sea ecotype cod, suggesting they exploited different food niches. The results suggest coexisting ecotypes may possess innate differences in feeding and movement ecologies and may thus fill different functional roles in marine ecosystems. This highlights the importance of conserving interconnected populations to ensure stable ecosystem functioning and food web structures.","author":[{"dropping-particle":"","family":"Kristensen","given":"Martin Lykke","non-dropping-particle":"","parse-names":false,"suffix":""},{"dropping-particle":"","family":"Olsen","given":"Esben Moland","non-dropping-particle":"","parse-names":false,"suffix":""},{"dropping-particle":"","family":"Moland","given":"Even","non-dropping-particle":"","parse-names":false,"suffix":""},{"dropping-particle":"","family":"Knutsen","given":"Halvor","non-dropping-particle":"","parse-names":false,"suffix":""},{"dropping-particle":"","family":"Grønkjær","given":"Peter","non-dropping-particle":"","parse-names":false,"suffix":""},{"dropping-particle":"","family":"Koed","given":"Anders","non-dropping-particle":"","parse-names":false,"suffix":""},{"dropping-particle":"","family":"Källo","given":"Kristi","non-dropping-particle":"","parse-names":false,"suffix":""},{"dropping-particle":"","family":"Aarestrup","given":"Kim","non-dropping-particle":"","parse-names":false,"suffix":""}],"container-title":"Ecology and Evolution","id":"ITEM-2","issue":"16","issued":{"date-parts":[["2021"]]},"page":"11477-11490","title":"Disparate movement behavior and feeding ecology in sympatric ecotypes of Atlantic cod","type":"article-journal","volume":"11"},"uris":["http://www.mendeley.com/documents/?uuid=db0ec745-58b2-4fa1-a5e4-99ef4d589a7a"]}],"mendeley":{"formattedCitation":"(Knutsen et al., 2018; Kristensen et al., 2021)","plainTextFormattedCitation":"(Knutsen et al., 2018; Kristensen et al., 2021)","previouslyFormattedCitation":"(Knutsen et al., 2018; Kristensen et al., 2021)"},"properties":{"noteIndex":0},"schema":"https://github.com/citation-style-language/schema/raw/master/csl-citation.json"}</w:instrText>
      </w:r>
      <w:r w:rsidRPr="00286ECD">
        <w:rPr>
          <w:rFonts w:ascii="Georgia" w:hAnsi="Georgia" w:cs="Helvetica Neue"/>
          <w:color w:val="000000" w:themeColor="text1"/>
          <w:lang w:val="en-GB"/>
        </w:rPr>
        <w:fldChar w:fldCharType="separate"/>
      </w:r>
      <w:r w:rsidRPr="00286ECD">
        <w:rPr>
          <w:rFonts w:ascii="Georgia" w:hAnsi="Georgia" w:cs="Helvetica Neue"/>
          <w:noProof/>
          <w:color w:val="000000" w:themeColor="text1"/>
          <w:lang w:val="en-GB"/>
        </w:rPr>
        <w:t>(Kristensen et al. 2021</w:t>
      </w:r>
      <w:r>
        <w:rPr>
          <w:rFonts w:ascii="Georgia" w:hAnsi="Georgia" w:cs="Helvetica Neue"/>
          <w:noProof/>
          <w:color w:val="000000" w:themeColor="text1"/>
          <w:lang w:val="en-GB"/>
        </w:rPr>
        <w:t xml:space="preserve">; </w:t>
      </w:r>
      <w:r w:rsidRPr="00286ECD">
        <w:rPr>
          <w:rFonts w:ascii="Georgia" w:hAnsi="Georgia" w:cs="Helvetica Neue"/>
          <w:noProof/>
          <w:color w:val="000000" w:themeColor="text1"/>
          <w:lang w:val="en-GB"/>
        </w:rPr>
        <w:t>Knutsen et al</w:t>
      </w:r>
      <w:r>
        <w:rPr>
          <w:rFonts w:ascii="Georgia" w:hAnsi="Georgia" w:cs="Helvetica Neue"/>
          <w:noProof/>
          <w:color w:val="000000" w:themeColor="text1"/>
          <w:lang w:val="en-GB"/>
        </w:rPr>
        <w:t>.</w:t>
      </w:r>
      <w:r w:rsidRPr="00286ECD">
        <w:rPr>
          <w:rFonts w:ascii="Georgia" w:hAnsi="Georgia" w:cs="Helvetica Neue"/>
          <w:noProof/>
          <w:color w:val="000000" w:themeColor="text1"/>
          <w:lang w:val="en-GB"/>
        </w:rPr>
        <w:t xml:space="preserve"> 2018)</w:t>
      </w:r>
      <w:r w:rsidRPr="00286ECD">
        <w:rPr>
          <w:rFonts w:ascii="Georgia" w:hAnsi="Georgia" w:cs="Helvetica Neue"/>
          <w:color w:val="000000" w:themeColor="text1"/>
          <w:lang w:val="en-GB"/>
        </w:rPr>
        <w:fldChar w:fldCharType="end"/>
      </w:r>
      <w:r w:rsidRPr="00286ECD">
        <w:rPr>
          <w:rFonts w:ascii="Georgia" w:hAnsi="Georgia" w:cs="Helvetica Neue"/>
          <w:color w:val="000000" w:themeColor="text1"/>
          <w:lang w:val="en-GB"/>
        </w:rPr>
        <w:t>. The faster</w:t>
      </w:r>
      <w:r>
        <w:rPr>
          <w:rFonts w:ascii="Georgia" w:hAnsi="Georgia" w:cs="Helvetica Neue"/>
          <w:color w:val="000000" w:themeColor="text1"/>
          <w:lang w:val="en-GB"/>
        </w:rPr>
        <w:t>-</w:t>
      </w:r>
      <w:r w:rsidRPr="00286ECD">
        <w:rPr>
          <w:rFonts w:ascii="Georgia" w:hAnsi="Georgia" w:cs="Helvetica Neue"/>
          <w:color w:val="000000" w:themeColor="text1"/>
          <w:lang w:val="en-GB"/>
        </w:rPr>
        <w:t>growing North Sea ecotype has, once it reached age 2, competed with 3-year-old Fjord ecotype</w:t>
      </w:r>
      <w:r w:rsidRPr="00EF5F04">
        <w:rPr>
          <w:rFonts w:ascii="Georgia" w:hAnsi="Georgia" w:cs="Helvetica Neue"/>
          <w:color w:val="000000" w:themeColor="text1"/>
          <w:lang w:val="en-GB"/>
        </w:rPr>
        <w:t xml:space="preserve"> </w:t>
      </w:r>
      <w:r w:rsidRPr="00286ECD">
        <w:rPr>
          <w:rFonts w:ascii="Georgia" w:hAnsi="Georgia" w:cs="Helvetica Neue"/>
          <w:color w:val="000000" w:themeColor="text1"/>
          <w:lang w:val="en-GB"/>
        </w:rPr>
        <w:t>for similar</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sized resources, while 3-year-old North Sea ecotype competed with the oldest Fjord ecotype. </w:t>
      </w:r>
      <w:r w:rsidRPr="00286ECD">
        <w:rPr>
          <w:rFonts w:ascii="Georgia" w:hAnsi="Georgia" w:cs="Georgia"/>
          <w:color w:val="000000" w:themeColor="text1"/>
          <w:lang w:val="en-GB"/>
        </w:rPr>
        <w:t xml:space="preserve">This </w:t>
      </w:r>
      <w:r>
        <w:rPr>
          <w:rFonts w:ascii="Georgia" w:hAnsi="Georgia" w:cs="Georgia"/>
          <w:color w:val="000000" w:themeColor="text1"/>
          <w:lang w:val="en-GB"/>
        </w:rPr>
        <w:t>age-specific competition</w:t>
      </w:r>
      <w:r w:rsidRPr="00286ECD">
        <w:rPr>
          <w:rFonts w:ascii="Georgia" w:hAnsi="Georgia" w:cs="Georgia"/>
          <w:color w:val="000000" w:themeColor="text1"/>
          <w:lang w:val="en-GB"/>
        </w:rPr>
        <w:t xml:space="preserve"> </w:t>
      </w:r>
      <w:r w:rsidR="006A7C85">
        <w:rPr>
          <w:rFonts w:ascii="Georgia" w:hAnsi="Georgia" w:cs="Georgia"/>
          <w:color w:val="000000" w:themeColor="text1"/>
          <w:lang w:val="en-GB"/>
        </w:rPr>
        <w:t>influenced</w:t>
      </w:r>
      <w:r w:rsidRPr="00286ECD">
        <w:rPr>
          <w:rFonts w:ascii="Georgia" w:hAnsi="Georgia" w:cs="Georgia"/>
          <w:color w:val="000000" w:themeColor="text1"/>
          <w:lang w:val="en-GB"/>
        </w:rPr>
        <w:t xml:space="preserve"> fish community </w:t>
      </w:r>
      <w:r>
        <w:rPr>
          <w:rFonts w:ascii="Georgia" w:hAnsi="Georgia" w:cs="Georgia"/>
          <w:color w:val="000000" w:themeColor="text1"/>
          <w:lang w:val="en-GB"/>
        </w:rPr>
        <w:t>dynamics</w:t>
      </w:r>
      <w:r w:rsidRPr="00286ECD">
        <w:rPr>
          <w:rFonts w:ascii="Georgia" w:hAnsi="Georgia" w:cs="Georgia"/>
          <w:color w:val="000000" w:themeColor="text1"/>
          <w:lang w:val="en-GB"/>
        </w:rPr>
        <w:t xml:space="preserve"> </w:t>
      </w:r>
      <w:r>
        <w:rPr>
          <w:rFonts w:ascii="Georgia" w:hAnsi="Georgia" w:cs="Georgia"/>
          <w:color w:val="000000" w:themeColor="text1"/>
          <w:lang w:val="en-GB"/>
        </w:rPr>
        <w:t>in Skagerrak</w:t>
      </w:r>
      <w:r w:rsidRPr="00286ECD">
        <w:rPr>
          <w:rFonts w:ascii="Georgia" w:hAnsi="Georgia" w:cs="Helvetica Neue"/>
          <w:color w:val="000000" w:themeColor="text1"/>
          <w:lang w:val="en-GB"/>
        </w:rPr>
        <w:t xml:space="preserve">. </w:t>
      </w:r>
      <w:r>
        <w:rPr>
          <w:rFonts w:ascii="Georgia" w:hAnsi="Georgia" w:cs="Georgia"/>
          <w:color w:val="000000" w:themeColor="text1"/>
          <w:lang w:val="en-GB"/>
        </w:rPr>
        <w:t>When</w:t>
      </w:r>
      <w:r w:rsidRPr="00286ECD">
        <w:rPr>
          <w:rFonts w:ascii="Georgia" w:hAnsi="Georgia" w:cs="Georgia"/>
          <w:color w:val="000000" w:themeColor="text1"/>
          <w:lang w:val="en-GB"/>
        </w:rPr>
        <w:t xml:space="preserve"> either </w:t>
      </w:r>
      <w:r>
        <w:rPr>
          <w:rFonts w:ascii="Georgia" w:hAnsi="Georgia" w:cs="Georgia"/>
          <w:color w:val="000000" w:themeColor="text1"/>
          <w:lang w:val="en-GB"/>
        </w:rPr>
        <w:t>ecotype</w:t>
      </w:r>
      <w:r w:rsidRPr="00286ECD">
        <w:rPr>
          <w:rFonts w:ascii="Georgia" w:hAnsi="Georgia" w:cs="Georgia"/>
          <w:color w:val="000000" w:themeColor="text1"/>
          <w:lang w:val="en-GB"/>
        </w:rPr>
        <w:t xml:space="preserve"> was removed, the biomass of the remaining ecotype and other fish</w:t>
      </w:r>
      <w:r>
        <w:rPr>
          <w:rFonts w:ascii="Georgia" w:hAnsi="Georgia" w:cs="Georgia"/>
          <w:color w:val="000000" w:themeColor="text1"/>
          <w:lang w:val="en-GB"/>
        </w:rPr>
        <w:t xml:space="preserve"> species</w:t>
      </w:r>
      <w:r w:rsidRPr="00286ECD">
        <w:rPr>
          <w:rFonts w:ascii="Georgia" w:hAnsi="Georgia" w:cs="Georgia"/>
          <w:color w:val="000000" w:themeColor="text1"/>
          <w:lang w:val="en-GB"/>
        </w:rPr>
        <w:t xml:space="preserve"> increased </w:t>
      </w:r>
      <w:r>
        <w:rPr>
          <w:rFonts w:ascii="Georgia" w:hAnsi="Georgia" w:cs="Georgia"/>
          <w:color w:val="000000" w:themeColor="text1"/>
          <w:lang w:val="en-GB"/>
        </w:rPr>
        <w:t>due to reduced</w:t>
      </w:r>
      <w:r w:rsidRPr="00286ECD">
        <w:rPr>
          <w:rFonts w:ascii="Georgia" w:hAnsi="Georgia" w:cs="Georgia"/>
          <w:color w:val="000000" w:themeColor="text1"/>
          <w:lang w:val="en-GB"/>
        </w:rPr>
        <w:t xml:space="preserve"> competition and predatory pressure</w:t>
      </w:r>
      <w:r>
        <w:rPr>
          <w:rFonts w:ascii="Georgia" w:hAnsi="Georgia" w:cs="Georgia"/>
          <w:color w:val="000000" w:themeColor="text1"/>
          <w:lang w:val="en-GB"/>
        </w:rPr>
        <w:t xml:space="preserve"> (</w:t>
      </w:r>
      <w:r w:rsidRPr="00286ECD">
        <w:rPr>
          <w:rFonts w:ascii="Georgia" w:hAnsi="Georgia" w:cs="Helvetica Neue"/>
          <w:color w:val="000000" w:themeColor="text1"/>
          <w:lang w:val="en-GB"/>
        </w:rPr>
        <w:t>Fig</w:t>
      </w:r>
      <w:r>
        <w:rPr>
          <w:rFonts w:ascii="Georgia" w:hAnsi="Georgia" w:cs="Helvetica Neue"/>
          <w:color w:val="000000" w:themeColor="text1"/>
          <w:lang w:val="en-GB"/>
        </w:rPr>
        <w:t>.</w:t>
      </w:r>
      <w:r w:rsidRPr="00286ECD">
        <w:rPr>
          <w:rFonts w:ascii="Georgia" w:hAnsi="Georgia" w:cs="Helvetica Neue"/>
          <w:color w:val="000000" w:themeColor="text1"/>
          <w:lang w:val="en-GB"/>
        </w:rPr>
        <w:t xml:space="preserve"> </w:t>
      </w:r>
      <w:r>
        <w:rPr>
          <w:rFonts w:ascii="Georgia" w:hAnsi="Georgia" w:cs="Helvetica Neue"/>
          <w:color w:val="000000" w:themeColor="text1"/>
          <w:lang w:val="en-GB"/>
        </w:rPr>
        <w:t xml:space="preserve">3a). Interestingly, our results highlight that intraspecific diversity can harbour distinct regulatory effects on the community. Fjord cod ecotype showed to have stronger intraspecific regulation </w:t>
      </w:r>
      <w:r w:rsidRPr="00286ECD">
        <w:rPr>
          <w:rFonts w:ascii="Georgia" w:hAnsi="Georgia" w:cs="Georgia"/>
          <w:color w:val="000000" w:themeColor="text1"/>
          <w:lang w:val="en-GB"/>
        </w:rPr>
        <w:t>over the North Sea cod ecotype</w:t>
      </w:r>
      <w:r>
        <w:rPr>
          <w:rFonts w:ascii="Georgia" w:hAnsi="Georgia" w:cs="Helvetica Neue"/>
          <w:color w:val="000000" w:themeColor="text1"/>
          <w:lang w:val="en-GB"/>
        </w:rPr>
        <w:t>, while the North Sea cod ecotype exerted a more pronounced interspecific regulatory effect on the fish community in Skagerrak</w:t>
      </w:r>
      <w:r w:rsidRPr="00286ECD">
        <w:rPr>
          <w:rFonts w:ascii="Georgia" w:hAnsi="Georgia" w:cs="Georgia"/>
          <w:color w:val="000000" w:themeColor="text1"/>
          <w:lang w:val="en-GB"/>
        </w:rPr>
        <w:t>. This influence is particularly noteworthy in relation to the older age classes of whiting</w:t>
      </w:r>
      <w:r>
        <w:rPr>
          <w:rFonts w:ascii="Georgia" w:hAnsi="Georgia" w:cs="Georgia"/>
          <w:color w:val="000000" w:themeColor="text1"/>
          <w:lang w:val="en-GB"/>
        </w:rPr>
        <w:t>,</w:t>
      </w:r>
      <w:r w:rsidRPr="0069483F">
        <w:rPr>
          <w:rFonts w:ascii="Georgia" w:hAnsi="Georgia" w:cs="Georgia"/>
          <w:color w:val="000000" w:themeColor="text1"/>
          <w:lang w:val="en-GB"/>
        </w:rPr>
        <w:t xml:space="preserve"> </w:t>
      </w:r>
      <w:r>
        <w:rPr>
          <w:rFonts w:ascii="Georgia" w:hAnsi="Georgia" w:cs="Georgia"/>
          <w:color w:val="000000" w:themeColor="text1"/>
          <w:lang w:val="en-GB"/>
        </w:rPr>
        <w:t xml:space="preserve">mackerel, </w:t>
      </w:r>
      <w:r w:rsidRPr="00286ECD">
        <w:rPr>
          <w:rFonts w:ascii="Georgia" w:hAnsi="Georgia" w:cs="Georgia"/>
          <w:color w:val="000000" w:themeColor="text1"/>
          <w:lang w:val="en-GB"/>
        </w:rPr>
        <w:t xml:space="preserve">pollock, and </w:t>
      </w:r>
      <w:r>
        <w:rPr>
          <w:rFonts w:ascii="Georgia" w:hAnsi="Georgia" w:cs="Georgia"/>
          <w:color w:val="000000" w:themeColor="text1"/>
          <w:lang w:val="en-GB"/>
        </w:rPr>
        <w:t>haddock</w:t>
      </w:r>
      <w:r w:rsidRPr="00286ECD">
        <w:rPr>
          <w:rFonts w:ascii="Georgia" w:hAnsi="Georgia" w:cs="Georgia"/>
          <w:color w:val="000000" w:themeColor="text1"/>
          <w:lang w:val="en-GB"/>
        </w:rPr>
        <w:t xml:space="preserve"> - species </w:t>
      </w:r>
      <w:r>
        <w:rPr>
          <w:rFonts w:ascii="Georgia" w:hAnsi="Georgia" w:cs="Georgia"/>
          <w:color w:val="000000" w:themeColor="text1"/>
          <w:lang w:val="en-GB"/>
        </w:rPr>
        <w:t>of</w:t>
      </w:r>
      <w:r w:rsidRPr="00286ECD">
        <w:rPr>
          <w:rFonts w:ascii="Georgia" w:hAnsi="Georgia" w:cs="Georgia"/>
          <w:color w:val="000000" w:themeColor="text1"/>
          <w:lang w:val="en-GB"/>
        </w:rPr>
        <w:t xml:space="preserve"> economic </w:t>
      </w:r>
      <w:r>
        <w:rPr>
          <w:rFonts w:ascii="Georgia" w:hAnsi="Georgia" w:cs="Georgia"/>
          <w:color w:val="000000" w:themeColor="text1"/>
          <w:lang w:val="en-GB"/>
        </w:rPr>
        <w:t>importance</w:t>
      </w:r>
      <w:r w:rsidRPr="00286ECD">
        <w:rPr>
          <w:rFonts w:ascii="Georgia" w:hAnsi="Georgia" w:cs="Georgia"/>
          <w:color w:val="000000" w:themeColor="text1"/>
          <w:lang w:val="en-GB"/>
        </w:rPr>
        <w:t xml:space="preserve"> (Fig</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3b</w:t>
      </w:r>
      <w:r w:rsidRPr="00286ECD">
        <w:rPr>
          <w:rFonts w:ascii="Georgia" w:hAnsi="Georgia" w:cs="Georgia"/>
          <w:color w:val="000000" w:themeColor="text1"/>
          <w:lang w:val="en-GB"/>
        </w:rPr>
        <w:t xml:space="preserve">). </w:t>
      </w:r>
      <w:r>
        <w:rPr>
          <w:rFonts w:ascii="Georgia" w:hAnsi="Georgia" w:cs="Georgia"/>
          <w:color w:val="000000" w:themeColor="text1"/>
          <w:lang w:val="en-GB"/>
        </w:rPr>
        <w:t>T</w:t>
      </w:r>
      <w:r w:rsidRPr="00286ECD">
        <w:rPr>
          <w:rFonts w:ascii="Georgia" w:hAnsi="Georgia" w:cs="Georgia"/>
          <w:color w:val="000000" w:themeColor="text1"/>
          <w:lang w:val="en-GB"/>
        </w:rPr>
        <w:t xml:space="preserve">he loss of intraspecific diversity </w:t>
      </w:r>
      <w:r>
        <w:rPr>
          <w:rFonts w:ascii="Georgia" w:hAnsi="Georgia" w:cs="Georgia"/>
          <w:color w:val="000000" w:themeColor="text1"/>
          <w:lang w:val="en-GB"/>
        </w:rPr>
        <w:t>triggered t</w:t>
      </w:r>
      <w:r w:rsidRPr="00286ECD">
        <w:rPr>
          <w:rFonts w:ascii="Georgia" w:hAnsi="Georgia" w:cs="Georgia"/>
          <w:color w:val="000000" w:themeColor="text1"/>
          <w:lang w:val="en-GB"/>
        </w:rPr>
        <w:t xml:space="preserve">rophic cascades </w:t>
      </w:r>
      <w:r>
        <w:rPr>
          <w:rFonts w:ascii="Georgia" w:hAnsi="Georgia" w:cs="Georgia"/>
          <w:color w:val="000000" w:themeColor="text1"/>
          <w:lang w:val="en-GB"/>
        </w:rPr>
        <w:t xml:space="preserve">that </w:t>
      </w:r>
      <w:r w:rsidRPr="00286ECD">
        <w:rPr>
          <w:rFonts w:ascii="Georgia" w:hAnsi="Georgia" w:cs="Georgia"/>
          <w:color w:val="000000" w:themeColor="text1"/>
          <w:lang w:val="en-GB"/>
        </w:rPr>
        <w:t xml:space="preserve">gradually diminished as they propagated to lower trophic levels, owing to the pronounced impact of predatory pressure on closely linked </w:t>
      </w:r>
      <w:r>
        <w:rPr>
          <w:rFonts w:ascii="Georgia" w:hAnsi="Georgia" w:cs="Georgia"/>
          <w:color w:val="000000" w:themeColor="text1"/>
          <w:lang w:val="en-GB"/>
        </w:rPr>
        <w:t>guild</w:t>
      </w:r>
      <w:r w:rsidRPr="00286ECD">
        <w:rPr>
          <w:rFonts w:ascii="Georgia" w:hAnsi="Georgia" w:cs="Georgia"/>
          <w:color w:val="000000" w:themeColor="text1"/>
          <w:lang w:val="en-GB"/>
        </w:rPr>
        <w:t xml:space="preserve">s. Consequently, the fish community exhibited the most pronounced </w:t>
      </w:r>
      <w:r>
        <w:rPr>
          <w:rFonts w:ascii="Georgia" w:hAnsi="Georgia" w:cs="Georgia"/>
          <w:color w:val="000000" w:themeColor="text1"/>
          <w:lang w:val="en-GB"/>
        </w:rPr>
        <w:t>changes</w:t>
      </w:r>
      <w:r w:rsidRPr="00286ECD">
        <w:rPr>
          <w:rFonts w:ascii="Georgia" w:hAnsi="Georgia" w:cs="Georgia"/>
          <w:color w:val="000000" w:themeColor="text1"/>
          <w:lang w:val="en-GB"/>
        </w:rPr>
        <w:t xml:space="preserve"> in relative biomass</w:t>
      </w:r>
      <w:r>
        <w:rPr>
          <w:rFonts w:ascii="Georgia" w:hAnsi="Georgia" w:cs="Georgia"/>
          <w:color w:val="000000" w:themeColor="text1"/>
          <w:lang w:val="en-GB"/>
        </w:rPr>
        <w:t>.</w:t>
      </w:r>
    </w:p>
    <w:p w14:paraId="5304C48A" w14:textId="1876644C" w:rsidR="005E45D8" w:rsidRDefault="005E45D8" w:rsidP="005E45D8">
      <w:pPr>
        <w:autoSpaceDE w:val="0"/>
        <w:autoSpaceDN w:val="0"/>
        <w:adjustRightInd w:val="0"/>
        <w:spacing w:line="480" w:lineRule="auto"/>
        <w:jc w:val="both"/>
        <w:rPr>
          <w:rFonts w:ascii="Georgia" w:hAnsi="Georgia" w:cs="Georgia"/>
          <w:color w:val="000000" w:themeColor="text1"/>
          <w:lang w:val="en-GB"/>
        </w:rPr>
      </w:pPr>
      <w:r w:rsidRPr="00286ECD">
        <w:rPr>
          <w:rFonts w:ascii="Georgia" w:hAnsi="Georgia" w:cs="Georgia"/>
          <w:color w:val="000000" w:themeColor="text1"/>
          <w:lang w:val="en-GB"/>
        </w:rPr>
        <w:t xml:space="preserve">The collaborative efforts of multiple large-scale, long-term monitoring programs in </w:t>
      </w:r>
      <w:r>
        <w:rPr>
          <w:rFonts w:ascii="Georgia" w:hAnsi="Georgia" w:cs="Georgia"/>
          <w:color w:val="000000" w:themeColor="text1"/>
          <w:lang w:val="en-GB"/>
        </w:rPr>
        <w:t xml:space="preserve">the </w:t>
      </w:r>
      <w:r w:rsidRPr="00286ECD">
        <w:rPr>
          <w:rFonts w:ascii="Georgia" w:hAnsi="Georgia" w:cs="Georgia"/>
          <w:color w:val="000000" w:themeColor="text1"/>
          <w:lang w:val="en-GB"/>
        </w:rPr>
        <w:t xml:space="preserve">Norwegian Skagerrak have </w:t>
      </w:r>
      <w:r>
        <w:rPr>
          <w:rFonts w:ascii="Georgia" w:hAnsi="Georgia" w:cs="Georgia"/>
          <w:color w:val="000000" w:themeColor="text1"/>
          <w:lang w:val="en-GB"/>
        </w:rPr>
        <w:t>enabled the detailed</w:t>
      </w:r>
      <w:r w:rsidRPr="00286ECD">
        <w:rPr>
          <w:rFonts w:ascii="Georgia" w:hAnsi="Georgia" w:cs="Georgia"/>
          <w:color w:val="000000" w:themeColor="text1"/>
          <w:lang w:val="en-GB"/>
        </w:rPr>
        <w:t xml:space="preserve"> parameterization of our highly resolved ATN model. Equivalently, the high resolution of these time series </w:t>
      </w:r>
      <w:r>
        <w:rPr>
          <w:rFonts w:ascii="Georgia" w:hAnsi="Georgia" w:cs="Georgia"/>
          <w:color w:val="000000" w:themeColor="text1"/>
          <w:lang w:val="en-GB"/>
        </w:rPr>
        <w:t>provides</w:t>
      </w:r>
      <w:r w:rsidRPr="00286ECD">
        <w:rPr>
          <w:rFonts w:ascii="Georgia" w:hAnsi="Georgia" w:cs="Georgia"/>
          <w:color w:val="000000" w:themeColor="text1"/>
          <w:lang w:val="en-GB"/>
        </w:rPr>
        <w:t xml:space="preserve"> an opportunity to detect significant shifts in the composition of the observed community. Studies delving into these comprehensive data sets have uncovered both </w:t>
      </w:r>
      <w:r>
        <w:rPr>
          <w:rFonts w:ascii="Georgia" w:hAnsi="Georgia" w:cs="Georgia"/>
          <w:color w:val="000000" w:themeColor="text1"/>
          <w:lang w:val="en-GB"/>
        </w:rPr>
        <w:t xml:space="preserve">changes </w:t>
      </w:r>
      <w:r w:rsidR="006A7C85">
        <w:rPr>
          <w:rFonts w:ascii="Georgia" w:hAnsi="Georgia" w:cs="Georgia"/>
          <w:color w:val="000000" w:themeColor="text1"/>
          <w:lang w:val="en-GB"/>
        </w:rPr>
        <w:t xml:space="preserve">in </w:t>
      </w:r>
      <w:r w:rsidR="006A7C85" w:rsidRPr="00286ECD">
        <w:rPr>
          <w:rFonts w:ascii="Georgia" w:hAnsi="Georgia" w:cs="Georgia"/>
          <w:color w:val="000000" w:themeColor="text1"/>
          <w:lang w:val="en-GB"/>
        </w:rPr>
        <w:t>seasonal</w:t>
      </w:r>
      <w:r w:rsidRPr="00286ECD">
        <w:rPr>
          <w:rFonts w:ascii="Georgia" w:hAnsi="Georgia" w:cs="Georgia"/>
          <w:color w:val="000000" w:themeColor="text1"/>
          <w:lang w:val="en-GB"/>
        </w:rPr>
        <w:t xml:space="preserve"> cycles and long-term trends in the structural dynamics of the Skagerrak food </w:t>
      </w:r>
      <w:r w:rsidRPr="00286ECD">
        <w:rPr>
          <w:rFonts w:ascii="Georgia" w:hAnsi="Georgia" w:cs="Georgia"/>
          <w:color w:val="000000" w:themeColor="text1"/>
          <w:lang w:val="en-GB"/>
        </w:rPr>
        <w:lastRenderedPageBreak/>
        <w:t xml:space="preserve">web </w:t>
      </w:r>
      <w:r>
        <w:rPr>
          <w:rFonts w:ascii="Georgia" w:hAnsi="Georgia" w:cs="Georgia"/>
          <w:color w:val="000000" w:themeColor="text1"/>
          <w:lang w:val="en-GB"/>
        </w:rPr>
        <w:t>over several</w:t>
      </w:r>
      <w:r w:rsidRPr="00286ECD">
        <w:rPr>
          <w:rFonts w:ascii="Georgia" w:hAnsi="Georgia" w:cs="Georgia"/>
          <w:color w:val="000000" w:themeColor="text1"/>
          <w:lang w:val="en-GB"/>
        </w:rPr>
        <w:t xml:space="preserve"> decades. For instance, the onset of spring phytoplankton blooms, predominantly composed of diatoms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{"citationItems":[{"id":"ITEM-1","itemData":{"DOI":"10.3354/meps239011","ISSN":"01718630","abstract":"During the intense spring diatom bloom, the spatial (km) and temporal (h) variability of the pelagic food web structure was investigated in the Skagerrak. Three surface water masses could be identified in the study area based on their temperature, salinity and biogeochemical characteristics. When the measured biological parameters were separated into water masses instead of stations, food web variability decreased by up to 41%. However, specific egg production rate by Acartia clausi and Oithona similis did not correlate with water masses and was probably influenced by other factors, e.g. small-scale turbulence. Bacterial production and Calanus-grazing followed a diurnal cycle with increased activity during the night. The grazing impact by the copepod community was assessed by the egg production and the gut fluorescence method. Despite the Calanus population, the copepod community only grazed &lt;3% of daily primary production. The protozooplankton, however, ingested 2 to 4 times more of primary production than the copepods. Overall, the zooplankton community only grazed 17 % of daily primary production, and consequently the majority of the spring bloom will leave the euphotic zone ungrazed as a potential food source for the benthos.","author":[{"dropping-particle":"","family":"Maar","given":"Marie","non-dropping-particle":"","parse-names":false,"suffix":""},{"dropping-particle":"","family":"Nielsen","given":"Torkel Gissel","non-dropping-particle":"","parse-names":false,"suffix":""},{"dropping-particle":"","family":"Richardson","given":"Katherine","non-dropping-particle":"","parse-names":false,"suffix":""},{"dropping-particle":"","family":"Christaki","given":"Urania","non-dropping-particle":"","parse-names":false,"suffix":""},{"dropping-particle":"","family":"Hansen","given":"Ole Schou","non-dropping-particle":"","parse-names":false,"suffix":""},{"dropping-particle":"","family":"Zervoudaki","given":"Sultana","non-dropping-particle":"","parse-names":false,"suffix":""},{"dropping-particle":"","family":"Christou","given":"Epaminondas D.","non-dropping-particle":"","parse-names":false,"suffix":""}],"container-title":"Marine Ecology Progress Series","id":"ITEM-1","issue":"January 2014","issued":{"date-parts":[["2002"]]},"page":"11-29","title":"Spatial and temporal variability of food web structure during the spring bloom in the Skagerrak","type":"article-journal","volume":"239"},"uris":["http://www.mendeley.com/documents/?uuid=3392e1d6-c169-490f-a83f-56213aad3982"]}],"mendeley":{"formattedCitation":"(Marie Maar et al., 2002)","plainTextFormattedCitation":"(Marie Maar et al., 2002)","previouslyFormattedCitation":"(Marie Maar et al., 2002)"},"properties":{"noteIndex":0},"schema":"https://github.com/citation-style-language/schema/raw/master/csl-citation.json"}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(Maar et al. 2002)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interannual fluctuations in </w:t>
      </w:r>
      <w:r w:rsidRPr="00286ECD">
        <w:rPr>
          <w:rFonts w:ascii="Georgia" w:hAnsi="Georgia" w:cs="Georgia"/>
          <w:i/>
          <w:iCs/>
          <w:color w:val="000000" w:themeColor="text1"/>
          <w:lang w:val="en-GB"/>
        </w:rPr>
        <w:t>Calanus</w:t>
      </w:r>
      <w:r w:rsidRPr="00286ECD">
        <w:rPr>
          <w:rFonts w:ascii="Georgia" w:hAnsi="Georgia" w:cs="Georgia"/>
          <w:color w:val="000000" w:themeColor="text1"/>
          <w:lang w:val="en-GB"/>
        </w:rPr>
        <w:t xml:space="preserve"> copepod cohorts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{"citationItems":[{"id":"ITEM-1","itemData":{"DOI":"10.3389/fmars.2022.779335","abstract":" The congeneric copepods Calanus finmarchicus and C. helgolandicus co-occur in the northern North Sea and Skagerrak where they play important roles as prey for higher trophic levels. This study analyses a 26-year time series (1994-2019) with a ~ two-week temporal resolution for Calanus spp. at a fixed monitoring station in Skagerrak, off southern Norway. Seasonal variation, inter-annual variability and long-term trends for the two species were examined. Strong differences in the species-specific seasonality were revealed, with C. finmarchicus dominating in spring and C. helgolandicus in autumn. The seasonal peak of C. finmarchicus was associated with relatively low temperatures (6-8°C) and high chlorophyll a concentration, while C. helgolandicus displayed its seasonal maximum at higher temperatures (11-16°C). C. finmarchicus was found to produce one dominant annual generation (in spring), but two or more generations are considered likely. Contrasting long-term trends in abundances were found for the two species, suggesting that their population sizes were affected by different mechanisms. The abundance of C. helgolandicus showed an increasing trend over the time period studied, apart from the last years. The abundance of C. finmarchicus was more variable and displayed no unidirectional long-term trends over the time series. The study revealed a shift in the phenology of Calanus spp. over the last 25 years at this site. Since 1994 the timing of the annual peaks in both C . finmarchicus and C. helgolandicus have advanced by about one month. Moreover, the seasonal pattern of C. helgolandicus , switched from a unimodal to a bimodal pattern around 2002, with a small additional peak also appearing in spring. The results suggest that the proximity to the Norwegian Trench influences the demography and abundance of C. finmarchicus in this coastal area, both as a gateway for the advective supply, as well as a habitat for local overwintering. ","author":[{"dropping-particle":"","family":"Falkenhaug","given":"Tone","non-dropping-particle":"","parse-names":false,"suffix":""},{"dropping-particle":"","family":"Broms","given":"Cecilie","non-dropping-particle":"","parse-names":false,"suffix":""},{"dropping-particle":"","family":"Bagøien","given":"Espen","non-dropping-particle":"","parse-names":false,"suffix":""},{"dropping-particle":"","family":"Nikolioudakis","given":"Nikolaos","non-dropping-particle":"","parse-names":false,"suffix":""}],"container-title":"Frontiers in Marine Science","id":"ITEM-1","issue":"May","issued":{"date-parts":[["2022"]]},"page":"1-17","title":"Temporal Variability of Co-Occurring Calanus finmarchicus and C. helgolandicus in Skagerrak","type":"article-journal","volume":"9"},"uris":["http://www.mendeley.com/documents/?uuid=514952f1-90da-4a8f-9516-2f52950b8680"]}],"mendeley":{"formattedCitation":"(Falkenhaug et al., 2022)","plainTextFormattedCitation":"(Falkenhaug et al., 2022)","previouslyFormattedCitation":"(Falkenhaug et al., 2022)"},"properties":{"noteIndex":0},"schema":"https://github.com/citation-style-language/schema/raw/master/csl-citation.json"}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(Falkenhaug et al. 2022)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shifts in the species </w:t>
      </w:r>
      <w:r>
        <w:rPr>
          <w:rFonts w:ascii="Georgia" w:hAnsi="Georgia" w:cs="Georgia"/>
          <w:color w:val="000000" w:themeColor="text1"/>
          <w:lang w:val="en-GB"/>
        </w:rPr>
        <w:t>composition</w:t>
      </w:r>
      <w:r w:rsidRPr="00286ECD">
        <w:rPr>
          <w:rFonts w:ascii="Georgia" w:hAnsi="Georgia" w:cs="Georgia"/>
          <w:color w:val="000000" w:themeColor="text1"/>
          <w:lang w:val="en-GB"/>
        </w:rPr>
        <w:t xml:space="preserve"> of hard-bottom communities with declining macroalgal species (</w:t>
      </w:r>
      <w:proofErr w:type="spellStart"/>
      <w:r w:rsidRPr="00286ECD">
        <w:rPr>
          <w:rFonts w:ascii="Georgia" w:hAnsi="Georgia" w:cs="Georgia"/>
          <w:color w:val="000000" w:themeColor="text1"/>
          <w:lang w:val="en-GB"/>
        </w:rPr>
        <w:t>Frigstad</w:t>
      </w:r>
      <w:proofErr w:type="spellEnd"/>
      <w:r w:rsidRPr="00286ECD">
        <w:rPr>
          <w:rFonts w:ascii="Georgia" w:hAnsi="Georgia" w:cs="Georgia"/>
          <w:color w:val="000000" w:themeColor="text1"/>
          <w:lang w:val="en-GB"/>
        </w:rPr>
        <w:t xml:space="preserve"> et al. 2023), and decadal oscillations in juvenile fish assemblages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{"citationItems":[{"id":"ITEM-1","itemData":{"DOI":"10.1111/gcb.13047","ISSN":"13652486","PMID":"26238690","abstract":"In order to adequately monitor biodiversity trends through time and their responses to natural or anthropogenic impacts, researchers require long time series that are often unavailable. This general lack of datasets that are several decades or longer makes establishing a background or baseline of diversity metrics difficult - especially when attempting to understand species composition changes against a backdrop of climate and ecological variability. Here, we present an analysis of a community of juvenile nearshore fishes based on nearly 8 decades of highly standardized Norwegian survey records. Using multivariate statistical techniques, we: (i) characterize the change in taxonomic community composition through time, (ii) determine whether there has been an increase in warm-water affinity species relative to their cold water affinity counterparts, and (iii) characterize the temporal change in the species' functional trait assemblage. Our results strongly indicate a shift toward a novel fish assemblage between the late 1990s and 2000s. The context of changes within the most recent two decades is in stark contrast to those during the 1960s and 1970s, but similar to those during the previous warm period during the 1930s and 1940s. This novel assemblage is tightly linked to the warming temperatures in the region portrayed by the increased presence of warm-water species and a higher incidence of pelagic, planktivorous species. The results indicate a clear influence of ocean temperature on the region's juvenile fish community that points to climate-mediated effects on the species assemblages of an important fish nursery area.","author":[{"dropping-particle":"","family":"Barceló","given":"Caren","non-dropping-particle":"","parse-names":false,"suffix":""},{"dropping-particle":"","family":"Ciannelli","given":"Lorenzo","non-dropping-particle":"","parse-names":false,"suffix":""},{"dropping-particle":"","family":"Olsen","given":"Esben M.","non-dropping-particle":"","parse-names":false,"suffix":""},{"dropping-particle":"","family":"Johannessen","given":"Tore","non-dropping-particle":"","parse-names":false,"suffix":""},{"dropping-particle":"","family":"Knutsen","given":"Halvor","non-dropping-particle":"","parse-names":false,"suffix":""}],"container-title":"Global Change Biology","id":"ITEM-1","issue":"3","issued":{"date-parts":[["2016"]]},"page":"1155-1167","title":"Eight decades of sampling reveal a contemporary novel fish assemblage in coastal nursery habitats","type":"article-journal","volume":"22"},"uris":["http://www.mendeley.com/documents/?uuid=3178e904-4b7b-45df-89c4-df35429dc1d3"]}],"mendeley":{"formattedCitation":"(Barceló et al., 2016)","plainTextFormattedCitation":"(Barceló et al., 2016)","previouslyFormattedCitation":"(Barceló et al., 2016)"},"properties":{"noteIndex":0},"schema":"https://github.com/citation-style-language/schema/raw/master/csl-citation.json"}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(Barceló et al. 2016)</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have all </w:t>
      </w:r>
      <w:r>
        <w:rPr>
          <w:rFonts w:ascii="Georgia" w:hAnsi="Georgia" w:cs="Georgia"/>
          <w:color w:val="000000" w:themeColor="text1"/>
          <w:lang w:val="en-GB"/>
        </w:rPr>
        <w:t>been</w:t>
      </w:r>
      <w:r w:rsidRPr="00286ECD">
        <w:rPr>
          <w:rFonts w:ascii="Georgia" w:hAnsi="Georgia" w:cs="Georgia"/>
          <w:color w:val="000000" w:themeColor="text1"/>
          <w:lang w:val="en-GB"/>
        </w:rPr>
        <w:t xml:space="preserve"> linked to </w:t>
      </w:r>
      <w:r>
        <w:rPr>
          <w:rFonts w:ascii="Georgia" w:hAnsi="Georgia" w:cs="Georgia"/>
          <w:color w:val="000000" w:themeColor="text1"/>
          <w:lang w:val="en-GB"/>
        </w:rPr>
        <w:t xml:space="preserve">local </w:t>
      </w:r>
      <w:r w:rsidRPr="00286ECD">
        <w:rPr>
          <w:rFonts w:ascii="Georgia" w:hAnsi="Georgia" w:cs="Georgia"/>
          <w:color w:val="000000" w:themeColor="text1"/>
          <w:lang w:val="en-GB"/>
        </w:rPr>
        <w:t xml:space="preserve">shifts in </w:t>
      </w:r>
      <w:r>
        <w:rPr>
          <w:rFonts w:ascii="Georgia" w:hAnsi="Georgia" w:cs="Georgia"/>
          <w:color w:val="000000" w:themeColor="text1"/>
          <w:lang w:val="en-GB"/>
        </w:rPr>
        <w:t>environmental</w:t>
      </w:r>
      <w:r w:rsidRPr="00286ECD">
        <w:rPr>
          <w:rFonts w:ascii="Georgia" w:hAnsi="Georgia" w:cs="Georgia"/>
          <w:color w:val="000000" w:themeColor="text1"/>
          <w:lang w:val="en-GB"/>
        </w:rPr>
        <w:t xml:space="preserve"> conditions</w:t>
      </w:r>
      <w:r>
        <w:rPr>
          <w:rFonts w:ascii="Georgia" w:hAnsi="Georgia" w:cs="Georgia"/>
          <w:color w:val="000000" w:themeColor="text1"/>
          <w:lang w:val="en-GB"/>
        </w:rPr>
        <w:t xml:space="preserve">, such as </w:t>
      </w:r>
      <w:r w:rsidRPr="00286ECD">
        <w:rPr>
          <w:rFonts w:ascii="Georgia" w:hAnsi="Georgia" w:cs="Georgia"/>
          <w:color w:val="000000" w:themeColor="text1"/>
          <w:lang w:val="en-GB"/>
        </w:rPr>
        <w:t>warming trends</w:t>
      </w:r>
      <w:r>
        <w:rPr>
          <w:rFonts w:ascii="Georgia" w:hAnsi="Georgia" w:cs="Georgia"/>
          <w:color w:val="000000" w:themeColor="text1"/>
          <w:lang w:val="en-GB"/>
        </w:rPr>
        <w:t>,</w:t>
      </w:r>
      <w:r w:rsidRPr="00286ECD">
        <w:rPr>
          <w:rFonts w:ascii="Georgia" w:hAnsi="Georgia" w:cs="Georgia"/>
          <w:color w:val="000000" w:themeColor="text1"/>
          <w:lang w:val="en-GB"/>
        </w:rPr>
        <w:t xml:space="preserve">  </w:t>
      </w:r>
      <w:r>
        <w:rPr>
          <w:rFonts w:ascii="Georgia" w:hAnsi="Georgia" w:cs="Georgia"/>
          <w:color w:val="000000" w:themeColor="text1"/>
          <w:lang w:val="en-GB"/>
        </w:rPr>
        <w:t>altered</w:t>
      </w:r>
      <w:r w:rsidRPr="00286ECD">
        <w:rPr>
          <w:rFonts w:ascii="Georgia" w:hAnsi="Georgia" w:cs="Georgia"/>
          <w:color w:val="000000" w:themeColor="text1"/>
          <w:lang w:val="en-GB"/>
        </w:rPr>
        <w:t xml:space="preserve"> river run-offs, </w:t>
      </w:r>
      <w:r>
        <w:rPr>
          <w:rFonts w:ascii="Georgia" w:hAnsi="Georgia" w:cs="Georgia"/>
          <w:color w:val="000000" w:themeColor="text1"/>
          <w:lang w:val="en-GB"/>
        </w:rPr>
        <w:t xml:space="preserve">and </w:t>
      </w:r>
      <w:r w:rsidRPr="00286ECD">
        <w:rPr>
          <w:rFonts w:ascii="Georgia" w:hAnsi="Georgia" w:cs="Georgia"/>
          <w:color w:val="000000" w:themeColor="text1"/>
          <w:lang w:val="en-GB"/>
        </w:rPr>
        <w:t xml:space="preserve">coastal darkening. In our study, the applied ATN </w:t>
      </w:r>
      <w:r>
        <w:rPr>
          <w:rFonts w:ascii="Georgia" w:hAnsi="Georgia" w:cs="Georgia"/>
          <w:color w:val="000000" w:themeColor="text1"/>
          <w:lang w:val="en-GB"/>
        </w:rPr>
        <w:t xml:space="preserve">model </w:t>
      </w:r>
      <w:r w:rsidRPr="00286ECD">
        <w:rPr>
          <w:rFonts w:ascii="Georgia" w:hAnsi="Georgia" w:cs="Georgia"/>
          <w:color w:val="000000" w:themeColor="text1"/>
          <w:lang w:val="en-GB"/>
        </w:rPr>
        <w:t xml:space="preserve">represents a snapshot of the Skagerrak food web, wherein community composition and feeding interactions remain </w:t>
      </w:r>
      <w:r>
        <w:rPr>
          <w:rFonts w:ascii="Georgia" w:hAnsi="Georgia" w:cs="Georgia"/>
          <w:color w:val="000000" w:themeColor="text1"/>
          <w:lang w:val="en-GB"/>
        </w:rPr>
        <w:t>constant</w:t>
      </w:r>
      <w:r w:rsidRPr="00286ECD">
        <w:rPr>
          <w:rFonts w:ascii="Georgia" w:hAnsi="Georgia" w:cs="Georgia"/>
          <w:color w:val="000000" w:themeColor="text1"/>
          <w:lang w:val="en-GB"/>
        </w:rPr>
        <w:t xml:space="preserve"> throughout </w:t>
      </w:r>
      <w:r>
        <w:rPr>
          <w:rFonts w:ascii="Georgia" w:hAnsi="Georgia" w:cs="Georgia"/>
          <w:color w:val="000000" w:themeColor="text1"/>
          <w:lang w:val="en-GB"/>
        </w:rPr>
        <w:t xml:space="preserve">the </w:t>
      </w:r>
      <w:r w:rsidRPr="00286ECD">
        <w:rPr>
          <w:rFonts w:ascii="Georgia" w:hAnsi="Georgia" w:cs="Georgia"/>
          <w:color w:val="000000" w:themeColor="text1"/>
          <w:lang w:val="en-GB"/>
        </w:rPr>
        <w:t xml:space="preserve">ATN simulations unless deliberately removed or unlinked. Despite </w:t>
      </w:r>
      <w:r>
        <w:rPr>
          <w:rFonts w:ascii="Georgia" w:hAnsi="Georgia" w:cs="Georgia"/>
          <w:color w:val="000000" w:themeColor="text1"/>
          <w:lang w:val="en-GB"/>
        </w:rPr>
        <w:t>this</w:t>
      </w:r>
      <w:r w:rsidRPr="00286ECD">
        <w:rPr>
          <w:rFonts w:ascii="Georgia" w:hAnsi="Georgia" w:cs="Georgia"/>
          <w:color w:val="000000" w:themeColor="text1"/>
          <w:lang w:val="en-GB"/>
        </w:rPr>
        <w:t xml:space="preserve"> </w:t>
      </w:r>
      <w:r>
        <w:rPr>
          <w:rFonts w:ascii="Georgia" w:hAnsi="Georgia" w:cs="Georgia"/>
          <w:color w:val="000000" w:themeColor="text1"/>
          <w:lang w:val="en-GB"/>
        </w:rPr>
        <w:t xml:space="preserve">static </w:t>
      </w:r>
      <w:r w:rsidRPr="00286ECD">
        <w:rPr>
          <w:rFonts w:ascii="Georgia" w:hAnsi="Georgia" w:cs="Georgia"/>
          <w:color w:val="000000" w:themeColor="text1"/>
          <w:lang w:val="en-GB"/>
        </w:rPr>
        <w:t xml:space="preserve">format, where biomass dynamics move between permanent feeding links, the results align with other studies focused on the Skagerrak region. </w:t>
      </w:r>
    </w:p>
    <w:p w14:paraId="78F4D5E5" w14:textId="75CB7D85" w:rsidR="005E45D8" w:rsidRPr="00286ECD" w:rsidRDefault="005E45D8" w:rsidP="005E45D8">
      <w:pPr>
        <w:autoSpaceDE w:val="0"/>
        <w:autoSpaceDN w:val="0"/>
        <w:adjustRightInd w:val="0"/>
        <w:spacing w:line="480" w:lineRule="auto"/>
        <w:jc w:val="both"/>
        <w:rPr>
          <w:rFonts w:ascii="Georgia" w:hAnsi="Georgia" w:cs="Georgia"/>
          <w:color w:val="000000" w:themeColor="text1"/>
          <w:lang w:val="en-GB"/>
        </w:rPr>
      </w:pPr>
      <w:r w:rsidRPr="00286ECD">
        <w:rPr>
          <w:rFonts w:ascii="Georgia" w:hAnsi="Georgia" w:cs="Georgia"/>
          <w:color w:val="000000" w:themeColor="text1"/>
          <w:lang w:val="en-GB"/>
        </w:rPr>
        <w:t>Specifically, although amphipod</w:t>
      </w:r>
      <w:r w:rsidR="006A7C85">
        <w:rPr>
          <w:rFonts w:ascii="Georgia" w:hAnsi="Georgia" w:cs="Georgia"/>
          <w:color w:val="000000" w:themeColor="text1"/>
          <w:lang w:val="en-GB"/>
        </w:rPr>
        <w:t>s</w:t>
      </w:r>
      <w:r w:rsidRPr="00286ECD">
        <w:rPr>
          <w:rFonts w:ascii="Georgia" w:hAnsi="Georgia" w:cs="Georgia"/>
          <w:color w:val="000000" w:themeColor="text1"/>
          <w:lang w:val="en-GB"/>
        </w:rPr>
        <w:t xml:space="preserve"> were the most connected functional guild,</w:t>
      </w:r>
      <w:r>
        <w:rPr>
          <w:rFonts w:ascii="Georgia" w:hAnsi="Georgia" w:cs="Georgia"/>
          <w:color w:val="000000" w:themeColor="text1"/>
          <w:lang w:val="en-GB"/>
        </w:rPr>
        <w:t xml:space="preserve"> the</w:t>
      </w:r>
      <w:r w:rsidRPr="00286ECD">
        <w:rPr>
          <w:rFonts w:ascii="Georgia" w:hAnsi="Georgia" w:cs="Georgia"/>
          <w:color w:val="000000" w:themeColor="text1"/>
          <w:lang w:val="en-GB"/>
        </w:rPr>
        <w:t xml:space="preserve"> copepods</w:t>
      </w:r>
      <w:r w:rsidRPr="00286ECD">
        <w:rPr>
          <w:rFonts w:ascii="Georgia" w:hAnsi="Georgia" w:cs="Georgia"/>
          <w:i/>
          <w:iCs/>
          <w:color w:val="000000" w:themeColor="text1"/>
          <w:lang w:val="en-GB"/>
        </w:rPr>
        <w:t xml:space="preserve"> Calanus finmarchicus </w:t>
      </w:r>
      <w:r w:rsidRPr="00286ECD">
        <w:rPr>
          <w:rFonts w:ascii="Georgia" w:hAnsi="Georgia" w:cs="Georgia"/>
          <w:color w:val="000000" w:themeColor="text1"/>
          <w:lang w:val="en-GB"/>
        </w:rPr>
        <w:t>and</w:t>
      </w:r>
      <w:r w:rsidRPr="00286ECD">
        <w:rPr>
          <w:rFonts w:ascii="Georgia" w:hAnsi="Georgia" w:cs="Georgia"/>
          <w:i/>
          <w:iCs/>
          <w:color w:val="000000" w:themeColor="text1"/>
          <w:lang w:val="en-GB"/>
        </w:rPr>
        <w:t xml:space="preserve"> C. </w:t>
      </w:r>
      <w:proofErr w:type="spellStart"/>
      <w:r w:rsidRPr="00286ECD">
        <w:rPr>
          <w:rFonts w:ascii="Georgia" w:hAnsi="Georgia" w:cs="Georgia"/>
          <w:i/>
          <w:iCs/>
          <w:color w:val="000000" w:themeColor="text1"/>
          <w:lang w:val="en-GB"/>
        </w:rPr>
        <w:t>helgolandicus</w:t>
      </w:r>
      <w:proofErr w:type="spellEnd"/>
      <w:r w:rsidRPr="00286ECD">
        <w:rPr>
          <w:rFonts w:ascii="Georgia" w:hAnsi="Georgia" w:cs="Georgia"/>
          <w:i/>
          <w:iCs/>
          <w:color w:val="000000" w:themeColor="text1"/>
          <w:lang w:val="en-GB"/>
        </w:rPr>
        <w:t xml:space="preserve"> </w:t>
      </w:r>
      <w:r w:rsidRPr="00286ECD">
        <w:rPr>
          <w:rFonts w:ascii="Georgia" w:hAnsi="Georgia" w:cs="Georgia"/>
          <w:color w:val="000000" w:themeColor="text1"/>
          <w:lang w:val="en-GB"/>
        </w:rPr>
        <w:t>proved to be the keystone species</w:t>
      </w:r>
      <w:r>
        <w:rPr>
          <w:rFonts w:ascii="Georgia" w:hAnsi="Georgia" w:cs="Georgia"/>
          <w:color w:val="000000" w:themeColor="text1"/>
          <w:lang w:val="en-GB"/>
        </w:rPr>
        <w:t>. A</w:t>
      </w:r>
      <w:r w:rsidRPr="00286ECD">
        <w:rPr>
          <w:rFonts w:ascii="Georgia" w:hAnsi="Georgia" w:cs="Georgia"/>
          <w:color w:val="000000" w:themeColor="text1"/>
          <w:lang w:val="en-GB"/>
        </w:rPr>
        <w:t xml:space="preserve">fter accounting for their size-based sorting into </w:t>
      </w:r>
      <w:r>
        <w:rPr>
          <w:rFonts w:ascii="Georgia" w:hAnsi="Georgia" w:cs="Georgia"/>
          <w:color w:val="000000" w:themeColor="text1"/>
          <w:lang w:val="en-GB"/>
        </w:rPr>
        <w:t>five</w:t>
      </w:r>
      <w:r w:rsidRPr="00286ECD">
        <w:rPr>
          <w:rFonts w:ascii="Georgia" w:hAnsi="Georgia" w:cs="Georgia"/>
          <w:color w:val="000000" w:themeColor="text1"/>
          <w:lang w:val="en-GB"/>
        </w:rPr>
        <w:t xml:space="preserve"> guilds (</w:t>
      </w:r>
      <w:r w:rsidRPr="00286ECD">
        <w:rPr>
          <w:rFonts w:ascii="Georgia" w:hAnsi="Georgia" w:cs="Helvetica Neue"/>
          <w:color w:val="000000" w:themeColor="text1"/>
          <w:lang w:val="en-GB"/>
        </w:rPr>
        <w:t xml:space="preserve">Supporting </w:t>
      </w:r>
      <w:r>
        <w:rPr>
          <w:rFonts w:ascii="Georgia" w:hAnsi="Georgia" w:cs="Georgia"/>
          <w:color w:val="000000" w:themeColor="text1"/>
          <w:lang w:val="en-GB"/>
        </w:rPr>
        <w:t>I</w:t>
      </w:r>
      <w:r w:rsidRPr="00286ECD">
        <w:rPr>
          <w:rFonts w:ascii="Georgia" w:hAnsi="Georgia" w:cs="Georgia"/>
          <w:color w:val="000000" w:themeColor="text1"/>
          <w:lang w:val="en-GB"/>
        </w:rPr>
        <w:t xml:space="preserve">nformation S2), they </w:t>
      </w:r>
      <w:r>
        <w:rPr>
          <w:rFonts w:ascii="Georgia" w:hAnsi="Georgia" w:cs="Georgia"/>
          <w:color w:val="000000" w:themeColor="text1"/>
          <w:lang w:val="en-GB"/>
        </w:rPr>
        <w:t>emerged as</w:t>
      </w:r>
      <w:r w:rsidRPr="00286ECD">
        <w:rPr>
          <w:rFonts w:ascii="Georgia" w:hAnsi="Georgia" w:cs="Georgia"/>
          <w:color w:val="000000" w:themeColor="text1"/>
          <w:lang w:val="en-GB"/>
        </w:rPr>
        <w:t xml:space="preserve"> the most interconnected aggregated functional guild within the Skagerrak ATN. The </w:t>
      </w:r>
      <w:r>
        <w:rPr>
          <w:rFonts w:ascii="Georgia" w:hAnsi="Georgia" w:cs="Georgia"/>
          <w:color w:val="000000" w:themeColor="text1"/>
          <w:lang w:val="en-GB"/>
        </w:rPr>
        <w:t xml:space="preserve">high </w:t>
      </w:r>
      <w:r w:rsidRPr="00286ECD">
        <w:rPr>
          <w:rFonts w:ascii="Georgia" w:hAnsi="Georgia" w:cs="Georgia"/>
          <w:color w:val="000000" w:themeColor="text1"/>
          <w:lang w:val="en-GB"/>
        </w:rPr>
        <w:t>egg production rate of copepods</w:t>
      </w:r>
      <w:r>
        <w:rPr>
          <w:rFonts w:ascii="Georgia" w:hAnsi="Georgia" w:cs="Georgia"/>
          <w:color w:val="000000" w:themeColor="text1"/>
          <w:lang w:val="en-GB"/>
        </w:rPr>
        <w:t xml:space="preserve">, which </w:t>
      </w:r>
      <w:r w:rsidRPr="00286ECD">
        <w:rPr>
          <w:rFonts w:ascii="Georgia" w:hAnsi="Georgia" w:cs="Georgia"/>
          <w:color w:val="000000" w:themeColor="text1"/>
          <w:lang w:val="en-GB"/>
        </w:rPr>
        <w:t>can even arise from deeper diapausing populations in some species, mak</w:t>
      </w:r>
      <w:r>
        <w:rPr>
          <w:rFonts w:ascii="Georgia" w:hAnsi="Georgia" w:cs="Georgia"/>
          <w:color w:val="000000" w:themeColor="text1"/>
          <w:lang w:val="en-GB"/>
        </w:rPr>
        <w:t>es</w:t>
      </w:r>
      <w:r w:rsidRPr="00286ECD">
        <w:rPr>
          <w:rFonts w:ascii="Georgia" w:hAnsi="Georgia" w:cs="Georgia"/>
          <w:color w:val="000000" w:themeColor="text1"/>
          <w:lang w:val="en-GB"/>
        </w:rPr>
        <w:t xml:space="preserve"> </w:t>
      </w:r>
      <w:r>
        <w:rPr>
          <w:rFonts w:ascii="Georgia" w:hAnsi="Georgia" w:cs="Georgia"/>
          <w:color w:val="000000" w:themeColor="text1"/>
          <w:lang w:val="en-GB"/>
        </w:rPr>
        <w:t>them</w:t>
      </w:r>
      <w:r w:rsidRPr="00286ECD">
        <w:rPr>
          <w:rFonts w:ascii="Georgia" w:hAnsi="Georgia" w:cs="Georgia"/>
          <w:color w:val="000000" w:themeColor="text1"/>
          <w:lang w:val="en-GB"/>
        </w:rPr>
        <w:t xml:space="preserve"> a common food supply and an important conduit for trophic transfer to fish larvae and various zooplankton species. The closely related </w:t>
      </w:r>
      <w:r w:rsidRPr="00286ECD">
        <w:rPr>
          <w:rFonts w:ascii="Georgia" w:hAnsi="Georgia" w:cs="Georgia"/>
          <w:i/>
          <w:iCs/>
          <w:color w:val="000000" w:themeColor="text1"/>
          <w:lang w:val="en-GB"/>
        </w:rPr>
        <w:t xml:space="preserve">C. finmarchicus </w:t>
      </w:r>
      <w:r w:rsidRPr="00286ECD">
        <w:rPr>
          <w:rFonts w:ascii="Georgia" w:hAnsi="Georgia" w:cs="Georgia"/>
          <w:color w:val="000000" w:themeColor="text1"/>
          <w:lang w:val="en-GB"/>
        </w:rPr>
        <w:t>and</w:t>
      </w:r>
      <w:r w:rsidRPr="00286ECD">
        <w:rPr>
          <w:rFonts w:ascii="Georgia" w:hAnsi="Georgia" w:cs="Georgia"/>
          <w:i/>
          <w:iCs/>
          <w:color w:val="000000" w:themeColor="text1"/>
          <w:lang w:val="en-GB"/>
        </w:rPr>
        <w:t xml:space="preserve"> C. </w:t>
      </w:r>
      <w:proofErr w:type="spellStart"/>
      <w:r w:rsidRPr="00286ECD">
        <w:rPr>
          <w:rFonts w:ascii="Georgia" w:hAnsi="Georgia" w:cs="Georgia"/>
          <w:i/>
          <w:iCs/>
          <w:color w:val="000000" w:themeColor="text1"/>
          <w:lang w:val="en-GB"/>
        </w:rPr>
        <w:t>helgolandicus</w:t>
      </w:r>
      <w:proofErr w:type="spellEnd"/>
      <w:r w:rsidRPr="00286ECD">
        <w:rPr>
          <w:rFonts w:ascii="Georgia" w:hAnsi="Georgia" w:cs="Georgia"/>
          <w:i/>
          <w:iCs/>
          <w:color w:val="000000" w:themeColor="text1"/>
          <w:lang w:val="en-GB"/>
        </w:rPr>
        <w:t xml:space="preserve"> </w:t>
      </w:r>
      <w:r w:rsidRPr="00286ECD">
        <w:rPr>
          <w:rFonts w:ascii="Georgia" w:hAnsi="Georgia" w:cs="Georgia"/>
          <w:color w:val="000000" w:themeColor="text1"/>
          <w:lang w:val="en-GB"/>
        </w:rPr>
        <w:t xml:space="preserve">occupy a pivotal trophic position within </w:t>
      </w:r>
      <w:r>
        <w:rPr>
          <w:rFonts w:ascii="Georgia" w:hAnsi="Georgia" w:cs="Georgia"/>
          <w:color w:val="000000" w:themeColor="text1"/>
          <w:lang w:val="en-GB"/>
        </w:rPr>
        <w:t xml:space="preserve">the </w:t>
      </w:r>
      <w:r w:rsidRPr="00286ECD">
        <w:rPr>
          <w:rFonts w:ascii="Georgia" w:hAnsi="Georgia" w:cs="Georgia"/>
          <w:color w:val="000000" w:themeColor="text1"/>
          <w:lang w:val="en-GB"/>
        </w:rPr>
        <w:t xml:space="preserve">Skagerrak ecosystem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{"citationItems":[{"id":"ITEM-1","itemData":{"DOI":"10.3389/fmars.2022.779335","abstract":" The congeneric copepods Calanus finmarchicus and C. helgolandicus co-occur in the northern North Sea and Skagerrak where they play important roles as prey for higher trophic levels. This study analyses a 26-year time series (1994-2019) with a ~ two-week temporal resolution for Calanus spp. at a fixed monitoring station in Skagerrak, off southern Norway. Seasonal variation, inter-annual variability and long-term trends for the two species were examined. Strong differences in the species-specific seasonality were revealed, with C. finmarchicus dominating in spring and C. helgolandicus in autumn. The seasonal peak of C. finmarchicus was associated with relatively low temperatures (6-8°C) and high chlorophyll a concentration, while C. helgolandicus displayed its seasonal maximum at higher temperatures (11-16°C). C. finmarchicus was found to produce one dominant annual generation (in spring), but two or more generations are considered likely. Contrasting long-term trends in abundances were found for the two species, suggesting that their population sizes were affected by different mechanisms. The abundance of C. helgolandicus showed an increasing trend over the time period studied, apart from the last years. The abundance of C. finmarchicus was more variable and displayed no unidirectional long-term trends over the time series. The study revealed a shift in the phenology of Calanus spp. over the last 25 years at this site. Since 1994 the timing of the annual peaks in both C . finmarchicus and C. helgolandicus have advanced by about one month. Moreover, the seasonal pattern of C. helgolandicus , switched from a unimodal to a bimodal pattern around 2002, with a small additional peak also appearing in spring. The results suggest that the proximity to the Norwegian Trench influences the demography and abundance of C. finmarchicus in this coastal area, both as a gateway for the advective supply, as well as a habitat for local overwintering. ","author":[{"dropping-particle":"","family":"Falkenhaug","given":"Tone","non-dropping-particle":"","parse-names":false,"suffix":""},{"dropping-particle":"","family":"Broms","given":"Cecilie","non-dropping-particle":"","parse-names":false,"suffix":""},{"dropping-particle":"","family":"Bagøien","given":"Espen","non-dropping-particle":"","parse-names":false,"suffix":""},{"dropping-particle":"","family":"Nikolioudakis","given":"Nikolaos","non-dropping-particle":"","parse-names":false,"suffix":""}],"container-title":"Frontiers in Marine Science","id":"ITEM-1","issue":"May","issued":{"date-parts":[["2022"]]},"page":"1-17","title":"Temporal Variability of Co-Occurring Calanus finmarchicus and C. helgolandicus in Skagerrak","type":"article-journal","volume":"9"},"uris":["http://www.mendeley.com/documents/?uuid=514952f1-90da-4a8f-9516-2f52950b8680"]}],"mendeley":{"formattedCitation":"(Falkenhaug et al., 2022)","plainTextFormattedCitation":"(Falkenhaug et al., 2022)"},"properties":{"noteIndex":0},"schema":"https://github.com/citation-style-language/schema/raw/master/csl-citation.json"}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(Falkenhaug et al. 2022)</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t>
      </w:r>
      <w:r>
        <w:rPr>
          <w:rFonts w:ascii="Georgia" w:hAnsi="Georgia" w:cs="Georgia"/>
          <w:color w:val="000000" w:themeColor="text1"/>
          <w:lang w:val="en-GB"/>
        </w:rPr>
        <w:t>consistent</w:t>
      </w:r>
      <w:r w:rsidRPr="00286ECD">
        <w:rPr>
          <w:rFonts w:ascii="Georgia" w:hAnsi="Georgia" w:cs="Georgia"/>
          <w:color w:val="000000" w:themeColor="text1"/>
          <w:lang w:val="en-GB"/>
        </w:rPr>
        <w:t xml:space="preserve"> with observations from other North Atlantic regions where lipid-rich </w:t>
      </w:r>
      <w:r w:rsidRPr="00286ECD">
        <w:rPr>
          <w:rFonts w:ascii="Georgia" w:hAnsi="Georgia" w:cs="Georgia"/>
          <w:i/>
          <w:iCs/>
          <w:color w:val="000000" w:themeColor="text1"/>
          <w:lang w:val="en-GB"/>
        </w:rPr>
        <w:t xml:space="preserve">Calanus </w:t>
      </w:r>
      <w:r w:rsidRPr="00286ECD">
        <w:rPr>
          <w:rFonts w:ascii="Georgia" w:hAnsi="Georgia" w:cs="Georgia"/>
          <w:color w:val="000000" w:themeColor="text1"/>
          <w:lang w:val="en-GB"/>
        </w:rPr>
        <w:t xml:space="preserve">spp. are frequently identified as </w:t>
      </w:r>
      <w:r>
        <w:rPr>
          <w:rFonts w:ascii="Georgia" w:hAnsi="Georgia" w:cs="Georgia"/>
          <w:color w:val="000000" w:themeColor="text1"/>
          <w:lang w:val="en-GB"/>
        </w:rPr>
        <w:t>key</w:t>
      </w:r>
      <w:r w:rsidRPr="00286ECD">
        <w:rPr>
          <w:rFonts w:ascii="Georgia" w:hAnsi="Georgia" w:cs="Georgia"/>
          <w:color w:val="000000" w:themeColor="text1"/>
          <w:lang w:val="en-GB"/>
        </w:rPr>
        <w:t xml:space="preserve"> components instrumental to pelagic food webs. Their prevalence is sustained by their throughout lengthy productive seasons, high energy content, and rapid population turnover (Ji et al. 2022). </w:t>
      </w:r>
    </w:p>
    <w:p w14:paraId="63BEA461" w14:textId="50129506" w:rsidR="005E45D8" w:rsidRPr="00286ECD" w:rsidRDefault="005E45D8" w:rsidP="005E45D8">
      <w:pPr>
        <w:autoSpaceDE w:val="0"/>
        <w:autoSpaceDN w:val="0"/>
        <w:adjustRightInd w:val="0"/>
        <w:spacing w:line="480" w:lineRule="auto"/>
        <w:jc w:val="both"/>
        <w:rPr>
          <w:rFonts w:ascii="Georgia" w:hAnsi="Georgia" w:cs="Helvetica Neue"/>
          <w:b/>
          <w:bCs/>
          <w:color w:val="000000" w:themeColor="text1"/>
          <w:lang w:val="en-GB"/>
        </w:rPr>
      </w:pPr>
      <w:r w:rsidRPr="00286ECD">
        <w:rPr>
          <w:rFonts w:ascii="Georgia" w:hAnsi="Georgia" w:cs="Georgia"/>
          <w:color w:val="000000" w:themeColor="text1"/>
          <w:lang w:val="en-GB"/>
        </w:rPr>
        <w:lastRenderedPageBreak/>
        <w:t xml:space="preserve">In conclusion, this study </w:t>
      </w:r>
      <w:r>
        <w:rPr>
          <w:rFonts w:ascii="Georgia" w:hAnsi="Georgia" w:cs="Georgia"/>
          <w:color w:val="000000" w:themeColor="text1"/>
          <w:lang w:val="en-GB"/>
        </w:rPr>
        <w:t>highlights</w:t>
      </w:r>
      <w:r w:rsidRPr="00286ECD">
        <w:rPr>
          <w:rFonts w:ascii="Georgia" w:hAnsi="Georgia" w:cs="Georgia"/>
          <w:color w:val="000000" w:themeColor="text1"/>
          <w:lang w:val="en-GB"/>
        </w:rPr>
        <w:t xml:space="preserve"> the distinctive </w:t>
      </w:r>
      <w:r>
        <w:rPr>
          <w:rFonts w:ascii="Georgia" w:hAnsi="Georgia" w:cs="Georgia"/>
          <w:color w:val="000000" w:themeColor="text1"/>
          <w:lang w:val="en-GB"/>
        </w:rPr>
        <w:t>intraspecific and interspecific regulatory</w:t>
      </w:r>
      <w:r w:rsidRPr="00286ECD">
        <w:rPr>
          <w:rFonts w:ascii="Georgia" w:hAnsi="Georgia" w:cs="Georgia"/>
          <w:color w:val="000000" w:themeColor="text1"/>
          <w:lang w:val="en-GB"/>
        </w:rPr>
        <w:t xml:space="preserve"> roles </w:t>
      </w:r>
      <w:r>
        <w:rPr>
          <w:rFonts w:ascii="Georgia" w:hAnsi="Georgia" w:cs="Georgia"/>
          <w:color w:val="000000" w:themeColor="text1"/>
          <w:lang w:val="en-GB"/>
        </w:rPr>
        <w:t>played by</w:t>
      </w:r>
      <w:r w:rsidRPr="00286ECD">
        <w:rPr>
          <w:rFonts w:ascii="Georgia" w:hAnsi="Georgia" w:cs="Georgia"/>
          <w:color w:val="000000" w:themeColor="text1"/>
          <w:lang w:val="en-GB"/>
        </w:rPr>
        <w:t xml:space="preserve"> </w:t>
      </w:r>
      <w:r w:rsidR="006A7C85">
        <w:rPr>
          <w:rFonts w:ascii="Georgia" w:hAnsi="Georgia" w:cs="Georgia"/>
          <w:color w:val="000000" w:themeColor="text1"/>
          <w:lang w:val="en-GB"/>
        </w:rPr>
        <w:t xml:space="preserve">Atlantic </w:t>
      </w:r>
      <w:r>
        <w:rPr>
          <w:rFonts w:ascii="Georgia" w:hAnsi="Georgia" w:cs="Georgia"/>
          <w:color w:val="000000" w:themeColor="text1"/>
          <w:lang w:val="en-GB"/>
        </w:rPr>
        <w:t xml:space="preserve">cod </w:t>
      </w:r>
      <w:r w:rsidRPr="00286ECD">
        <w:rPr>
          <w:rFonts w:ascii="Georgia" w:hAnsi="Georgia" w:cs="Georgia"/>
          <w:color w:val="000000" w:themeColor="text1"/>
          <w:lang w:val="en-GB"/>
        </w:rPr>
        <w:t xml:space="preserve">ecotypes within a </w:t>
      </w:r>
      <w:r w:rsidR="006A7C85">
        <w:rPr>
          <w:rFonts w:ascii="Georgia" w:hAnsi="Georgia" w:cs="Georgia"/>
          <w:color w:val="000000" w:themeColor="text1"/>
          <w:lang w:val="en-GB"/>
        </w:rPr>
        <w:t>coastal pelagic</w:t>
      </w:r>
      <w:r w:rsidRPr="00286ECD">
        <w:rPr>
          <w:rFonts w:ascii="Georgia" w:hAnsi="Georgia" w:cs="Georgia"/>
          <w:color w:val="000000" w:themeColor="text1"/>
          <w:lang w:val="en-GB"/>
        </w:rPr>
        <w:t xml:space="preserve"> food web, demonstrating how seemingly </w:t>
      </w:r>
      <w:r>
        <w:rPr>
          <w:rFonts w:ascii="Georgia" w:hAnsi="Georgia" w:cs="Georgia"/>
          <w:color w:val="000000" w:themeColor="text1"/>
          <w:lang w:val="en-GB"/>
        </w:rPr>
        <w:t>subtle</w:t>
      </w:r>
      <w:r w:rsidRPr="00286ECD">
        <w:rPr>
          <w:rFonts w:ascii="Georgia" w:hAnsi="Georgia" w:cs="Georgia"/>
          <w:color w:val="000000" w:themeColor="text1"/>
          <w:lang w:val="en-GB"/>
        </w:rPr>
        <w:t xml:space="preserve"> eco-evolutionary </w:t>
      </w:r>
      <w:r>
        <w:rPr>
          <w:rFonts w:ascii="Georgia" w:hAnsi="Georgia" w:cs="Georgia"/>
          <w:color w:val="000000" w:themeColor="text1"/>
          <w:lang w:val="en-GB"/>
        </w:rPr>
        <w:t xml:space="preserve">diversity within species </w:t>
      </w:r>
      <w:r w:rsidRPr="00286ECD">
        <w:rPr>
          <w:rFonts w:ascii="Georgia" w:hAnsi="Georgia" w:cs="Georgia"/>
          <w:color w:val="000000" w:themeColor="text1"/>
          <w:lang w:val="en-GB"/>
        </w:rPr>
        <w:t xml:space="preserve">can be big enough to </w:t>
      </w:r>
      <w:r>
        <w:rPr>
          <w:rFonts w:ascii="Georgia" w:hAnsi="Georgia" w:cs="Georgia"/>
          <w:color w:val="000000" w:themeColor="text1"/>
          <w:lang w:val="en-GB"/>
        </w:rPr>
        <w:t xml:space="preserve">exert a unique and </w:t>
      </w:r>
      <w:r w:rsidRPr="00286ECD">
        <w:rPr>
          <w:rFonts w:ascii="Georgia" w:hAnsi="Georgia" w:cs="Georgia"/>
          <w:color w:val="000000" w:themeColor="text1"/>
          <w:lang w:val="en-GB"/>
        </w:rPr>
        <w:t xml:space="preserve">widespread </w:t>
      </w:r>
      <w:r>
        <w:rPr>
          <w:rFonts w:ascii="Georgia" w:hAnsi="Georgia" w:cs="Georgia"/>
          <w:color w:val="000000" w:themeColor="text1"/>
          <w:lang w:val="en-GB"/>
        </w:rPr>
        <w:t xml:space="preserve">influence </w:t>
      </w:r>
      <w:r w:rsidRPr="00286ECD">
        <w:rPr>
          <w:rFonts w:ascii="Georgia" w:hAnsi="Georgia" w:cs="Georgia"/>
          <w:color w:val="000000" w:themeColor="text1"/>
          <w:lang w:val="en-GB"/>
        </w:rPr>
        <w:t xml:space="preserve">across trophic levels.  </w:t>
      </w:r>
      <w:r>
        <w:rPr>
          <w:rFonts w:ascii="Georgia" w:hAnsi="Georgia" w:cs="Georgia"/>
          <w:color w:val="000000" w:themeColor="text1"/>
          <w:lang w:val="en-GB"/>
        </w:rPr>
        <w:t>This</w:t>
      </w:r>
      <w:r w:rsidRPr="00286ECD">
        <w:rPr>
          <w:rFonts w:ascii="Georgia" w:hAnsi="Georgia" w:cs="Georgia"/>
          <w:color w:val="000000" w:themeColor="text1"/>
          <w:lang w:val="en-GB"/>
        </w:rPr>
        <w:t xml:space="preserve"> finding underscores the </w:t>
      </w:r>
      <w:r>
        <w:rPr>
          <w:rFonts w:ascii="Georgia" w:hAnsi="Georgia" w:cs="Georgia"/>
          <w:color w:val="000000" w:themeColor="text1"/>
          <w:lang w:val="en-GB"/>
        </w:rPr>
        <w:t>importance</w:t>
      </w:r>
      <w:r w:rsidRPr="00286ECD">
        <w:rPr>
          <w:rFonts w:ascii="Georgia" w:hAnsi="Georgia" w:cs="Georgia"/>
          <w:color w:val="000000" w:themeColor="text1"/>
          <w:lang w:val="en-GB"/>
        </w:rPr>
        <w:t xml:space="preserve"> of genetic, phenotypic, life-history and </w:t>
      </w:r>
      <w:r w:rsidR="006A7C85" w:rsidRPr="00286ECD">
        <w:rPr>
          <w:rFonts w:ascii="Georgia" w:hAnsi="Georgia" w:cs="Georgia"/>
          <w:color w:val="000000" w:themeColor="text1"/>
          <w:lang w:val="en-GB"/>
        </w:rPr>
        <w:t>behavioural</w:t>
      </w:r>
      <w:r w:rsidRPr="00286ECD">
        <w:rPr>
          <w:rFonts w:ascii="Georgia" w:hAnsi="Georgia" w:cs="Georgia"/>
          <w:color w:val="000000" w:themeColor="text1"/>
          <w:lang w:val="en-GB"/>
        </w:rPr>
        <w:t xml:space="preserve"> trait</w:t>
      </w:r>
      <w:r>
        <w:rPr>
          <w:rFonts w:ascii="Georgia" w:hAnsi="Georgia" w:cs="Georgia"/>
          <w:color w:val="000000" w:themeColor="text1"/>
          <w:lang w:val="en-GB"/>
        </w:rPr>
        <w:t xml:space="preserve"> variation</w:t>
      </w:r>
      <w:r w:rsidRPr="00286ECD">
        <w:rPr>
          <w:rFonts w:ascii="Georgia" w:hAnsi="Georgia" w:cs="Georgia"/>
          <w:color w:val="000000" w:themeColor="text1"/>
          <w:lang w:val="en-GB"/>
        </w:rPr>
        <w:t xml:space="preserve"> both among and within populations, </w:t>
      </w:r>
      <w:r>
        <w:rPr>
          <w:rFonts w:ascii="Georgia" w:hAnsi="Georgia" w:cs="Georgia"/>
          <w:color w:val="000000" w:themeColor="text1"/>
          <w:lang w:val="en-GB"/>
        </w:rPr>
        <w:t>which</w:t>
      </w:r>
      <w:r w:rsidRPr="00286ECD">
        <w:rPr>
          <w:rFonts w:ascii="Georgia" w:hAnsi="Georgia" w:cs="Georgia"/>
          <w:color w:val="000000" w:themeColor="text1"/>
          <w:lang w:val="en-GB"/>
        </w:rPr>
        <w:t xml:space="preserve"> considerably </w:t>
      </w:r>
      <w:r>
        <w:rPr>
          <w:rFonts w:ascii="Georgia" w:hAnsi="Georgia" w:cs="Georgia"/>
          <w:color w:val="000000" w:themeColor="text1"/>
          <w:lang w:val="en-GB"/>
        </w:rPr>
        <w:t>impact</w:t>
      </w:r>
      <w:r w:rsidRPr="00286ECD">
        <w:rPr>
          <w:rFonts w:ascii="Georgia" w:hAnsi="Georgia" w:cs="Georgia"/>
          <w:color w:val="000000" w:themeColor="text1"/>
          <w:lang w:val="en-GB"/>
        </w:rPr>
        <w:t xml:space="preserve"> central food web parameters </w:t>
      </w:r>
      <w:r w:rsidRPr="00286ECD">
        <w:rPr>
          <w:rFonts w:ascii="Georgia" w:hAnsi="Georgia" w:cs="Georgia"/>
          <w:color w:val="000000" w:themeColor="text1"/>
          <w:lang w:val="en-GB"/>
        </w:rPr>
        <w:fldChar w:fldCharType="begin" w:fldLock="1"/>
      </w:r>
      <w:r w:rsidRPr="00286ECD">
        <w:rPr>
          <w:rFonts w:ascii="Georgia" w:hAnsi="Georgia" w:cs="Georgia"/>
          <w:color w:val="000000" w:themeColor="text1"/>
          <w:lang w:val="en-GB"/>
        </w:rPr>
        <w:instrText>ADDIN CSL_CITATION {"citationItems":[{"id":"ITEM-1","itemData":{"DOI":"10.1098/rstb.2010.0241","ISSN":"14712970","abstract":"Food webs are networks of species that feed on each other. The role that within-population phenotypic and genetic variation plays in food web structure is largely unknown. Here, I show via simulation how variation in two key traits, growth rates and phenology, by influencing the variability of body sizes present through time, can potentially affect several structural parameters in the direction of enhancing food web persistence: increased connectance, decreased interaction strengths, increased variation among interaction strengths and increased degree of omnivory. I discuss other relevant traits whose variation could affect the structure of food webs, such as morphological and additional life-history traits, as well as animal personalities. Furthermore, trait variation could also contribute to the stability of food web modules through metacommunity dynamics. I propose future research to help establish a link between within-population variation and food web structure. If appropriately established, such a link could have important consequences for biological conservation, as it would imply that preserving (functional) genetic variation within populations could ensure the preservation of entire communities. © 2011 The Royal Society.","author":[{"dropping-particle":"","family":"Moya-Laraño","given":"Jordi","non-dropping-particle":"","parse-names":false,"suffix":""}],"container-title":"Philosophical Transactions of the Royal Society B: Biological Sciences","id":"ITEM-1","issue":"1569","issued":{"date-parts":[["2011"]]},"page":"1425-1437","title":"Genetic variation, predator-prey interactions and food web structure","type":"article-journal","volume":"366"},"uris":["http://www.mendeley.com/documents/?uuid=aaaeba37-d0c7-4663-a12f-304f71ffdc99"]},{"id":"ITEM-2","itemData":{"DOI":"10.1371/journal.pbio.3001145","ISBN":"1111111111","ISSN":"15457885","PMID":"33705375","abstract":"Loss in intraspecific diversity can alter ecosystem functions, but the underlying mechanisms are still elusive, and intraspecific biodiversity–ecosystem function (iBEF) relationships have been restrained to primary producers. Here, we manipulated genetic and functional richness of a fish consumer (Phoxinus phoxinus) to test whether iBEF relationships exist in consumer species and whether they are more likely sustained by genetic or functional richness. We found that both genotypic and functional richness affected ecosystem functioning, either independently or interactively. Loss in genotypic richness reduced benthic invertebrate diversity consistently across functional richness treatments, whereas it reduced zooplankton diversity only when functional richness was high. Finally, losses in genotypic and functional richness altered functions (decomposition) through trophic cascades. We concluded that iBEF relationships lead to substantial top-down effects on entire food chains. The loss of genotypic richness impacted ecological properties as much as the loss of functional richness, probably because it sustains “cryptic” functional diversity.","author":[{"dropping-particle":"","family":"Raffard","given":"Allan","non-dropping-particle":"","parse-names":false,"suffix":""},{"dropping-particle":"","family":"Cucherousset","given":"Julien","non-dropping-particle":"","parse-names":false,"suffix":""},{"dropping-particle":"","family":"Montoya","given":"José M.","non-dropping-particle":"","parse-names":false,"suffix":""},{"dropping-particle":"","family":"Richard","given":"Murielle","non-dropping-particle":"","parse-names":false,"suffix":""},{"dropping-particle":"","family":"Acoca-Pidolle","given":"Samson","non-dropping-particle":"","parse-names":false,"suffix":""},{"dropping-particle":"","family":"Poésy","given":"Camille","non-dropping-particle":"","parse-names":false,"suffix":""},{"dropping-particle":"","family":"Garreau","given":"Alexandre","non-dropping-particle":"","parse-names":false,"suffix":""},{"dropping-particle":"","family":"Santoul","given":"Frédéric","non-dropping-particle":"","parse-names":false,"suffix":""},{"dropping-particle":"","family":"Blanchet","given":"Simon","non-dropping-particle":"","parse-names":false,"suffix":""}],"container-title":"PLoS Biology","id":"ITEM-2","issue":"3","issued":{"date-parts":[["2021"]]},"page":"1-17","title":"Intraspecific diversity loss in a predator species alters prey community structure and ecosystem functions","type":"article-journal","volume":"19"},"uris":["http://www.mendeley.com/documents/?uuid=4429608c-b745-42c6-b3c0-6cfb4f93882d"]},{"id":"ITEM-3","itemData":{"DOI":"10.1371/journal.pone.0059644","ISSN":"19326203","PMID":"23573203","abstract":"Species' ecology and evolution can have strong effects on communities. Both may change concurrently when species colonize a new ecosystem. We know little, however, about the combined effects of ecological and evolutionary change on community structure. We simultaneously examined the effects of top-predator ecology and evolution on freshwater community parameters using recently evolved generalist and specialist ecotypes of three-spine stickleback (Gasterosteus aculeatus). We used a mesocosm experiment to directly examine the effects of ecological (fish presence and density) and evolutionary (phenotypic diversity and specialization) factors on community structure at lower trophic levels. We evaluated zooplankton biomass and composition, periphyton and phytoplankton chlorophyll-a concentration, and net primary production among treatments containing different densities and diversities of stickleback. Our results showed that both ecological and evolutionary differences in the top-predator affect different aspects of community structure and composition. Community structure, specifically the abundance of organisms at each trophic level, was affected by stickleback presence and density, whereas composition of zooplankton was influenced by stickleback diversity and specialization. Primary productivity, in terms of chlorophyll-a concentration and net primary production was affected by ecological but not evolutionary factors. Our results stress the importance of concurrently evaluating both changes in density and phenotypic diversity on the structure and composition of communities. © 2013 Des Roches et al.","author":[{"dropping-particle":"","family":"Roches","given":"Simone","non-dropping-particle":"Des","parse-names":false,"suffix":""},{"dropping-particle":"","family":"Shurin","given":"Jonathan B.","non-dropping-particle":"","parse-names":false,"suffix":""},{"dropping-particle":"","family":"Schluter","given":"Dolph","non-dropping-particle":"","parse-names":false,"suffix":""},{"dropping-particle":"","family":"Harmon","given":"Luke J.","non-dropping-particle":"","parse-names":false,"suffix":""}],"container-title":"PLoS ONE","id":"ITEM-3","issue":"4","issued":{"date-parts":[["2013"]]},"title":"Ecological and Evolutionary Effects of Stickleback on Community Structure","type":"article-journal","volume":"8"},"uris":["http://www.mendeley.com/documents/?uuid=b779270d-14b6-42a5-a49e-156736925df9"]},{"id":"ITEM-4","itemData":{"DOI":"10.1111/brv.12468","ISSN":"1469185X","PMID":"30251433","abstract":"Ontogenetic dietary shifts (ODSs), the changes in diet utilisation occurring over the life span of an individual consumer, are widespread in the animal kingdom. Understanding ODSs provides fundamental insights into the biological and ecological processes that function at the individual, population and community levels, and is critical for the development and testing of hypotheses around key concepts in trophic theory on model organisms. Here, we synthesise historic and contemporary research on ODSs in fishes, and identify where further research is required. Numerous biotic and abiotic factors can directly or indirectly influence ODSs, but the most influential of these may vary spatially, temporally and interspecifically. Within the constraints imposed by prey availability, we identified competition and predation risk as the major drivers of ODSs in fishes. These drivers do not directly affect the trophic ontogeny of fishes, but may have an indirect effect on diet trajectories through ontogenetic changes in habitat use and concomitant changes in prey availability. The synthesis provides compelling evidence that ODSs can have profound ecological consequences for fish by, for example, enhancing individual growth and lifetime reproductive output or reducing the risk of mortality. ODSs may also influence food-web dynamics and facilitate the coexistence of sympatric species through resource partitioning, but we currently lack a holistic understanding of the consequences of ODSs for population, community and ecosystem processes and functioning. Studies attempting to address these knowledge gaps have largely focused on theoretical approaches, but empirical research under natural conditions, including phylogenetic and evolutionary considerations, is required to test the concepts. Research focusing on inter-individual variation in ontogenetic trajectories has also been limited, with the complex relationships between individual behaviour and environmental heterogeneity representing a particularly promising area for future research.","author":[{"dropping-particle":"","family":"Sánchez-Hernández","given":"Javier","non-dropping-particle":"","parse-names":false,"suffix":""},{"dropping-particle":"","family":"Nunn","given":"Andy D.","non-dropping-particle":"","parse-names":false,"suffix":""},{"dropping-particle":"","family":"Adams","given":"Colin E.","non-dropping-particle":"","parse-names":false,"suffix":""},{"dropping-particle":"","family":"Amundsen","given":"Per Arne","non-dropping-particle":"","parse-names":false,"suffix":""}],"container-title":"Biological Reviews","id":"ITEM-4","issue":"2","issued":{"date-parts":[["2019"]]},"page":"539-554","title":"Causes and consequences of ontogenetic dietary shifts: a global synthesis using fish models","type":"article-journal","volume":"94"},"uris":["http://www.mendeley.com/documents/?uuid=4be145f7-7be8-4129-894c-4bc7f57dcced"]}],"mendeley":{"formattedCitation":"(Des Roches et al., 2013; Moya-Laraño, 2011; Raffard et al., 2021; Sánchez-Hernández et al., 2019)","plainTextFormattedCitation":"(Des Roches et al., 2013; Moya-Laraño, 2011; Raffard et al., 2021; Sánchez-Hernández et al., 2019)","previouslyFormattedCitation":"(Des Roches et al., 2013; Moya-Laraño, 2011; Raffard et al., 2021; Sánchez-Hernández et al., 2019)"},"properties":{"noteIndex":0},"schema":"https://github.com/citation-style-language/schema/raw/master/csl-citation.json"}</w:instrText>
      </w:r>
      <w:r w:rsidRPr="00286ECD">
        <w:rPr>
          <w:rFonts w:ascii="Georgia" w:hAnsi="Georgia" w:cs="Georgia"/>
          <w:color w:val="000000" w:themeColor="text1"/>
          <w:lang w:val="en-GB"/>
        </w:rPr>
        <w:fldChar w:fldCharType="separate"/>
      </w:r>
      <w:r w:rsidRPr="00286ECD">
        <w:rPr>
          <w:rFonts w:ascii="Georgia" w:hAnsi="Georgia" w:cs="Georgia"/>
          <w:noProof/>
          <w:color w:val="000000" w:themeColor="text1"/>
          <w:lang w:val="en-GB"/>
        </w:rPr>
        <w:t>(Raffard et al. 2021; Sánchez-Hernández et al. 2019</w:t>
      </w:r>
      <w:r>
        <w:rPr>
          <w:rFonts w:ascii="Georgia" w:hAnsi="Georgia" w:cs="Georgia"/>
          <w:noProof/>
          <w:color w:val="000000" w:themeColor="text1"/>
          <w:lang w:val="en-GB"/>
        </w:rPr>
        <w:t xml:space="preserve">; </w:t>
      </w:r>
      <w:r w:rsidRPr="00286ECD">
        <w:rPr>
          <w:rFonts w:ascii="Georgia" w:hAnsi="Georgia" w:cs="Georgia"/>
          <w:noProof/>
          <w:color w:val="000000" w:themeColor="text1"/>
          <w:lang w:val="en-GB"/>
        </w:rPr>
        <w:t>Des Roches et al. 2013; Moya-Laraño,</w:t>
      </w:r>
      <w:r>
        <w:rPr>
          <w:rFonts w:ascii="Georgia" w:hAnsi="Georgia" w:cs="Georgia"/>
          <w:noProof/>
          <w:color w:val="000000" w:themeColor="text1"/>
          <w:lang w:val="en-GB"/>
        </w:rPr>
        <w:t xml:space="preserve"> </w:t>
      </w:r>
      <w:r w:rsidRPr="00286ECD">
        <w:rPr>
          <w:rFonts w:ascii="Georgia" w:hAnsi="Georgia" w:cs="Georgia"/>
          <w:noProof/>
          <w:color w:val="000000" w:themeColor="text1"/>
          <w:lang w:val="en-GB"/>
        </w:rPr>
        <w:t>2011)</w:t>
      </w:r>
      <w:r w:rsidRPr="00286ECD">
        <w:rPr>
          <w:rFonts w:ascii="Georgia" w:hAnsi="Georgia" w:cs="Georgia"/>
          <w:color w:val="000000" w:themeColor="text1"/>
          <w:lang w:val="en-GB"/>
        </w:rPr>
        <w:fldChar w:fldCharType="end"/>
      </w:r>
      <w:r w:rsidRPr="00286ECD">
        <w:rPr>
          <w:rFonts w:ascii="Georgia" w:hAnsi="Georgia" w:cs="Georgia"/>
          <w:color w:val="000000" w:themeColor="text1"/>
          <w:lang w:val="en-GB"/>
        </w:rPr>
        <w:t xml:space="preserve">. While exploring the effects of within-species variation on food web </w:t>
      </w:r>
      <w:r>
        <w:rPr>
          <w:rFonts w:ascii="Georgia" w:hAnsi="Georgia" w:cs="Georgia"/>
          <w:color w:val="000000" w:themeColor="text1"/>
          <w:lang w:val="en-GB"/>
        </w:rPr>
        <w:t>dynamics</w:t>
      </w:r>
      <w:r w:rsidRPr="00286ECD">
        <w:rPr>
          <w:rFonts w:ascii="Georgia" w:hAnsi="Georgia" w:cs="Georgia"/>
          <w:color w:val="000000" w:themeColor="text1"/>
          <w:lang w:val="en-GB"/>
        </w:rPr>
        <w:t xml:space="preserve"> </w:t>
      </w:r>
      <w:r>
        <w:rPr>
          <w:rFonts w:ascii="Georgia" w:hAnsi="Georgia" w:cs="Georgia"/>
          <w:color w:val="000000" w:themeColor="text1"/>
          <w:lang w:val="en-GB"/>
        </w:rPr>
        <w:t>presents</w:t>
      </w:r>
      <w:r w:rsidRPr="00286ECD">
        <w:rPr>
          <w:rFonts w:ascii="Georgia" w:hAnsi="Georgia" w:cs="Georgia"/>
          <w:color w:val="000000" w:themeColor="text1"/>
          <w:lang w:val="en-GB"/>
        </w:rPr>
        <w:t xml:space="preserve"> significant challenges, the implementation of the ATN modelling approach </w:t>
      </w:r>
      <w:r>
        <w:rPr>
          <w:rFonts w:ascii="Georgia" w:hAnsi="Georgia" w:cs="Georgia"/>
          <w:color w:val="000000" w:themeColor="text1"/>
          <w:lang w:val="en-GB"/>
        </w:rPr>
        <w:t xml:space="preserve">can provide a framework </w:t>
      </w:r>
      <w:r w:rsidRPr="00286ECD">
        <w:rPr>
          <w:rFonts w:ascii="Georgia" w:hAnsi="Georgia" w:cs="Georgia"/>
          <w:color w:val="000000" w:themeColor="text1"/>
          <w:lang w:val="en-GB"/>
        </w:rPr>
        <w:t xml:space="preserve">to tackle </w:t>
      </w:r>
      <w:r>
        <w:rPr>
          <w:rFonts w:ascii="Georgia" w:hAnsi="Georgia" w:cs="Georgia"/>
          <w:color w:val="000000" w:themeColor="text1"/>
          <w:lang w:val="en-GB"/>
        </w:rPr>
        <w:t>this</w:t>
      </w:r>
      <w:r w:rsidRPr="00286ECD">
        <w:rPr>
          <w:rFonts w:ascii="Georgia" w:hAnsi="Georgia" w:cs="Georgia"/>
          <w:color w:val="000000" w:themeColor="text1"/>
          <w:lang w:val="en-GB"/>
        </w:rPr>
        <w:t xml:space="preserve"> complexity </w:t>
      </w:r>
      <w:r>
        <w:rPr>
          <w:rFonts w:ascii="Georgia" w:hAnsi="Georgia" w:cs="Georgia"/>
          <w:color w:val="000000" w:themeColor="text1"/>
          <w:lang w:val="en-GB"/>
        </w:rPr>
        <w:t>by</w:t>
      </w:r>
      <w:r w:rsidRPr="00286ECD">
        <w:rPr>
          <w:rFonts w:ascii="Georgia" w:hAnsi="Georgia" w:cs="Georgia"/>
          <w:color w:val="000000" w:themeColor="text1"/>
          <w:lang w:val="en-GB"/>
        </w:rPr>
        <w:t xml:space="preserve"> quantifying and trac</w:t>
      </w:r>
      <w:r>
        <w:rPr>
          <w:rFonts w:ascii="Georgia" w:hAnsi="Georgia" w:cs="Georgia"/>
          <w:color w:val="000000" w:themeColor="text1"/>
          <w:lang w:val="en-GB"/>
        </w:rPr>
        <w:t>k</w:t>
      </w:r>
      <w:r w:rsidRPr="00286ECD">
        <w:rPr>
          <w:rFonts w:ascii="Georgia" w:hAnsi="Georgia" w:cs="Georgia"/>
          <w:color w:val="000000" w:themeColor="text1"/>
          <w:lang w:val="en-GB"/>
        </w:rPr>
        <w:t>ing changes in biomass dynamics across trophic levels</w:t>
      </w:r>
      <w:r>
        <w:rPr>
          <w:rFonts w:ascii="Georgia" w:hAnsi="Georgia" w:cs="Georgia"/>
          <w:color w:val="000000" w:themeColor="text1"/>
          <w:lang w:val="en-GB"/>
        </w:rPr>
        <w:t xml:space="preserve">, potentially extending to other ecosystems in </w:t>
      </w:r>
      <w:r w:rsidR="006A7C85">
        <w:rPr>
          <w:rFonts w:ascii="Georgia" w:hAnsi="Georgia" w:cs="Georgia"/>
          <w:color w:val="000000" w:themeColor="text1"/>
          <w:lang w:val="en-GB"/>
        </w:rPr>
        <w:t xml:space="preserve">the </w:t>
      </w:r>
      <w:r>
        <w:rPr>
          <w:rFonts w:ascii="Georgia" w:hAnsi="Georgia" w:cs="Georgia"/>
          <w:color w:val="000000" w:themeColor="text1"/>
          <w:lang w:val="en-GB"/>
        </w:rPr>
        <w:t>future</w:t>
      </w:r>
      <w:r w:rsidRPr="00286ECD">
        <w:rPr>
          <w:rFonts w:ascii="Georgia" w:hAnsi="Georgia" w:cs="Georgia"/>
          <w:color w:val="000000" w:themeColor="text1"/>
          <w:lang w:val="en-GB"/>
        </w:rPr>
        <w:t xml:space="preserve">. From a practical standpoint, the unique </w:t>
      </w:r>
      <w:r>
        <w:rPr>
          <w:rFonts w:ascii="Georgia" w:hAnsi="Georgia" w:cs="Georgia"/>
          <w:color w:val="000000" w:themeColor="text1"/>
          <w:lang w:val="en-GB"/>
        </w:rPr>
        <w:t xml:space="preserve">trophic </w:t>
      </w:r>
      <w:r w:rsidRPr="00286ECD">
        <w:rPr>
          <w:rFonts w:ascii="Georgia" w:hAnsi="Georgia" w:cs="Georgia"/>
          <w:color w:val="000000" w:themeColor="text1"/>
          <w:lang w:val="en-GB"/>
        </w:rPr>
        <w:t xml:space="preserve">roles </w:t>
      </w:r>
      <w:r>
        <w:rPr>
          <w:rFonts w:ascii="Georgia" w:hAnsi="Georgia" w:cs="Georgia"/>
          <w:color w:val="000000" w:themeColor="text1"/>
          <w:lang w:val="en-GB"/>
        </w:rPr>
        <w:t>occupied by</w:t>
      </w:r>
      <w:r w:rsidRPr="00286ECD">
        <w:rPr>
          <w:rFonts w:ascii="Georgia" w:hAnsi="Georgia" w:cs="Georgia"/>
          <w:color w:val="000000" w:themeColor="text1"/>
          <w:lang w:val="en-GB"/>
        </w:rPr>
        <w:t xml:space="preserve"> cod ecotypes within their ecosystem emphasize the </w:t>
      </w:r>
      <w:r>
        <w:rPr>
          <w:rFonts w:ascii="Georgia" w:hAnsi="Georgia" w:cs="Georgia"/>
          <w:color w:val="000000" w:themeColor="text1"/>
          <w:lang w:val="en-GB"/>
        </w:rPr>
        <w:t>need to</w:t>
      </w:r>
      <w:r w:rsidRPr="00286ECD">
        <w:rPr>
          <w:rFonts w:ascii="Georgia" w:hAnsi="Georgia" w:cs="Georgia"/>
          <w:color w:val="000000" w:themeColor="text1"/>
          <w:lang w:val="en-GB"/>
        </w:rPr>
        <w:t xml:space="preserve"> integrat</w:t>
      </w:r>
      <w:r>
        <w:rPr>
          <w:rFonts w:ascii="Georgia" w:hAnsi="Georgia" w:cs="Georgia"/>
          <w:color w:val="000000" w:themeColor="text1"/>
          <w:lang w:val="en-GB"/>
        </w:rPr>
        <w:t>e</w:t>
      </w:r>
      <w:r w:rsidRPr="00286ECD">
        <w:rPr>
          <w:rFonts w:ascii="Georgia" w:hAnsi="Georgia" w:cs="Georgia"/>
          <w:color w:val="000000" w:themeColor="text1"/>
          <w:lang w:val="en-GB"/>
        </w:rPr>
        <w:t xml:space="preserve"> intraspecific life-history differences into conservation strategies. </w:t>
      </w:r>
      <w:r>
        <w:rPr>
          <w:rFonts w:ascii="Georgia" w:hAnsi="Georgia" w:cs="Georgia"/>
          <w:color w:val="000000" w:themeColor="text1"/>
          <w:lang w:val="en-GB"/>
        </w:rPr>
        <w:t xml:space="preserve">Specifically, for </w:t>
      </w:r>
      <w:r w:rsidRPr="00286ECD">
        <w:rPr>
          <w:rFonts w:ascii="Georgia" w:hAnsi="Georgia" w:cs="Georgia"/>
          <w:color w:val="000000" w:themeColor="text1"/>
          <w:lang w:val="en-GB"/>
        </w:rPr>
        <w:t xml:space="preserve">Atlantic cod in Skagerrak, we advocate for conservation measures that </w:t>
      </w:r>
      <w:r>
        <w:rPr>
          <w:rFonts w:ascii="Georgia" w:hAnsi="Georgia" w:cs="Georgia"/>
          <w:color w:val="000000" w:themeColor="text1"/>
          <w:lang w:val="en-GB"/>
        </w:rPr>
        <w:t>acknowledge</w:t>
      </w:r>
      <w:r w:rsidRPr="00286ECD">
        <w:rPr>
          <w:rFonts w:ascii="Georgia" w:hAnsi="Georgia" w:cs="Georgia"/>
          <w:color w:val="000000" w:themeColor="text1"/>
          <w:lang w:val="en-GB"/>
        </w:rPr>
        <w:t xml:space="preserve"> these ecotype-specific disparities</w:t>
      </w:r>
      <w:r>
        <w:rPr>
          <w:rFonts w:ascii="Georgia" w:hAnsi="Georgia" w:cs="Georgia"/>
          <w:color w:val="000000" w:themeColor="text1"/>
          <w:lang w:val="en-GB"/>
        </w:rPr>
        <w:t>, such as</w:t>
      </w:r>
      <w:r w:rsidRPr="00286ECD">
        <w:rPr>
          <w:rFonts w:ascii="Georgia" w:hAnsi="Georgia" w:cs="Georgia"/>
          <w:color w:val="000000" w:themeColor="text1"/>
          <w:lang w:val="en-GB"/>
        </w:rPr>
        <w:t xml:space="preserve"> </w:t>
      </w:r>
      <w:r>
        <w:rPr>
          <w:rFonts w:ascii="Georgia" w:hAnsi="Georgia" w:cs="Georgia"/>
          <w:color w:val="000000" w:themeColor="text1"/>
          <w:lang w:val="en-GB"/>
        </w:rPr>
        <w:t>adjusting</w:t>
      </w:r>
      <w:r w:rsidRPr="00286ECD">
        <w:rPr>
          <w:rFonts w:ascii="Georgia" w:hAnsi="Georgia" w:cs="Georgia"/>
          <w:color w:val="000000" w:themeColor="text1"/>
          <w:lang w:val="en-GB"/>
        </w:rPr>
        <w:t xml:space="preserve"> minimum mesh size</w:t>
      </w:r>
      <w:r>
        <w:rPr>
          <w:rFonts w:ascii="Georgia" w:hAnsi="Georgia" w:cs="Georgia"/>
          <w:color w:val="000000" w:themeColor="text1"/>
          <w:lang w:val="en-GB"/>
        </w:rPr>
        <w:t>s</w:t>
      </w:r>
      <w:r w:rsidRPr="00286ECD">
        <w:rPr>
          <w:rFonts w:ascii="Georgia" w:hAnsi="Georgia" w:cs="Georgia"/>
          <w:color w:val="000000" w:themeColor="text1"/>
          <w:lang w:val="en-GB"/>
        </w:rPr>
        <w:t xml:space="preserve"> and fishing mortality rate</w:t>
      </w:r>
      <w:r>
        <w:rPr>
          <w:rFonts w:ascii="Georgia" w:hAnsi="Georgia" w:cs="Georgia"/>
          <w:color w:val="000000" w:themeColor="text1"/>
          <w:lang w:val="en-GB"/>
        </w:rPr>
        <w:t>s according to ecotype characteristics</w:t>
      </w:r>
      <w:r w:rsidRPr="00286ECD">
        <w:rPr>
          <w:rFonts w:ascii="Georgia" w:hAnsi="Georgia" w:cs="Georgia"/>
          <w:color w:val="000000" w:themeColor="text1"/>
          <w:lang w:val="en-GB"/>
        </w:rPr>
        <w:t xml:space="preserve">. </w:t>
      </w:r>
      <w:r>
        <w:rPr>
          <w:rFonts w:ascii="Georgia" w:hAnsi="Georgia" w:cs="Georgia"/>
          <w:color w:val="000000" w:themeColor="text1"/>
          <w:lang w:val="en-GB"/>
        </w:rPr>
        <w:t>Furthermore</w:t>
      </w:r>
      <w:r w:rsidRPr="00286ECD">
        <w:rPr>
          <w:rFonts w:ascii="Georgia" w:hAnsi="Georgia" w:cs="Georgia"/>
          <w:color w:val="000000" w:themeColor="text1"/>
          <w:lang w:val="en-GB"/>
        </w:rPr>
        <w:t xml:space="preserve">, </w:t>
      </w:r>
      <w:r>
        <w:rPr>
          <w:rFonts w:ascii="Georgia" w:hAnsi="Georgia" w:cs="Georgia"/>
          <w:color w:val="000000" w:themeColor="text1"/>
          <w:lang w:val="en-GB"/>
        </w:rPr>
        <w:t>proactive measures should be implemented</w:t>
      </w:r>
      <w:r w:rsidRPr="00286ECD">
        <w:rPr>
          <w:rFonts w:ascii="Georgia" w:hAnsi="Georgia" w:cs="Georgia"/>
          <w:color w:val="000000" w:themeColor="text1"/>
          <w:lang w:val="en-GB"/>
        </w:rPr>
        <w:t xml:space="preserve"> </w:t>
      </w:r>
      <w:r>
        <w:rPr>
          <w:rFonts w:ascii="Georgia" w:hAnsi="Georgia" w:cs="Georgia"/>
          <w:color w:val="000000" w:themeColor="text1"/>
          <w:lang w:val="en-GB"/>
        </w:rPr>
        <w:t>in areas</w:t>
      </w:r>
      <w:r w:rsidRPr="00286ECD">
        <w:rPr>
          <w:rFonts w:ascii="Georgia" w:hAnsi="Georgia" w:cs="Georgia"/>
          <w:color w:val="000000" w:themeColor="text1"/>
          <w:lang w:val="en-GB"/>
        </w:rPr>
        <w:t xml:space="preserve"> where ecotypes coexist, </w:t>
      </w:r>
      <w:r>
        <w:rPr>
          <w:rFonts w:ascii="Georgia" w:hAnsi="Georgia" w:cs="Georgia"/>
          <w:color w:val="000000" w:themeColor="text1"/>
          <w:lang w:val="en-GB"/>
        </w:rPr>
        <w:t xml:space="preserve">focusing especially on </w:t>
      </w:r>
      <w:r w:rsidRPr="00286ECD">
        <w:rPr>
          <w:rFonts w:ascii="Georgia" w:hAnsi="Georgia" w:cs="Georgia"/>
          <w:color w:val="000000" w:themeColor="text1"/>
          <w:lang w:val="en-GB"/>
        </w:rPr>
        <w:t>safeguarding the reproductive capacity of the smaller stock.</w:t>
      </w:r>
      <w:r w:rsidRPr="00286ECD">
        <w:rPr>
          <w:rFonts w:ascii="Georgia" w:hAnsi="Georgia" w:cs="Helvetica Neue"/>
          <w:b/>
          <w:bCs/>
          <w:color w:val="000000" w:themeColor="text1"/>
          <w:lang w:val="en-GB"/>
        </w:rPr>
        <w:br w:type="page"/>
      </w:r>
    </w:p>
    <w:p w14:paraId="686D443A" w14:textId="77777777" w:rsidR="005E45D8" w:rsidRPr="00286ECD" w:rsidRDefault="005E45D8" w:rsidP="005E45D8">
      <w:pPr>
        <w:autoSpaceDE w:val="0"/>
        <w:autoSpaceDN w:val="0"/>
        <w:adjustRightInd w:val="0"/>
        <w:spacing w:line="480" w:lineRule="auto"/>
        <w:jc w:val="both"/>
        <w:rPr>
          <w:rFonts w:ascii="Georgia" w:hAnsi="Georgia" w:cs="Helvetica Neue"/>
          <w:b/>
          <w:bCs/>
          <w:color w:val="000000" w:themeColor="text1"/>
          <w:lang w:val="en-GB"/>
        </w:rPr>
      </w:pPr>
      <w:r w:rsidRPr="00286ECD">
        <w:rPr>
          <w:rFonts w:ascii="Georgia" w:hAnsi="Georgia" w:cs="Helvetica Neue"/>
          <w:b/>
          <w:bCs/>
          <w:color w:val="000000" w:themeColor="text1"/>
          <w:lang w:val="en-GB"/>
        </w:rPr>
        <w:lastRenderedPageBreak/>
        <w:t xml:space="preserve">ACKNOWLEDGEMENTS </w:t>
      </w:r>
    </w:p>
    <w:p w14:paraId="42DF48E0"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t>This study was funded by the Academy of Finland (project grant 317495 to AK), Natural Sciences and Engineering Research Council of Canada (NSERC; Discovery Grants to AK), the European Research Council (COMPLEX-FISH 770884 to AK), the Norwegian Research Council (CODSIZE 294926 to EMO), and Norwegian Ministry of Trade, Industry and Fisheries (to LJN, TF, EMO). The present study reflects only the authors’ view, and the European Research Council is not responsible for any use that may be made of the information it contains.</w:t>
      </w:r>
    </w:p>
    <w:p w14:paraId="0AFB911F" w14:textId="77777777" w:rsidR="005E45D8" w:rsidRPr="00286ECD" w:rsidRDefault="005E45D8" w:rsidP="005E45D8">
      <w:pPr>
        <w:autoSpaceDE w:val="0"/>
        <w:autoSpaceDN w:val="0"/>
        <w:adjustRightInd w:val="0"/>
        <w:spacing w:line="480" w:lineRule="auto"/>
        <w:jc w:val="both"/>
        <w:rPr>
          <w:rFonts w:ascii="Georgia" w:hAnsi="Georgia" w:cs="Helvetica Neue"/>
          <w:color w:val="000000" w:themeColor="text1"/>
          <w:lang w:val="en-GB"/>
        </w:rPr>
      </w:pPr>
      <w:r w:rsidRPr="00286ECD">
        <w:rPr>
          <w:rFonts w:ascii="Georgia" w:hAnsi="Georgia" w:cs="Helvetica Neue"/>
          <w:color w:val="000000" w:themeColor="text1"/>
          <w:lang w:val="en-GB"/>
        </w:rPr>
        <w:br w:type="page"/>
      </w:r>
    </w:p>
    <w:p w14:paraId="196EC81C" w14:textId="77777777" w:rsidR="008102B0" w:rsidRPr="008102B0" w:rsidRDefault="008102B0" w:rsidP="008102B0">
      <w:pPr>
        <w:spacing w:line="480" w:lineRule="auto"/>
        <w:rPr>
          <w:rFonts w:ascii="Georgia" w:hAnsi="Georgia" w:cs="Helvetica Neue"/>
          <w:color w:val="000000" w:themeColor="text1"/>
          <w:sz w:val="22"/>
          <w:szCs w:val="22"/>
        </w:rPr>
      </w:pPr>
      <w:r w:rsidRPr="008102B0">
        <w:rPr>
          <w:rFonts w:ascii="Georgia" w:hAnsi="Georgia" w:cs="Helvetica Neue"/>
          <w:color w:val="000000" w:themeColor="text1"/>
          <w:sz w:val="22"/>
          <w:szCs w:val="22"/>
        </w:rPr>
        <w:lastRenderedPageBreak/>
        <w:t>REFERENCES</w:t>
      </w:r>
    </w:p>
    <w:p w14:paraId="49FF886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olor w:val="000000" w:themeColor="text1"/>
          <w:sz w:val="22"/>
          <w:szCs w:val="22"/>
        </w:rPr>
        <w:fldChar w:fldCharType="begin" w:fldLock="1"/>
      </w:r>
      <w:r w:rsidRPr="008102B0">
        <w:rPr>
          <w:rFonts w:ascii="Georgia" w:hAnsi="Georgia"/>
          <w:color w:val="000000" w:themeColor="text1"/>
          <w:sz w:val="22"/>
          <w:szCs w:val="22"/>
        </w:rPr>
        <w:instrText xml:space="preserve">ADDIN Mendeley Bibliography CSL_BIBLIOGRAPHY </w:instrText>
      </w:r>
      <w:r w:rsidRPr="008102B0">
        <w:rPr>
          <w:rFonts w:ascii="Georgia" w:hAnsi="Georgia"/>
          <w:color w:val="000000" w:themeColor="text1"/>
          <w:sz w:val="22"/>
          <w:szCs w:val="22"/>
        </w:rPr>
        <w:fldChar w:fldCharType="separate"/>
      </w:r>
    </w:p>
    <w:p w14:paraId="6B20B40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André, C., Svedäng, H., Knutsen, H., Dahle, G., Jonsson, P., Ring, A. K.</w:t>
      </w:r>
      <w:r w:rsidRPr="008102B0">
        <w:rPr>
          <w:rFonts w:ascii="Georgia" w:hAnsi="Georgia" w:cs="Times New Roman"/>
          <w:i/>
          <w:iCs/>
          <w:noProof/>
          <w:color w:val="000000" w:themeColor="text1"/>
          <w:sz w:val="22"/>
          <w:szCs w:val="22"/>
        </w:rPr>
        <w:t xml:space="preserve"> et al.</w:t>
      </w:r>
      <w:r w:rsidRPr="008102B0">
        <w:rPr>
          <w:rFonts w:ascii="Georgia" w:hAnsi="Georgia" w:cs="Times New Roman"/>
          <w:noProof/>
          <w:color w:val="000000" w:themeColor="text1"/>
          <w:sz w:val="22"/>
          <w:szCs w:val="22"/>
        </w:rPr>
        <w:t xml:space="preserve"> (2016). Population structure in Atlantic cod in the eastern North Sea-Skagerrak-Kattegat: Early life stage dispersal and adult migration Ecology. </w:t>
      </w:r>
      <w:r w:rsidRPr="008102B0">
        <w:rPr>
          <w:rFonts w:ascii="Georgia" w:hAnsi="Georgia" w:cs="Times New Roman"/>
          <w:i/>
          <w:iCs/>
          <w:noProof/>
          <w:color w:val="000000" w:themeColor="text1"/>
          <w:sz w:val="22"/>
          <w:szCs w:val="22"/>
        </w:rPr>
        <w:t>BMC Res. Notes</w:t>
      </w:r>
      <w:r w:rsidRPr="008102B0">
        <w:rPr>
          <w:rFonts w:ascii="Georgia" w:hAnsi="Georgia" w:cs="Times New Roman"/>
          <w:noProof/>
          <w:color w:val="000000" w:themeColor="text1"/>
          <w:sz w:val="22"/>
          <w:szCs w:val="22"/>
        </w:rPr>
        <w:t xml:space="preserve">, 9, 1–11. </w:t>
      </w:r>
    </w:p>
    <w:p w14:paraId="60A75DDD"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Barceló, C., Ciannelli, L., Olsen, E. M., Johannessen, T., &amp; Knutsen, H. (2016). Eight decades of sampling reveal a contemporary novel fish assemblage in coastal nursery habitats. </w:t>
      </w:r>
      <w:r w:rsidRPr="008102B0">
        <w:rPr>
          <w:rFonts w:ascii="Georgia" w:hAnsi="Georgia" w:cs="Times New Roman"/>
          <w:i/>
          <w:iCs/>
          <w:noProof/>
          <w:color w:val="000000" w:themeColor="text1"/>
          <w:sz w:val="22"/>
          <w:szCs w:val="22"/>
        </w:rPr>
        <w:t>Glob. Change Biol.</w:t>
      </w:r>
      <w:r w:rsidRPr="008102B0">
        <w:rPr>
          <w:rFonts w:ascii="Georgia" w:hAnsi="Georgia" w:cs="Times New Roman"/>
          <w:noProof/>
          <w:color w:val="000000" w:themeColor="text1"/>
          <w:sz w:val="22"/>
          <w:szCs w:val="22"/>
        </w:rPr>
        <w:t xml:space="preserve">, 22, 1155–1167. </w:t>
      </w:r>
    </w:p>
    <w:p w14:paraId="0FC8C1B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Barth, J. M. I., Villegas-Ríos, D., Freitas, C., Moland, E., Star, B., André, C. </w:t>
      </w:r>
      <w:r w:rsidRPr="008102B0">
        <w:rPr>
          <w:rFonts w:ascii="Georgia" w:hAnsi="Georgia" w:cs="Times New Roman"/>
          <w:i/>
          <w:iCs/>
          <w:noProof/>
          <w:color w:val="000000" w:themeColor="text1"/>
          <w:sz w:val="22"/>
          <w:szCs w:val="22"/>
        </w:rPr>
        <w:t xml:space="preserve">et al. </w:t>
      </w:r>
      <w:r w:rsidRPr="008102B0">
        <w:rPr>
          <w:rFonts w:ascii="Georgia" w:hAnsi="Georgia" w:cs="Times New Roman"/>
          <w:noProof/>
          <w:color w:val="000000" w:themeColor="text1"/>
          <w:sz w:val="22"/>
          <w:szCs w:val="22"/>
        </w:rPr>
        <w:t xml:space="preserve">(2019). Disentangling structural genomic and behavioural barriers in a sea of connectivity. </w:t>
      </w:r>
      <w:r w:rsidRPr="008102B0">
        <w:rPr>
          <w:rFonts w:ascii="Georgia" w:hAnsi="Georgia" w:cs="Times New Roman"/>
          <w:i/>
          <w:iCs/>
          <w:noProof/>
          <w:color w:val="000000" w:themeColor="text1"/>
          <w:sz w:val="22"/>
          <w:szCs w:val="22"/>
        </w:rPr>
        <w:t>Mol. Ecol.</w:t>
      </w:r>
      <w:r w:rsidRPr="008102B0">
        <w:rPr>
          <w:rFonts w:ascii="Georgia" w:hAnsi="Georgia" w:cs="Times New Roman"/>
          <w:noProof/>
          <w:color w:val="000000" w:themeColor="text1"/>
          <w:sz w:val="22"/>
          <w:szCs w:val="22"/>
        </w:rPr>
        <w:t xml:space="preserve">, 28, 1394–1411. </w:t>
      </w:r>
    </w:p>
    <w:p w14:paraId="23BCB944"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Bassar, R. D., Marshall, M. C., López-Sepulcre, A., Zandonà, E., Auer, S. K., Travis, J.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(2010). Local adaptation in Trinidadian guppies alters ecosystem processes. </w:t>
      </w:r>
      <w:r w:rsidRPr="008102B0">
        <w:rPr>
          <w:rFonts w:ascii="Georgia" w:hAnsi="Georgia" w:cs="Times New Roman"/>
          <w:i/>
          <w:iCs/>
          <w:noProof/>
          <w:color w:val="000000" w:themeColor="text1"/>
          <w:sz w:val="22"/>
          <w:szCs w:val="22"/>
        </w:rPr>
        <w:t>PNAS,</w:t>
      </w:r>
      <w:r w:rsidRPr="008102B0">
        <w:rPr>
          <w:rFonts w:ascii="Georgia" w:hAnsi="Georgia" w:cs="Times New Roman"/>
          <w:noProof/>
          <w:color w:val="000000" w:themeColor="text1"/>
          <w:sz w:val="22"/>
          <w:szCs w:val="22"/>
        </w:rPr>
        <w:t xml:space="preserve"> 107, 3616–3621.</w:t>
      </w:r>
    </w:p>
    <w:p w14:paraId="1A1C1E20"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Bland, S., Valdovinos, F. S., Hutchings, J. A., &amp; Kuparinen, A. (2019). The role of fish life histories in allometrically scaled food-web dynamics. </w:t>
      </w:r>
      <w:r w:rsidRPr="008102B0">
        <w:rPr>
          <w:rFonts w:ascii="Georgia" w:hAnsi="Georgia" w:cs="Times New Roman"/>
          <w:i/>
          <w:iCs/>
          <w:noProof/>
          <w:color w:val="000000" w:themeColor="text1"/>
          <w:sz w:val="22"/>
          <w:szCs w:val="22"/>
        </w:rPr>
        <w:t>Ecol. Evol.</w:t>
      </w:r>
      <w:r w:rsidRPr="008102B0">
        <w:rPr>
          <w:rFonts w:ascii="Georgia" w:hAnsi="Georgia" w:cs="Times New Roman"/>
          <w:noProof/>
          <w:color w:val="000000" w:themeColor="text1"/>
          <w:sz w:val="22"/>
          <w:szCs w:val="22"/>
        </w:rPr>
        <w:t xml:space="preserve">, 9, 3651–3660. </w:t>
      </w:r>
    </w:p>
    <w:p w14:paraId="43BC82D9"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Boit, A., Martinez, N. D., Williams, R. J., &amp; Gaedke, U. (2012). Mechanistic theory and modelling of complex food-web dynamics in Lake Constance. </w:t>
      </w:r>
      <w:r w:rsidRPr="008102B0">
        <w:rPr>
          <w:rFonts w:ascii="Georgia" w:hAnsi="Georgia" w:cs="Times New Roman"/>
          <w:i/>
          <w:iCs/>
          <w:noProof/>
          <w:color w:val="000000" w:themeColor="text1"/>
          <w:sz w:val="22"/>
          <w:szCs w:val="22"/>
        </w:rPr>
        <w:t>Ecol. Lett.</w:t>
      </w:r>
      <w:r w:rsidRPr="008102B0">
        <w:rPr>
          <w:rFonts w:ascii="Georgia" w:hAnsi="Georgia" w:cs="Times New Roman"/>
          <w:noProof/>
          <w:color w:val="000000" w:themeColor="text1"/>
          <w:sz w:val="22"/>
          <w:szCs w:val="22"/>
        </w:rPr>
        <w:t xml:space="preserve">, 15, 594–602. </w:t>
      </w:r>
    </w:p>
    <w:p w14:paraId="31F494C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Briatte, F. (2021). ggnetwork: Geometries to Plot Networks with “ggplot2.” </w:t>
      </w:r>
      <w:r w:rsidRPr="008102B0">
        <w:rPr>
          <w:rFonts w:ascii="Georgia" w:hAnsi="Georgia" w:cs="Times New Roman"/>
          <w:i/>
          <w:iCs/>
          <w:noProof/>
          <w:color w:val="000000" w:themeColor="text1"/>
          <w:sz w:val="22"/>
          <w:szCs w:val="22"/>
        </w:rPr>
        <w:t>R Package Version 0.5.10</w:t>
      </w:r>
      <w:r w:rsidRPr="008102B0">
        <w:rPr>
          <w:rFonts w:ascii="Georgia" w:hAnsi="Georgia" w:cs="Times New Roman"/>
          <w:noProof/>
          <w:color w:val="000000" w:themeColor="text1"/>
          <w:sz w:val="22"/>
          <w:szCs w:val="22"/>
        </w:rPr>
        <w:t>.</w:t>
      </w:r>
    </w:p>
    <w:p w14:paraId="0EFC56E2"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Brose, U., Williams, R. J., &amp; Martinez, N. D. (2006). Allometric scaling enhances stability in complex food webs. </w:t>
      </w:r>
      <w:r w:rsidRPr="008102B0">
        <w:rPr>
          <w:rFonts w:ascii="Georgia" w:hAnsi="Georgia" w:cs="Times New Roman"/>
          <w:i/>
          <w:iCs/>
          <w:noProof/>
          <w:color w:val="000000" w:themeColor="text1"/>
          <w:sz w:val="22"/>
          <w:szCs w:val="22"/>
        </w:rPr>
        <w:t>Ecol. Lett.</w:t>
      </w:r>
      <w:r w:rsidRPr="008102B0">
        <w:rPr>
          <w:rFonts w:ascii="Georgia" w:hAnsi="Georgia" w:cs="Times New Roman"/>
          <w:noProof/>
          <w:color w:val="000000" w:themeColor="text1"/>
          <w:sz w:val="22"/>
          <w:szCs w:val="22"/>
        </w:rPr>
        <w:t xml:space="preserve">, 9, 1228–1236. </w:t>
      </w:r>
    </w:p>
    <w:p w14:paraId="019DE59C"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Brown, J. H., Gillooly, J. F., Allen, A. P., Savage, V. M., &amp; West, G. B. (2004). </w:t>
      </w:r>
      <w:r w:rsidRPr="008102B0">
        <w:rPr>
          <w:rFonts w:ascii="Georgia" w:hAnsi="Georgia" w:cs="Times New Roman"/>
          <w:i/>
          <w:iCs/>
          <w:noProof/>
          <w:color w:val="000000" w:themeColor="text1"/>
          <w:sz w:val="22"/>
          <w:szCs w:val="22"/>
        </w:rPr>
        <w:t>Ecology</w:t>
      </w:r>
      <w:r w:rsidRPr="008102B0">
        <w:rPr>
          <w:rFonts w:ascii="Georgia" w:hAnsi="Georgia" w:cs="Times New Roman"/>
          <w:noProof/>
          <w:color w:val="000000" w:themeColor="text1"/>
          <w:sz w:val="22"/>
          <w:szCs w:val="22"/>
        </w:rPr>
        <w:t>, 85, 1771–1789.</w:t>
      </w:r>
    </w:p>
    <w:p w14:paraId="217E4C6B"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Coblentz, K. E., &amp; DeLong, J. P. (2020). Predator</w:t>
      </w:r>
      <w:r w:rsidRPr="008102B0">
        <w:rPr>
          <w:rFonts w:ascii="Cambria Math" w:hAnsi="Cambria Math" w:cs="Cambria Math"/>
          <w:noProof/>
          <w:color w:val="000000" w:themeColor="text1"/>
          <w:sz w:val="22"/>
          <w:szCs w:val="22"/>
        </w:rPr>
        <w:t>‐</w:t>
      </w:r>
      <w:r w:rsidRPr="008102B0">
        <w:rPr>
          <w:rFonts w:ascii="Georgia" w:hAnsi="Georgia" w:cs="Times New Roman"/>
          <w:noProof/>
          <w:color w:val="000000" w:themeColor="text1"/>
          <w:sz w:val="22"/>
          <w:szCs w:val="22"/>
        </w:rPr>
        <w:t xml:space="preserve">dependent functional responses alter the coexistence and indirect effects among prey that share a predator. </w:t>
      </w:r>
      <w:r w:rsidRPr="008102B0">
        <w:rPr>
          <w:rFonts w:ascii="Georgia" w:hAnsi="Georgia" w:cs="Times New Roman"/>
          <w:i/>
          <w:iCs/>
          <w:noProof/>
          <w:color w:val="000000" w:themeColor="text1"/>
          <w:sz w:val="22"/>
          <w:szCs w:val="22"/>
        </w:rPr>
        <w:t>OIKOS</w:t>
      </w:r>
      <w:r w:rsidRPr="008102B0">
        <w:rPr>
          <w:rFonts w:ascii="Georgia" w:hAnsi="Georgia" w:cs="Times New Roman"/>
          <w:noProof/>
          <w:color w:val="000000" w:themeColor="text1"/>
          <w:sz w:val="22"/>
          <w:szCs w:val="22"/>
        </w:rPr>
        <w:t xml:space="preserve">, 129, 1404–1414. </w:t>
      </w:r>
    </w:p>
    <w:p w14:paraId="054667F0"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Csardi, G., &amp; Nepusz, T. (2006). The igraph software package for complex network research. </w:t>
      </w:r>
      <w:r w:rsidRPr="008102B0">
        <w:rPr>
          <w:rFonts w:ascii="Georgia" w:hAnsi="Georgia" w:cs="Times New Roman"/>
          <w:i/>
          <w:iCs/>
          <w:noProof/>
          <w:color w:val="000000" w:themeColor="text1"/>
          <w:sz w:val="22"/>
          <w:szCs w:val="22"/>
        </w:rPr>
        <w:t>Int. J. Res.</w:t>
      </w:r>
      <w:r w:rsidRPr="008102B0">
        <w:rPr>
          <w:rFonts w:ascii="Georgia" w:hAnsi="Georgia" w:cs="Times New Roman"/>
          <w:noProof/>
          <w:color w:val="000000" w:themeColor="text1"/>
          <w:sz w:val="22"/>
          <w:szCs w:val="22"/>
        </w:rPr>
        <w:t xml:space="preserve">, 1695, 1-9 </w:t>
      </w:r>
    </w:p>
    <w:p w14:paraId="790E109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lastRenderedPageBreak/>
        <w:t xml:space="preserve">De Angelis, D. L. (1975). Stability and Connectance in Food Web Models. </w:t>
      </w:r>
      <w:r w:rsidRPr="008102B0">
        <w:rPr>
          <w:rFonts w:ascii="Georgia" w:hAnsi="Georgia" w:cs="Times New Roman"/>
          <w:i/>
          <w:iCs/>
          <w:noProof/>
          <w:color w:val="000000" w:themeColor="text1"/>
          <w:sz w:val="22"/>
          <w:szCs w:val="22"/>
        </w:rPr>
        <w:t>Ecology</w:t>
      </w:r>
      <w:r w:rsidRPr="008102B0">
        <w:rPr>
          <w:rFonts w:ascii="Georgia" w:hAnsi="Georgia" w:cs="Times New Roman"/>
          <w:noProof/>
          <w:color w:val="000000" w:themeColor="text1"/>
          <w:sz w:val="22"/>
          <w:szCs w:val="22"/>
        </w:rPr>
        <w:t>, 56, 238–243.</w:t>
      </w:r>
    </w:p>
    <w:p w14:paraId="2B9FE529"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Des Roches, S., Pendleton, L. H., Shapiro, B., &amp; Palkovacs, E. P. (2021). Conserving intraspecific variation for nature’s contributions to people. </w:t>
      </w:r>
      <w:r w:rsidRPr="008102B0">
        <w:rPr>
          <w:rFonts w:ascii="Georgia" w:hAnsi="Georgia" w:cs="Times New Roman"/>
          <w:i/>
          <w:iCs/>
          <w:noProof/>
          <w:color w:val="000000" w:themeColor="text1"/>
          <w:sz w:val="22"/>
          <w:szCs w:val="22"/>
        </w:rPr>
        <w:t>Nat. Ecol. Evol.</w:t>
      </w:r>
      <w:r w:rsidRPr="008102B0">
        <w:rPr>
          <w:rFonts w:ascii="Georgia" w:hAnsi="Georgia" w:cs="Times New Roman"/>
          <w:noProof/>
          <w:color w:val="000000" w:themeColor="text1"/>
          <w:sz w:val="22"/>
          <w:szCs w:val="22"/>
        </w:rPr>
        <w:t xml:space="preserve">, 5, 574–582. </w:t>
      </w:r>
    </w:p>
    <w:p w14:paraId="302725D8"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Des Roches, S., Post, D. M., Turley, N. E., Bailey, J. K., Hendry, A. P., Kinnison, M. T.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(2018). The ecological importance of intraspecific variation. </w:t>
      </w:r>
      <w:r w:rsidRPr="008102B0">
        <w:rPr>
          <w:rFonts w:ascii="Georgia" w:hAnsi="Georgia" w:cs="Times New Roman"/>
          <w:i/>
          <w:iCs/>
          <w:noProof/>
          <w:color w:val="000000" w:themeColor="text1"/>
          <w:sz w:val="22"/>
          <w:szCs w:val="22"/>
        </w:rPr>
        <w:t>Nat. Ecol. Evol.</w:t>
      </w:r>
      <w:r w:rsidRPr="008102B0">
        <w:rPr>
          <w:rFonts w:ascii="Georgia" w:hAnsi="Georgia" w:cs="Times New Roman"/>
          <w:noProof/>
          <w:color w:val="000000" w:themeColor="text1"/>
          <w:sz w:val="22"/>
          <w:szCs w:val="22"/>
        </w:rPr>
        <w:t xml:space="preserve">, 2, 57–64. </w:t>
      </w:r>
    </w:p>
    <w:p w14:paraId="68E3A20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Des Roches, S., Shurin, J. B., Schluter, D., &amp; Harmon, L. J. (2013). Ecological and Evolutionary Effects of Stickleback on Community Structure. </w:t>
      </w:r>
      <w:r w:rsidRPr="008102B0">
        <w:rPr>
          <w:rFonts w:ascii="Georgia" w:hAnsi="Georgia" w:cs="Times New Roman"/>
          <w:i/>
          <w:iCs/>
          <w:noProof/>
          <w:color w:val="000000" w:themeColor="text1"/>
          <w:sz w:val="22"/>
          <w:szCs w:val="22"/>
        </w:rPr>
        <w:t>PLoS ONE</w:t>
      </w:r>
      <w:r w:rsidRPr="008102B0">
        <w:rPr>
          <w:rFonts w:ascii="Georgia" w:hAnsi="Georgia" w:cs="Times New Roman"/>
          <w:noProof/>
          <w:color w:val="000000" w:themeColor="text1"/>
          <w:sz w:val="22"/>
          <w:szCs w:val="22"/>
        </w:rPr>
        <w:t xml:space="preserve">, 8, e59644. </w:t>
      </w:r>
    </w:p>
    <w:p w14:paraId="7FCC39E9"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Dunne, J. A., Williams, R. J., &amp; Martinez, N. D. (2002). Network structure and biodiversity loss in food webs</w:t>
      </w:r>
      <w:r w:rsidRPr="008102B0">
        <w:rPr>
          <w:rFonts w:ascii="Times New Roman" w:hAnsi="Times New Roman" w:cs="Times New Roman"/>
          <w:noProof/>
          <w:color w:val="000000" w:themeColor="text1"/>
          <w:sz w:val="22"/>
          <w:szCs w:val="22"/>
        </w:rPr>
        <w:t> </w:t>
      </w:r>
      <w:r w:rsidRPr="008102B0">
        <w:rPr>
          <w:rFonts w:ascii="Georgia" w:hAnsi="Georgia" w:cs="Times New Roman"/>
          <w:noProof/>
          <w:color w:val="000000" w:themeColor="text1"/>
          <w:sz w:val="22"/>
          <w:szCs w:val="22"/>
        </w:rPr>
        <w:t xml:space="preserve">: robustness increases with connectance. </w:t>
      </w:r>
      <w:r w:rsidRPr="008102B0">
        <w:rPr>
          <w:rFonts w:ascii="Georgia" w:hAnsi="Georgia" w:cs="Times New Roman"/>
          <w:i/>
          <w:iCs/>
          <w:noProof/>
          <w:color w:val="000000" w:themeColor="text1"/>
          <w:sz w:val="22"/>
          <w:szCs w:val="22"/>
        </w:rPr>
        <w:t>Ecol. Lett.,</w:t>
      </w:r>
      <w:r w:rsidRPr="008102B0">
        <w:rPr>
          <w:rFonts w:ascii="Georgia" w:hAnsi="Georgia" w:cs="Times New Roman"/>
          <w:noProof/>
          <w:color w:val="000000" w:themeColor="text1"/>
          <w:sz w:val="22"/>
          <w:szCs w:val="22"/>
        </w:rPr>
        <w:t xml:space="preserve"> 5,</w:t>
      </w:r>
      <w:r w:rsidRPr="008102B0">
        <w:rPr>
          <w:rFonts w:ascii="Georgia" w:hAnsi="Georgia" w:cs="Times New Roman"/>
          <w:i/>
          <w:iCs/>
          <w:noProof/>
          <w:color w:val="000000" w:themeColor="text1"/>
          <w:sz w:val="22"/>
          <w:szCs w:val="22"/>
        </w:rPr>
        <w:t xml:space="preserve"> </w:t>
      </w:r>
      <w:r w:rsidRPr="008102B0">
        <w:rPr>
          <w:rFonts w:ascii="Georgia" w:hAnsi="Georgia" w:cs="Times New Roman"/>
          <w:noProof/>
          <w:color w:val="000000" w:themeColor="text1"/>
          <w:sz w:val="22"/>
          <w:szCs w:val="22"/>
        </w:rPr>
        <w:t>558–567.</w:t>
      </w:r>
    </w:p>
    <w:p w14:paraId="58D6AF81"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Dunne, J. A., Williams, R. J., &amp; Martinez, N. D. (2004). Network structure and robustness of marine food webs. </w:t>
      </w:r>
      <w:r w:rsidRPr="008102B0">
        <w:rPr>
          <w:rFonts w:ascii="Georgia" w:hAnsi="Georgia" w:cs="Times New Roman"/>
          <w:i/>
          <w:iCs/>
          <w:noProof/>
          <w:color w:val="000000" w:themeColor="text1"/>
          <w:sz w:val="22"/>
          <w:szCs w:val="22"/>
        </w:rPr>
        <w:t>Mar. Ecol. Prog. Ser.</w:t>
      </w:r>
      <w:r w:rsidRPr="008102B0">
        <w:rPr>
          <w:rFonts w:ascii="Georgia" w:hAnsi="Georgia" w:cs="Times New Roman"/>
          <w:noProof/>
          <w:color w:val="000000" w:themeColor="text1"/>
          <w:sz w:val="22"/>
          <w:szCs w:val="22"/>
        </w:rPr>
        <w:t xml:space="preserve">, 273, 291–302. </w:t>
      </w:r>
    </w:p>
    <w:p w14:paraId="3F17DE7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Elton, C. S. (1958). </w:t>
      </w:r>
      <w:r w:rsidRPr="008102B0">
        <w:rPr>
          <w:rFonts w:ascii="Georgia" w:hAnsi="Georgia" w:cs="Times New Roman"/>
          <w:i/>
          <w:iCs/>
          <w:noProof/>
          <w:color w:val="000000" w:themeColor="text1"/>
          <w:sz w:val="22"/>
          <w:szCs w:val="22"/>
        </w:rPr>
        <w:t>The ecology of invasions by animals and plants</w:t>
      </w:r>
      <w:r w:rsidRPr="008102B0">
        <w:rPr>
          <w:rFonts w:ascii="Georgia" w:hAnsi="Georgia" w:cs="Times New Roman"/>
          <w:noProof/>
          <w:color w:val="000000" w:themeColor="text1"/>
          <w:sz w:val="22"/>
          <w:szCs w:val="22"/>
        </w:rPr>
        <w:t>. Methuen Ltd., London</w:t>
      </w:r>
    </w:p>
    <w:p w14:paraId="11BEB668"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Falkenhaug, T., Broms, C., Bagøien, E., &amp; Nikolioudakis, N. (2022). Temporal Variability of Co-Occurring Calanus finmarchicus and C. helgolandicus in Skagerrak. </w:t>
      </w:r>
      <w:r w:rsidRPr="008102B0">
        <w:rPr>
          <w:rFonts w:ascii="Georgia" w:hAnsi="Georgia" w:cs="Times New Roman"/>
          <w:i/>
          <w:iCs/>
          <w:noProof/>
          <w:color w:val="000000" w:themeColor="text1"/>
          <w:sz w:val="22"/>
          <w:szCs w:val="22"/>
        </w:rPr>
        <w:t>Front. Mar. Sci.</w:t>
      </w:r>
      <w:r w:rsidRPr="008102B0">
        <w:rPr>
          <w:rFonts w:ascii="Georgia" w:hAnsi="Georgia" w:cs="Times New Roman"/>
          <w:noProof/>
          <w:color w:val="000000" w:themeColor="text1"/>
          <w:sz w:val="22"/>
          <w:szCs w:val="22"/>
        </w:rPr>
        <w:t xml:space="preserve">, 9, 1–17. </w:t>
      </w:r>
    </w:p>
    <w:p w14:paraId="5C685D3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lang w:val="nb-NO"/>
        </w:rPr>
      </w:pPr>
      <w:r w:rsidRPr="008102B0">
        <w:rPr>
          <w:rFonts w:ascii="Georgia" w:hAnsi="Georgia" w:cs="Times New Roman"/>
          <w:noProof/>
          <w:color w:val="000000" w:themeColor="text1"/>
          <w:sz w:val="22"/>
          <w:szCs w:val="22"/>
        </w:rPr>
        <w:t>Floeter, J., &amp; Temming, A. (2003). Explaining diet composition of North Sea cod (</w:t>
      </w:r>
      <w:r w:rsidRPr="008102B0">
        <w:rPr>
          <w:rFonts w:ascii="Georgia" w:hAnsi="Georgia" w:cs="Times New Roman"/>
          <w:i/>
          <w:iCs/>
          <w:noProof/>
          <w:color w:val="000000" w:themeColor="text1"/>
          <w:sz w:val="22"/>
          <w:szCs w:val="22"/>
        </w:rPr>
        <w:t>Gadus morhua</w:t>
      </w:r>
      <w:r w:rsidRPr="008102B0">
        <w:rPr>
          <w:rFonts w:ascii="Georgia" w:hAnsi="Georgia" w:cs="Times New Roman"/>
          <w:noProof/>
          <w:color w:val="000000" w:themeColor="text1"/>
          <w:sz w:val="22"/>
          <w:szCs w:val="22"/>
        </w:rPr>
        <w:t xml:space="preserve">): prey size preference vs . prey availability. </w:t>
      </w:r>
      <w:r w:rsidRPr="008102B0">
        <w:rPr>
          <w:rFonts w:ascii="Georgia" w:hAnsi="Georgia" w:cs="Times New Roman"/>
          <w:i/>
          <w:iCs/>
          <w:noProof/>
          <w:color w:val="000000" w:themeColor="text1"/>
          <w:sz w:val="22"/>
          <w:szCs w:val="22"/>
        </w:rPr>
        <w:t xml:space="preserve">Can. J. Fish. Aquat. Sci., </w:t>
      </w:r>
      <w:r w:rsidRPr="008102B0">
        <w:rPr>
          <w:rFonts w:ascii="Georgia" w:hAnsi="Georgia" w:cs="Times New Roman"/>
          <w:noProof/>
          <w:color w:val="000000" w:themeColor="text1"/>
          <w:sz w:val="22"/>
          <w:szCs w:val="22"/>
          <w:lang w:val="nb-NO"/>
        </w:rPr>
        <w:t xml:space="preserve">150, 140–150. </w:t>
      </w:r>
    </w:p>
    <w:p w14:paraId="2ACCF1FB"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Frigstad, H., Andersen, G. S., Trannum, H. C., Naustvoll, L. J., Kaste, Ø., &amp; Hjermann, D. Ø. (2018). </w:t>
      </w:r>
      <w:r w:rsidRPr="008102B0">
        <w:rPr>
          <w:rFonts w:ascii="Georgia" w:hAnsi="Georgia" w:cs="Times New Roman"/>
          <w:i/>
          <w:iCs/>
          <w:noProof/>
          <w:color w:val="000000" w:themeColor="text1"/>
          <w:sz w:val="22"/>
          <w:szCs w:val="22"/>
        </w:rPr>
        <w:t>Synthesis of climate relevant results from selected monitoring programs in the coastal zone. Part 2: Quantitative analyses</w:t>
      </w:r>
      <w:r w:rsidRPr="008102B0">
        <w:rPr>
          <w:rFonts w:ascii="Georgia" w:hAnsi="Georgia" w:cs="Times New Roman"/>
          <w:noProof/>
          <w:color w:val="000000" w:themeColor="text1"/>
          <w:sz w:val="22"/>
          <w:szCs w:val="22"/>
        </w:rPr>
        <w:t>. Oslo: Norwegian Institute for Water Research.</w:t>
      </w:r>
    </w:p>
    <w:p w14:paraId="136BEC59"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Frigstad, H., Andersen, G. S., Trannum, H. C., McGovern, M., Naustvoll, L., Kaste, Ø.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(2023). Three decades of change in the Skagerrak coastal ecosystem, shaped by eutrophication and coastal darkening. Estuar. Coast. Shelf Sci., 283, 108193. </w:t>
      </w:r>
    </w:p>
    <w:p w14:paraId="2E56D4B8"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Froese, R. (2006). Cube law, condition factor and weight-length relationships: history, meta-analysis and recommendations. </w:t>
      </w:r>
      <w:r w:rsidRPr="008102B0">
        <w:rPr>
          <w:rFonts w:ascii="Georgia" w:hAnsi="Georgia" w:cs="Times New Roman"/>
          <w:i/>
          <w:iCs/>
          <w:noProof/>
          <w:color w:val="000000" w:themeColor="text1"/>
          <w:sz w:val="22"/>
          <w:szCs w:val="22"/>
        </w:rPr>
        <w:t>J. Appl. Ichthyol.</w:t>
      </w:r>
      <w:r w:rsidRPr="008102B0">
        <w:rPr>
          <w:rFonts w:ascii="Georgia" w:hAnsi="Georgia" w:cs="Times New Roman"/>
          <w:noProof/>
          <w:color w:val="000000" w:themeColor="text1"/>
          <w:sz w:val="22"/>
          <w:szCs w:val="22"/>
        </w:rPr>
        <w:t xml:space="preserve">, 22, 241–253. </w:t>
      </w:r>
    </w:p>
    <w:p w14:paraId="542B6E22"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Froese, R., &amp; Pauly, D. (2024). </w:t>
      </w:r>
      <w:r w:rsidRPr="008102B0">
        <w:rPr>
          <w:rFonts w:ascii="Georgia" w:hAnsi="Georgia" w:cs="Times New Roman"/>
          <w:i/>
          <w:iCs/>
          <w:noProof/>
          <w:color w:val="000000" w:themeColor="text1"/>
          <w:sz w:val="22"/>
          <w:szCs w:val="22"/>
        </w:rPr>
        <w:t>FishBase</w:t>
      </w:r>
      <w:r w:rsidRPr="008102B0">
        <w:rPr>
          <w:rFonts w:ascii="Georgia" w:hAnsi="Georgia" w:cs="Times New Roman"/>
          <w:noProof/>
          <w:color w:val="000000" w:themeColor="text1"/>
          <w:sz w:val="22"/>
          <w:szCs w:val="22"/>
        </w:rPr>
        <w:t>. Available at: www.fishbase.org. Last accessed 2.2.2024.</w:t>
      </w:r>
    </w:p>
    <w:p w14:paraId="212CFFA5"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lastRenderedPageBreak/>
        <w:t xml:space="preserve">Funes, M., Saravia, L. A., Cordone, G., Iribarne, O. O., &amp; Galván, D. E. (2022). Network analysis suggests changes in food web stability produced by bottom trawl fishery in Patagonia. </w:t>
      </w:r>
      <w:r w:rsidRPr="008102B0">
        <w:rPr>
          <w:rFonts w:ascii="Georgia" w:hAnsi="Georgia" w:cs="Times New Roman"/>
          <w:i/>
          <w:iCs/>
          <w:noProof/>
          <w:color w:val="000000" w:themeColor="text1"/>
          <w:sz w:val="22"/>
          <w:szCs w:val="22"/>
        </w:rPr>
        <w:t>Sci. Rep.</w:t>
      </w:r>
      <w:r w:rsidRPr="008102B0">
        <w:rPr>
          <w:rFonts w:ascii="Georgia" w:hAnsi="Georgia" w:cs="Times New Roman"/>
          <w:noProof/>
          <w:color w:val="000000" w:themeColor="text1"/>
          <w:sz w:val="22"/>
          <w:szCs w:val="22"/>
        </w:rPr>
        <w:t xml:space="preserve">, 12, 1–10. </w:t>
      </w:r>
    </w:p>
    <w:p w14:paraId="565828FE"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Gaeta, J. W., Ahrenstorff, T. D., Diana, J. S., Fetzer, W. W., Jones, T. S., Lawson, Z. J.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(2018). Go big or . . . don’t? A field-based diet evaluation of freshwater piscivore and prey fish size relationships. </w:t>
      </w:r>
      <w:r w:rsidRPr="008102B0">
        <w:rPr>
          <w:rFonts w:ascii="Georgia" w:hAnsi="Georgia" w:cs="Times New Roman"/>
          <w:i/>
          <w:iCs/>
          <w:noProof/>
          <w:color w:val="000000" w:themeColor="text1"/>
          <w:sz w:val="22"/>
          <w:szCs w:val="22"/>
        </w:rPr>
        <w:t>PLoS One</w:t>
      </w:r>
      <w:r w:rsidRPr="008102B0">
        <w:rPr>
          <w:rFonts w:ascii="Georgia" w:hAnsi="Georgia" w:cs="Times New Roman"/>
          <w:noProof/>
          <w:color w:val="000000" w:themeColor="text1"/>
          <w:sz w:val="22"/>
          <w:szCs w:val="22"/>
        </w:rPr>
        <w:t>, 13, 1–20.</w:t>
      </w:r>
    </w:p>
    <w:p w14:paraId="0F298021"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Gauzens, B., Berti, E., Delmas, E., &amp; Brose, U. (2022). ATNr</w:t>
      </w:r>
      <w:r w:rsidRPr="008102B0">
        <w:rPr>
          <w:rFonts w:ascii="Times New Roman" w:hAnsi="Times New Roman" w:cs="Times New Roman"/>
          <w:noProof/>
          <w:color w:val="000000" w:themeColor="text1"/>
          <w:sz w:val="22"/>
          <w:szCs w:val="22"/>
        </w:rPr>
        <w:t> </w:t>
      </w:r>
      <w:r w:rsidRPr="008102B0">
        <w:rPr>
          <w:rFonts w:ascii="Georgia" w:hAnsi="Georgia" w:cs="Times New Roman"/>
          <w:noProof/>
          <w:color w:val="000000" w:themeColor="text1"/>
          <w:sz w:val="22"/>
          <w:szCs w:val="22"/>
        </w:rPr>
        <w:t xml:space="preserve">: Allometric trophic models in R. </w:t>
      </w:r>
      <w:r w:rsidRPr="008102B0">
        <w:rPr>
          <w:rFonts w:ascii="Georgia" w:hAnsi="Georgia" w:cs="Times New Roman"/>
          <w:i/>
          <w:iCs/>
          <w:noProof/>
          <w:color w:val="000000" w:themeColor="text1"/>
          <w:sz w:val="22"/>
          <w:szCs w:val="22"/>
        </w:rPr>
        <w:t>Methods Ecol. Evol.,</w:t>
      </w:r>
      <w:r w:rsidRPr="008102B0">
        <w:rPr>
          <w:rFonts w:ascii="Georgia" w:hAnsi="Georgia" w:cs="Times New Roman"/>
          <w:noProof/>
          <w:color w:val="000000" w:themeColor="text1"/>
          <w:sz w:val="22"/>
          <w:szCs w:val="22"/>
        </w:rPr>
        <w:t xml:space="preserve"> 14, 2766-2773.</w:t>
      </w:r>
    </w:p>
    <w:p w14:paraId="46251C06"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Gellner, G., &amp; McCann, K. (2012). Reconciling the omnivory-stability debate. </w:t>
      </w:r>
      <w:r w:rsidRPr="008102B0">
        <w:rPr>
          <w:rFonts w:ascii="Georgia" w:hAnsi="Georgia" w:cs="Times New Roman"/>
          <w:i/>
          <w:iCs/>
          <w:noProof/>
          <w:color w:val="000000" w:themeColor="text1"/>
          <w:sz w:val="22"/>
          <w:szCs w:val="22"/>
        </w:rPr>
        <w:t>Am. Nat.</w:t>
      </w:r>
      <w:r w:rsidRPr="008102B0">
        <w:rPr>
          <w:rFonts w:ascii="Georgia" w:hAnsi="Georgia" w:cs="Times New Roman"/>
          <w:noProof/>
          <w:color w:val="000000" w:themeColor="text1"/>
          <w:sz w:val="22"/>
          <w:szCs w:val="22"/>
        </w:rPr>
        <w:t>, 179, 22–37.</w:t>
      </w:r>
    </w:p>
    <w:p w14:paraId="18B0E833"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Godhe, A., &amp; Rynearson, T. (2017). The role of intraspecific variation in the ecological and evolutionary success of diatoms in changing environments. </w:t>
      </w:r>
      <w:r w:rsidRPr="008102B0">
        <w:rPr>
          <w:rFonts w:ascii="Georgia" w:hAnsi="Georgia" w:cs="Times New Roman"/>
          <w:i/>
          <w:iCs/>
          <w:noProof/>
          <w:color w:val="000000" w:themeColor="text1"/>
          <w:sz w:val="22"/>
          <w:szCs w:val="22"/>
        </w:rPr>
        <w:t xml:space="preserve">Philos. Trans. R.  Soc. B, </w:t>
      </w:r>
      <w:r w:rsidRPr="008102B0">
        <w:rPr>
          <w:rFonts w:ascii="Georgia" w:hAnsi="Georgia" w:cs="Times New Roman"/>
          <w:noProof/>
          <w:color w:val="000000" w:themeColor="text1"/>
          <w:sz w:val="22"/>
          <w:szCs w:val="22"/>
        </w:rPr>
        <w:t>372,</w:t>
      </w:r>
      <w:r w:rsidRPr="008102B0">
        <w:rPr>
          <w:rFonts w:ascii="Georgia" w:hAnsi="Georgia"/>
          <w:sz w:val="22"/>
          <w:szCs w:val="22"/>
        </w:rPr>
        <w:t xml:space="preserve"> </w:t>
      </w:r>
      <w:r w:rsidRPr="008102B0">
        <w:rPr>
          <w:rFonts w:ascii="Georgia" w:hAnsi="Georgia" w:cs="Times New Roman"/>
          <w:noProof/>
          <w:color w:val="000000" w:themeColor="text1"/>
          <w:sz w:val="22"/>
          <w:szCs w:val="22"/>
        </w:rPr>
        <w:t>20160399.</w:t>
      </w:r>
    </w:p>
    <w:p w14:paraId="55C8B415" w14:textId="77777777" w:rsid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lang w:val="nb-NO"/>
        </w:rPr>
      </w:pPr>
      <w:r w:rsidRPr="008102B0">
        <w:rPr>
          <w:rFonts w:ascii="Georgia" w:hAnsi="Georgia" w:cs="Times New Roman"/>
          <w:noProof/>
          <w:color w:val="000000" w:themeColor="text1"/>
          <w:sz w:val="22"/>
          <w:szCs w:val="22"/>
          <w:lang w:val="nb-NO"/>
        </w:rPr>
        <w:t xml:space="preserve">Hermann, R. J., &amp; Becks, L. (2022). Change in prey genotype frequency rescues predator from extinction. </w:t>
      </w:r>
      <w:r w:rsidRPr="008102B0">
        <w:rPr>
          <w:rFonts w:ascii="Georgia" w:hAnsi="Georgia" w:cs="Times New Roman"/>
          <w:i/>
          <w:iCs/>
          <w:noProof/>
          <w:color w:val="000000" w:themeColor="text1"/>
          <w:sz w:val="22"/>
          <w:szCs w:val="22"/>
          <w:lang w:val="nb-NO"/>
        </w:rPr>
        <w:t>R. Soc. Open Sci.</w:t>
      </w:r>
      <w:r w:rsidRPr="008102B0">
        <w:rPr>
          <w:rFonts w:ascii="Georgia" w:hAnsi="Georgia" w:cs="Times New Roman"/>
          <w:noProof/>
          <w:color w:val="000000" w:themeColor="text1"/>
          <w:sz w:val="22"/>
          <w:szCs w:val="22"/>
          <w:lang w:val="nb-NO"/>
        </w:rPr>
        <w:t>, 9, 220211.</w:t>
      </w:r>
    </w:p>
    <w:p w14:paraId="2A80A934" w14:textId="1EF30B88" w:rsidR="00BF3E23" w:rsidRPr="008102B0" w:rsidRDefault="00BF3E23" w:rsidP="008102B0">
      <w:pPr>
        <w:widowControl w:val="0"/>
        <w:autoSpaceDE w:val="0"/>
        <w:autoSpaceDN w:val="0"/>
        <w:adjustRightInd w:val="0"/>
        <w:spacing w:line="480" w:lineRule="auto"/>
        <w:rPr>
          <w:rFonts w:ascii="Georgia" w:hAnsi="Georgia" w:cs="Times New Roman"/>
          <w:noProof/>
          <w:color w:val="000000" w:themeColor="text1"/>
          <w:sz w:val="22"/>
          <w:szCs w:val="22"/>
          <w:lang w:val="nb-NO"/>
        </w:rPr>
      </w:pPr>
      <w:r w:rsidRPr="00BF3E23">
        <w:rPr>
          <w:rFonts w:ascii="Georgia" w:hAnsi="Georgia" w:cs="Times New Roman"/>
          <w:noProof/>
          <w:color w:val="000000" w:themeColor="text1"/>
          <w:sz w:val="22"/>
          <w:szCs w:val="22"/>
          <w:lang w:val="nb-NO"/>
        </w:rPr>
        <w:t>Ho</w:t>
      </w:r>
      <w:r w:rsidR="00F23143">
        <w:rPr>
          <w:rFonts w:ascii="Georgia" w:hAnsi="Georgia" w:cs="Times New Roman"/>
          <w:noProof/>
          <w:color w:val="000000" w:themeColor="text1"/>
          <w:sz w:val="22"/>
          <w:szCs w:val="22"/>
          <w:lang w:val="nb-NO"/>
        </w:rPr>
        <w:t>č</w:t>
      </w:r>
      <w:r w:rsidRPr="00BF3E23">
        <w:rPr>
          <w:rFonts w:ascii="Georgia" w:hAnsi="Georgia" w:cs="Times New Roman"/>
          <w:noProof/>
          <w:color w:val="000000" w:themeColor="text1"/>
          <w:sz w:val="22"/>
          <w:szCs w:val="22"/>
          <w:lang w:val="nb-NO"/>
        </w:rPr>
        <w:t>evar</w:t>
      </w:r>
      <w:r>
        <w:rPr>
          <w:rFonts w:ascii="Georgia" w:hAnsi="Georgia" w:cs="Times New Roman"/>
          <w:noProof/>
          <w:color w:val="000000" w:themeColor="text1"/>
          <w:sz w:val="22"/>
          <w:szCs w:val="22"/>
          <w:lang w:val="nb-NO"/>
        </w:rPr>
        <w:t>,</w:t>
      </w:r>
      <w:r w:rsidRPr="00BF3E23">
        <w:rPr>
          <w:rFonts w:ascii="Georgia" w:hAnsi="Georgia" w:cs="Times New Roman"/>
          <w:noProof/>
          <w:color w:val="000000" w:themeColor="text1"/>
          <w:sz w:val="22"/>
          <w:szCs w:val="22"/>
          <w:lang w:val="nb-NO"/>
        </w:rPr>
        <w:t xml:space="preserve"> S</w:t>
      </w:r>
      <w:r>
        <w:rPr>
          <w:rFonts w:ascii="Georgia" w:hAnsi="Georgia" w:cs="Times New Roman"/>
          <w:noProof/>
          <w:color w:val="000000" w:themeColor="text1"/>
          <w:sz w:val="22"/>
          <w:szCs w:val="22"/>
          <w:lang w:val="nb-NO"/>
        </w:rPr>
        <w:t>.,</w:t>
      </w:r>
      <w:r w:rsidRPr="00BF3E23">
        <w:rPr>
          <w:rFonts w:ascii="Georgia" w:hAnsi="Georgia" w:cs="Times New Roman"/>
          <w:noProof/>
          <w:color w:val="000000" w:themeColor="text1"/>
          <w:sz w:val="22"/>
          <w:szCs w:val="22"/>
          <w:lang w:val="nb-NO"/>
        </w:rPr>
        <w:t xml:space="preserve"> Perälä,</w:t>
      </w:r>
      <w:r>
        <w:rPr>
          <w:rFonts w:ascii="Georgia" w:hAnsi="Georgia" w:cs="Times New Roman"/>
          <w:noProof/>
          <w:color w:val="000000" w:themeColor="text1"/>
          <w:sz w:val="22"/>
          <w:szCs w:val="22"/>
          <w:lang w:val="nb-NO"/>
        </w:rPr>
        <w:t xml:space="preserve"> T.,</w:t>
      </w:r>
      <w:r w:rsidRPr="00BF3E23">
        <w:rPr>
          <w:rFonts w:ascii="Georgia" w:hAnsi="Georgia" w:cs="Times New Roman"/>
          <w:noProof/>
          <w:color w:val="000000" w:themeColor="text1"/>
          <w:sz w:val="22"/>
          <w:szCs w:val="22"/>
          <w:lang w:val="nb-NO"/>
        </w:rPr>
        <w:t xml:space="preserve"> Olsen</w:t>
      </w:r>
      <w:r>
        <w:rPr>
          <w:rFonts w:ascii="Georgia" w:hAnsi="Georgia" w:cs="Times New Roman"/>
          <w:noProof/>
          <w:color w:val="000000" w:themeColor="text1"/>
          <w:sz w:val="22"/>
          <w:szCs w:val="22"/>
          <w:lang w:val="nb-NO"/>
        </w:rPr>
        <w:t>, E. M.</w:t>
      </w:r>
      <w:r w:rsidRPr="00BF3E23">
        <w:rPr>
          <w:rFonts w:ascii="Georgia" w:hAnsi="Georgia" w:cs="Times New Roman"/>
          <w:noProof/>
          <w:color w:val="000000" w:themeColor="text1"/>
          <w:sz w:val="22"/>
          <w:szCs w:val="22"/>
          <w:lang w:val="nb-NO"/>
        </w:rPr>
        <w:t>,  Falkenhaug,</w:t>
      </w:r>
      <w:r>
        <w:rPr>
          <w:rFonts w:ascii="Georgia" w:hAnsi="Georgia" w:cs="Times New Roman"/>
          <w:noProof/>
          <w:color w:val="000000" w:themeColor="text1"/>
          <w:sz w:val="22"/>
          <w:szCs w:val="22"/>
          <w:lang w:val="nb-NO"/>
        </w:rPr>
        <w:t xml:space="preserve"> T.</w:t>
      </w:r>
      <w:r w:rsidRPr="00BF3E23">
        <w:rPr>
          <w:rFonts w:ascii="Georgia" w:hAnsi="Georgia" w:cs="Times New Roman"/>
          <w:noProof/>
          <w:color w:val="000000" w:themeColor="text1"/>
          <w:sz w:val="22"/>
          <w:szCs w:val="22"/>
          <w:lang w:val="nb-NO"/>
        </w:rPr>
        <w:t>, Naustvoll</w:t>
      </w:r>
      <w:r>
        <w:rPr>
          <w:rFonts w:ascii="Georgia" w:hAnsi="Georgia" w:cs="Times New Roman"/>
          <w:noProof/>
          <w:color w:val="000000" w:themeColor="text1"/>
          <w:sz w:val="22"/>
          <w:szCs w:val="22"/>
          <w:lang w:val="nb-NO"/>
        </w:rPr>
        <w:t>, L. J.,</w:t>
      </w:r>
      <w:r w:rsidRPr="00BF3E23">
        <w:rPr>
          <w:rFonts w:ascii="Georgia" w:hAnsi="Georgia" w:cs="Times New Roman"/>
          <w:noProof/>
          <w:color w:val="000000" w:themeColor="text1"/>
          <w:sz w:val="22"/>
          <w:szCs w:val="22"/>
          <w:lang w:val="nb-NO"/>
        </w:rPr>
        <w:t xml:space="preserve">  </w:t>
      </w:r>
      <w:r>
        <w:rPr>
          <w:rFonts w:ascii="Georgia" w:hAnsi="Georgia" w:cs="Times New Roman"/>
          <w:noProof/>
          <w:color w:val="000000" w:themeColor="text1"/>
          <w:sz w:val="22"/>
          <w:szCs w:val="22"/>
          <w:lang w:val="nb-NO"/>
        </w:rPr>
        <w:t>&amp;</w:t>
      </w:r>
      <w:r w:rsidRPr="00BF3E23">
        <w:rPr>
          <w:rFonts w:ascii="Georgia" w:hAnsi="Georgia" w:cs="Times New Roman"/>
          <w:noProof/>
          <w:color w:val="000000" w:themeColor="text1"/>
          <w:sz w:val="22"/>
          <w:szCs w:val="22"/>
          <w:lang w:val="nb-NO"/>
        </w:rPr>
        <w:t xml:space="preserve"> Kuparinen</w:t>
      </w:r>
      <w:r>
        <w:rPr>
          <w:rFonts w:ascii="Georgia" w:hAnsi="Georgia" w:cs="Times New Roman"/>
          <w:noProof/>
          <w:color w:val="000000" w:themeColor="text1"/>
          <w:sz w:val="22"/>
          <w:szCs w:val="22"/>
          <w:lang w:val="nb-NO"/>
        </w:rPr>
        <w:t>, A.</w:t>
      </w:r>
      <w:r w:rsidRPr="00BF3E23">
        <w:rPr>
          <w:rFonts w:ascii="Georgia" w:hAnsi="Georgia" w:cs="Times New Roman"/>
          <w:noProof/>
          <w:color w:val="000000" w:themeColor="text1"/>
          <w:sz w:val="22"/>
          <w:szCs w:val="22"/>
          <w:lang w:val="nb-NO"/>
        </w:rPr>
        <w:t xml:space="preserve"> (Forthcoming 2024). </w:t>
      </w:r>
      <w:r>
        <w:rPr>
          <w:rFonts w:ascii="Georgia" w:hAnsi="Georgia" w:cs="Times New Roman"/>
          <w:noProof/>
          <w:color w:val="000000" w:themeColor="text1"/>
          <w:sz w:val="22"/>
          <w:szCs w:val="22"/>
          <w:lang w:val="nb-NO"/>
        </w:rPr>
        <w:t xml:space="preserve">Data from: </w:t>
      </w:r>
      <w:r w:rsidRPr="00BF3E23">
        <w:rPr>
          <w:rFonts w:ascii="Georgia" w:hAnsi="Georgia" w:cs="Times New Roman"/>
          <w:i/>
          <w:iCs/>
          <w:noProof/>
          <w:color w:val="000000" w:themeColor="text1"/>
          <w:sz w:val="22"/>
          <w:szCs w:val="22"/>
          <w:lang w:val="nb-NO"/>
        </w:rPr>
        <w:t>Intraspecific diversity in Atlantic cod (Gadus morhua) drives unique top-down control in coastal food web</w:t>
      </w:r>
      <w:r>
        <w:rPr>
          <w:rFonts w:ascii="Georgia" w:hAnsi="Georgia" w:cs="Times New Roman"/>
          <w:i/>
          <w:iCs/>
          <w:noProof/>
          <w:color w:val="000000" w:themeColor="text1"/>
          <w:sz w:val="22"/>
          <w:szCs w:val="22"/>
          <w:lang w:val="nb-NO"/>
        </w:rPr>
        <w:t>.</w:t>
      </w:r>
      <w:r w:rsidRPr="00BF3E23">
        <w:rPr>
          <w:rFonts w:ascii="Georgia" w:hAnsi="Georgia" w:cs="Times New Roman"/>
          <w:noProof/>
          <w:color w:val="000000" w:themeColor="text1"/>
          <w:sz w:val="22"/>
          <w:szCs w:val="22"/>
          <w:lang w:val="nb-NO"/>
        </w:rPr>
        <w:t xml:space="preserve"> Dryad. </w:t>
      </w:r>
      <w:r w:rsidR="00676293" w:rsidRPr="00676293">
        <w:rPr>
          <w:rFonts w:ascii="Georgia" w:hAnsi="Georgia" w:cs="Times New Roman"/>
          <w:noProof/>
          <w:color w:val="000000" w:themeColor="text1"/>
          <w:sz w:val="22"/>
          <w:szCs w:val="22"/>
          <w:lang w:val="nb-NO"/>
        </w:rPr>
        <w:t>https://datadryad.org/stash/share/V80aZrZjNoQcCP65XNt58vcHMMg7ckvqvTv2UMsvS_s.</w:t>
      </w:r>
    </w:p>
    <w:p w14:paraId="0FB17561"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lang w:val="nb-NO"/>
        </w:rPr>
      </w:pPr>
      <w:r w:rsidRPr="008102B0">
        <w:rPr>
          <w:rFonts w:ascii="Georgia" w:hAnsi="Georgia" w:cs="Times New Roman"/>
          <w:noProof/>
          <w:color w:val="000000" w:themeColor="text1"/>
          <w:sz w:val="22"/>
          <w:szCs w:val="22"/>
          <w:lang w:val="nb-NO"/>
        </w:rPr>
        <w:t>Holt, R. E., Bogstad, B., Durant, J. M., Dolgov, A. V., &amp; Ottersen, G. (2019). Barents Sea cod (</w:t>
      </w:r>
      <w:r w:rsidRPr="008102B0">
        <w:rPr>
          <w:rFonts w:ascii="Georgia" w:hAnsi="Georgia" w:cs="Times New Roman"/>
          <w:i/>
          <w:iCs/>
          <w:noProof/>
          <w:color w:val="000000" w:themeColor="text1"/>
          <w:sz w:val="22"/>
          <w:szCs w:val="22"/>
          <w:lang w:val="nb-NO"/>
        </w:rPr>
        <w:t>Gadus morhua</w:t>
      </w:r>
      <w:r w:rsidRPr="008102B0">
        <w:rPr>
          <w:rFonts w:ascii="Georgia" w:hAnsi="Georgia" w:cs="Times New Roman"/>
          <w:noProof/>
          <w:color w:val="000000" w:themeColor="text1"/>
          <w:sz w:val="22"/>
          <w:szCs w:val="22"/>
          <w:lang w:val="nb-NO"/>
        </w:rPr>
        <w:t>) diet composition: long-term interannual, seasonal, and ontogenetic patterns.</w:t>
      </w:r>
      <w:r w:rsidRPr="008102B0">
        <w:rPr>
          <w:rFonts w:ascii="Georgia" w:hAnsi="Georgia" w:cs="Times New Roman"/>
          <w:i/>
          <w:iCs/>
          <w:noProof/>
          <w:color w:val="000000" w:themeColor="text1"/>
          <w:sz w:val="22"/>
          <w:szCs w:val="22"/>
          <w:lang w:val="nb-NO"/>
        </w:rPr>
        <w:t xml:space="preserve"> ICES J. Mar. Sci.</w:t>
      </w:r>
      <w:r w:rsidRPr="008102B0">
        <w:rPr>
          <w:rFonts w:ascii="Georgia" w:hAnsi="Georgia" w:cs="Times New Roman"/>
          <w:noProof/>
          <w:color w:val="000000" w:themeColor="text1"/>
          <w:sz w:val="22"/>
          <w:szCs w:val="22"/>
          <w:lang w:val="nb-NO"/>
        </w:rPr>
        <w:t>, 76, 1641–1652.</w:t>
      </w:r>
    </w:p>
    <w:p w14:paraId="25F0C55C"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Hop, H., Gjosseter, J., &amp; Danielssen, D. S. (1992). </w:t>
      </w:r>
      <w:r w:rsidRPr="008102B0">
        <w:rPr>
          <w:rFonts w:ascii="Georgia" w:hAnsi="Georgia" w:cs="Times New Roman"/>
          <w:noProof/>
          <w:color w:val="000000" w:themeColor="text1"/>
          <w:sz w:val="22"/>
          <w:szCs w:val="22"/>
        </w:rPr>
        <w:t>Seasonal feeding ecology of cod (</w:t>
      </w:r>
      <w:r w:rsidRPr="008102B0">
        <w:rPr>
          <w:rFonts w:ascii="Georgia" w:hAnsi="Georgia" w:cs="Times New Roman"/>
          <w:i/>
          <w:iCs/>
          <w:noProof/>
          <w:color w:val="000000" w:themeColor="text1"/>
          <w:sz w:val="22"/>
          <w:szCs w:val="22"/>
        </w:rPr>
        <w:t>Gadus morhua</w:t>
      </w:r>
      <w:r w:rsidRPr="008102B0">
        <w:rPr>
          <w:rFonts w:ascii="Georgia" w:hAnsi="Georgia" w:cs="Times New Roman"/>
          <w:noProof/>
          <w:color w:val="000000" w:themeColor="text1"/>
          <w:sz w:val="22"/>
          <w:szCs w:val="22"/>
        </w:rPr>
        <w:t xml:space="preserve"> l.) on the norwegian skagerrak coast. </w:t>
      </w:r>
      <w:r w:rsidRPr="008102B0">
        <w:rPr>
          <w:rFonts w:ascii="Georgia" w:hAnsi="Georgia" w:cs="Times New Roman"/>
          <w:i/>
          <w:iCs/>
          <w:noProof/>
          <w:color w:val="000000" w:themeColor="text1"/>
          <w:sz w:val="22"/>
          <w:szCs w:val="22"/>
          <w:lang w:val="nb-NO"/>
        </w:rPr>
        <w:t>ICES J. Mar. Sci.</w:t>
      </w:r>
      <w:r w:rsidRPr="008102B0">
        <w:rPr>
          <w:rFonts w:ascii="Georgia" w:hAnsi="Georgia" w:cs="Times New Roman"/>
          <w:noProof/>
          <w:color w:val="000000" w:themeColor="text1"/>
          <w:sz w:val="22"/>
          <w:szCs w:val="22"/>
          <w:lang w:val="nb-NO"/>
        </w:rPr>
        <w:t>,</w:t>
      </w:r>
      <w:r w:rsidRPr="008102B0">
        <w:rPr>
          <w:rFonts w:ascii="Georgia" w:hAnsi="Georgia" w:cs="Times New Roman"/>
          <w:noProof/>
          <w:color w:val="000000" w:themeColor="text1"/>
          <w:sz w:val="22"/>
          <w:szCs w:val="22"/>
        </w:rPr>
        <w:t xml:space="preserve"> 49, 453–461. </w:t>
      </w:r>
    </w:p>
    <w:p w14:paraId="20D019F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Hutchinson, G. E. (1959). Homage to Santa Rosalia or why are there so many kinds of animals? </w:t>
      </w:r>
      <w:r w:rsidRPr="008102B0">
        <w:rPr>
          <w:rFonts w:ascii="Georgia" w:hAnsi="Georgia" w:cs="Times New Roman"/>
          <w:i/>
          <w:iCs/>
          <w:noProof/>
          <w:color w:val="000000" w:themeColor="text1"/>
          <w:sz w:val="22"/>
          <w:szCs w:val="22"/>
        </w:rPr>
        <w:t>Am. Nat.,</w:t>
      </w:r>
      <w:r w:rsidRPr="008102B0">
        <w:rPr>
          <w:rFonts w:ascii="Georgia" w:hAnsi="Georgia" w:cs="Times New Roman"/>
          <w:noProof/>
          <w:color w:val="000000" w:themeColor="text1"/>
          <w:sz w:val="22"/>
          <w:szCs w:val="22"/>
        </w:rPr>
        <w:t xml:space="preserve"> 93, 145–159.</w:t>
      </w:r>
    </w:p>
    <w:p w14:paraId="6A80CD6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Järvi, T. H. (1920). </w:t>
      </w:r>
      <w:r w:rsidRPr="008102B0">
        <w:rPr>
          <w:rFonts w:ascii="Georgia" w:hAnsi="Georgia" w:cs="Times New Roman"/>
          <w:i/>
          <w:iCs/>
          <w:noProof/>
          <w:color w:val="000000" w:themeColor="text1"/>
          <w:sz w:val="22"/>
          <w:szCs w:val="22"/>
        </w:rPr>
        <w:t xml:space="preserve">Die kleine Maräne (Coregonus albula L.) im Keitelesee, eine ökologische </w:t>
      </w:r>
      <w:r w:rsidRPr="008102B0">
        <w:rPr>
          <w:rFonts w:ascii="Georgia" w:hAnsi="Georgia" w:cs="Times New Roman"/>
          <w:i/>
          <w:iCs/>
          <w:noProof/>
          <w:color w:val="000000" w:themeColor="text1"/>
          <w:sz w:val="22"/>
          <w:szCs w:val="22"/>
        </w:rPr>
        <w:lastRenderedPageBreak/>
        <w:t>und ökonomische Studie</w:t>
      </w:r>
      <w:r w:rsidRPr="008102B0">
        <w:rPr>
          <w:rFonts w:ascii="Georgia" w:hAnsi="Georgia" w:cs="Times New Roman"/>
          <w:noProof/>
          <w:color w:val="000000" w:themeColor="text1"/>
          <w:sz w:val="22"/>
          <w:szCs w:val="22"/>
        </w:rPr>
        <w:t>. Annales Academiae Scientiarum Fennicae, Helsinki, 302 pp.</w:t>
      </w:r>
    </w:p>
    <w:p w14:paraId="6A54DCDB"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Ji, R., Runge, J. A., Davis, C. S., &amp; Wiebe, P. H. (2021). Drivers of variability of </w:t>
      </w:r>
      <w:r w:rsidRPr="008102B0">
        <w:rPr>
          <w:rFonts w:ascii="Georgia" w:hAnsi="Georgia" w:cs="Times New Roman"/>
          <w:i/>
          <w:iCs/>
          <w:noProof/>
          <w:color w:val="000000" w:themeColor="text1"/>
          <w:sz w:val="22"/>
          <w:szCs w:val="22"/>
        </w:rPr>
        <w:t>Calanus finmarchicus</w:t>
      </w:r>
      <w:r w:rsidRPr="008102B0">
        <w:rPr>
          <w:rFonts w:ascii="Georgia" w:hAnsi="Georgia" w:cs="Times New Roman"/>
          <w:noProof/>
          <w:color w:val="000000" w:themeColor="text1"/>
          <w:sz w:val="22"/>
          <w:szCs w:val="22"/>
        </w:rPr>
        <w:t xml:space="preserve"> in the Gulf of Maine: roles of internal production and external exchange. </w:t>
      </w:r>
      <w:r w:rsidRPr="008102B0">
        <w:rPr>
          <w:rFonts w:ascii="Georgia" w:hAnsi="Georgia" w:cs="Times New Roman"/>
          <w:i/>
          <w:iCs/>
          <w:noProof/>
          <w:color w:val="000000" w:themeColor="text1"/>
          <w:sz w:val="22"/>
          <w:szCs w:val="22"/>
          <w:lang w:val="nb-NO"/>
        </w:rPr>
        <w:t>ICES J. Mar. Sci.</w:t>
      </w:r>
      <w:r w:rsidRPr="008102B0">
        <w:rPr>
          <w:rFonts w:ascii="Georgia" w:hAnsi="Georgia" w:cs="Times New Roman"/>
          <w:noProof/>
          <w:color w:val="000000" w:themeColor="text1"/>
          <w:sz w:val="22"/>
          <w:szCs w:val="22"/>
        </w:rPr>
        <w:t>, 79, 775–784.</w:t>
      </w:r>
    </w:p>
    <w:p w14:paraId="54A9A1BD"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Knutsen, H., Jorde, P. E., Hutchings, J. A., Hemmer-Hansen, J., Grønkjær, P., Jørgensen, K. E. M. </w:t>
      </w:r>
      <w:r w:rsidRPr="008102B0">
        <w:rPr>
          <w:rFonts w:ascii="Georgia" w:hAnsi="Georgia" w:cs="Times New Roman"/>
          <w:i/>
          <w:iCs/>
          <w:noProof/>
          <w:color w:val="000000" w:themeColor="text1"/>
          <w:sz w:val="22"/>
          <w:szCs w:val="22"/>
          <w:lang w:val="nb-NO"/>
        </w:rPr>
        <w:t>et al</w:t>
      </w:r>
      <w:r w:rsidRPr="008102B0">
        <w:rPr>
          <w:rFonts w:ascii="Georgia" w:hAnsi="Georgia" w:cs="Times New Roman"/>
          <w:noProof/>
          <w:color w:val="000000" w:themeColor="text1"/>
          <w:sz w:val="22"/>
          <w:szCs w:val="22"/>
          <w:lang w:val="nb-NO"/>
        </w:rPr>
        <w:t xml:space="preserve">. (2018). </w:t>
      </w:r>
      <w:r w:rsidRPr="008102B0">
        <w:rPr>
          <w:rFonts w:ascii="Georgia" w:hAnsi="Georgia" w:cs="Times New Roman"/>
          <w:noProof/>
          <w:color w:val="000000" w:themeColor="text1"/>
          <w:sz w:val="22"/>
          <w:szCs w:val="22"/>
        </w:rPr>
        <w:t xml:space="preserve">Stable coexistence of genetically divergent Atlantic cod ecotypes at multiple spatial scales. </w:t>
      </w:r>
      <w:r w:rsidRPr="008102B0">
        <w:rPr>
          <w:rFonts w:ascii="Georgia" w:hAnsi="Georgia" w:cs="Times New Roman"/>
          <w:i/>
          <w:iCs/>
          <w:noProof/>
          <w:color w:val="000000" w:themeColor="text1"/>
          <w:sz w:val="22"/>
          <w:szCs w:val="22"/>
        </w:rPr>
        <w:t>Evol. Appl.</w:t>
      </w:r>
      <w:r w:rsidRPr="008102B0">
        <w:rPr>
          <w:rFonts w:ascii="Georgia" w:hAnsi="Georgia" w:cs="Times New Roman"/>
          <w:noProof/>
          <w:color w:val="000000" w:themeColor="text1"/>
          <w:sz w:val="22"/>
          <w:szCs w:val="22"/>
        </w:rPr>
        <w:t xml:space="preserve">, 11, 1527–1539. </w:t>
      </w:r>
    </w:p>
    <w:p w14:paraId="0AAEA3E2"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Kortsch, S., Frelat, R., Pecuchet, L., Olivier, P., Putnis, I., Bonsdorff, E.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(2021). Disentangling temporal food web dynamics facilitates understanding of ecosystem functioning. </w:t>
      </w:r>
      <w:r w:rsidRPr="008102B0">
        <w:rPr>
          <w:rFonts w:ascii="Georgia" w:hAnsi="Georgia" w:cs="Times New Roman"/>
          <w:i/>
          <w:iCs/>
          <w:noProof/>
          <w:color w:val="000000" w:themeColor="text1"/>
          <w:sz w:val="22"/>
          <w:szCs w:val="22"/>
        </w:rPr>
        <w:t>J.  Anim. Ecol.</w:t>
      </w:r>
      <w:r w:rsidRPr="008102B0">
        <w:rPr>
          <w:rFonts w:ascii="Georgia" w:hAnsi="Georgia" w:cs="Times New Roman"/>
          <w:noProof/>
          <w:color w:val="000000" w:themeColor="text1"/>
          <w:sz w:val="22"/>
          <w:szCs w:val="22"/>
        </w:rPr>
        <w:t>, 90, 1205–1216.</w:t>
      </w:r>
    </w:p>
    <w:p w14:paraId="68D1CEDE"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Kortsch, S., Primicerio, R., Fossheim, M., Dolgov, A. V., &amp; Aschan, M. (2015). Climate change alters the structure of arctic marine food webs due to poleward shifts of boreal generalists. </w:t>
      </w:r>
      <w:r w:rsidRPr="008102B0">
        <w:rPr>
          <w:rFonts w:ascii="Georgia" w:hAnsi="Georgia" w:cs="Times New Roman"/>
          <w:i/>
          <w:iCs/>
          <w:noProof/>
          <w:color w:val="000000" w:themeColor="text1"/>
          <w:sz w:val="22"/>
          <w:szCs w:val="22"/>
        </w:rPr>
        <w:t>Proc. R. Soc. B</w:t>
      </w:r>
      <w:r w:rsidRPr="008102B0">
        <w:rPr>
          <w:rFonts w:ascii="Georgia" w:hAnsi="Georgia" w:cs="Times New Roman"/>
          <w:noProof/>
          <w:color w:val="000000" w:themeColor="text1"/>
          <w:sz w:val="22"/>
          <w:szCs w:val="22"/>
        </w:rPr>
        <w:t>, 282, 20151546.</w:t>
      </w:r>
    </w:p>
    <w:p w14:paraId="53FA1C93"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Kristensen, M. L., Olsen, E. M., Moland, E., Knutsen, H., Grønkjær, P., Koed, A. </w:t>
      </w:r>
      <w:r w:rsidRPr="008102B0">
        <w:rPr>
          <w:rFonts w:ascii="Georgia" w:hAnsi="Georgia" w:cs="Times New Roman"/>
          <w:i/>
          <w:iCs/>
          <w:noProof/>
          <w:color w:val="000000" w:themeColor="text1"/>
          <w:sz w:val="22"/>
          <w:szCs w:val="22"/>
          <w:lang w:val="nb-NO"/>
        </w:rPr>
        <w:t>et al.</w:t>
      </w:r>
      <w:r w:rsidRPr="008102B0">
        <w:rPr>
          <w:rFonts w:ascii="Georgia" w:hAnsi="Georgia" w:cs="Times New Roman"/>
          <w:noProof/>
          <w:color w:val="000000" w:themeColor="text1"/>
          <w:sz w:val="22"/>
          <w:szCs w:val="22"/>
          <w:lang w:val="nb-NO"/>
        </w:rPr>
        <w:t xml:space="preserve"> (2021). </w:t>
      </w:r>
      <w:r w:rsidRPr="008102B0">
        <w:rPr>
          <w:rFonts w:ascii="Georgia" w:hAnsi="Georgia" w:cs="Times New Roman"/>
          <w:noProof/>
          <w:color w:val="000000" w:themeColor="text1"/>
          <w:sz w:val="22"/>
          <w:szCs w:val="22"/>
        </w:rPr>
        <w:t xml:space="preserve">Disparate movement behavior and feeding ecology in sympatric ecotypes of Atlantic cod. </w:t>
      </w:r>
      <w:r w:rsidRPr="008102B0">
        <w:rPr>
          <w:rFonts w:ascii="Georgia" w:hAnsi="Georgia" w:cs="Times New Roman"/>
          <w:i/>
          <w:iCs/>
          <w:noProof/>
          <w:color w:val="000000" w:themeColor="text1"/>
          <w:sz w:val="22"/>
          <w:szCs w:val="22"/>
        </w:rPr>
        <w:t>Ecol. Evol.</w:t>
      </w:r>
      <w:r w:rsidRPr="008102B0">
        <w:rPr>
          <w:rFonts w:ascii="Georgia" w:hAnsi="Georgia" w:cs="Times New Roman"/>
          <w:noProof/>
          <w:color w:val="000000" w:themeColor="text1"/>
          <w:sz w:val="22"/>
          <w:szCs w:val="22"/>
        </w:rPr>
        <w:t xml:space="preserve">, </w:t>
      </w:r>
      <w:r w:rsidRPr="008102B0">
        <w:rPr>
          <w:rFonts w:ascii="Georgia" w:hAnsi="Georgia" w:cs="Times New Roman"/>
          <w:i/>
          <w:iCs/>
          <w:noProof/>
          <w:color w:val="000000" w:themeColor="text1"/>
          <w:sz w:val="22"/>
          <w:szCs w:val="22"/>
        </w:rPr>
        <w:t>11</w:t>
      </w:r>
      <w:r w:rsidRPr="008102B0">
        <w:rPr>
          <w:rFonts w:ascii="Georgia" w:hAnsi="Georgia" w:cs="Times New Roman"/>
          <w:noProof/>
          <w:color w:val="000000" w:themeColor="text1"/>
          <w:sz w:val="22"/>
          <w:szCs w:val="22"/>
        </w:rPr>
        <w:t>, 11477–11490.</w:t>
      </w:r>
    </w:p>
    <w:p w14:paraId="3D270BE5"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Kuparinen, A., Roney, N. E., Oomen, R. A., Hutchings, J. A., &amp; Olsen, E. M. (2016a). Small-scale life history variability suggests potential for spatial mismatches in Atlantic cod management units. </w:t>
      </w:r>
      <w:r w:rsidRPr="008102B0">
        <w:rPr>
          <w:rFonts w:ascii="Georgia" w:hAnsi="Georgia" w:cs="Times New Roman"/>
          <w:i/>
          <w:iCs/>
          <w:noProof/>
          <w:color w:val="000000" w:themeColor="text1"/>
          <w:sz w:val="22"/>
          <w:szCs w:val="22"/>
          <w:lang w:val="nb-NO"/>
        </w:rPr>
        <w:t>ICES J. Mar. Sci.</w:t>
      </w:r>
      <w:r w:rsidRPr="008102B0">
        <w:rPr>
          <w:rFonts w:ascii="Georgia" w:hAnsi="Georgia" w:cs="Times New Roman"/>
          <w:noProof/>
          <w:color w:val="000000" w:themeColor="text1"/>
          <w:sz w:val="22"/>
          <w:szCs w:val="22"/>
        </w:rPr>
        <w:t xml:space="preserve">, 73, 286–292. </w:t>
      </w:r>
    </w:p>
    <w:p w14:paraId="1E00178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Kuparinen, A., Boit, A., Valdovinos, F. S., Lassaux, H., &amp; Martinez, N. D. (2016b). Fishing-induced life-history changes degrade and destabilize harvested ecosystems. </w:t>
      </w:r>
      <w:r w:rsidRPr="008102B0">
        <w:rPr>
          <w:rFonts w:ascii="Georgia" w:hAnsi="Georgia" w:cs="Times New Roman"/>
          <w:i/>
          <w:iCs/>
          <w:noProof/>
          <w:color w:val="000000" w:themeColor="text1"/>
          <w:sz w:val="22"/>
          <w:szCs w:val="22"/>
        </w:rPr>
        <w:t>Sci. Rep.</w:t>
      </w:r>
      <w:r w:rsidRPr="008102B0">
        <w:rPr>
          <w:rFonts w:ascii="Georgia" w:hAnsi="Georgia" w:cs="Times New Roman"/>
          <w:noProof/>
          <w:color w:val="000000" w:themeColor="text1"/>
          <w:sz w:val="22"/>
          <w:szCs w:val="22"/>
        </w:rPr>
        <w:t xml:space="preserve">, 6, 1–9. </w:t>
      </w:r>
    </w:p>
    <w:p w14:paraId="04934687"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Link, J. S., &amp; Garrison, L. P. (2002). </w:t>
      </w:r>
      <w:r w:rsidRPr="008102B0">
        <w:rPr>
          <w:rFonts w:ascii="Georgia" w:hAnsi="Georgia" w:cs="Times New Roman"/>
          <w:i/>
          <w:iCs/>
          <w:noProof/>
          <w:color w:val="000000" w:themeColor="text1"/>
          <w:sz w:val="22"/>
          <w:szCs w:val="22"/>
        </w:rPr>
        <w:t>Trophic ecology of Atlantic cod Gadus morhua on the northeast US continental shelf</w:t>
      </w:r>
      <w:r w:rsidRPr="008102B0">
        <w:rPr>
          <w:rFonts w:ascii="Georgia" w:hAnsi="Georgia" w:cs="Times New Roman"/>
          <w:noProof/>
          <w:color w:val="000000" w:themeColor="text1"/>
          <w:sz w:val="22"/>
          <w:szCs w:val="22"/>
        </w:rPr>
        <w:t xml:space="preserve">. </w:t>
      </w:r>
      <w:r w:rsidRPr="008102B0">
        <w:rPr>
          <w:rFonts w:ascii="Georgia" w:hAnsi="Georgia" w:cs="Times New Roman"/>
          <w:i/>
          <w:iCs/>
          <w:noProof/>
          <w:color w:val="000000" w:themeColor="text1"/>
          <w:sz w:val="22"/>
          <w:szCs w:val="22"/>
        </w:rPr>
        <w:t xml:space="preserve">Mar. Ecol. Prog. Ser., </w:t>
      </w:r>
      <w:r w:rsidRPr="008102B0">
        <w:rPr>
          <w:rFonts w:ascii="Georgia" w:hAnsi="Georgia" w:cs="Times New Roman"/>
          <w:noProof/>
          <w:color w:val="000000" w:themeColor="text1"/>
          <w:sz w:val="22"/>
          <w:szCs w:val="22"/>
        </w:rPr>
        <w:t>227, 109–123.</w:t>
      </w:r>
    </w:p>
    <w:p w14:paraId="21054A2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Maar, M., Nielsen, T. G., Richardson, K., Christaki, U., Hansen, O. S., Zervoudaki, S. </w:t>
      </w:r>
      <w:r w:rsidRPr="008102B0">
        <w:rPr>
          <w:rFonts w:ascii="Georgia" w:hAnsi="Georgia" w:cs="Times New Roman"/>
          <w:i/>
          <w:iCs/>
          <w:noProof/>
          <w:color w:val="000000" w:themeColor="text1"/>
          <w:sz w:val="22"/>
          <w:szCs w:val="22"/>
        </w:rPr>
        <w:t xml:space="preserve">et al. </w:t>
      </w:r>
      <w:r w:rsidRPr="008102B0">
        <w:rPr>
          <w:rFonts w:ascii="Georgia" w:hAnsi="Georgia" w:cs="Times New Roman"/>
          <w:noProof/>
          <w:color w:val="000000" w:themeColor="text1"/>
          <w:sz w:val="22"/>
          <w:szCs w:val="22"/>
        </w:rPr>
        <w:t xml:space="preserve">(2002). Spatial and temporal variability of food web structure during the spring bloom in the Skagerrak. </w:t>
      </w:r>
      <w:r w:rsidRPr="008102B0">
        <w:rPr>
          <w:rFonts w:ascii="Georgia" w:hAnsi="Georgia" w:cs="Times New Roman"/>
          <w:i/>
          <w:iCs/>
          <w:noProof/>
          <w:color w:val="000000" w:themeColor="text1"/>
          <w:sz w:val="22"/>
          <w:szCs w:val="22"/>
        </w:rPr>
        <w:t>Mar. Ecol. Prog. Ser.,</w:t>
      </w:r>
      <w:r w:rsidRPr="008102B0">
        <w:rPr>
          <w:rFonts w:ascii="Georgia" w:hAnsi="Georgia" w:cs="Times New Roman"/>
          <w:noProof/>
          <w:color w:val="000000" w:themeColor="text1"/>
          <w:sz w:val="22"/>
          <w:szCs w:val="22"/>
        </w:rPr>
        <w:t xml:space="preserve"> 239, 11–29. </w:t>
      </w:r>
    </w:p>
    <w:p w14:paraId="62FAEBAC"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MacArthur, R. (1955). Fluctuations of Animal Populations and a Measure of Community Stability. </w:t>
      </w:r>
      <w:r w:rsidRPr="008102B0">
        <w:rPr>
          <w:rFonts w:ascii="Georgia" w:hAnsi="Georgia" w:cs="Times New Roman"/>
          <w:i/>
          <w:iCs/>
          <w:noProof/>
          <w:color w:val="000000" w:themeColor="text1"/>
          <w:sz w:val="22"/>
          <w:szCs w:val="22"/>
        </w:rPr>
        <w:t>Ecology</w:t>
      </w:r>
      <w:r w:rsidRPr="008102B0">
        <w:rPr>
          <w:rFonts w:ascii="Georgia" w:hAnsi="Georgia" w:cs="Times New Roman"/>
          <w:noProof/>
          <w:color w:val="000000" w:themeColor="text1"/>
          <w:sz w:val="22"/>
          <w:szCs w:val="22"/>
        </w:rPr>
        <w:t xml:space="preserve">, </w:t>
      </w:r>
      <w:r w:rsidRPr="008102B0">
        <w:rPr>
          <w:rFonts w:ascii="Georgia" w:hAnsi="Georgia" w:cs="Times New Roman"/>
          <w:i/>
          <w:iCs/>
          <w:noProof/>
          <w:color w:val="000000" w:themeColor="text1"/>
          <w:sz w:val="22"/>
          <w:szCs w:val="22"/>
        </w:rPr>
        <w:t>36</w:t>
      </w:r>
      <w:r w:rsidRPr="008102B0">
        <w:rPr>
          <w:rFonts w:ascii="Georgia" w:hAnsi="Georgia" w:cs="Times New Roman"/>
          <w:noProof/>
          <w:color w:val="000000" w:themeColor="text1"/>
          <w:sz w:val="22"/>
          <w:szCs w:val="22"/>
        </w:rPr>
        <w:t>, 533-536.</w:t>
      </w:r>
    </w:p>
    <w:p w14:paraId="4F300B16"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lastRenderedPageBreak/>
        <w:t xml:space="preserve">Martinez, N. D. (2020). Allometric Trophic Networks From Individuals to Socio-Ecosystems: Consumer–Resource Theory of the Ecological Elephant in the Room. </w:t>
      </w:r>
      <w:r w:rsidRPr="008102B0">
        <w:rPr>
          <w:rFonts w:ascii="Georgia" w:hAnsi="Georgia" w:cs="Times New Roman"/>
          <w:i/>
          <w:iCs/>
          <w:noProof/>
          <w:color w:val="000000" w:themeColor="text1"/>
          <w:sz w:val="22"/>
          <w:szCs w:val="22"/>
        </w:rPr>
        <w:t>Front. Ecol. Evol.</w:t>
      </w:r>
      <w:r w:rsidRPr="008102B0">
        <w:rPr>
          <w:rFonts w:ascii="Georgia" w:hAnsi="Georgia" w:cs="Times New Roman"/>
          <w:noProof/>
          <w:color w:val="000000" w:themeColor="text1"/>
          <w:sz w:val="22"/>
          <w:szCs w:val="22"/>
        </w:rPr>
        <w:t>, 8, 1–22.</w:t>
      </w:r>
    </w:p>
    <w:p w14:paraId="01263086"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MATLAB. (2018). Version 9.4 (R2019b). In </w:t>
      </w:r>
      <w:r w:rsidRPr="008102B0">
        <w:rPr>
          <w:rFonts w:ascii="Georgia" w:hAnsi="Georgia" w:cs="Times New Roman"/>
          <w:i/>
          <w:iCs/>
          <w:noProof/>
          <w:color w:val="000000" w:themeColor="text1"/>
          <w:sz w:val="22"/>
          <w:szCs w:val="22"/>
        </w:rPr>
        <w:t xml:space="preserve">The MathWorks Inc., </w:t>
      </w:r>
      <w:r w:rsidRPr="008102B0">
        <w:rPr>
          <w:rFonts w:ascii="Georgia" w:hAnsi="Georgia" w:cs="Times New Roman"/>
          <w:noProof/>
          <w:color w:val="000000" w:themeColor="text1"/>
          <w:sz w:val="22"/>
          <w:szCs w:val="22"/>
        </w:rPr>
        <w:t>Natick, Massachusetts.</w:t>
      </w:r>
    </w:p>
    <w:p w14:paraId="31203CE1"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May, R. M. (1973). Qualitative Stability in Model Ecosystems. </w:t>
      </w:r>
      <w:r w:rsidRPr="008102B0">
        <w:rPr>
          <w:rFonts w:ascii="Georgia" w:hAnsi="Georgia" w:cs="Times New Roman"/>
          <w:i/>
          <w:iCs/>
          <w:noProof/>
          <w:color w:val="000000" w:themeColor="text1"/>
          <w:sz w:val="22"/>
          <w:szCs w:val="22"/>
        </w:rPr>
        <w:t>Ecology</w:t>
      </w:r>
      <w:r w:rsidRPr="008102B0">
        <w:rPr>
          <w:rFonts w:ascii="Georgia" w:hAnsi="Georgia" w:cs="Times New Roman"/>
          <w:noProof/>
          <w:color w:val="000000" w:themeColor="text1"/>
          <w:sz w:val="22"/>
          <w:szCs w:val="22"/>
        </w:rPr>
        <w:t>, 54, 638–641.</w:t>
      </w:r>
    </w:p>
    <w:p w14:paraId="3CCC400F"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Mestre, F. (2022) </w:t>
      </w:r>
      <w:r w:rsidRPr="008102B0">
        <w:rPr>
          <w:rFonts w:ascii="Georgia" w:hAnsi="Georgia" w:cs="Times New Roman"/>
          <w:i/>
          <w:iCs/>
          <w:noProof/>
          <w:color w:val="000000" w:themeColor="text1"/>
          <w:sz w:val="22"/>
          <w:szCs w:val="22"/>
        </w:rPr>
        <w:t>FWebs</w:t>
      </w:r>
      <w:r w:rsidRPr="008102B0">
        <w:rPr>
          <w:rFonts w:ascii="Georgia" w:hAnsi="Georgia" w:cs="Times New Roman"/>
          <w:noProof/>
          <w:color w:val="000000" w:themeColor="text1"/>
          <w:sz w:val="22"/>
          <w:szCs w:val="22"/>
        </w:rPr>
        <w:t>. Available from: https://github.com/FMestre1/fw_package [Accessed 1st November 2023].</w:t>
      </w:r>
    </w:p>
    <w:p w14:paraId="02C246E6"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Moya-Laraño, J. (2011). Genetic variation, predator-prey interactions and food web structure. </w:t>
      </w:r>
      <w:r w:rsidRPr="008102B0">
        <w:rPr>
          <w:rFonts w:ascii="Georgia" w:hAnsi="Georgia" w:cs="Times New Roman"/>
          <w:i/>
          <w:iCs/>
          <w:noProof/>
          <w:color w:val="000000" w:themeColor="text1"/>
          <w:sz w:val="22"/>
          <w:szCs w:val="22"/>
        </w:rPr>
        <w:t>Philos. Trans. R.  Soc. B</w:t>
      </w:r>
      <w:r w:rsidRPr="008102B0">
        <w:rPr>
          <w:rFonts w:ascii="Georgia" w:hAnsi="Georgia" w:cs="Times New Roman"/>
          <w:noProof/>
          <w:color w:val="000000" w:themeColor="text1"/>
          <w:sz w:val="22"/>
          <w:szCs w:val="22"/>
        </w:rPr>
        <w:t>, 366, 1425–1437.</w:t>
      </w:r>
    </w:p>
    <w:p w14:paraId="72268D44"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Nicastro, K. R., McQuaid, C. D., Dievart, A., &amp; Zardi, G. I. (2020). Intraspecific diversity in an ecological engineer functionally trumps interspecific diversity in shaping community structure. </w:t>
      </w:r>
      <w:r w:rsidRPr="008102B0">
        <w:rPr>
          <w:rFonts w:ascii="Georgia" w:hAnsi="Georgia" w:cs="Times New Roman"/>
          <w:i/>
          <w:iCs/>
          <w:noProof/>
          <w:color w:val="000000" w:themeColor="text1"/>
          <w:sz w:val="22"/>
          <w:szCs w:val="22"/>
        </w:rPr>
        <w:t>Sci. Total Environ.</w:t>
      </w:r>
      <w:r w:rsidRPr="008102B0">
        <w:rPr>
          <w:rFonts w:ascii="Georgia" w:hAnsi="Georgia" w:cs="Times New Roman"/>
          <w:noProof/>
          <w:color w:val="000000" w:themeColor="text1"/>
          <w:sz w:val="22"/>
          <w:szCs w:val="22"/>
        </w:rPr>
        <w:t>, 743, 140723.</w:t>
      </w:r>
    </w:p>
    <w:p w14:paraId="4C064DE2"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Nonaka, E., &amp; Kuparinen, A. (2021). A modified niche model for generating food webs with stage-structured consumers: The stabilizing effects of life-history stages on complex food webs. </w:t>
      </w:r>
      <w:r w:rsidRPr="008102B0">
        <w:rPr>
          <w:rFonts w:ascii="Georgia" w:hAnsi="Georgia" w:cs="Times New Roman"/>
          <w:i/>
          <w:iCs/>
          <w:noProof/>
          <w:color w:val="000000" w:themeColor="text1"/>
          <w:sz w:val="22"/>
          <w:szCs w:val="22"/>
        </w:rPr>
        <w:t>Ecol. Evol.</w:t>
      </w:r>
      <w:r w:rsidRPr="008102B0">
        <w:rPr>
          <w:rFonts w:ascii="Georgia" w:hAnsi="Georgia" w:cs="Times New Roman"/>
          <w:noProof/>
          <w:color w:val="000000" w:themeColor="text1"/>
          <w:sz w:val="22"/>
          <w:szCs w:val="22"/>
        </w:rPr>
        <w:t>, 11, 4101–4125.</w:t>
      </w:r>
    </w:p>
    <w:p w14:paraId="28E6C253"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Olenina, I., Hajdu, S., Edler, L., Andersson, A., Wasmund, N., Busch, S.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(2006). Biovolumes and size-classes of phytoplankton in the Baltic Sea. </w:t>
      </w:r>
      <w:r w:rsidRPr="008102B0">
        <w:rPr>
          <w:rFonts w:ascii="Georgia" w:hAnsi="Georgia" w:cs="Times New Roman"/>
          <w:i/>
          <w:iCs/>
          <w:noProof/>
          <w:color w:val="000000" w:themeColor="text1"/>
          <w:sz w:val="22"/>
          <w:szCs w:val="22"/>
        </w:rPr>
        <w:t>Balt. Sea Environ. Proc.</w:t>
      </w:r>
      <w:r w:rsidRPr="008102B0">
        <w:rPr>
          <w:rFonts w:ascii="Georgia" w:hAnsi="Georgia" w:cs="Times New Roman"/>
          <w:noProof/>
          <w:color w:val="000000" w:themeColor="text1"/>
          <w:sz w:val="22"/>
          <w:szCs w:val="22"/>
        </w:rPr>
        <w:t>, 106, 1–144.</w:t>
      </w:r>
    </w:p>
    <w:p w14:paraId="37B9C138"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Olivier, P., Frelat, R., Bonsdorff, E., Kortsch, S., Kröncke, I., Möllmann, C. </w:t>
      </w:r>
      <w:r w:rsidRPr="008102B0">
        <w:rPr>
          <w:rFonts w:ascii="Georgia" w:hAnsi="Georgia" w:cs="Times New Roman"/>
          <w:i/>
          <w:iCs/>
          <w:noProof/>
          <w:color w:val="000000" w:themeColor="text1"/>
          <w:sz w:val="22"/>
          <w:szCs w:val="22"/>
        </w:rPr>
        <w:t xml:space="preserve">et al. </w:t>
      </w:r>
      <w:r w:rsidRPr="008102B0">
        <w:rPr>
          <w:rFonts w:ascii="Georgia" w:hAnsi="Georgia" w:cs="Times New Roman"/>
          <w:noProof/>
          <w:color w:val="000000" w:themeColor="text1"/>
          <w:sz w:val="22"/>
          <w:szCs w:val="22"/>
        </w:rPr>
        <w:t xml:space="preserve">(2019). Exploring the temporal variability of a food web using long-term biomonitoring data. </w:t>
      </w:r>
      <w:r w:rsidRPr="008102B0">
        <w:rPr>
          <w:rFonts w:ascii="Georgia" w:hAnsi="Georgia" w:cs="Times New Roman"/>
          <w:i/>
          <w:iCs/>
          <w:noProof/>
          <w:color w:val="000000" w:themeColor="text1"/>
          <w:sz w:val="22"/>
          <w:szCs w:val="22"/>
        </w:rPr>
        <w:t>Ecography</w:t>
      </w:r>
      <w:r w:rsidRPr="008102B0">
        <w:rPr>
          <w:rFonts w:ascii="Georgia" w:hAnsi="Georgia" w:cs="Times New Roman"/>
          <w:noProof/>
          <w:color w:val="000000" w:themeColor="text1"/>
          <w:sz w:val="22"/>
          <w:szCs w:val="22"/>
        </w:rPr>
        <w:t>, 42, 2107–2121.</w:t>
      </w:r>
    </w:p>
    <w:p w14:paraId="6C365DB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Olsen, E. M., Carlson, S. M., Gjøsæter, J., &amp; Stenseth, N. C. (2009). Nine decades of decreasing phenotypic variability in Atlantic cod. </w:t>
      </w:r>
      <w:r w:rsidRPr="008102B0">
        <w:rPr>
          <w:rFonts w:ascii="Georgia" w:hAnsi="Georgia" w:cs="Times New Roman"/>
          <w:i/>
          <w:iCs/>
          <w:noProof/>
          <w:color w:val="000000" w:themeColor="text1"/>
          <w:sz w:val="22"/>
          <w:szCs w:val="22"/>
        </w:rPr>
        <w:t>Ecol. Lett.</w:t>
      </w:r>
      <w:r w:rsidRPr="008102B0">
        <w:rPr>
          <w:rFonts w:ascii="Georgia" w:hAnsi="Georgia" w:cs="Times New Roman"/>
          <w:noProof/>
          <w:color w:val="000000" w:themeColor="text1"/>
          <w:sz w:val="22"/>
          <w:szCs w:val="22"/>
        </w:rPr>
        <w:t xml:space="preserve">, 12, 622–631. </w:t>
      </w:r>
    </w:p>
    <w:p w14:paraId="7CB6A758"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Perälä, T., &amp; Kuparinen, A. (2020). Eco-evolutionary dynamics driven by fishing: From single species models to dynamic evolution within complex food webs. </w:t>
      </w:r>
      <w:r w:rsidRPr="008102B0">
        <w:rPr>
          <w:rFonts w:ascii="Georgia" w:hAnsi="Georgia" w:cs="Times New Roman"/>
          <w:i/>
          <w:iCs/>
          <w:noProof/>
          <w:color w:val="000000" w:themeColor="text1"/>
          <w:sz w:val="22"/>
          <w:szCs w:val="22"/>
        </w:rPr>
        <w:t>Evol. Appl.</w:t>
      </w:r>
      <w:r w:rsidRPr="008102B0">
        <w:rPr>
          <w:rFonts w:ascii="Georgia" w:hAnsi="Georgia" w:cs="Times New Roman"/>
          <w:noProof/>
          <w:color w:val="000000" w:themeColor="text1"/>
          <w:sz w:val="22"/>
          <w:szCs w:val="22"/>
        </w:rPr>
        <w:t>, 13, 2507–2520.</w:t>
      </w:r>
    </w:p>
    <w:p w14:paraId="063EE810"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R Core Team. (2024). </w:t>
      </w:r>
      <w:r w:rsidRPr="008102B0">
        <w:rPr>
          <w:rFonts w:ascii="Georgia" w:hAnsi="Georgia" w:cs="Times New Roman"/>
          <w:i/>
          <w:iCs/>
          <w:noProof/>
          <w:color w:val="000000" w:themeColor="text1"/>
          <w:sz w:val="22"/>
          <w:szCs w:val="22"/>
        </w:rPr>
        <w:t>R: A Language and Environment for Statistical Computing</w:t>
      </w:r>
      <w:r w:rsidRPr="008102B0">
        <w:rPr>
          <w:rFonts w:ascii="Georgia" w:hAnsi="Georgia" w:cs="Times New Roman"/>
          <w:noProof/>
          <w:color w:val="000000" w:themeColor="text1"/>
          <w:sz w:val="22"/>
          <w:szCs w:val="22"/>
        </w:rPr>
        <w:t>. R Foundation for Statistical Computing, Vienna, Austria.</w:t>
      </w:r>
    </w:p>
    <w:p w14:paraId="3659627D"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lastRenderedPageBreak/>
        <w:t xml:space="preserve">Raffard, A., Cucherousset, J., Montoya, J. M., Richard, M., Acoca-Pidolle, S., Poésy, C. </w:t>
      </w:r>
      <w:r w:rsidRPr="008102B0">
        <w:rPr>
          <w:rFonts w:ascii="Georgia" w:hAnsi="Georgia" w:cs="Times New Roman"/>
          <w:i/>
          <w:iCs/>
          <w:noProof/>
          <w:color w:val="000000" w:themeColor="text1"/>
          <w:sz w:val="22"/>
          <w:szCs w:val="22"/>
        </w:rPr>
        <w:t>et al.</w:t>
      </w:r>
      <w:r w:rsidRPr="008102B0">
        <w:rPr>
          <w:rFonts w:ascii="Georgia" w:hAnsi="Georgia" w:cs="Times New Roman"/>
          <w:noProof/>
          <w:color w:val="000000" w:themeColor="text1"/>
          <w:sz w:val="22"/>
          <w:szCs w:val="22"/>
        </w:rPr>
        <w:t xml:space="preserve"> (2021). Intraspecific diversity loss in a predator species alters prey community structure and ecosystem functions. </w:t>
      </w:r>
      <w:r w:rsidRPr="008102B0">
        <w:rPr>
          <w:rFonts w:ascii="Georgia" w:hAnsi="Georgia" w:cs="Times New Roman"/>
          <w:i/>
          <w:iCs/>
          <w:noProof/>
          <w:color w:val="000000" w:themeColor="text1"/>
          <w:sz w:val="22"/>
          <w:szCs w:val="22"/>
        </w:rPr>
        <w:t>PLoS Biol.</w:t>
      </w:r>
      <w:r w:rsidRPr="008102B0">
        <w:rPr>
          <w:rFonts w:ascii="Georgia" w:hAnsi="Georgia" w:cs="Times New Roman"/>
          <w:noProof/>
          <w:color w:val="000000" w:themeColor="text1"/>
          <w:sz w:val="22"/>
          <w:szCs w:val="22"/>
        </w:rPr>
        <w:t>, 19, 1–17.</w:t>
      </w:r>
    </w:p>
    <w:p w14:paraId="1E24237D"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Rogers, L. A., Olsen, E. M., Knutsen, H., &amp; Stenseth, N. C. (2014). </w:t>
      </w:r>
      <w:r w:rsidRPr="008102B0">
        <w:rPr>
          <w:rFonts w:ascii="Georgia" w:hAnsi="Georgia" w:cs="Times New Roman"/>
          <w:noProof/>
          <w:color w:val="000000" w:themeColor="text1"/>
          <w:sz w:val="22"/>
          <w:szCs w:val="22"/>
        </w:rPr>
        <w:t xml:space="preserve">Habitat effects on population connectivity in a coastal seascape. </w:t>
      </w:r>
      <w:r w:rsidRPr="008102B0">
        <w:rPr>
          <w:rFonts w:ascii="Georgia" w:hAnsi="Georgia" w:cs="Times New Roman"/>
          <w:i/>
          <w:iCs/>
          <w:noProof/>
          <w:color w:val="000000" w:themeColor="text1"/>
          <w:sz w:val="22"/>
          <w:szCs w:val="22"/>
        </w:rPr>
        <w:t>Mar. Ecol. Prog. Ser.</w:t>
      </w:r>
      <w:r w:rsidRPr="008102B0">
        <w:rPr>
          <w:rFonts w:ascii="Georgia" w:hAnsi="Georgia" w:cs="Times New Roman"/>
          <w:noProof/>
          <w:color w:val="000000" w:themeColor="text1"/>
          <w:sz w:val="22"/>
          <w:szCs w:val="22"/>
        </w:rPr>
        <w:t xml:space="preserve">, 511, 153–163. </w:t>
      </w:r>
    </w:p>
    <w:p w14:paraId="6B723039"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Sánchez-Hernández, J., Nunn, A. D., Adams, C. E., &amp; Amundsen, P. A. (2019). Causes and consequences of ontogenetic dietary shifts: a global synthesis using fish models. </w:t>
      </w:r>
      <w:r w:rsidRPr="008102B0">
        <w:rPr>
          <w:rFonts w:ascii="Georgia" w:hAnsi="Georgia" w:cs="Times New Roman"/>
          <w:i/>
          <w:iCs/>
          <w:noProof/>
          <w:color w:val="000000" w:themeColor="text1"/>
          <w:sz w:val="22"/>
          <w:szCs w:val="22"/>
        </w:rPr>
        <w:t>Biol. Rev.</w:t>
      </w:r>
      <w:r w:rsidRPr="008102B0">
        <w:rPr>
          <w:rFonts w:ascii="Georgia" w:hAnsi="Georgia" w:cs="Times New Roman"/>
          <w:noProof/>
          <w:color w:val="000000" w:themeColor="text1"/>
          <w:sz w:val="22"/>
          <w:szCs w:val="22"/>
        </w:rPr>
        <w:t>, 94, 539–554.</w:t>
      </w:r>
    </w:p>
    <w:p w14:paraId="16B0F54B"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lang w:val="nb-NO"/>
        </w:rPr>
      </w:pPr>
      <w:r w:rsidRPr="008102B0">
        <w:rPr>
          <w:rFonts w:ascii="Georgia" w:hAnsi="Georgia" w:cs="Times New Roman"/>
          <w:noProof/>
          <w:color w:val="000000" w:themeColor="text1"/>
          <w:sz w:val="22"/>
          <w:szCs w:val="22"/>
        </w:rPr>
        <w:t>Scharf, F. S., Juanes, F., &amp; Rountree, R. A. (2000). Predator size - Prey size relationships of marine fish predators: Interspecific variation and effects of ontogeny and body size on trophic-niche breadth.</w:t>
      </w:r>
      <w:r w:rsidRPr="008102B0">
        <w:rPr>
          <w:rFonts w:ascii="Georgia" w:hAnsi="Georgia" w:cs="Times New Roman"/>
          <w:i/>
          <w:iCs/>
          <w:noProof/>
          <w:color w:val="000000" w:themeColor="text1"/>
          <w:sz w:val="22"/>
          <w:szCs w:val="22"/>
        </w:rPr>
        <w:t xml:space="preserve"> Mar. Ecol. Prog. Ser.</w:t>
      </w:r>
      <w:r w:rsidRPr="008102B0">
        <w:rPr>
          <w:rFonts w:ascii="Georgia" w:hAnsi="Georgia" w:cs="Times New Roman"/>
          <w:noProof/>
          <w:color w:val="000000" w:themeColor="text1"/>
          <w:sz w:val="22"/>
          <w:szCs w:val="22"/>
          <w:lang w:val="nb-NO"/>
        </w:rPr>
        <w:t>, 208, 229–248.</w:t>
      </w:r>
    </w:p>
    <w:p w14:paraId="1DBEF805"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Sodeland, M., Jentoft, S., Jorde, P. E., Mattingsdal, M., Albretsen, J., Kleiven, A. R., </w:t>
      </w:r>
      <w:r w:rsidRPr="008102B0">
        <w:rPr>
          <w:rFonts w:ascii="Georgia" w:hAnsi="Georgia" w:cs="Times New Roman"/>
          <w:i/>
          <w:iCs/>
          <w:noProof/>
          <w:color w:val="000000" w:themeColor="text1"/>
          <w:sz w:val="22"/>
          <w:szCs w:val="22"/>
          <w:lang w:val="nb-NO"/>
        </w:rPr>
        <w:t>et al</w:t>
      </w:r>
      <w:r w:rsidRPr="008102B0">
        <w:rPr>
          <w:rFonts w:ascii="Georgia" w:hAnsi="Georgia" w:cs="Times New Roman"/>
          <w:noProof/>
          <w:color w:val="000000" w:themeColor="text1"/>
          <w:sz w:val="22"/>
          <w:szCs w:val="22"/>
          <w:lang w:val="nb-NO"/>
        </w:rPr>
        <w:t xml:space="preserve">. (2022). </w:t>
      </w:r>
      <w:r w:rsidRPr="008102B0">
        <w:rPr>
          <w:rFonts w:ascii="Georgia" w:hAnsi="Georgia" w:cs="Times New Roman"/>
          <w:noProof/>
          <w:color w:val="000000" w:themeColor="text1"/>
          <w:sz w:val="22"/>
          <w:szCs w:val="22"/>
        </w:rPr>
        <w:t xml:space="preserve">Stabilizing selection on Atlantic cod supergenes through a millennium of extensive exploitation. </w:t>
      </w:r>
      <w:r w:rsidRPr="008102B0">
        <w:rPr>
          <w:rFonts w:ascii="Georgia" w:hAnsi="Georgia" w:cs="Times New Roman"/>
          <w:i/>
          <w:iCs/>
          <w:noProof/>
          <w:color w:val="000000" w:themeColor="text1"/>
          <w:sz w:val="22"/>
          <w:szCs w:val="22"/>
        </w:rPr>
        <w:t>PNAS</w:t>
      </w:r>
      <w:r w:rsidRPr="008102B0">
        <w:rPr>
          <w:rFonts w:ascii="Georgia" w:hAnsi="Georgia" w:cs="Times New Roman"/>
          <w:noProof/>
          <w:color w:val="000000" w:themeColor="text1"/>
          <w:sz w:val="22"/>
          <w:szCs w:val="22"/>
        </w:rPr>
        <w:t>, 119,</w:t>
      </w:r>
      <w:r w:rsidRPr="008102B0">
        <w:rPr>
          <w:rFonts w:ascii="Georgia" w:hAnsi="Georgia"/>
          <w:sz w:val="22"/>
          <w:szCs w:val="22"/>
        </w:rPr>
        <w:t xml:space="preserve"> </w:t>
      </w:r>
      <w:r w:rsidRPr="008102B0">
        <w:rPr>
          <w:rFonts w:ascii="Georgia" w:hAnsi="Georgia" w:cs="Times New Roman"/>
          <w:noProof/>
          <w:color w:val="000000" w:themeColor="text1"/>
          <w:sz w:val="22"/>
          <w:szCs w:val="22"/>
        </w:rPr>
        <w:t>e2114904119.</w:t>
      </w:r>
    </w:p>
    <w:p w14:paraId="423D8D04"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Stouffer, D. B., &amp; Bascompte, J. (2011). Compartmentalization increases food-web persistence. </w:t>
      </w:r>
      <w:r w:rsidRPr="008102B0">
        <w:rPr>
          <w:rFonts w:ascii="Georgia" w:hAnsi="Georgia" w:cs="Times New Roman"/>
          <w:i/>
          <w:iCs/>
          <w:noProof/>
          <w:color w:val="000000" w:themeColor="text1"/>
          <w:sz w:val="22"/>
          <w:szCs w:val="22"/>
        </w:rPr>
        <w:t>PNAS</w:t>
      </w:r>
      <w:r w:rsidRPr="008102B0">
        <w:rPr>
          <w:rFonts w:ascii="Georgia" w:hAnsi="Georgia" w:cs="Times New Roman"/>
          <w:noProof/>
          <w:color w:val="000000" w:themeColor="text1"/>
          <w:sz w:val="22"/>
          <w:szCs w:val="22"/>
        </w:rPr>
        <w:t xml:space="preserve">, </w:t>
      </w:r>
      <w:r w:rsidRPr="008102B0">
        <w:rPr>
          <w:rFonts w:ascii="Georgia" w:hAnsi="Georgia" w:cs="Times New Roman"/>
          <w:i/>
          <w:iCs/>
          <w:noProof/>
          <w:color w:val="000000" w:themeColor="text1"/>
          <w:sz w:val="22"/>
          <w:szCs w:val="22"/>
        </w:rPr>
        <w:t>108</w:t>
      </w:r>
      <w:r w:rsidRPr="008102B0">
        <w:rPr>
          <w:rFonts w:ascii="Georgia" w:hAnsi="Georgia" w:cs="Times New Roman"/>
          <w:noProof/>
          <w:color w:val="000000" w:themeColor="text1"/>
          <w:sz w:val="22"/>
          <w:szCs w:val="22"/>
        </w:rPr>
        <w:t>, 3648–3652.</w:t>
      </w:r>
    </w:p>
    <w:p w14:paraId="4E57AAF1"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Uusi-Heikkilä, S., Perälä, T., &amp; Kuparinen, A. (2022). </w:t>
      </w:r>
      <w:r w:rsidRPr="008102B0">
        <w:rPr>
          <w:rFonts w:ascii="Georgia" w:hAnsi="Georgia" w:cs="Times New Roman"/>
          <w:noProof/>
          <w:color w:val="000000" w:themeColor="text1"/>
          <w:sz w:val="22"/>
          <w:szCs w:val="22"/>
        </w:rPr>
        <w:t xml:space="preserve">Fishing triggers trophic cascade in terms of variation, not abundance, in an allometric trophic network model. </w:t>
      </w:r>
      <w:r w:rsidRPr="008102B0">
        <w:rPr>
          <w:rFonts w:ascii="Georgia" w:hAnsi="Georgia" w:cs="Times New Roman"/>
          <w:i/>
          <w:iCs/>
          <w:noProof/>
          <w:color w:val="000000" w:themeColor="text1"/>
          <w:sz w:val="22"/>
          <w:szCs w:val="22"/>
        </w:rPr>
        <w:t>Can. J. Fish. Aquat. Sci.,</w:t>
      </w:r>
      <w:r w:rsidRPr="008102B0">
        <w:rPr>
          <w:rFonts w:ascii="Georgia" w:hAnsi="Georgia" w:cs="Times New Roman"/>
          <w:noProof/>
          <w:color w:val="000000" w:themeColor="text1"/>
          <w:sz w:val="22"/>
          <w:szCs w:val="22"/>
        </w:rPr>
        <w:t xml:space="preserve"> 79, 947–957.</w:t>
      </w:r>
    </w:p>
    <w:p w14:paraId="1445CD40"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lang w:val="nb-NO"/>
        </w:rPr>
        <w:t xml:space="preserve">Vesterinen, M., Perälä, T., &amp; Kuparinen, A. (2021). </w:t>
      </w:r>
      <w:r w:rsidRPr="008102B0">
        <w:rPr>
          <w:rFonts w:ascii="Georgia" w:hAnsi="Georgia" w:cs="Times New Roman"/>
          <w:noProof/>
          <w:color w:val="000000" w:themeColor="text1"/>
          <w:sz w:val="22"/>
          <w:szCs w:val="22"/>
        </w:rPr>
        <w:t xml:space="preserve">The effect of fish life-history structures on the topologies of aquatic food webs. </w:t>
      </w:r>
      <w:r w:rsidRPr="008102B0">
        <w:rPr>
          <w:rFonts w:ascii="Georgia" w:hAnsi="Georgia" w:cs="Times New Roman"/>
          <w:i/>
          <w:iCs/>
          <w:noProof/>
          <w:color w:val="000000" w:themeColor="text1"/>
          <w:sz w:val="22"/>
          <w:szCs w:val="22"/>
        </w:rPr>
        <w:t>Food Webs</w:t>
      </w:r>
      <w:r w:rsidRPr="008102B0">
        <w:rPr>
          <w:rFonts w:ascii="Georgia" w:hAnsi="Georgia" w:cs="Times New Roman"/>
          <w:noProof/>
          <w:color w:val="000000" w:themeColor="text1"/>
          <w:sz w:val="22"/>
          <w:szCs w:val="22"/>
        </w:rPr>
        <w:t xml:space="preserve">, </w:t>
      </w:r>
      <w:r w:rsidRPr="008102B0">
        <w:rPr>
          <w:rFonts w:ascii="Georgia" w:hAnsi="Georgia" w:cs="Times New Roman"/>
          <w:i/>
          <w:iCs/>
          <w:noProof/>
          <w:color w:val="000000" w:themeColor="text1"/>
          <w:sz w:val="22"/>
          <w:szCs w:val="22"/>
        </w:rPr>
        <w:t>29</w:t>
      </w:r>
      <w:r w:rsidRPr="008102B0">
        <w:rPr>
          <w:rFonts w:ascii="Georgia" w:hAnsi="Georgia" w:cs="Times New Roman"/>
          <w:noProof/>
          <w:color w:val="000000" w:themeColor="text1"/>
          <w:sz w:val="22"/>
          <w:szCs w:val="22"/>
        </w:rPr>
        <w:t>, e00213.</w:t>
      </w:r>
    </w:p>
    <w:p w14:paraId="54DFC0B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von Bertalanffy, L. (1938). A quantitative theory of organic growth (inquiries on growth laws. ii). </w:t>
      </w:r>
      <w:r w:rsidRPr="008102B0">
        <w:rPr>
          <w:rFonts w:ascii="Georgia" w:hAnsi="Georgia" w:cs="Times New Roman"/>
          <w:i/>
          <w:iCs/>
          <w:noProof/>
          <w:color w:val="000000" w:themeColor="text1"/>
          <w:sz w:val="22"/>
          <w:szCs w:val="22"/>
        </w:rPr>
        <w:t>Hum. Biol.</w:t>
      </w:r>
      <w:r w:rsidRPr="008102B0">
        <w:rPr>
          <w:rFonts w:ascii="Georgia" w:hAnsi="Georgia" w:cs="Times New Roman"/>
          <w:noProof/>
          <w:color w:val="000000" w:themeColor="text1"/>
          <w:sz w:val="22"/>
          <w:szCs w:val="22"/>
        </w:rPr>
        <w:t xml:space="preserve">, 10, 181-213. </w:t>
      </w:r>
    </w:p>
    <w:p w14:paraId="26F18D6B"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West, G. B., Brown, J. H., &amp; Enquist, B. J. (2001). A general model for ontogenetic growth. </w:t>
      </w:r>
      <w:r w:rsidRPr="008102B0">
        <w:rPr>
          <w:rFonts w:ascii="Georgia" w:hAnsi="Georgia" w:cs="Times New Roman"/>
          <w:i/>
          <w:iCs/>
          <w:noProof/>
          <w:color w:val="000000" w:themeColor="text1"/>
          <w:sz w:val="22"/>
          <w:szCs w:val="22"/>
        </w:rPr>
        <w:t>Nature</w:t>
      </w:r>
      <w:r w:rsidRPr="008102B0">
        <w:rPr>
          <w:rFonts w:ascii="Georgia" w:hAnsi="Georgia" w:cs="Times New Roman"/>
          <w:noProof/>
          <w:color w:val="000000" w:themeColor="text1"/>
          <w:sz w:val="22"/>
          <w:szCs w:val="22"/>
        </w:rPr>
        <w:t>, 413, 628–631.</w:t>
      </w:r>
    </w:p>
    <w:p w14:paraId="1BCB004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Wickham et al. (2019). Welcome to the {tidyverse}. </w:t>
      </w:r>
      <w:r w:rsidRPr="008102B0">
        <w:rPr>
          <w:rFonts w:ascii="Georgia" w:hAnsi="Georgia" w:cs="Times New Roman"/>
          <w:i/>
          <w:iCs/>
          <w:noProof/>
          <w:color w:val="000000" w:themeColor="text1"/>
          <w:sz w:val="22"/>
          <w:szCs w:val="22"/>
        </w:rPr>
        <w:t>Journal of Open Source Software</w:t>
      </w:r>
      <w:r w:rsidRPr="008102B0">
        <w:rPr>
          <w:rFonts w:ascii="Georgia" w:hAnsi="Georgia" w:cs="Times New Roman"/>
          <w:noProof/>
          <w:color w:val="000000" w:themeColor="text1"/>
          <w:sz w:val="22"/>
          <w:szCs w:val="22"/>
        </w:rPr>
        <w:t>, 4, 1686.</w:t>
      </w:r>
    </w:p>
    <w:p w14:paraId="55D6D61F"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Williams, R. J., &amp; Martinez, N. D. (2004). Stabilization of chaotic and non-permanent food-</w:t>
      </w:r>
      <w:r w:rsidRPr="008102B0">
        <w:rPr>
          <w:rFonts w:ascii="Georgia" w:hAnsi="Georgia" w:cs="Times New Roman"/>
          <w:noProof/>
          <w:color w:val="000000" w:themeColor="text1"/>
          <w:sz w:val="22"/>
          <w:szCs w:val="22"/>
        </w:rPr>
        <w:lastRenderedPageBreak/>
        <w:t xml:space="preserve">web dynamics. </w:t>
      </w:r>
      <w:r w:rsidRPr="008102B0">
        <w:rPr>
          <w:rFonts w:ascii="Georgia" w:hAnsi="Georgia" w:cs="Times New Roman"/>
          <w:i/>
          <w:iCs/>
          <w:noProof/>
          <w:color w:val="000000" w:themeColor="text1"/>
          <w:sz w:val="22"/>
          <w:szCs w:val="22"/>
        </w:rPr>
        <w:t>EPJ B</w:t>
      </w:r>
      <w:r w:rsidRPr="008102B0">
        <w:rPr>
          <w:rFonts w:ascii="Georgia" w:hAnsi="Georgia" w:cs="Times New Roman"/>
          <w:noProof/>
          <w:color w:val="000000" w:themeColor="text1"/>
          <w:sz w:val="22"/>
          <w:szCs w:val="22"/>
        </w:rPr>
        <w:t>, 38, 297–303.</w:t>
      </w:r>
    </w:p>
    <w:p w14:paraId="2DE148CA" w14:textId="77777777" w:rsidR="008102B0" w:rsidRPr="008102B0" w:rsidRDefault="008102B0" w:rsidP="008102B0">
      <w:pPr>
        <w:widowControl w:val="0"/>
        <w:autoSpaceDE w:val="0"/>
        <w:autoSpaceDN w:val="0"/>
        <w:adjustRightInd w:val="0"/>
        <w:spacing w:line="480" w:lineRule="auto"/>
        <w:rPr>
          <w:rFonts w:ascii="Georgia" w:hAnsi="Georgia" w:cs="Times New Roman"/>
          <w:noProof/>
          <w:color w:val="000000" w:themeColor="text1"/>
          <w:sz w:val="22"/>
          <w:szCs w:val="22"/>
        </w:rPr>
      </w:pPr>
      <w:r w:rsidRPr="008102B0">
        <w:rPr>
          <w:rFonts w:ascii="Georgia" w:hAnsi="Georgia" w:cs="Times New Roman"/>
          <w:noProof/>
          <w:color w:val="000000" w:themeColor="text1"/>
          <w:sz w:val="22"/>
          <w:szCs w:val="22"/>
        </w:rPr>
        <w:t xml:space="preserve">Yaragina, N. A., Kovalev, Y., &amp; Chetyrkin, A. (2018). Extrapolating predation mortalities back in time: an example from North-east Arctic cod cannibalism. </w:t>
      </w:r>
      <w:r w:rsidRPr="008102B0">
        <w:rPr>
          <w:rFonts w:ascii="Georgia" w:hAnsi="Georgia" w:cs="Times New Roman"/>
          <w:i/>
          <w:iCs/>
          <w:noProof/>
          <w:color w:val="000000" w:themeColor="text1"/>
          <w:sz w:val="22"/>
          <w:szCs w:val="22"/>
        </w:rPr>
        <w:t>Mar. Biol. Res.</w:t>
      </w:r>
      <w:r w:rsidRPr="008102B0">
        <w:rPr>
          <w:rFonts w:ascii="Georgia" w:hAnsi="Georgia" w:cs="Times New Roman"/>
          <w:noProof/>
          <w:color w:val="000000" w:themeColor="text1"/>
          <w:sz w:val="22"/>
          <w:szCs w:val="22"/>
        </w:rPr>
        <w:t xml:space="preserve">, 14, 203–216. </w:t>
      </w:r>
    </w:p>
    <w:p w14:paraId="5888A17B" w14:textId="4E271FC6" w:rsidR="008263CD" w:rsidRDefault="008102B0" w:rsidP="001D3104">
      <w:pPr>
        <w:widowControl w:val="0"/>
        <w:autoSpaceDE w:val="0"/>
        <w:autoSpaceDN w:val="0"/>
        <w:adjustRightInd w:val="0"/>
        <w:spacing w:line="480" w:lineRule="auto"/>
      </w:pPr>
      <w:r w:rsidRPr="008102B0">
        <w:rPr>
          <w:rFonts w:ascii="Georgia" w:hAnsi="Georgia" w:cs="Times New Roman"/>
          <w:noProof/>
          <w:color w:val="000000" w:themeColor="text1"/>
          <w:sz w:val="22"/>
          <w:szCs w:val="22"/>
        </w:rPr>
        <w:t xml:space="preserve">Yodzis, P., &amp; Innes, S. (1992). Body Size and Consumer-Resource Dynamics. </w:t>
      </w:r>
      <w:r w:rsidRPr="008102B0">
        <w:rPr>
          <w:rFonts w:ascii="Georgia" w:hAnsi="Georgia" w:cs="Times New Roman"/>
          <w:i/>
          <w:iCs/>
          <w:noProof/>
          <w:color w:val="000000" w:themeColor="text1"/>
          <w:sz w:val="22"/>
          <w:szCs w:val="22"/>
        </w:rPr>
        <w:t>Am. Nat.</w:t>
      </w:r>
      <w:r w:rsidRPr="008102B0">
        <w:rPr>
          <w:rFonts w:ascii="Georgia" w:hAnsi="Georgia" w:cs="Times New Roman"/>
          <w:noProof/>
          <w:color w:val="000000" w:themeColor="text1"/>
          <w:sz w:val="22"/>
          <w:szCs w:val="22"/>
        </w:rPr>
        <w:t>, 139, 1151–1175.</w:t>
      </w:r>
      <w:r w:rsidRPr="008102B0">
        <w:rPr>
          <w:rFonts w:ascii="Georgia" w:hAnsi="Georgia"/>
          <w:sz w:val="22"/>
          <w:szCs w:val="22"/>
        </w:rPr>
        <w:fldChar w:fldCharType="end"/>
      </w:r>
      <w:r>
        <w:br w:type="page"/>
      </w:r>
    </w:p>
    <w:p w14:paraId="1B135602" w14:textId="77777777" w:rsidR="005E45D8" w:rsidRPr="00286ECD" w:rsidRDefault="005E45D8" w:rsidP="005E45D8">
      <w:pPr>
        <w:widowControl w:val="0"/>
        <w:autoSpaceDE w:val="0"/>
        <w:autoSpaceDN w:val="0"/>
        <w:adjustRightInd w:val="0"/>
        <w:spacing w:line="480" w:lineRule="auto"/>
        <w:rPr>
          <w:rFonts w:ascii="Georgia" w:hAnsi="Georgia"/>
          <w:color w:val="000000" w:themeColor="text1"/>
          <w:lang w:val="en-GB"/>
        </w:rPr>
      </w:pPr>
      <w:r w:rsidRPr="00286ECD">
        <w:rPr>
          <w:rFonts w:ascii="Georgia" w:hAnsi="Georgia"/>
          <w:color w:val="000000" w:themeColor="text1"/>
          <w:lang w:val="en-GB"/>
        </w:rPr>
        <w:lastRenderedPageBreak/>
        <w:t>TABLES</w:t>
      </w:r>
    </w:p>
    <w:p w14:paraId="4FD73942" w14:textId="3F7FEE3D" w:rsidR="005E45D8" w:rsidRPr="00286ECD" w:rsidRDefault="005E45D8" w:rsidP="005E45D8">
      <w:pPr>
        <w:spacing w:line="480" w:lineRule="auto"/>
        <w:rPr>
          <w:rFonts w:ascii="Georgia" w:hAnsi="Georgia"/>
          <w:lang w:val="en-GB"/>
        </w:rPr>
      </w:pPr>
      <w:r w:rsidRPr="00286ECD">
        <w:rPr>
          <w:rFonts w:ascii="Georgia" w:hAnsi="Georgia"/>
          <w:lang w:val="en-GB"/>
        </w:rPr>
        <w:t>Table 1 Structural food web properties and percentual change across four scenarios: the complete Skagerrak food web, the Skagerrak food web with both cod ecotypes missing, the Skagerrak food web with only the North Sea cod ecotype missing, and the Skagerrak food web with only Fjord cod ecotype missing.</w:t>
      </w:r>
      <w:r w:rsidR="001E1917">
        <w:rPr>
          <w:rFonts w:ascii="Georgia" w:hAnsi="Georgia"/>
          <w:lang w:val="en-GB"/>
        </w:rPr>
        <w:t xml:space="preserve"> </w:t>
      </w:r>
      <w:r w:rsidR="00464FA8">
        <w:rPr>
          <w:rFonts w:ascii="Georgia" w:hAnsi="Georgia" w:cs="Helvetica Neue"/>
          <w:color w:val="000000" w:themeColor="text1"/>
          <w:lang w:val="en-GB"/>
        </w:rPr>
        <w:t>D</w:t>
      </w:r>
      <w:r w:rsidR="001E1917">
        <w:rPr>
          <w:rFonts w:ascii="Georgia" w:hAnsi="Georgia" w:cs="Helvetica Neue"/>
          <w:color w:val="000000" w:themeColor="text1"/>
          <w:lang w:val="en-GB"/>
        </w:rPr>
        <w:t>escription</w:t>
      </w:r>
      <w:r w:rsidR="00464FA8">
        <w:rPr>
          <w:rFonts w:ascii="Georgia" w:hAnsi="Georgia" w:cs="Helvetica Neue"/>
          <w:color w:val="000000" w:themeColor="text1"/>
          <w:lang w:val="en-GB"/>
        </w:rPr>
        <w:t xml:space="preserve">, formulas, and sources </w:t>
      </w:r>
      <w:r w:rsidR="001E1917">
        <w:rPr>
          <w:rFonts w:ascii="Georgia" w:hAnsi="Georgia" w:cs="Helvetica Neue"/>
          <w:color w:val="000000" w:themeColor="text1"/>
          <w:lang w:val="en-GB"/>
        </w:rPr>
        <w:t>of the calculated metrics</w:t>
      </w:r>
      <w:r w:rsidR="00464FA8">
        <w:rPr>
          <w:rFonts w:ascii="Georgia" w:hAnsi="Georgia" w:cs="Helvetica Neue"/>
          <w:color w:val="000000" w:themeColor="text1"/>
          <w:lang w:val="en-GB"/>
        </w:rPr>
        <w:t xml:space="preserve"> are</w:t>
      </w:r>
      <w:r w:rsidR="001E1917">
        <w:rPr>
          <w:rFonts w:ascii="Georgia" w:hAnsi="Georgia" w:cs="Helvetica Neue"/>
          <w:color w:val="000000" w:themeColor="text1"/>
          <w:lang w:val="en-GB"/>
        </w:rPr>
        <w:t xml:space="preserve"> available in Supporting Information S7.</w:t>
      </w:r>
    </w:p>
    <w:tbl>
      <w:tblPr>
        <w:tblStyle w:val="PlainTable4"/>
        <w:tblpPr w:leftFromText="180" w:rightFromText="180" w:vertAnchor="page" w:horzAnchor="margin" w:tblpXSpec="center" w:tblpY="1662"/>
        <w:tblW w:w="10348" w:type="dxa"/>
        <w:tblLayout w:type="fixed"/>
        <w:tblLook w:val="04A0" w:firstRow="1" w:lastRow="0" w:firstColumn="1" w:lastColumn="0" w:noHBand="0" w:noVBand="1"/>
      </w:tblPr>
      <w:tblGrid>
        <w:gridCol w:w="1560"/>
        <w:gridCol w:w="1276"/>
        <w:gridCol w:w="1276"/>
        <w:gridCol w:w="1133"/>
        <w:gridCol w:w="1276"/>
        <w:gridCol w:w="1276"/>
        <w:gridCol w:w="1275"/>
        <w:gridCol w:w="1276"/>
      </w:tblGrid>
      <w:tr w:rsidR="005E45D8" w:rsidRPr="006876A2" w14:paraId="3C99A510" w14:textId="77777777" w:rsidTr="00286ECD">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000000"/>
              <w:bottom w:val="single" w:sz="4" w:space="0" w:color="000000"/>
            </w:tcBorders>
            <w:shd w:val="clear" w:color="auto" w:fill="auto"/>
            <w:vAlign w:val="bottom"/>
          </w:tcPr>
          <w:p w14:paraId="0EBC6B1A" w14:textId="77777777" w:rsidR="005E45D8" w:rsidRPr="00286ECD" w:rsidRDefault="005E45D8" w:rsidP="00286ECD">
            <w:pPr>
              <w:spacing w:line="480" w:lineRule="auto"/>
              <w:rPr>
                <w:rFonts w:ascii="Georgia" w:hAnsi="Georgia"/>
                <w:sz w:val="20"/>
                <w:szCs w:val="20"/>
                <w:lang w:val="en-GB"/>
              </w:rPr>
            </w:pPr>
            <w:proofErr w:type="spellStart"/>
            <w:r w:rsidRPr="00286ECD">
              <w:rPr>
                <w:rFonts w:ascii="Georgia" w:hAnsi="Georgia"/>
                <w:sz w:val="20"/>
                <w:szCs w:val="20"/>
                <w:lang w:val="en-GB"/>
              </w:rPr>
              <w:lastRenderedPageBreak/>
              <w:t>Matrics</w:t>
            </w:r>
            <w:proofErr w:type="spellEnd"/>
          </w:p>
        </w:tc>
        <w:tc>
          <w:tcPr>
            <w:tcW w:w="1276" w:type="dxa"/>
            <w:tcBorders>
              <w:top w:val="single" w:sz="4" w:space="0" w:color="000000"/>
              <w:bottom w:val="single" w:sz="4" w:space="0" w:color="000000"/>
            </w:tcBorders>
            <w:vAlign w:val="bottom"/>
          </w:tcPr>
          <w:p w14:paraId="6D657AEA" w14:textId="77777777" w:rsidR="005E45D8" w:rsidRPr="00286ECD" w:rsidRDefault="005E45D8" w:rsidP="00286ECD">
            <w:pPr>
              <w:spacing w:line="480" w:lineRule="auto"/>
              <w:cnfStyle w:val="100000000000" w:firstRow="1" w:lastRow="0" w:firstColumn="0" w:lastColumn="0" w:oddVBand="0" w:evenVBand="0" w:oddHBand="0" w:evenHBand="0" w:firstRowFirstColumn="0" w:firstRowLastColumn="0" w:lastRowFirstColumn="0" w:lastRowLastColumn="0"/>
              <w:rPr>
                <w:rFonts w:ascii="Georgia" w:hAnsi="Georgia"/>
                <w:sz w:val="20"/>
                <w:szCs w:val="20"/>
                <w:lang w:val="en-GB"/>
              </w:rPr>
            </w:pPr>
            <w:r w:rsidRPr="00286ECD">
              <w:rPr>
                <w:rFonts w:ascii="Georgia" w:hAnsi="Georgia"/>
                <w:sz w:val="20"/>
                <w:szCs w:val="20"/>
                <w:lang w:val="en-GB"/>
              </w:rPr>
              <w:t>Skagerrak food web</w:t>
            </w:r>
          </w:p>
        </w:tc>
        <w:tc>
          <w:tcPr>
            <w:tcW w:w="2409" w:type="dxa"/>
            <w:gridSpan w:val="2"/>
            <w:tcBorders>
              <w:top w:val="single" w:sz="4" w:space="0" w:color="000000"/>
              <w:bottom w:val="single" w:sz="4" w:space="0" w:color="000000"/>
            </w:tcBorders>
            <w:vAlign w:val="bottom"/>
          </w:tcPr>
          <w:p w14:paraId="6929653B" w14:textId="77777777" w:rsidR="005E45D8" w:rsidRPr="00286ECD" w:rsidRDefault="005E45D8" w:rsidP="00286ECD">
            <w:pPr>
              <w:spacing w:line="480" w:lineRule="auto"/>
              <w:cnfStyle w:val="100000000000" w:firstRow="1" w:lastRow="0" w:firstColumn="0" w:lastColumn="0" w:oddVBand="0" w:evenVBand="0" w:oddHBand="0" w:evenHBand="0" w:firstRowFirstColumn="0" w:firstRowLastColumn="0" w:lastRowFirstColumn="0" w:lastRowLastColumn="0"/>
              <w:rPr>
                <w:rFonts w:ascii="Georgia" w:hAnsi="Georgia"/>
                <w:sz w:val="20"/>
                <w:szCs w:val="20"/>
                <w:lang w:val="en-GB"/>
              </w:rPr>
            </w:pPr>
            <w:r w:rsidRPr="00286ECD">
              <w:rPr>
                <w:rFonts w:ascii="Georgia" w:hAnsi="Georgia"/>
                <w:sz w:val="20"/>
                <w:szCs w:val="20"/>
                <w:lang w:val="en-GB"/>
              </w:rPr>
              <w:t>Cod ecotypes missing</w:t>
            </w:r>
          </w:p>
        </w:tc>
        <w:tc>
          <w:tcPr>
            <w:tcW w:w="2552" w:type="dxa"/>
            <w:gridSpan w:val="2"/>
            <w:tcBorders>
              <w:top w:val="single" w:sz="4" w:space="0" w:color="000000"/>
              <w:bottom w:val="single" w:sz="4" w:space="0" w:color="000000"/>
            </w:tcBorders>
            <w:vAlign w:val="bottom"/>
          </w:tcPr>
          <w:p w14:paraId="741D7CF2" w14:textId="77777777" w:rsidR="005E45D8" w:rsidRPr="00286ECD" w:rsidRDefault="005E45D8" w:rsidP="00286ECD">
            <w:pPr>
              <w:spacing w:line="480" w:lineRule="auto"/>
              <w:cnfStyle w:val="100000000000" w:firstRow="1" w:lastRow="0" w:firstColumn="0" w:lastColumn="0" w:oddVBand="0" w:evenVBand="0" w:oddHBand="0" w:evenHBand="0" w:firstRowFirstColumn="0" w:firstRowLastColumn="0" w:lastRowFirstColumn="0" w:lastRowLastColumn="0"/>
              <w:rPr>
                <w:rFonts w:ascii="Georgia" w:hAnsi="Georgia"/>
                <w:sz w:val="20"/>
                <w:szCs w:val="20"/>
                <w:lang w:val="en-GB"/>
              </w:rPr>
            </w:pPr>
            <w:r w:rsidRPr="00286ECD">
              <w:rPr>
                <w:rFonts w:ascii="Georgia" w:hAnsi="Georgia"/>
                <w:sz w:val="20"/>
                <w:szCs w:val="20"/>
                <w:lang w:val="en-GB"/>
              </w:rPr>
              <w:t>North Sea cod ecotype missing</w:t>
            </w:r>
          </w:p>
        </w:tc>
        <w:tc>
          <w:tcPr>
            <w:tcW w:w="2551" w:type="dxa"/>
            <w:gridSpan w:val="2"/>
            <w:tcBorders>
              <w:top w:val="single" w:sz="4" w:space="0" w:color="000000"/>
              <w:bottom w:val="single" w:sz="4" w:space="0" w:color="000000"/>
            </w:tcBorders>
            <w:vAlign w:val="bottom"/>
          </w:tcPr>
          <w:p w14:paraId="2A4F3B10" w14:textId="77777777" w:rsidR="005E45D8" w:rsidRPr="00286ECD" w:rsidRDefault="005E45D8" w:rsidP="00286ECD">
            <w:pPr>
              <w:spacing w:line="480" w:lineRule="auto"/>
              <w:cnfStyle w:val="100000000000" w:firstRow="1" w:lastRow="0" w:firstColumn="0" w:lastColumn="0" w:oddVBand="0" w:evenVBand="0" w:oddHBand="0" w:evenHBand="0" w:firstRowFirstColumn="0" w:firstRowLastColumn="0" w:lastRowFirstColumn="0" w:lastRowLastColumn="0"/>
              <w:rPr>
                <w:rFonts w:ascii="Georgia" w:hAnsi="Georgia"/>
                <w:b w:val="0"/>
                <w:bCs w:val="0"/>
                <w:sz w:val="20"/>
                <w:szCs w:val="20"/>
                <w:lang w:val="en-GB"/>
              </w:rPr>
            </w:pPr>
            <w:r w:rsidRPr="00286ECD">
              <w:rPr>
                <w:rFonts w:ascii="Georgia" w:hAnsi="Georgia"/>
                <w:sz w:val="20"/>
                <w:szCs w:val="20"/>
                <w:lang w:val="en-GB"/>
              </w:rPr>
              <w:t>Fjord cod ecotype missing</w:t>
            </w:r>
          </w:p>
        </w:tc>
      </w:tr>
      <w:tr w:rsidR="005E45D8" w:rsidRPr="006876A2" w14:paraId="42C397B9" w14:textId="77777777" w:rsidTr="00286ECD">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000000"/>
            </w:tcBorders>
            <w:shd w:val="clear" w:color="auto" w:fill="FFFFFF" w:themeFill="background1"/>
            <w:vAlign w:val="bottom"/>
          </w:tcPr>
          <w:p w14:paraId="6D5E1EE4"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S</w:t>
            </w:r>
          </w:p>
        </w:tc>
        <w:tc>
          <w:tcPr>
            <w:tcW w:w="1276" w:type="dxa"/>
            <w:tcBorders>
              <w:top w:val="single" w:sz="4" w:space="0" w:color="000000"/>
            </w:tcBorders>
            <w:shd w:val="clear" w:color="auto" w:fill="FFFFFF" w:themeFill="background1"/>
            <w:vAlign w:val="bottom"/>
          </w:tcPr>
          <w:p w14:paraId="4ED406F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148</w:t>
            </w:r>
          </w:p>
        </w:tc>
        <w:tc>
          <w:tcPr>
            <w:tcW w:w="1276" w:type="dxa"/>
            <w:tcBorders>
              <w:top w:val="single" w:sz="4" w:space="0" w:color="000000"/>
            </w:tcBorders>
            <w:shd w:val="clear" w:color="auto" w:fill="FFFFFF" w:themeFill="background1"/>
            <w:vAlign w:val="bottom"/>
          </w:tcPr>
          <w:p w14:paraId="371D02FC"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138</w:t>
            </w:r>
          </w:p>
        </w:tc>
        <w:tc>
          <w:tcPr>
            <w:tcW w:w="1133" w:type="dxa"/>
            <w:tcBorders>
              <w:top w:val="single" w:sz="4" w:space="0" w:color="000000"/>
            </w:tcBorders>
            <w:shd w:val="clear" w:color="auto" w:fill="FFFFFF" w:themeFill="background1"/>
            <w:vAlign w:val="bottom"/>
          </w:tcPr>
          <w:p w14:paraId="6F0846A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-6,76 %</w:t>
            </w:r>
          </w:p>
        </w:tc>
        <w:tc>
          <w:tcPr>
            <w:tcW w:w="1276" w:type="dxa"/>
            <w:tcBorders>
              <w:top w:val="single" w:sz="4" w:space="0" w:color="000000"/>
            </w:tcBorders>
            <w:shd w:val="clear" w:color="auto" w:fill="FFFFFF" w:themeFill="background1"/>
            <w:vAlign w:val="bottom"/>
          </w:tcPr>
          <w:p w14:paraId="2B8C3F7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143</w:t>
            </w:r>
          </w:p>
        </w:tc>
        <w:tc>
          <w:tcPr>
            <w:tcW w:w="1276" w:type="dxa"/>
            <w:tcBorders>
              <w:top w:val="single" w:sz="4" w:space="0" w:color="000000"/>
            </w:tcBorders>
            <w:shd w:val="clear" w:color="auto" w:fill="FFFFFF" w:themeFill="background1"/>
            <w:vAlign w:val="bottom"/>
          </w:tcPr>
          <w:p w14:paraId="3E6C0310"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-3,38 %</w:t>
            </w:r>
          </w:p>
        </w:tc>
        <w:tc>
          <w:tcPr>
            <w:tcW w:w="1275" w:type="dxa"/>
            <w:tcBorders>
              <w:top w:val="single" w:sz="4" w:space="0" w:color="000000"/>
            </w:tcBorders>
            <w:shd w:val="clear" w:color="auto" w:fill="FFFFFF" w:themeFill="background1"/>
            <w:vAlign w:val="bottom"/>
          </w:tcPr>
          <w:p w14:paraId="50BE4B30"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143</w:t>
            </w:r>
          </w:p>
        </w:tc>
        <w:tc>
          <w:tcPr>
            <w:tcW w:w="1276" w:type="dxa"/>
            <w:tcBorders>
              <w:top w:val="single" w:sz="4" w:space="0" w:color="000000"/>
            </w:tcBorders>
            <w:shd w:val="clear" w:color="auto" w:fill="FFFFFF" w:themeFill="background1"/>
            <w:vAlign w:val="bottom"/>
          </w:tcPr>
          <w:p w14:paraId="2F574A21"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-3,38 %</w:t>
            </w:r>
          </w:p>
        </w:tc>
      </w:tr>
      <w:tr w:rsidR="005E45D8" w:rsidRPr="006876A2" w14:paraId="7EBA8F38"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64A075D6"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L</w:t>
            </w:r>
          </w:p>
        </w:tc>
        <w:tc>
          <w:tcPr>
            <w:tcW w:w="1276" w:type="dxa"/>
            <w:shd w:val="clear" w:color="auto" w:fill="F2F2F2" w:themeFill="background1" w:themeFillShade="F2"/>
            <w:vAlign w:val="bottom"/>
          </w:tcPr>
          <w:p w14:paraId="7AD5869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2054</w:t>
            </w:r>
          </w:p>
        </w:tc>
        <w:tc>
          <w:tcPr>
            <w:tcW w:w="1276" w:type="dxa"/>
            <w:shd w:val="clear" w:color="auto" w:fill="F2F2F2" w:themeFill="background1" w:themeFillShade="F2"/>
            <w:vAlign w:val="bottom"/>
          </w:tcPr>
          <w:p w14:paraId="6C98D4EC"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1702</w:t>
            </w:r>
          </w:p>
        </w:tc>
        <w:tc>
          <w:tcPr>
            <w:tcW w:w="1133" w:type="dxa"/>
            <w:shd w:val="clear" w:color="auto" w:fill="F2F2F2" w:themeFill="background1" w:themeFillShade="F2"/>
            <w:vAlign w:val="bottom"/>
          </w:tcPr>
          <w:p w14:paraId="3E2D56FF"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-17,14 %</w:t>
            </w:r>
          </w:p>
        </w:tc>
        <w:tc>
          <w:tcPr>
            <w:tcW w:w="1276" w:type="dxa"/>
            <w:shd w:val="clear" w:color="auto" w:fill="F2F2F2" w:themeFill="background1" w:themeFillShade="F2"/>
            <w:vAlign w:val="bottom"/>
          </w:tcPr>
          <w:p w14:paraId="6C6F58D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1870</w:t>
            </w:r>
          </w:p>
        </w:tc>
        <w:tc>
          <w:tcPr>
            <w:tcW w:w="1276" w:type="dxa"/>
            <w:shd w:val="clear" w:color="auto" w:fill="F2F2F2" w:themeFill="background1" w:themeFillShade="F2"/>
            <w:vAlign w:val="bottom"/>
          </w:tcPr>
          <w:p w14:paraId="06AF1E26"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-8,96 %</w:t>
            </w:r>
          </w:p>
        </w:tc>
        <w:tc>
          <w:tcPr>
            <w:tcW w:w="1275" w:type="dxa"/>
            <w:shd w:val="clear" w:color="auto" w:fill="F2F2F2" w:themeFill="background1" w:themeFillShade="F2"/>
            <w:vAlign w:val="bottom"/>
          </w:tcPr>
          <w:p w14:paraId="0724519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1886</w:t>
            </w:r>
          </w:p>
        </w:tc>
        <w:tc>
          <w:tcPr>
            <w:tcW w:w="1276" w:type="dxa"/>
            <w:shd w:val="clear" w:color="auto" w:fill="F2F2F2" w:themeFill="background1" w:themeFillShade="F2"/>
            <w:vAlign w:val="bottom"/>
          </w:tcPr>
          <w:p w14:paraId="175A4FF8"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-8,18 %</w:t>
            </w:r>
          </w:p>
        </w:tc>
      </w:tr>
      <w:tr w:rsidR="005E45D8" w:rsidRPr="006876A2" w14:paraId="63A8852B"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5615450A" w14:textId="77777777" w:rsidR="005E45D8" w:rsidRPr="00286ECD" w:rsidRDefault="005E45D8" w:rsidP="00286ECD">
            <w:pPr>
              <w:spacing w:line="480" w:lineRule="auto"/>
              <w:rPr>
                <w:rFonts w:ascii="Georgia" w:hAnsi="Georgia"/>
                <w:sz w:val="20"/>
                <w:szCs w:val="20"/>
                <w:vertAlign w:val="subscript"/>
                <w:lang w:val="en-GB"/>
              </w:rPr>
            </w:pPr>
            <w:proofErr w:type="spellStart"/>
            <w:r w:rsidRPr="00286ECD">
              <w:rPr>
                <w:rFonts w:ascii="Georgia" w:hAnsi="Georgia"/>
                <w:sz w:val="20"/>
                <w:szCs w:val="20"/>
                <w:lang w:val="en-GB"/>
              </w:rPr>
              <w:t>L</w:t>
            </w:r>
            <w:r w:rsidRPr="00286ECD">
              <w:rPr>
                <w:rFonts w:ascii="Georgia" w:hAnsi="Georgia"/>
                <w:sz w:val="20"/>
                <w:szCs w:val="20"/>
                <w:vertAlign w:val="subscript"/>
                <w:lang w:val="en-GB"/>
              </w:rPr>
              <w:t>p</w:t>
            </w:r>
            <w:proofErr w:type="spellEnd"/>
          </w:p>
        </w:tc>
        <w:tc>
          <w:tcPr>
            <w:tcW w:w="1276" w:type="dxa"/>
            <w:shd w:val="clear" w:color="auto" w:fill="FFFFFF" w:themeFill="background1"/>
            <w:vAlign w:val="bottom"/>
          </w:tcPr>
          <w:p w14:paraId="0906677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21904</w:t>
            </w:r>
          </w:p>
        </w:tc>
        <w:tc>
          <w:tcPr>
            <w:tcW w:w="1276" w:type="dxa"/>
            <w:shd w:val="clear" w:color="auto" w:fill="FFFFFF" w:themeFill="background1"/>
            <w:vAlign w:val="bottom"/>
          </w:tcPr>
          <w:p w14:paraId="55BC7AC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19044</w:t>
            </w:r>
          </w:p>
        </w:tc>
        <w:tc>
          <w:tcPr>
            <w:tcW w:w="1133" w:type="dxa"/>
            <w:shd w:val="clear" w:color="auto" w:fill="FFFFFF" w:themeFill="background1"/>
            <w:vAlign w:val="bottom"/>
          </w:tcPr>
          <w:p w14:paraId="3ABFEF40"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-13,06 %</w:t>
            </w:r>
          </w:p>
        </w:tc>
        <w:tc>
          <w:tcPr>
            <w:tcW w:w="1276" w:type="dxa"/>
            <w:shd w:val="clear" w:color="auto" w:fill="FFFFFF" w:themeFill="background1"/>
            <w:vAlign w:val="bottom"/>
          </w:tcPr>
          <w:p w14:paraId="704A4FD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20449</w:t>
            </w:r>
          </w:p>
        </w:tc>
        <w:tc>
          <w:tcPr>
            <w:tcW w:w="1276" w:type="dxa"/>
            <w:shd w:val="clear" w:color="auto" w:fill="FFFFFF" w:themeFill="background1"/>
            <w:vAlign w:val="bottom"/>
          </w:tcPr>
          <w:p w14:paraId="6DE643B8"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-6,64 %</w:t>
            </w:r>
          </w:p>
        </w:tc>
        <w:tc>
          <w:tcPr>
            <w:tcW w:w="1275" w:type="dxa"/>
            <w:shd w:val="clear" w:color="auto" w:fill="FFFFFF" w:themeFill="background1"/>
            <w:vAlign w:val="bottom"/>
          </w:tcPr>
          <w:p w14:paraId="35C0EED8"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20449</w:t>
            </w:r>
          </w:p>
        </w:tc>
        <w:tc>
          <w:tcPr>
            <w:tcW w:w="1276" w:type="dxa"/>
            <w:shd w:val="clear" w:color="auto" w:fill="FFFFFF" w:themeFill="background1"/>
            <w:vAlign w:val="bottom"/>
          </w:tcPr>
          <w:p w14:paraId="459797D4"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-6,64 %</w:t>
            </w:r>
          </w:p>
        </w:tc>
      </w:tr>
      <w:tr w:rsidR="005E45D8" w:rsidRPr="006876A2" w14:paraId="6A0A7865" w14:textId="77777777" w:rsidTr="00286ECD">
        <w:trPr>
          <w:trHeight w:val="335"/>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5309A4B4"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Z</w:t>
            </w:r>
          </w:p>
        </w:tc>
        <w:tc>
          <w:tcPr>
            <w:tcW w:w="1276" w:type="dxa"/>
            <w:shd w:val="clear" w:color="auto" w:fill="F2F2F2" w:themeFill="background1" w:themeFillShade="F2"/>
            <w:vAlign w:val="bottom"/>
          </w:tcPr>
          <w:p w14:paraId="34005E5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13,878</w:t>
            </w:r>
          </w:p>
        </w:tc>
        <w:tc>
          <w:tcPr>
            <w:tcW w:w="1276" w:type="dxa"/>
            <w:shd w:val="clear" w:color="auto" w:fill="F2F2F2" w:themeFill="background1" w:themeFillShade="F2"/>
            <w:vAlign w:val="bottom"/>
          </w:tcPr>
          <w:p w14:paraId="0D2F038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12,333</w:t>
            </w:r>
          </w:p>
        </w:tc>
        <w:tc>
          <w:tcPr>
            <w:tcW w:w="1133" w:type="dxa"/>
            <w:shd w:val="clear" w:color="auto" w:fill="F2F2F2" w:themeFill="background1" w:themeFillShade="F2"/>
            <w:vAlign w:val="bottom"/>
          </w:tcPr>
          <w:p w14:paraId="5FA5F03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-11,13 %</w:t>
            </w:r>
          </w:p>
        </w:tc>
        <w:tc>
          <w:tcPr>
            <w:tcW w:w="1276" w:type="dxa"/>
            <w:shd w:val="clear" w:color="auto" w:fill="F2F2F2" w:themeFill="background1" w:themeFillShade="F2"/>
            <w:vAlign w:val="bottom"/>
          </w:tcPr>
          <w:p w14:paraId="7BFD0F9F"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13,077</w:t>
            </w:r>
          </w:p>
        </w:tc>
        <w:tc>
          <w:tcPr>
            <w:tcW w:w="1276" w:type="dxa"/>
            <w:shd w:val="clear" w:color="auto" w:fill="F2F2F2" w:themeFill="background1" w:themeFillShade="F2"/>
            <w:vAlign w:val="bottom"/>
          </w:tcPr>
          <w:p w14:paraId="364D35F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-5,77 %</w:t>
            </w:r>
          </w:p>
        </w:tc>
        <w:tc>
          <w:tcPr>
            <w:tcW w:w="1275" w:type="dxa"/>
            <w:shd w:val="clear" w:color="auto" w:fill="F2F2F2" w:themeFill="background1" w:themeFillShade="F2"/>
            <w:vAlign w:val="bottom"/>
          </w:tcPr>
          <w:p w14:paraId="4B1BC0C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13,189</w:t>
            </w:r>
          </w:p>
        </w:tc>
        <w:tc>
          <w:tcPr>
            <w:tcW w:w="1276" w:type="dxa"/>
            <w:shd w:val="clear" w:color="auto" w:fill="F2F2F2" w:themeFill="background1" w:themeFillShade="F2"/>
            <w:vAlign w:val="bottom"/>
          </w:tcPr>
          <w:p w14:paraId="02BEBAA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-4,97 %</w:t>
            </w:r>
          </w:p>
        </w:tc>
      </w:tr>
      <w:tr w:rsidR="005E45D8" w:rsidRPr="006876A2" w14:paraId="749F827E"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2EB9A698"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C</w:t>
            </w:r>
          </w:p>
        </w:tc>
        <w:tc>
          <w:tcPr>
            <w:tcW w:w="1276" w:type="dxa"/>
            <w:shd w:val="clear" w:color="auto" w:fill="FFFFFF" w:themeFill="background1"/>
            <w:vAlign w:val="bottom"/>
          </w:tcPr>
          <w:p w14:paraId="2338CEE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0,094</w:t>
            </w:r>
          </w:p>
        </w:tc>
        <w:tc>
          <w:tcPr>
            <w:tcW w:w="1276" w:type="dxa"/>
            <w:shd w:val="clear" w:color="auto" w:fill="FFFFFF" w:themeFill="background1"/>
            <w:vAlign w:val="bottom"/>
          </w:tcPr>
          <w:p w14:paraId="5566BB9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0,090</w:t>
            </w:r>
          </w:p>
        </w:tc>
        <w:tc>
          <w:tcPr>
            <w:tcW w:w="1133" w:type="dxa"/>
            <w:shd w:val="clear" w:color="auto" w:fill="FFFFFF" w:themeFill="background1"/>
            <w:vAlign w:val="bottom"/>
          </w:tcPr>
          <w:p w14:paraId="6137DF8E"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-4,65 %</w:t>
            </w:r>
          </w:p>
        </w:tc>
        <w:tc>
          <w:tcPr>
            <w:tcW w:w="1276" w:type="dxa"/>
            <w:shd w:val="clear" w:color="auto" w:fill="FFFFFF" w:themeFill="background1"/>
            <w:vAlign w:val="bottom"/>
          </w:tcPr>
          <w:p w14:paraId="378837E8"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0,092</w:t>
            </w:r>
          </w:p>
        </w:tc>
        <w:tc>
          <w:tcPr>
            <w:tcW w:w="1276" w:type="dxa"/>
            <w:shd w:val="clear" w:color="auto" w:fill="FFFFFF" w:themeFill="background1"/>
            <w:vAlign w:val="bottom"/>
          </w:tcPr>
          <w:p w14:paraId="7FD599A4"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-2,46 %</w:t>
            </w:r>
          </w:p>
        </w:tc>
        <w:tc>
          <w:tcPr>
            <w:tcW w:w="1275" w:type="dxa"/>
            <w:shd w:val="clear" w:color="auto" w:fill="FFFFFF" w:themeFill="background1"/>
            <w:vAlign w:val="bottom"/>
          </w:tcPr>
          <w:p w14:paraId="40742B0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0,093</w:t>
            </w:r>
          </w:p>
        </w:tc>
        <w:tc>
          <w:tcPr>
            <w:tcW w:w="1276" w:type="dxa"/>
            <w:shd w:val="clear" w:color="auto" w:fill="FFFFFF" w:themeFill="background1"/>
            <w:vAlign w:val="bottom"/>
          </w:tcPr>
          <w:p w14:paraId="43A38E8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-1,62 %</w:t>
            </w:r>
          </w:p>
        </w:tc>
      </w:tr>
      <w:tr w:rsidR="005E45D8" w:rsidRPr="006876A2" w14:paraId="7EEB63FB"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265E177B"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C</w:t>
            </w:r>
            <w:r w:rsidRPr="00286ECD">
              <w:rPr>
                <w:rFonts w:ascii="Georgia" w:hAnsi="Georgia"/>
                <w:sz w:val="20"/>
                <w:szCs w:val="20"/>
                <w:vertAlign w:val="subscript"/>
                <w:lang w:val="en-GB"/>
              </w:rPr>
              <w:t>W</w:t>
            </w:r>
          </w:p>
        </w:tc>
        <w:tc>
          <w:tcPr>
            <w:tcW w:w="1276" w:type="dxa"/>
            <w:shd w:val="clear" w:color="auto" w:fill="F2F2F2" w:themeFill="background1" w:themeFillShade="F2"/>
            <w:vAlign w:val="bottom"/>
          </w:tcPr>
          <w:p w14:paraId="02B79F5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0,063</w:t>
            </w:r>
          </w:p>
        </w:tc>
        <w:tc>
          <w:tcPr>
            <w:tcW w:w="1276" w:type="dxa"/>
            <w:shd w:val="clear" w:color="auto" w:fill="F2F2F2" w:themeFill="background1" w:themeFillShade="F2"/>
            <w:vAlign w:val="bottom"/>
          </w:tcPr>
          <w:p w14:paraId="59682498"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0,066</w:t>
            </w:r>
          </w:p>
        </w:tc>
        <w:tc>
          <w:tcPr>
            <w:tcW w:w="1133" w:type="dxa"/>
            <w:shd w:val="clear" w:color="auto" w:fill="F2F2F2" w:themeFill="background1" w:themeFillShade="F2"/>
            <w:vAlign w:val="bottom"/>
          </w:tcPr>
          <w:p w14:paraId="0B50B537"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4,29 %</w:t>
            </w:r>
          </w:p>
        </w:tc>
        <w:tc>
          <w:tcPr>
            <w:tcW w:w="1276" w:type="dxa"/>
            <w:shd w:val="clear" w:color="auto" w:fill="F2F2F2" w:themeFill="background1" w:themeFillShade="F2"/>
            <w:vAlign w:val="bottom"/>
          </w:tcPr>
          <w:p w14:paraId="3244A8D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0,064</w:t>
            </w:r>
          </w:p>
        </w:tc>
        <w:tc>
          <w:tcPr>
            <w:tcW w:w="1276" w:type="dxa"/>
            <w:shd w:val="clear" w:color="auto" w:fill="F2F2F2" w:themeFill="background1" w:themeFillShade="F2"/>
            <w:vAlign w:val="bottom"/>
          </w:tcPr>
          <w:p w14:paraId="0F0F14BC"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1,08 %</w:t>
            </w:r>
          </w:p>
        </w:tc>
        <w:tc>
          <w:tcPr>
            <w:tcW w:w="1275" w:type="dxa"/>
            <w:shd w:val="clear" w:color="auto" w:fill="F2F2F2" w:themeFill="background1" w:themeFillShade="F2"/>
            <w:vAlign w:val="bottom"/>
          </w:tcPr>
          <w:p w14:paraId="509B19BB"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0,065</w:t>
            </w:r>
          </w:p>
        </w:tc>
        <w:tc>
          <w:tcPr>
            <w:tcW w:w="1276" w:type="dxa"/>
            <w:shd w:val="clear" w:color="auto" w:fill="F2F2F2" w:themeFill="background1" w:themeFillShade="F2"/>
            <w:vAlign w:val="bottom"/>
          </w:tcPr>
          <w:p w14:paraId="693705E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2,88 %</w:t>
            </w:r>
          </w:p>
        </w:tc>
      </w:tr>
      <w:tr w:rsidR="005E45D8" w:rsidRPr="006876A2" w14:paraId="35239A4D"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2767A34C" w14:textId="77777777" w:rsidR="005E45D8" w:rsidRPr="00286ECD" w:rsidRDefault="005E45D8" w:rsidP="00286ECD">
            <w:pPr>
              <w:spacing w:line="480" w:lineRule="auto"/>
              <w:rPr>
                <w:rFonts w:ascii="Georgia" w:hAnsi="Georgia"/>
                <w:sz w:val="20"/>
                <w:szCs w:val="20"/>
                <w:lang w:val="en-GB"/>
              </w:rPr>
            </w:pPr>
            <w:r w:rsidRPr="00286ECD">
              <w:rPr>
                <w:rFonts w:ascii="Georgia" w:hAnsi="Georgia"/>
                <w:sz w:val="20"/>
                <w:szCs w:val="20"/>
                <w:lang w:val="en-GB"/>
              </w:rPr>
              <w:t>G</w:t>
            </w:r>
          </w:p>
        </w:tc>
        <w:tc>
          <w:tcPr>
            <w:tcW w:w="1276" w:type="dxa"/>
            <w:shd w:val="clear" w:color="auto" w:fill="FFFFFF" w:themeFill="background1"/>
            <w:vAlign w:val="bottom"/>
          </w:tcPr>
          <w:p w14:paraId="4DF0720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14,671</w:t>
            </w:r>
          </w:p>
        </w:tc>
        <w:tc>
          <w:tcPr>
            <w:tcW w:w="1276" w:type="dxa"/>
            <w:shd w:val="clear" w:color="auto" w:fill="FFFFFF" w:themeFill="background1"/>
            <w:vAlign w:val="bottom"/>
          </w:tcPr>
          <w:p w14:paraId="1C54359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13,651</w:t>
            </w:r>
          </w:p>
        </w:tc>
        <w:tc>
          <w:tcPr>
            <w:tcW w:w="1133" w:type="dxa"/>
            <w:shd w:val="clear" w:color="auto" w:fill="FFFFFF" w:themeFill="background1"/>
            <w:vAlign w:val="bottom"/>
          </w:tcPr>
          <w:p w14:paraId="6598A5A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-6,95 %</w:t>
            </w:r>
          </w:p>
        </w:tc>
        <w:tc>
          <w:tcPr>
            <w:tcW w:w="1276" w:type="dxa"/>
            <w:shd w:val="clear" w:color="auto" w:fill="FFFFFF" w:themeFill="background1"/>
            <w:vAlign w:val="bottom"/>
          </w:tcPr>
          <w:p w14:paraId="2C18535C"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13,650</w:t>
            </w:r>
          </w:p>
        </w:tc>
        <w:tc>
          <w:tcPr>
            <w:tcW w:w="1276" w:type="dxa"/>
            <w:shd w:val="clear" w:color="auto" w:fill="FFFFFF" w:themeFill="background1"/>
            <w:vAlign w:val="bottom"/>
          </w:tcPr>
          <w:p w14:paraId="3C42B9C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-6,96 %</w:t>
            </w:r>
          </w:p>
        </w:tc>
        <w:tc>
          <w:tcPr>
            <w:tcW w:w="1275" w:type="dxa"/>
            <w:shd w:val="clear" w:color="auto" w:fill="FFFFFF" w:themeFill="background1"/>
            <w:vAlign w:val="bottom"/>
          </w:tcPr>
          <w:p w14:paraId="66DDDA7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14,075</w:t>
            </w:r>
          </w:p>
        </w:tc>
        <w:tc>
          <w:tcPr>
            <w:tcW w:w="1276" w:type="dxa"/>
            <w:shd w:val="clear" w:color="auto" w:fill="FFFFFF" w:themeFill="background1"/>
            <w:vAlign w:val="bottom"/>
          </w:tcPr>
          <w:p w14:paraId="6812D288"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-4,07 %</w:t>
            </w:r>
          </w:p>
        </w:tc>
      </w:tr>
      <w:tr w:rsidR="005E45D8" w:rsidRPr="006876A2" w14:paraId="0C3280F0"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31E34F38" w14:textId="77777777" w:rsidR="005E45D8" w:rsidRPr="00286ECD" w:rsidRDefault="005E45D8" w:rsidP="00286ECD">
            <w:pPr>
              <w:spacing w:line="480" w:lineRule="auto"/>
              <w:rPr>
                <w:rFonts w:ascii="Georgia" w:hAnsi="Georgia"/>
                <w:sz w:val="20"/>
                <w:szCs w:val="20"/>
                <w:lang w:val="en-GB"/>
              </w:rPr>
            </w:pPr>
            <w:proofErr w:type="spellStart"/>
            <w:r w:rsidRPr="00286ECD">
              <w:rPr>
                <w:rFonts w:ascii="Georgia" w:hAnsi="Georgia"/>
                <w:sz w:val="20"/>
                <w:szCs w:val="20"/>
                <w:lang w:val="en-GB"/>
              </w:rPr>
              <w:t>G</w:t>
            </w:r>
            <w:r w:rsidRPr="00286ECD">
              <w:rPr>
                <w:rFonts w:ascii="Georgia" w:hAnsi="Georgia"/>
                <w:sz w:val="20"/>
                <w:szCs w:val="20"/>
                <w:vertAlign w:val="subscript"/>
                <w:lang w:val="en-GB"/>
              </w:rPr>
              <w:t>sd</w:t>
            </w:r>
            <w:proofErr w:type="spellEnd"/>
          </w:p>
        </w:tc>
        <w:tc>
          <w:tcPr>
            <w:tcW w:w="1276" w:type="dxa"/>
            <w:shd w:val="clear" w:color="auto" w:fill="F2F2F2" w:themeFill="background1" w:themeFillShade="F2"/>
            <w:vAlign w:val="bottom"/>
          </w:tcPr>
          <w:p w14:paraId="7862E99D"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0,915</w:t>
            </w:r>
          </w:p>
        </w:tc>
        <w:tc>
          <w:tcPr>
            <w:tcW w:w="1276" w:type="dxa"/>
            <w:shd w:val="clear" w:color="auto" w:fill="F2F2F2" w:themeFill="background1" w:themeFillShade="F2"/>
            <w:vAlign w:val="bottom"/>
          </w:tcPr>
          <w:p w14:paraId="05A916D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0,958</w:t>
            </w:r>
          </w:p>
        </w:tc>
        <w:tc>
          <w:tcPr>
            <w:tcW w:w="1133" w:type="dxa"/>
            <w:shd w:val="clear" w:color="auto" w:fill="F2F2F2" w:themeFill="background1" w:themeFillShade="F2"/>
            <w:vAlign w:val="bottom"/>
          </w:tcPr>
          <w:p w14:paraId="42DCD6E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4,76 %</w:t>
            </w:r>
          </w:p>
        </w:tc>
        <w:tc>
          <w:tcPr>
            <w:tcW w:w="1276" w:type="dxa"/>
            <w:shd w:val="clear" w:color="auto" w:fill="F2F2F2" w:themeFill="background1" w:themeFillShade="F2"/>
            <w:vAlign w:val="bottom"/>
          </w:tcPr>
          <w:p w14:paraId="2D2CE4E9"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0,944</w:t>
            </w:r>
          </w:p>
        </w:tc>
        <w:tc>
          <w:tcPr>
            <w:tcW w:w="1276" w:type="dxa"/>
            <w:shd w:val="clear" w:color="auto" w:fill="F2F2F2" w:themeFill="background1" w:themeFillShade="F2"/>
            <w:vAlign w:val="bottom"/>
          </w:tcPr>
          <w:p w14:paraId="2E5690B1"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3,13 %</w:t>
            </w:r>
          </w:p>
        </w:tc>
        <w:tc>
          <w:tcPr>
            <w:tcW w:w="1275" w:type="dxa"/>
            <w:shd w:val="clear" w:color="auto" w:fill="F2F2F2" w:themeFill="background1" w:themeFillShade="F2"/>
            <w:vAlign w:val="bottom"/>
          </w:tcPr>
          <w:p w14:paraId="49F9AC2B"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0,918</w:t>
            </w:r>
          </w:p>
        </w:tc>
        <w:tc>
          <w:tcPr>
            <w:tcW w:w="1276" w:type="dxa"/>
            <w:shd w:val="clear" w:color="auto" w:fill="F2F2F2" w:themeFill="background1" w:themeFillShade="F2"/>
            <w:vAlign w:val="bottom"/>
          </w:tcPr>
          <w:p w14:paraId="0A4ECD9C"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olor w:val="000000" w:themeColor="text1"/>
                <w:sz w:val="20"/>
                <w:szCs w:val="20"/>
                <w:lang w:val="en-GB"/>
              </w:rPr>
            </w:pPr>
            <w:r w:rsidRPr="00286ECD">
              <w:rPr>
                <w:rFonts w:ascii="Georgia" w:hAnsi="Georgia" w:cs="Calibri"/>
                <w:color w:val="000000" w:themeColor="text1"/>
                <w:sz w:val="20"/>
                <w:szCs w:val="20"/>
                <w:lang w:val="en-GB"/>
              </w:rPr>
              <w:t>0,34 %</w:t>
            </w:r>
          </w:p>
        </w:tc>
      </w:tr>
      <w:tr w:rsidR="005E45D8" w:rsidRPr="006876A2" w14:paraId="3816EEF1"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0889318F"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G</w:t>
            </w:r>
            <w:r w:rsidRPr="00286ECD">
              <w:rPr>
                <w:rFonts w:ascii="Georgia" w:hAnsi="Georgia" w:cs="Calibri"/>
                <w:sz w:val="20"/>
                <w:szCs w:val="20"/>
                <w:vertAlign w:val="subscript"/>
                <w:lang w:val="en-GB"/>
              </w:rPr>
              <w:t>W</w:t>
            </w:r>
          </w:p>
        </w:tc>
        <w:tc>
          <w:tcPr>
            <w:tcW w:w="1276" w:type="dxa"/>
            <w:shd w:val="clear" w:color="auto" w:fill="FFFFFF" w:themeFill="background1"/>
            <w:vAlign w:val="bottom"/>
          </w:tcPr>
          <w:p w14:paraId="123F0189"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13,712</w:t>
            </w:r>
          </w:p>
        </w:tc>
        <w:tc>
          <w:tcPr>
            <w:tcW w:w="1276" w:type="dxa"/>
            <w:shd w:val="clear" w:color="auto" w:fill="FFFFFF" w:themeFill="background1"/>
            <w:vAlign w:val="bottom"/>
          </w:tcPr>
          <w:p w14:paraId="162A9C4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13,326</w:t>
            </w:r>
          </w:p>
        </w:tc>
        <w:tc>
          <w:tcPr>
            <w:tcW w:w="1133" w:type="dxa"/>
            <w:shd w:val="clear" w:color="auto" w:fill="FFFFFF" w:themeFill="background1"/>
            <w:vAlign w:val="bottom"/>
          </w:tcPr>
          <w:p w14:paraId="7BBAB392"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-2,82 %</w:t>
            </w:r>
          </w:p>
        </w:tc>
        <w:tc>
          <w:tcPr>
            <w:tcW w:w="1276" w:type="dxa"/>
            <w:shd w:val="clear" w:color="auto" w:fill="FFFFFF" w:themeFill="background1"/>
            <w:vAlign w:val="bottom"/>
          </w:tcPr>
          <w:p w14:paraId="4487EF6F"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13,469</w:t>
            </w:r>
          </w:p>
        </w:tc>
        <w:tc>
          <w:tcPr>
            <w:tcW w:w="1276" w:type="dxa"/>
            <w:shd w:val="clear" w:color="auto" w:fill="FFFFFF" w:themeFill="background1"/>
            <w:vAlign w:val="bottom"/>
          </w:tcPr>
          <w:p w14:paraId="2DF957D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-1,77 %</w:t>
            </w:r>
          </w:p>
        </w:tc>
        <w:tc>
          <w:tcPr>
            <w:tcW w:w="1275" w:type="dxa"/>
            <w:shd w:val="clear" w:color="auto" w:fill="FFFFFF" w:themeFill="background1"/>
            <w:vAlign w:val="bottom"/>
          </w:tcPr>
          <w:p w14:paraId="51AC40E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13,655</w:t>
            </w:r>
          </w:p>
        </w:tc>
        <w:tc>
          <w:tcPr>
            <w:tcW w:w="1276" w:type="dxa"/>
            <w:shd w:val="clear" w:color="auto" w:fill="FFFFFF" w:themeFill="background1"/>
            <w:vAlign w:val="bottom"/>
          </w:tcPr>
          <w:p w14:paraId="5843B22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-0,41 %</w:t>
            </w:r>
          </w:p>
        </w:tc>
      </w:tr>
      <w:tr w:rsidR="005E45D8" w:rsidRPr="006876A2" w14:paraId="6DF1C1EE"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62D96CCA"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V</w:t>
            </w:r>
          </w:p>
        </w:tc>
        <w:tc>
          <w:tcPr>
            <w:tcW w:w="1276" w:type="dxa"/>
            <w:shd w:val="clear" w:color="auto" w:fill="F2F2F2" w:themeFill="background1" w:themeFillShade="F2"/>
            <w:vAlign w:val="bottom"/>
          </w:tcPr>
          <w:p w14:paraId="4A2F6809"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15,215</w:t>
            </w:r>
          </w:p>
        </w:tc>
        <w:tc>
          <w:tcPr>
            <w:tcW w:w="1276" w:type="dxa"/>
            <w:shd w:val="clear" w:color="auto" w:fill="F2F2F2" w:themeFill="background1" w:themeFillShade="F2"/>
            <w:vAlign w:val="bottom"/>
          </w:tcPr>
          <w:p w14:paraId="17B6F54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13,616</w:t>
            </w:r>
          </w:p>
        </w:tc>
        <w:tc>
          <w:tcPr>
            <w:tcW w:w="1133" w:type="dxa"/>
            <w:shd w:val="clear" w:color="auto" w:fill="F2F2F2" w:themeFill="background1" w:themeFillShade="F2"/>
            <w:vAlign w:val="bottom"/>
          </w:tcPr>
          <w:p w14:paraId="60EBFCE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-10,51 %</w:t>
            </w:r>
          </w:p>
        </w:tc>
        <w:tc>
          <w:tcPr>
            <w:tcW w:w="1276" w:type="dxa"/>
            <w:shd w:val="clear" w:color="auto" w:fill="F2F2F2" w:themeFill="background1" w:themeFillShade="F2"/>
            <w:vAlign w:val="bottom"/>
          </w:tcPr>
          <w:p w14:paraId="58531E6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14,385</w:t>
            </w:r>
          </w:p>
        </w:tc>
        <w:tc>
          <w:tcPr>
            <w:tcW w:w="1276" w:type="dxa"/>
            <w:shd w:val="clear" w:color="auto" w:fill="F2F2F2" w:themeFill="background1" w:themeFillShade="F2"/>
            <w:vAlign w:val="bottom"/>
          </w:tcPr>
          <w:p w14:paraId="07C19356"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-5,46 %</w:t>
            </w:r>
          </w:p>
        </w:tc>
        <w:tc>
          <w:tcPr>
            <w:tcW w:w="1275" w:type="dxa"/>
            <w:shd w:val="clear" w:color="auto" w:fill="F2F2F2" w:themeFill="background1" w:themeFillShade="F2"/>
            <w:vAlign w:val="bottom"/>
          </w:tcPr>
          <w:p w14:paraId="283DF5C7"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14,508</w:t>
            </w:r>
          </w:p>
        </w:tc>
        <w:tc>
          <w:tcPr>
            <w:tcW w:w="1276" w:type="dxa"/>
            <w:shd w:val="clear" w:color="auto" w:fill="F2F2F2" w:themeFill="background1" w:themeFillShade="F2"/>
            <w:vAlign w:val="bottom"/>
          </w:tcPr>
          <w:p w14:paraId="6C0A9B39"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-4,65 %</w:t>
            </w:r>
          </w:p>
        </w:tc>
      </w:tr>
      <w:tr w:rsidR="005E45D8" w:rsidRPr="006876A2" w14:paraId="2748AE1C"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6EA9BAC6" w14:textId="77777777" w:rsidR="005E45D8" w:rsidRPr="00286ECD" w:rsidRDefault="005E45D8" w:rsidP="00286ECD">
            <w:pPr>
              <w:spacing w:line="480" w:lineRule="auto"/>
              <w:rPr>
                <w:rFonts w:ascii="Georgia" w:hAnsi="Georgia" w:cs="Calibri"/>
                <w:sz w:val="20"/>
                <w:szCs w:val="20"/>
                <w:lang w:val="en-GB"/>
              </w:rPr>
            </w:pPr>
            <w:proofErr w:type="spellStart"/>
            <w:r w:rsidRPr="00286ECD">
              <w:rPr>
                <w:rFonts w:ascii="Georgia" w:hAnsi="Georgia" w:cs="Calibri"/>
                <w:sz w:val="20"/>
                <w:szCs w:val="20"/>
                <w:lang w:val="en-GB"/>
              </w:rPr>
              <w:t>V</w:t>
            </w:r>
            <w:r w:rsidRPr="00286ECD">
              <w:rPr>
                <w:rFonts w:ascii="Georgia" w:hAnsi="Georgia" w:cs="Calibri"/>
                <w:sz w:val="20"/>
                <w:szCs w:val="20"/>
                <w:vertAlign w:val="subscript"/>
                <w:lang w:val="en-GB"/>
              </w:rPr>
              <w:t>sd</w:t>
            </w:r>
            <w:proofErr w:type="spellEnd"/>
          </w:p>
        </w:tc>
        <w:tc>
          <w:tcPr>
            <w:tcW w:w="1276" w:type="dxa"/>
            <w:shd w:val="clear" w:color="auto" w:fill="FFFFFF" w:themeFill="background1"/>
            <w:vAlign w:val="bottom"/>
          </w:tcPr>
          <w:p w14:paraId="006F2CC1"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0,972</w:t>
            </w:r>
          </w:p>
        </w:tc>
        <w:tc>
          <w:tcPr>
            <w:tcW w:w="1276" w:type="dxa"/>
            <w:shd w:val="clear" w:color="auto" w:fill="FFFFFF" w:themeFill="background1"/>
            <w:vAlign w:val="bottom"/>
          </w:tcPr>
          <w:p w14:paraId="44148E1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0,980</w:t>
            </w:r>
          </w:p>
        </w:tc>
        <w:tc>
          <w:tcPr>
            <w:tcW w:w="1133" w:type="dxa"/>
            <w:shd w:val="clear" w:color="auto" w:fill="FFFFFF" w:themeFill="background1"/>
            <w:vAlign w:val="bottom"/>
          </w:tcPr>
          <w:p w14:paraId="639C58CE"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0,80 %</w:t>
            </w:r>
          </w:p>
        </w:tc>
        <w:tc>
          <w:tcPr>
            <w:tcW w:w="1276" w:type="dxa"/>
            <w:shd w:val="clear" w:color="auto" w:fill="FFFFFF" w:themeFill="background1"/>
            <w:vAlign w:val="bottom"/>
          </w:tcPr>
          <w:p w14:paraId="0007C895"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0,975</w:t>
            </w:r>
          </w:p>
        </w:tc>
        <w:tc>
          <w:tcPr>
            <w:tcW w:w="1276" w:type="dxa"/>
            <w:shd w:val="clear" w:color="auto" w:fill="FFFFFF" w:themeFill="background1"/>
            <w:vAlign w:val="bottom"/>
          </w:tcPr>
          <w:p w14:paraId="45A6A544"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0,31 %</w:t>
            </w:r>
          </w:p>
        </w:tc>
        <w:tc>
          <w:tcPr>
            <w:tcW w:w="1275" w:type="dxa"/>
            <w:shd w:val="clear" w:color="auto" w:fill="FFFFFF" w:themeFill="background1"/>
            <w:vAlign w:val="bottom"/>
          </w:tcPr>
          <w:p w14:paraId="251EF0D5"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0,981</w:t>
            </w:r>
          </w:p>
        </w:tc>
        <w:tc>
          <w:tcPr>
            <w:tcW w:w="1276" w:type="dxa"/>
            <w:shd w:val="clear" w:color="auto" w:fill="FFFFFF" w:themeFill="background1"/>
            <w:vAlign w:val="bottom"/>
          </w:tcPr>
          <w:p w14:paraId="2F09D54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0,92 %</w:t>
            </w:r>
          </w:p>
        </w:tc>
      </w:tr>
      <w:tr w:rsidR="005E45D8" w:rsidRPr="006876A2" w14:paraId="014DCA10"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2A4C386C"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V</w:t>
            </w:r>
            <w:r w:rsidRPr="00286ECD">
              <w:rPr>
                <w:rFonts w:ascii="Georgia" w:hAnsi="Georgia" w:cs="Calibri"/>
                <w:sz w:val="20"/>
                <w:szCs w:val="20"/>
                <w:vertAlign w:val="subscript"/>
                <w:lang w:val="en-GB"/>
              </w:rPr>
              <w:t>W</w:t>
            </w:r>
          </w:p>
        </w:tc>
        <w:tc>
          <w:tcPr>
            <w:tcW w:w="1276" w:type="dxa"/>
            <w:shd w:val="clear" w:color="auto" w:fill="F2F2F2" w:themeFill="background1" w:themeFillShade="F2"/>
            <w:vAlign w:val="bottom"/>
          </w:tcPr>
          <w:p w14:paraId="491D4F51"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16,387</w:t>
            </w:r>
          </w:p>
        </w:tc>
        <w:tc>
          <w:tcPr>
            <w:tcW w:w="1276" w:type="dxa"/>
            <w:shd w:val="clear" w:color="auto" w:fill="F2F2F2" w:themeFill="background1" w:themeFillShade="F2"/>
            <w:vAlign w:val="bottom"/>
          </w:tcPr>
          <w:p w14:paraId="0478A63A"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13,941</w:t>
            </w:r>
          </w:p>
        </w:tc>
        <w:tc>
          <w:tcPr>
            <w:tcW w:w="1133" w:type="dxa"/>
            <w:shd w:val="clear" w:color="auto" w:fill="F2F2F2" w:themeFill="background1" w:themeFillShade="F2"/>
            <w:vAlign w:val="bottom"/>
          </w:tcPr>
          <w:p w14:paraId="238DC3B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-14,93 %</w:t>
            </w:r>
          </w:p>
        </w:tc>
        <w:tc>
          <w:tcPr>
            <w:tcW w:w="1276" w:type="dxa"/>
            <w:shd w:val="clear" w:color="auto" w:fill="F2F2F2" w:themeFill="background1" w:themeFillShade="F2"/>
            <w:vAlign w:val="bottom"/>
          </w:tcPr>
          <w:p w14:paraId="1099B8EB"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15,136</w:t>
            </w:r>
          </w:p>
        </w:tc>
        <w:tc>
          <w:tcPr>
            <w:tcW w:w="1276" w:type="dxa"/>
            <w:shd w:val="clear" w:color="auto" w:fill="F2F2F2" w:themeFill="background1" w:themeFillShade="F2"/>
            <w:vAlign w:val="bottom"/>
          </w:tcPr>
          <w:p w14:paraId="7457D1C1"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-7,63 %</w:t>
            </w:r>
          </w:p>
        </w:tc>
        <w:tc>
          <w:tcPr>
            <w:tcW w:w="1275" w:type="dxa"/>
            <w:shd w:val="clear" w:color="auto" w:fill="F2F2F2" w:themeFill="background1" w:themeFillShade="F2"/>
            <w:vAlign w:val="bottom"/>
          </w:tcPr>
          <w:p w14:paraId="6816D6C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15,770</w:t>
            </w:r>
          </w:p>
        </w:tc>
        <w:tc>
          <w:tcPr>
            <w:tcW w:w="1276" w:type="dxa"/>
            <w:shd w:val="clear" w:color="auto" w:fill="F2F2F2" w:themeFill="background1" w:themeFillShade="F2"/>
            <w:vAlign w:val="bottom"/>
          </w:tcPr>
          <w:p w14:paraId="4F3A0E9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-3,76 %</w:t>
            </w:r>
          </w:p>
        </w:tc>
      </w:tr>
      <w:tr w:rsidR="005E45D8" w:rsidRPr="006876A2" w14:paraId="72909470"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204D852E"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D</w:t>
            </w:r>
          </w:p>
        </w:tc>
        <w:tc>
          <w:tcPr>
            <w:tcW w:w="1276" w:type="dxa"/>
            <w:shd w:val="clear" w:color="auto" w:fill="FFFFFF" w:themeFill="background1"/>
            <w:vAlign w:val="bottom"/>
          </w:tcPr>
          <w:p w14:paraId="58FB067C"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1,857</w:t>
            </w:r>
          </w:p>
        </w:tc>
        <w:tc>
          <w:tcPr>
            <w:tcW w:w="1276" w:type="dxa"/>
            <w:shd w:val="clear" w:color="auto" w:fill="FFFFFF" w:themeFill="background1"/>
            <w:vAlign w:val="bottom"/>
          </w:tcPr>
          <w:p w14:paraId="3134A10C"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1,745</w:t>
            </w:r>
          </w:p>
        </w:tc>
        <w:tc>
          <w:tcPr>
            <w:tcW w:w="1133" w:type="dxa"/>
            <w:shd w:val="clear" w:color="auto" w:fill="FFFFFF" w:themeFill="background1"/>
            <w:vAlign w:val="bottom"/>
          </w:tcPr>
          <w:p w14:paraId="4B130AFF"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-6,03 %</w:t>
            </w:r>
          </w:p>
        </w:tc>
        <w:tc>
          <w:tcPr>
            <w:tcW w:w="1276" w:type="dxa"/>
            <w:shd w:val="clear" w:color="auto" w:fill="FFFFFF" w:themeFill="background1"/>
            <w:vAlign w:val="bottom"/>
          </w:tcPr>
          <w:p w14:paraId="3499B6F9"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1,866</w:t>
            </w:r>
          </w:p>
        </w:tc>
        <w:tc>
          <w:tcPr>
            <w:tcW w:w="1276" w:type="dxa"/>
            <w:shd w:val="clear" w:color="auto" w:fill="FFFFFF" w:themeFill="background1"/>
            <w:vAlign w:val="bottom"/>
          </w:tcPr>
          <w:p w14:paraId="080D3C3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0,50 %</w:t>
            </w:r>
          </w:p>
        </w:tc>
        <w:tc>
          <w:tcPr>
            <w:tcW w:w="1275" w:type="dxa"/>
            <w:shd w:val="clear" w:color="auto" w:fill="FFFFFF" w:themeFill="background1"/>
            <w:vAlign w:val="bottom"/>
          </w:tcPr>
          <w:p w14:paraId="7ECC9219"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1,866</w:t>
            </w:r>
          </w:p>
        </w:tc>
        <w:tc>
          <w:tcPr>
            <w:tcW w:w="1276" w:type="dxa"/>
            <w:shd w:val="clear" w:color="auto" w:fill="FFFFFF" w:themeFill="background1"/>
            <w:vAlign w:val="bottom"/>
          </w:tcPr>
          <w:p w14:paraId="090DD42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0,48 %</w:t>
            </w:r>
          </w:p>
        </w:tc>
      </w:tr>
      <w:tr w:rsidR="005E45D8" w:rsidRPr="006876A2" w14:paraId="3D5545B2"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2F9B7656"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TL</w:t>
            </w:r>
          </w:p>
        </w:tc>
        <w:tc>
          <w:tcPr>
            <w:tcW w:w="1276" w:type="dxa"/>
            <w:shd w:val="clear" w:color="auto" w:fill="F2F2F2" w:themeFill="background1" w:themeFillShade="F2"/>
            <w:vAlign w:val="bottom"/>
          </w:tcPr>
          <w:p w14:paraId="7A179F9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3,769</w:t>
            </w:r>
          </w:p>
        </w:tc>
        <w:tc>
          <w:tcPr>
            <w:tcW w:w="1276" w:type="dxa"/>
            <w:shd w:val="clear" w:color="auto" w:fill="F2F2F2" w:themeFill="background1" w:themeFillShade="F2"/>
            <w:vAlign w:val="bottom"/>
          </w:tcPr>
          <w:p w14:paraId="7751BE8A"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3,662</w:t>
            </w:r>
          </w:p>
        </w:tc>
        <w:tc>
          <w:tcPr>
            <w:tcW w:w="1133" w:type="dxa"/>
            <w:shd w:val="clear" w:color="auto" w:fill="F2F2F2" w:themeFill="background1" w:themeFillShade="F2"/>
            <w:vAlign w:val="bottom"/>
          </w:tcPr>
          <w:p w14:paraId="1607A2F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-2,84 %</w:t>
            </w:r>
          </w:p>
        </w:tc>
        <w:tc>
          <w:tcPr>
            <w:tcW w:w="1276" w:type="dxa"/>
            <w:shd w:val="clear" w:color="auto" w:fill="F2F2F2" w:themeFill="background1" w:themeFillShade="F2"/>
            <w:vAlign w:val="bottom"/>
          </w:tcPr>
          <w:p w14:paraId="3E0336F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3,728</w:t>
            </w:r>
          </w:p>
        </w:tc>
        <w:tc>
          <w:tcPr>
            <w:tcW w:w="1276" w:type="dxa"/>
            <w:shd w:val="clear" w:color="auto" w:fill="F2F2F2" w:themeFill="background1" w:themeFillShade="F2"/>
            <w:vAlign w:val="bottom"/>
          </w:tcPr>
          <w:p w14:paraId="1C618BA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-1,07 %</w:t>
            </w:r>
          </w:p>
        </w:tc>
        <w:tc>
          <w:tcPr>
            <w:tcW w:w="1275" w:type="dxa"/>
            <w:shd w:val="clear" w:color="auto" w:fill="F2F2F2" w:themeFill="background1" w:themeFillShade="F2"/>
            <w:vAlign w:val="bottom"/>
          </w:tcPr>
          <w:p w14:paraId="6536AC2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3,731</w:t>
            </w:r>
          </w:p>
        </w:tc>
        <w:tc>
          <w:tcPr>
            <w:tcW w:w="1276" w:type="dxa"/>
            <w:shd w:val="clear" w:color="auto" w:fill="F2F2F2" w:themeFill="background1" w:themeFillShade="F2"/>
            <w:vAlign w:val="bottom"/>
          </w:tcPr>
          <w:p w14:paraId="7D76458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-0,99 %</w:t>
            </w:r>
          </w:p>
        </w:tc>
      </w:tr>
      <w:tr w:rsidR="005E45D8" w:rsidRPr="006876A2" w14:paraId="6BC05E4D"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0B5FA3CB" w14:textId="77777777" w:rsidR="005E45D8" w:rsidRPr="00286ECD" w:rsidRDefault="005E45D8" w:rsidP="00286ECD">
            <w:pPr>
              <w:spacing w:line="480" w:lineRule="auto"/>
              <w:rPr>
                <w:rFonts w:ascii="Georgia" w:hAnsi="Georgia" w:cs="Calibri"/>
                <w:sz w:val="20"/>
                <w:szCs w:val="20"/>
                <w:lang w:val="en-GB"/>
              </w:rPr>
            </w:pPr>
            <w:proofErr w:type="spellStart"/>
            <w:r w:rsidRPr="00286ECD">
              <w:rPr>
                <w:rFonts w:ascii="Georgia" w:hAnsi="Georgia" w:cs="Calibri"/>
                <w:sz w:val="20"/>
                <w:szCs w:val="20"/>
                <w:lang w:val="en-GB"/>
              </w:rPr>
              <w:t>TL</w:t>
            </w:r>
            <w:r w:rsidRPr="00286ECD">
              <w:rPr>
                <w:rFonts w:ascii="Georgia" w:hAnsi="Georgia" w:cs="Calibri"/>
                <w:sz w:val="20"/>
                <w:szCs w:val="20"/>
                <w:vertAlign w:val="subscript"/>
                <w:lang w:val="en-GB"/>
              </w:rPr>
              <w:t>max</w:t>
            </w:r>
            <w:proofErr w:type="spellEnd"/>
          </w:p>
        </w:tc>
        <w:tc>
          <w:tcPr>
            <w:tcW w:w="1276" w:type="dxa"/>
            <w:shd w:val="clear" w:color="auto" w:fill="FFFFFF" w:themeFill="background1"/>
            <w:vAlign w:val="bottom"/>
          </w:tcPr>
          <w:p w14:paraId="6F1B6C53"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5,503</w:t>
            </w:r>
          </w:p>
        </w:tc>
        <w:tc>
          <w:tcPr>
            <w:tcW w:w="1276" w:type="dxa"/>
            <w:shd w:val="clear" w:color="auto" w:fill="FFFFFF" w:themeFill="background1"/>
            <w:vAlign w:val="bottom"/>
          </w:tcPr>
          <w:p w14:paraId="0A17943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5,356</w:t>
            </w:r>
          </w:p>
        </w:tc>
        <w:tc>
          <w:tcPr>
            <w:tcW w:w="1133" w:type="dxa"/>
            <w:shd w:val="clear" w:color="auto" w:fill="FFFFFF" w:themeFill="background1"/>
            <w:vAlign w:val="bottom"/>
          </w:tcPr>
          <w:p w14:paraId="459E5A73"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-2,68 %</w:t>
            </w:r>
          </w:p>
        </w:tc>
        <w:tc>
          <w:tcPr>
            <w:tcW w:w="1276" w:type="dxa"/>
            <w:shd w:val="clear" w:color="auto" w:fill="FFFFFF" w:themeFill="background1"/>
            <w:vAlign w:val="bottom"/>
          </w:tcPr>
          <w:p w14:paraId="6700BE6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5,482</w:t>
            </w:r>
          </w:p>
        </w:tc>
        <w:tc>
          <w:tcPr>
            <w:tcW w:w="1276" w:type="dxa"/>
            <w:shd w:val="clear" w:color="auto" w:fill="FFFFFF" w:themeFill="background1"/>
            <w:vAlign w:val="bottom"/>
          </w:tcPr>
          <w:p w14:paraId="229539F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-0,40 %</w:t>
            </w:r>
          </w:p>
        </w:tc>
        <w:tc>
          <w:tcPr>
            <w:tcW w:w="1275" w:type="dxa"/>
            <w:shd w:val="clear" w:color="auto" w:fill="FFFFFF" w:themeFill="background1"/>
            <w:vAlign w:val="bottom"/>
          </w:tcPr>
          <w:p w14:paraId="51DE0D60"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5,502</w:t>
            </w:r>
          </w:p>
        </w:tc>
        <w:tc>
          <w:tcPr>
            <w:tcW w:w="1276" w:type="dxa"/>
            <w:shd w:val="clear" w:color="auto" w:fill="FFFFFF" w:themeFill="background1"/>
            <w:vAlign w:val="bottom"/>
          </w:tcPr>
          <w:p w14:paraId="4EB408BF"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-0,02 %</w:t>
            </w:r>
          </w:p>
        </w:tc>
      </w:tr>
      <w:tr w:rsidR="005E45D8" w:rsidRPr="006876A2" w14:paraId="5C59DB61"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4DEEA4C9"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TL</w:t>
            </w:r>
            <w:r w:rsidRPr="00286ECD">
              <w:rPr>
                <w:rFonts w:ascii="Georgia" w:hAnsi="Georgia" w:cs="Calibri"/>
                <w:sz w:val="20"/>
                <w:szCs w:val="20"/>
                <w:vertAlign w:val="subscript"/>
                <w:lang w:val="en-GB"/>
              </w:rPr>
              <w:t>W</w:t>
            </w:r>
          </w:p>
        </w:tc>
        <w:tc>
          <w:tcPr>
            <w:tcW w:w="1276" w:type="dxa"/>
            <w:shd w:val="clear" w:color="auto" w:fill="F2F2F2" w:themeFill="background1" w:themeFillShade="F2"/>
            <w:vAlign w:val="bottom"/>
          </w:tcPr>
          <w:p w14:paraId="573493C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1,855</w:t>
            </w:r>
          </w:p>
        </w:tc>
        <w:tc>
          <w:tcPr>
            <w:tcW w:w="1276" w:type="dxa"/>
            <w:shd w:val="clear" w:color="auto" w:fill="F2F2F2" w:themeFill="background1" w:themeFillShade="F2"/>
            <w:vAlign w:val="bottom"/>
          </w:tcPr>
          <w:p w14:paraId="171519B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1,831</w:t>
            </w:r>
          </w:p>
        </w:tc>
        <w:tc>
          <w:tcPr>
            <w:tcW w:w="1133" w:type="dxa"/>
            <w:shd w:val="clear" w:color="auto" w:fill="F2F2F2" w:themeFill="background1" w:themeFillShade="F2"/>
            <w:vAlign w:val="bottom"/>
          </w:tcPr>
          <w:p w14:paraId="1F879F8D"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-1,31 %</w:t>
            </w:r>
          </w:p>
        </w:tc>
        <w:tc>
          <w:tcPr>
            <w:tcW w:w="1276" w:type="dxa"/>
            <w:shd w:val="clear" w:color="auto" w:fill="F2F2F2" w:themeFill="background1" w:themeFillShade="F2"/>
            <w:vAlign w:val="bottom"/>
          </w:tcPr>
          <w:p w14:paraId="3100AE8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1,848</w:t>
            </w:r>
          </w:p>
        </w:tc>
        <w:tc>
          <w:tcPr>
            <w:tcW w:w="1276" w:type="dxa"/>
            <w:shd w:val="clear" w:color="auto" w:fill="F2F2F2" w:themeFill="background1" w:themeFillShade="F2"/>
            <w:vAlign w:val="bottom"/>
          </w:tcPr>
          <w:p w14:paraId="0235384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-0,38 %</w:t>
            </w:r>
          </w:p>
        </w:tc>
        <w:tc>
          <w:tcPr>
            <w:tcW w:w="1275" w:type="dxa"/>
            <w:shd w:val="clear" w:color="auto" w:fill="F2F2F2" w:themeFill="background1" w:themeFillShade="F2"/>
            <w:vAlign w:val="bottom"/>
          </w:tcPr>
          <w:p w14:paraId="4EBBF81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1,851</w:t>
            </w:r>
          </w:p>
        </w:tc>
        <w:tc>
          <w:tcPr>
            <w:tcW w:w="1276" w:type="dxa"/>
            <w:shd w:val="clear" w:color="auto" w:fill="F2F2F2" w:themeFill="background1" w:themeFillShade="F2"/>
            <w:vAlign w:val="bottom"/>
          </w:tcPr>
          <w:p w14:paraId="1C2897F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-0,19 %</w:t>
            </w:r>
          </w:p>
        </w:tc>
      </w:tr>
      <w:tr w:rsidR="005E45D8" w:rsidRPr="006876A2" w14:paraId="7E4E08B4" w14:textId="77777777" w:rsidTr="00286ECD">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7E42087A"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O</w:t>
            </w:r>
          </w:p>
        </w:tc>
        <w:tc>
          <w:tcPr>
            <w:tcW w:w="1276" w:type="dxa"/>
            <w:shd w:val="clear" w:color="auto" w:fill="FFFFFF" w:themeFill="background1"/>
            <w:vAlign w:val="bottom"/>
          </w:tcPr>
          <w:p w14:paraId="464C3445"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0,261</w:t>
            </w:r>
          </w:p>
        </w:tc>
        <w:tc>
          <w:tcPr>
            <w:tcW w:w="1276" w:type="dxa"/>
            <w:shd w:val="clear" w:color="auto" w:fill="FFFFFF" w:themeFill="background1"/>
            <w:vAlign w:val="bottom"/>
          </w:tcPr>
          <w:p w14:paraId="747E0FF5"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0,245</w:t>
            </w:r>
          </w:p>
        </w:tc>
        <w:tc>
          <w:tcPr>
            <w:tcW w:w="1133" w:type="dxa"/>
            <w:shd w:val="clear" w:color="auto" w:fill="FFFFFF" w:themeFill="background1"/>
            <w:vAlign w:val="bottom"/>
          </w:tcPr>
          <w:p w14:paraId="2337227E"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-6,27 %</w:t>
            </w:r>
          </w:p>
        </w:tc>
        <w:tc>
          <w:tcPr>
            <w:tcW w:w="1276" w:type="dxa"/>
            <w:shd w:val="clear" w:color="auto" w:fill="FFFFFF" w:themeFill="background1"/>
            <w:vAlign w:val="bottom"/>
          </w:tcPr>
          <w:p w14:paraId="1532F240"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0,266</w:t>
            </w:r>
          </w:p>
        </w:tc>
        <w:tc>
          <w:tcPr>
            <w:tcW w:w="1276" w:type="dxa"/>
            <w:shd w:val="clear" w:color="auto" w:fill="FFFFFF" w:themeFill="background1"/>
            <w:vAlign w:val="bottom"/>
          </w:tcPr>
          <w:p w14:paraId="5E8436BF"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1,66 %</w:t>
            </w:r>
          </w:p>
        </w:tc>
        <w:tc>
          <w:tcPr>
            <w:tcW w:w="1275" w:type="dxa"/>
            <w:shd w:val="clear" w:color="auto" w:fill="FFFFFF" w:themeFill="background1"/>
            <w:vAlign w:val="bottom"/>
          </w:tcPr>
          <w:p w14:paraId="113531C1"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0,267</w:t>
            </w:r>
          </w:p>
        </w:tc>
        <w:tc>
          <w:tcPr>
            <w:tcW w:w="1276" w:type="dxa"/>
            <w:shd w:val="clear" w:color="auto" w:fill="FFFFFF" w:themeFill="background1"/>
            <w:vAlign w:val="bottom"/>
          </w:tcPr>
          <w:p w14:paraId="40C26FF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2,08 %</w:t>
            </w:r>
          </w:p>
        </w:tc>
      </w:tr>
      <w:tr w:rsidR="005E45D8" w:rsidRPr="006876A2" w14:paraId="5E4328E4" w14:textId="77777777" w:rsidTr="00286ECD">
        <w:trPr>
          <w:trHeight w:val="359"/>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12B0E784"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Q</w:t>
            </w:r>
          </w:p>
        </w:tc>
        <w:tc>
          <w:tcPr>
            <w:tcW w:w="1276" w:type="dxa"/>
            <w:shd w:val="clear" w:color="auto" w:fill="F2F2F2" w:themeFill="background1" w:themeFillShade="F2"/>
            <w:vAlign w:val="bottom"/>
          </w:tcPr>
          <w:p w14:paraId="27AE6BD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0,195</w:t>
            </w:r>
          </w:p>
        </w:tc>
        <w:tc>
          <w:tcPr>
            <w:tcW w:w="1276" w:type="dxa"/>
            <w:shd w:val="clear" w:color="auto" w:fill="F2F2F2" w:themeFill="background1" w:themeFillShade="F2"/>
            <w:vAlign w:val="bottom"/>
          </w:tcPr>
          <w:p w14:paraId="696B525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0,242</w:t>
            </w:r>
          </w:p>
        </w:tc>
        <w:tc>
          <w:tcPr>
            <w:tcW w:w="1133" w:type="dxa"/>
            <w:shd w:val="clear" w:color="auto" w:fill="F2F2F2" w:themeFill="background1" w:themeFillShade="F2"/>
            <w:vAlign w:val="bottom"/>
          </w:tcPr>
          <w:p w14:paraId="5541F75E"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highlight w:val="red"/>
                <w:lang w:val="en-GB"/>
              </w:rPr>
            </w:pPr>
            <w:r w:rsidRPr="00286ECD">
              <w:rPr>
                <w:rFonts w:ascii="Georgia" w:hAnsi="Georgia" w:cs="Calibri"/>
                <w:color w:val="000000" w:themeColor="text1"/>
                <w:sz w:val="20"/>
                <w:szCs w:val="20"/>
                <w:lang w:val="en-GB"/>
              </w:rPr>
              <w:t>23,90 %</w:t>
            </w:r>
          </w:p>
        </w:tc>
        <w:tc>
          <w:tcPr>
            <w:tcW w:w="1276" w:type="dxa"/>
            <w:shd w:val="clear" w:color="auto" w:fill="F2F2F2" w:themeFill="background1" w:themeFillShade="F2"/>
            <w:vAlign w:val="bottom"/>
          </w:tcPr>
          <w:p w14:paraId="5EBBBA59"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0,219</w:t>
            </w:r>
          </w:p>
        </w:tc>
        <w:tc>
          <w:tcPr>
            <w:tcW w:w="1276" w:type="dxa"/>
            <w:shd w:val="clear" w:color="auto" w:fill="F2F2F2" w:themeFill="background1" w:themeFillShade="F2"/>
            <w:vAlign w:val="bottom"/>
          </w:tcPr>
          <w:p w14:paraId="62E8C31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12,07 %</w:t>
            </w:r>
          </w:p>
        </w:tc>
        <w:tc>
          <w:tcPr>
            <w:tcW w:w="1275" w:type="dxa"/>
            <w:shd w:val="clear" w:color="auto" w:fill="F2F2F2" w:themeFill="background1" w:themeFillShade="F2"/>
            <w:vAlign w:val="bottom"/>
          </w:tcPr>
          <w:p w14:paraId="1690621B"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0,220</w:t>
            </w:r>
          </w:p>
        </w:tc>
        <w:tc>
          <w:tcPr>
            <w:tcW w:w="1276" w:type="dxa"/>
            <w:shd w:val="clear" w:color="auto" w:fill="F2F2F2" w:themeFill="background1" w:themeFillShade="F2"/>
            <w:vAlign w:val="bottom"/>
          </w:tcPr>
          <w:p w14:paraId="3C10741C"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12,81 %</w:t>
            </w:r>
          </w:p>
        </w:tc>
      </w:tr>
      <w:tr w:rsidR="005E45D8" w:rsidRPr="006876A2" w14:paraId="79D16737" w14:textId="77777777" w:rsidTr="00286ECD">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5184A10C" w14:textId="77777777" w:rsidR="005E45D8" w:rsidRPr="00286ECD" w:rsidRDefault="005E45D8" w:rsidP="00286ECD">
            <w:pPr>
              <w:spacing w:line="480" w:lineRule="auto"/>
              <w:rPr>
                <w:rFonts w:ascii="Georgia" w:hAnsi="Georgia" w:cs="Calibri"/>
                <w:sz w:val="20"/>
                <w:szCs w:val="20"/>
                <w:lang w:val="en-GB"/>
              </w:rPr>
            </w:pPr>
            <w:r w:rsidRPr="00286ECD">
              <w:rPr>
                <w:rFonts w:ascii="Georgia" w:hAnsi="Georgia" w:cs="Calibri"/>
                <w:sz w:val="20"/>
                <w:szCs w:val="20"/>
                <w:lang w:val="en-GB"/>
              </w:rPr>
              <w:t>A</w:t>
            </w:r>
          </w:p>
        </w:tc>
        <w:tc>
          <w:tcPr>
            <w:tcW w:w="1276" w:type="dxa"/>
            <w:shd w:val="clear" w:color="auto" w:fill="FFFFFF" w:themeFill="background1"/>
            <w:vAlign w:val="bottom"/>
          </w:tcPr>
          <w:p w14:paraId="68232A9D"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-0,367</w:t>
            </w:r>
          </w:p>
        </w:tc>
        <w:tc>
          <w:tcPr>
            <w:tcW w:w="1276" w:type="dxa"/>
            <w:shd w:val="clear" w:color="auto" w:fill="FFFFFF" w:themeFill="background1"/>
            <w:vAlign w:val="bottom"/>
          </w:tcPr>
          <w:p w14:paraId="2826C06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-0,387</w:t>
            </w:r>
          </w:p>
        </w:tc>
        <w:tc>
          <w:tcPr>
            <w:tcW w:w="1133" w:type="dxa"/>
            <w:shd w:val="clear" w:color="auto" w:fill="FFFFFF" w:themeFill="background1"/>
            <w:vAlign w:val="bottom"/>
          </w:tcPr>
          <w:p w14:paraId="71AFCA1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5,51 %</w:t>
            </w:r>
          </w:p>
        </w:tc>
        <w:tc>
          <w:tcPr>
            <w:tcW w:w="1276" w:type="dxa"/>
            <w:shd w:val="clear" w:color="auto" w:fill="FFFFFF" w:themeFill="background1"/>
            <w:vAlign w:val="bottom"/>
          </w:tcPr>
          <w:p w14:paraId="7FE8C7AB"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-0,374</w:t>
            </w:r>
          </w:p>
        </w:tc>
        <w:tc>
          <w:tcPr>
            <w:tcW w:w="1276" w:type="dxa"/>
            <w:shd w:val="clear" w:color="auto" w:fill="FFFFFF" w:themeFill="background1"/>
            <w:vAlign w:val="bottom"/>
          </w:tcPr>
          <w:p w14:paraId="2040D9F1"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1,93 %</w:t>
            </w:r>
          </w:p>
        </w:tc>
        <w:tc>
          <w:tcPr>
            <w:tcW w:w="1275" w:type="dxa"/>
            <w:shd w:val="clear" w:color="auto" w:fill="FFFFFF" w:themeFill="background1"/>
            <w:vAlign w:val="bottom"/>
          </w:tcPr>
          <w:p w14:paraId="72F5BEE6"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-0,384</w:t>
            </w:r>
          </w:p>
        </w:tc>
        <w:tc>
          <w:tcPr>
            <w:tcW w:w="1276" w:type="dxa"/>
            <w:shd w:val="clear" w:color="auto" w:fill="FFFFFF" w:themeFill="background1"/>
            <w:vAlign w:val="bottom"/>
          </w:tcPr>
          <w:p w14:paraId="58A9814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4,63 %</w:t>
            </w:r>
          </w:p>
        </w:tc>
      </w:tr>
      <w:tr w:rsidR="005E45D8" w:rsidRPr="006876A2" w14:paraId="71C81C2E" w14:textId="77777777" w:rsidTr="00286ECD">
        <w:trPr>
          <w:trHeight w:val="612"/>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7171B4CB" w14:textId="77777777" w:rsidR="005E45D8" w:rsidRPr="00286ECD" w:rsidRDefault="005E45D8" w:rsidP="00286ECD">
            <w:pPr>
              <w:spacing w:line="480" w:lineRule="auto"/>
              <w:rPr>
                <w:rFonts w:ascii="Georgia" w:hAnsi="Georgia" w:cs="Calibri"/>
                <w:b w:val="0"/>
                <w:bCs w:val="0"/>
                <w:sz w:val="20"/>
                <w:szCs w:val="20"/>
                <w:vertAlign w:val="subscript"/>
                <w:lang w:val="en-GB"/>
              </w:rPr>
            </w:pPr>
            <w:proofErr w:type="spellStart"/>
            <w:r w:rsidRPr="00286ECD">
              <w:rPr>
                <w:rFonts w:ascii="Georgia" w:hAnsi="Georgia" w:cs="Calibri"/>
                <w:sz w:val="20"/>
                <w:szCs w:val="20"/>
                <w:lang w:val="en-GB"/>
              </w:rPr>
              <w:t>R</w:t>
            </w:r>
            <w:r w:rsidRPr="00286ECD">
              <w:rPr>
                <w:rFonts w:ascii="Georgia" w:hAnsi="Georgia" w:cs="Calibri"/>
                <w:sz w:val="20"/>
                <w:szCs w:val="20"/>
                <w:vertAlign w:val="subscript"/>
                <w:lang w:val="en-GB"/>
              </w:rPr>
              <w:t>mean</w:t>
            </w:r>
            <w:proofErr w:type="spellEnd"/>
          </w:p>
          <w:p w14:paraId="3231CDDA" w14:textId="77777777" w:rsidR="005E45D8" w:rsidRPr="00286ECD" w:rsidRDefault="005E45D8" w:rsidP="00286ECD">
            <w:pPr>
              <w:spacing w:line="480" w:lineRule="auto"/>
              <w:rPr>
                <w:rFonts w:ascii="Georgia" w:hAnsi="Georgia" w:cs="Calibri"/>
                <w:sz w:val="20"/>
                <w:szCs w:val="20"/>
                <w:vertAlign w:val="subscript"/>
                <w:lang w:val="en-GB"/>
              </w:rPr>
            </w:pPr>
            <w:r w:rsidRPr="00286ECD">
              <w:rPr>
                <w:rFonts w:ascii="Georgia" w:hAnsi="Georgia" w:cs="Calibri"/>
                <w:sz w:val="20"/>
                <w:szCs w:val="20"/>
                <w:lang w:val="en-GB"/>
              </w:rPr>
              <w:t>R</w:t>
            </w:r>
            <w:r w:rsidRPr="00286ECD">
              <w:rPr>
                <w:rFonts w:ascii="Georgia" w:hAnsi="Georgia" w:cs="Calibri"/>
                <w:sz w:val="20"/>
                <w:szCs w:val="20"/>
                <w:vertAlign w:val="subscript"/>
                <w:lang w:val="en-GB"/>
              </w:rPr>
              <w:t>SD</w:t>
            </w:r>
          </w:p>
        </w:tc>
        <w:tc>
          <w:tcPr>
            <w:tcW w:w="1276" w:type="dxa"/>
            <w:shd w:val="clear" w:color="auto" w:fill="F2F2F2" w:themeFill="background1" w:themeFillShade="F2"/>
            <w:vAlign w:val="bottom"/>
          </w:tcPr>
          <w:p w14:paraId="3BB2F2A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 xml:space="preserve">0,446 </w:t>
            </w:r>
          </w:p>
          <w:p w14:paraId="5B138499"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w:t>
            </w:r>
            <w:r w:rsidRPr="00286ECD">
              <w:rPr>
                <w:rFonts w:ascii="Georgia" w:hAnsi="Georgia" w:cs="Calibri"/>
                <w:sz w:val="20"/>
                <w:szCs w:val="20"/>
                <w:lang w:val="en-GB"/>
              </w:rPr>
              <w:sym w:font="Symbol" w:char="F0B1"/>
            </w:r>
            <w:r w:rsidRPr="00286ECD">
              <w:rPr>
                <w:rFonts w:ascii="Georgia" w:hAnsi="Georgia" w:cs="Calibri"/>
                <w:sz w:val="20"/>
                <w:szCs w:val="20"/>
                <w:lang w:val="en-GB"/>
              </w:rPr>
              <w:t xml:space="preserve"> 0,004)</w:t>
            </w:r>
          </w:p>
        </w:tc>
        <w:tc>
          <w:tcPr>
            <w:tcW w:w="1276" w:type="dxa"/>
            <w:shd w:val="clear" w:color="auto" w:fill="F2F2F2" w:themeFill="background1" w:themeFillShade="F2"/>
            <w:vAlign w:val="bottom"/>
          </w:tcPr>
          <w:p w14:paraId="16D2C79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0,435</w:t>
            </w:r>
          </w:p>
          <w:p w14:paraId="2F3E9AF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w:t>
            </w:r>
            <w:r w:rsidRPr="00286ECD">
              <w:rPr>
                <w:rFonts w:ascii="Georgia" w:hAnsi="Georgia" w:cs="Calibri"/>
                <w:sz w:val="20"/>
                <w:szCs w:val="20"/>
                <w:lang w:val="en-GB"/>
              </w:rPr>
              <w:sym w:font="Symbol" w:char="F0B1"/>
            </w:r>
            <w:r w:rsidRPr="00286ECD">
              <w:rPr>
                <w:rFonts w:ascii="Georgia" w:hAnsi="Georgia" w:cs="Calibri"/>
                <w:sz w:val="20"/>
                <w:szCs w:val="20"/>
                <w:lang w:val="en-GB"/>
              </w:rPr>
              <w:t xml:space="preserve"> 0,005)</w:t>
            </w:r>
          </w:p>
        </w:tc>
        <w:tc>
          <w:tcPr>
            <w:tcW w:w="1133" w:type="dxa"/>
            <w:shd w:val="clear" w:color="auto" w:fill="F2F2F2" w:themeFill="background1" w:themeFillShade="F2"/>
            <w:vAlign w:val="bottom"/>
          </w:tcPr>
          <w:p w14:paraId="0FCB72F6"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-2,49 %</w:t>
            </w:r>
          </w:p>
          <w:p w14:paraId="0B06059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7,84 %</w:t>
            </w:r>
          </w:p>
        </w:tc>
        <w:tc>
          <w:tcPr>
            <w:tcW w:w="1276" w:type="dxa"/>
            <w:shd w:val="clear" w:color="auto" w:fill="F2F2F2" w:themeFill="background1" w:themeFillShade="F2"/>
            <w:vAlign w:val="bottom"/>
          </w:tcPr>
          <w:p w14:paraId="01100FA7"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0,447</w:t>
            </w:r>
          </w:p>
          <w:p w14:paraId="60351ED5"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w:t>
            </w:r>
            <w:r w:rsidRPr="00286ECD">
              <w:rPr>
                <w:rFonts w:ascii="Georgia" w:hAnsi="Georgia" w:cs="Calibri"/>
                <w:sz w:val="20"/>
                <w:szCs w:val="20"/>
                <w:lang w:val="en-GB"/>
              </w:rPr>
              <w:sym w:font="Symbol" w:char="F0B1"/>
            </w:r>
            <w:r w:rsidRPr="00286ECD">
              <w:rPr>
                <w:rFonts w:ascii="Georgia" w:hAnsi="Georgia" w:cs="Calibri"/>
                <w:sz w:val="20"/>
                <w:szCs w:val="20"/>
                <w:lang w:val="en-GB"/>
              </w:rPr>
              <w:t xml:space="preserve"> 0,005)</w:t>
            </w:r>
          </w:p>
        </w:tc>
        <w:tc>
          <w:tcPr>
            <w:tcW w:w="1276" w:type="dxa"/>
            <w:shd w:val="clear" w:color="auto" w:fill="F2F2F2" w:themeFill="background1" w:themeFillShade="F2"/>
            <w:vAlign w:val="bottom"/>
          </w:tcPr>
          <w:p w14:paraId="70ECAED0"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0,29 %</w:t>
            </w:r>
          </w:p>
          <w:p w14:paraId="42FB5A46"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20,77 %</w:t>
            </w:r>
          </w:p>
        </w:tc>
        <w:tc>
          <w:tcPr>
            <w:tcW w:w="1275" w:type="dxa"/>
            <w:shd w:val="clear" w:color="auto" w:fill="F2F2F2" w:themeFill="background1" w:themeFillShade="F2"/>
            <w:vAlign w:val="bottom"/>
          </w:tcPr>
          <w:p w14:paraId="3FC2FAE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0,446</w:t>
            </w:r>
          </w:p>
          <w:p w14:paraId="361F8692"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w:t>
            </w:r>
            <w:r w:rsidRPr="00286ECD">
              <w:rPr>
                <w:rFonts w:ascii="Georgia" w:hAnsi="Georgia" w:cs="Calibri"/>
                <w:sz w:val="20"/>
                <w:szCs w:val="20"/>
                <w:lang w:val="en-GB"/>
              </w:rPr>
              <w:sym w:font="Symbol" w:char="F0B1"/>
            </w:r>
            <w:r w:rsidRPr="00286ECD">
              <w:rPr>
                <w:rFonts w:ascii="Georgia" w:hAnsi="Georgia" w:cs="Calibri"/>
                <w:sz w:val="20"/>
                <w:szCs w:val="20"/>
                <w:lang w:val="en-GB"/>
              </w:rPr>
              <w:t xml:space="preserve"> 0,005) </w:t>
            </w:r>
          </w:p>
        </w:tc>
        <w:tc>
          <w:tcPr>
            <w:tcW w:w="1276" w:type="dxa"/>
            <w:shd w:val="clear" w:color="auto" w:fill="F2F2F2" w:themeFill="background1" w:themeFillShade="F2"/>
            <w:vAlign w:val="bottom"/>
          </w:tcPr>
          <w:p w14:paraId="727A5A0A"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0,12 %</w:t>
            </w:r>
          </w:p>
          <w:p w14:paraId="5ADD2B0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286ECD">
              <w:rPr>
                <w:rFonts w:ascii="Georgia" w:hAnsi="Georgia" w:cs="Calibri"/>
                <w:sz w:val="20"/>
                <w:szCs w:val="20"/>
                <w:lang w:val="en-GB"/>
              </w:rPr>
              <w:t>13,14 %</w:t>
            </w:r>
          </w:p>
        </w:tc>
      </w:tr>
      <w:tr w:rsidR="005E45D8" w:rsidRPr="006876A2" w14:paraId="5517FD35" w14:textId="77777777" w:rsidTr="00286ECD">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1560" w:type="dxa"/>
            <w:shd w:val="clear" w:color="auto" w:fill="FFFFFF" w:themeFill="background1"/>
            <w:vAlign w:val="bottom"/>
          </w:tcPr>
          <w:p w14:paraId="24EE07D9" w14:textId="77777777" w:rsidR="005E45D8" w:rsidRPr="00286ECD" w:rsidRDefault="005E45D8" w:rsidP="00286ECD">
            <w:pPr>
              <w:spacing w:line="480" w:lineRule="auto"/>
              <w:rPr>
                <w:rFonts w:ascii="Georgia" w:hAnsi="Georgia" w:cs="Calibri"/>
                <w:sz w:val="20"/>
                <w:szCs w:val="20"/>
                <w:lang w:val="en-GB"/>
              </w:rPr>
            </w:pPr>
            <w:proofErr w:type="spellStart"/>
            <w:r w:rsidRPr="00286ECD">
              <w:rPr>
                <w:rFonts w:ascii="Georgia" w:hAnsi="Georgia" w:cs="Calibri"/>
                <w:sz w:val="20"/>
                <w:szCs w:val="20"/>
                <w:lang w:val="en-GB"/>
              </w:rPr>
              <w:t>Prey</w:t>
            </w:r>
            <w:r w:rsidRPr="00286ECD">
              <w:rPr>
                <w:rFonts w:ascii="Georgia" w:hAnsi="Georgia" w:cs="Calibri"/>
                <w:sz w:val="20"/>
                <w:szCs w:val="20"/>
                <w:vertAlign w:val="subscript"/>
                <w:lang w:val="en-GB"/>
              </w:rPr>
              <w:t>max</w:t>
            </w:r>
            <w:proofErr w:type="spellEnd"/>
          </w:p>
        </w:tc>
        <w:tc>
          <w:tcPr>
            <w:tcW w:w="1276" w:type="dxa"/>
            <w:shd w:val="clear" w:color="auto" w:fill="FFFFFF" w:themeFill="background1"/>
            <w:vAlign w:val="bottom"/>
          </w:tcPr>
          <w:p w14:paraId="5AAFE27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 xml:space="preserve">Saithe               </w:t>
            </w:r>
            <w:r w:rsidRPr="006876A2">
              <w:rPr>
                <w:rFonts w:ascii="Georgia" w:hAnsi="Georgia" w:cs="Calibri"/>
                <w:color w:val="000000"/>
                <w:sz w:val="20"/>
                <w:szCs w:val="20"/>
                <w:vertAlign w:val="subscript"/>
                <w:lang w:val="en-GB"/>
              </w:rPr>
              <w:t xml:space="preserve">4+ year </w:t>
            </w:r>
            <w:r w:rsidRPr="00286ECD">
              <w:rPr>
                <w:rFonts w:ascii="Georgia" w:hAnsi="Georgia" w:cs="Calibri"/>
                <w:sz w:val="20"/>
                <w:szCs w:val="20"/>
                <w:vertAlign w:val="subscript"/>
                <w:lang w:val="en-GB"/>
              </w:rPr>
              <w:t>(66)</w:t>
            </w:r>
          </w:p>
        </w:tc>
        <w:tc>
          <w:tcPr>
            <w:tcW w:w="1276" w:type="dxa"/>
            <w:shd w:val="clear" w:color="auto" w:fill="FFFFFF" w:themeFill="background1"/>
            <w:vAlign w:val="bottom"/>
          </w:tcPr>
          <w:p w14:paraId="28904993"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 xml:space="preserve">Saithe            </w:t>
            </w:r>
            <w:r w:rsidRPr="006876A2">
              <w:rPr>
                <w:rFonts w:ascii="Georgia" w:hAnsi="Georgia" w:cs="Calibri"/>
                <w:color w:val="000000"/>
                <w:sz w:val="20"/>
                <w:szCs w:val="20"/>
                <w:vertAlign w:val="subscript"/>
                <w:lang w:val="en-GB"/>
              </w:rPr>
              <w:t xml:space="preserve">4+ year </w:t>
            </w:r>
            <w:r w:rsidRPr="00286ECD">
              <w:rPr>
                <w:rFonts w:ascii="Georgia" w:hAnsi="Georgia" w:cs="Calibri"/>
                <w:sz w:val="20"/>
                <w:szCs w:val="20"/>
                <w:vertAlign w:val="subscript"/>
                <w:lang w:val="en-GB"/>
              </w:rPr>
              <w:t>(59)</w:t>
            </w:r>
          </w:p>
        </w:tc>
        <w:tc>
          <w:tcPr>
            <w:tcW w:w="1133" w:type="dxa"/>
            <w:shd w:val="clear" w:color="auto" w:fill="FFFFFF" w:themeFill="background1"/>
            <w:vAlign w:val="bottom"/>
          </w:tcPr>
          <w:p w14:paraId="42634B6B"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-10,61 %</w:t>
            </w:r>
          </w:p>
        </w:tc>
        <w:tc>
          <w:tcPr>
            <w:tcW w:w="1276" w:type="dxa"/>
            <w:shd w:val="clear" w:color="auto" w:fill="FFFFFF" w:themeFill="background1"/>
            <w:vAlign w:val="bottom"/>
          </w:tcPr>
          <w:p w14:paraId="7651187E"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 xml:space="preserve">Saithe              </w:t>
            </w:r>
            <w:r w:rsidRPr="006876A2">
              <w:rPr>
                <w:rFonts w:ascii="Georgia" w:hAnsi="Georgia" w:cs="Calibri"/>
                <w:color w:val="000000"/>
                <w:sz w:val="20"/>
                <w:szCs w:val="20"/>
                <w:vertAlign w:val="subscript"/>
                <w:lang w:val="en-GB"/>
              </w:rPr>
              <w:t xml:space="preserve">4+ year </w:t>
            </w:r>
            <w:r w:rsidRPr="00286ECD">
              <w:rPr>
                <w:rFonts w:ascii="Georgia" w:hAnsi="Georgia" w:cs="Calibri"/>
                <w:sz w:val="20"/>
                <w:szCs w:val="20"/>
                <w:vertAlign w:val="subscript"/>
                <w:lang w:val="en-GB"/>
              </w:rPr>
              <w:t>(63)</w:t>
            </w:r>
          </w:p>
        </w:tc>
        <w:tc>
          <w:tcPr>
            <w:tcW w:w="1276" w:type="dxa"/>
            <w:shd w:val="clear" w:color="auto" w:fill="FFFFFF" w:themeFill="background1"/>
            <w:vAlign w:val="bottom"/>
          </w:tcPr>
          <w:p w14:paraId="202584B3"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-4,55 %</w:t>
            </w:r>
          </w:p>
        </w:tc>
        <w:tc>
          <w:tcPr>
            <w:tcW w:w="1275" w:type="dxa"/>
            <w:shd w:val="clear" w:color="auto" w:fill="FFFFFF" w:themeFill="background1"/>
            <w:vAlign w:val="bottom"/>
          </w:tcPr>
          <w:p w14:paraId="5A60824B"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sz w:val="20"/>
                <w:szCs w:val="20"/>
                <w:lang w:val="en-GB"/>
              </w:rPr>
            </w:pPr>
            <w:r w:rsidRPr="006876A2">
              <w:rPr>
                <w:rFonts w:ascii="Georgia" w:hAnsi="Georgia" w:cs="Calibri"/>
                <w:color w:val="000000"/>
                <w:sz w:val="20"/>
                <w:szCs w:val="20"/>
                <w:lang w:val="en-GB"/>
              </w:rPr>
              <w:t xml:space="preserve">Saithe </w:t>
            </w:r>
          </w:p>
          <w:p w14:paraId="43736B16"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sz w:val="20"/>
                <w:szCs w:val="20"/>
                <w:lang w:val="en-GB"/>
              </w:rPr>
            </w:pPr>
            <w:r w:rsidRPr="006876A2">
              <w:rPr>
                <w:rFonts w:ascii="Georgia" w:hAnsi="Georgia" w:cs="Calibri"/>
                <w:color w:val="000000"/>
                <w:sz w:val="20"/>
                <w:szCs w:val="20"/>
                <w:vertAlign w:val="subscript"/>
                <w:lang w:val="en-GB"/>
              </w:rPr>
              <w:t xml:space="preserve">4+ year </w:t>
            </w:r>
            <w:r w:rsidRPr="00286ECD">
              <w:rPr>
                <w:rFonts w:ascii="Georgia" w:hAnsi="Georgia" w:cs="Calibri"/>
                <w:sz w:val="20"/>
                <w:szCs w:val="20"/>
                <w:vertAlign w:val="subscript"/>
                <w:lang w:val="en-GB"/>
              </w:rPr>
              <w:t xml:space="preserve">(62)  </w:t>
            </w:r>
          </w:p>
        </w:tc>
        <w:tc>
          <w:tcPr>
            <w:tcW w:w="1276" w:type="dxa"/>
            <w:shd w:val="clear" w:color="auto" w:fill="FFFFFF" w:themeFill="background1"/>
            <w:vAlign w:val="bottom"/>
          </w:tcPr>
          <w:p w14:paraId="3DDFFDCA"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-6,06 %</w:t>
            </w:r>
          </w:p>
        </w:tc>
      </w:tr>
      <w:tr w:rsidR="005E45D8" w:rsidRPr="006876A2" w14:paraId="384980AF" w14:textId="77777777" w:rsidTr="00286ECD">
        <w:trPr>
          <w:trHeight w:val="584"/>
        </w:trPr>
        <w:tc>
          <w:tcPr>
            <w:cnfStyle w:val="001000000000" w:firstRow="0" w:lastRow="0" w:firstColumn="1" w:lastColumn="0" w:oddVBand="0" w:evenVBand="0" w:oddHBand="0" w:evenHBand="0" w:firstRowFirstColumn="0" w:firstRowLastColumn="0" w:lastRowFirstColumn="0" w:lastRowLastColumn="0"/>
            <w:tcW w:w="1560" w:type="dxa"/>
            <w:shd w:val="clear" w:color="auto" w:fill="F2F2F2" w:themeFill="background1" w:themeFillShade="F2"/>
            <w:vAlign w:val="bottom"/>
          </w:tcPr>
          <w:p w14:paraId="1459B765" w14:textId="77777777" w:rsidR="005E45D8" w:rsidRPr="00286ECD" w:rsidRDefault="005E45D8" w:rsidP="00286ECD">
            <w:pPr>
              <w:spacing w:line="480" w:lineRule="auto"/>
              <w:rPr>
                <w:rFonts w:ascii="Georgia" w:hAnsi="Georgia" w:cs="Calibri"/>
                <w:sz w:val="20"/>
                <w:szCs w:val="20"/>
                <w:lang w:val="en-GB"/>
              </w:rPr>
            </w:pPr>
            <w:proofErr w:type="spellStart"/>
            <w:r w:rsidRPr="00286ECD">
              <w:rPr>
                <w:rFonts w:ascii="Georgia" w:hAnsi="Georgia" w:cs="Calibri"/>
                <w:sz w:val="20"/>
                <w:szCs w:val="20"/>
                <w:lang w:val="en-GB"/>
              </w:rPr>
              <w:t>Predator</w:t>
            </w:r>
            <w:r w:rsidRPr="00286ECD">
              <w:rPr>
                <w:rFonts w:ascii="Georgia" w:hAnsi="Georgia" w:cs="Calibri"/>
                <w:sz w:val="20"/>
                <w:szCs w:val="20"/>
                <w:vertAlign w:val="subscript"/>
                <w:lang w:val="en-GB"/>
              </w:rPr>
              <w:t>max</w:t>
            </w:r>
            <w:proofErr w:type="spellEnd"/>
          </w:p>
        </w:tc>
        <w:tc>
          <w:tcPr>
            <w:tcW w:w="1276" w:type="dxa"/>
            <w:shd w:val="clear" w:color="auto" w:fill="F2F2F2" w:themeFill="background1" w:themeFillShade="F2"/>
            <w:vAlign w:val="bottom"/>
          </w:tcPr>
          <w:p w14:paraId="50DD48B3"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(65)</w:t>
            </w:r>
          </w:p>
        </w:tc>
        <w:tc>
          <w:tcPr>
            <w:tcW w:w="1276" w:type="dxa"/>
            <w:shd w:val="clear" w:color="auto" w:fill="F2F2F2" w:themeFill="background1" w:themeFillShade="F2"/>
            <w:vAlign w:val="bottom"/>
          </w:tcPr>
          <w:p w14:paraId="543ADEE8"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(59)</w:t>
            </w:r>
          </w:p>
        </w:tc>
        <w:tc>
          <w:tcPr>
            <w:tcW w:w="1133" w:type="dxa"/>
            <w:shd w:val="clear" w:color="auto" w:fill="F2F2F2" w:themeFill="background1" w:themeFillShade="F2"/>
            <w:vAlign w:val="bottom"/>
          </w:tcPr>
          <w:p w14:paraId="718648FD" w14:textId="77777777" w:rsidR="005E45D8" w:rsidRPr="006876A2"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-9,23 %</w:t>
            </w:r>
          </w:p>
        </w:tc>
        <w:tc>
          <w:tcPr>
            <w:tcW w:w="1276" w:type="dxa"/>
            <w:shd w:val="clear" w:color="auto" w:fill="F2F2F2" w:themeFill="background1" w:themeFillShade="F2"/>
            <w:vAlign w:val="bottom"/>
          </w:tcPr>
          <w:p w14:paraId="47AB0287"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(63)</w:t>
            </w:r>
          </w:p>
        </w:tc>
        <w:tc>
          <w:tcPr>
            <w:tcW w:w="1276" w:type="dxa"/>
            <w:shd w:val="clear" w:color="auto" w:fill="F2F2F2" w:themeFill="background1" w:themeFillShade="F2"/>
            <w:vAlign w:val="bottom"/>
          </w:tcPr>
          <w:p w14:paraId="068CCF2F" w14:textId="77777777" w:rsidR="005E45D8" w:rsidRPr="006876A2"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-3,08 %</w:t>
            </w:r>
          </w:p>
        </w:tc>
        <w:tc>
          <w:tcPr>
            <w:tcW w:w="1275" w:type="dxa"/>
            <w:shd w:val="clear" w:color="auto" w:fill="F2F2F2" w:themeFill="background1" w:themeFillShade="F2"/>
            <w:vAlign w:val="bottom"/>
          </w:tcPr>
          <w:p w14:paraId="62F50541" w14:textId="77777777" w:rsidR="005E45D8" w:rsidRPr="006876A2"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sz w:val="20"/>
                <w:szCs w:val="20"/>
                <w:lang w:val="en-GB"/>
              </w:rPr>
            </w:pPr>
            <w:r w:rsidRPr="006876A2">
              <w:rPr>
                <w:rFonts w:ascii="Georgia" w:hAnsi="Georgia" w:cs="Calibri"/>
                <w:color w:val="000000"/>
                <w:sz w:val="20"/>
                <w:szCs w:val="20"/>
                <w:lang w:val="en-GB"/>
              </w:rPr>
              <w:t>Amphipods</w:t>
            </w:r>
          </w:p>
          <w:p w14:paraId="6CD77DE1" w14:textId="77777777" w:rsidR="005E45D8" w:rsidRPr="006876A2"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sz w:val="20"/>
                <w:szCs w:val="20"/>
                <w:lang w:val="en-GB"/>
              </w:rPr>
            </w:pPr>
            <w:r w:rsidRPr="006876A2">
              <w:rPr>
                <w:rFonts w:ascii="Georgia" w:hAnsi="Georgia" w:cs="Calibri"/>
                <w:color w:val="000000"/>
                <w:sz w:val="20"/>
                <w:szCs w:val="20"/>
                <w:vertAlign w:val="subscript"/>
                <w:lang w:val="en-GB"/>
              </w:rPr>
              <w:t xml:space="preserve">200-500 µm </w:t>
            </w:r>
            <w:r w:rsidRPr="00286ECD">
              <w:rPr>
                <w:rFonts w:ascii="Georgia" w:hAnsi="Georgia" w:cs="Calibri"/>
                <w:sz w:val="20"/>
                <w:szCs w:val="20"/>
                <w:vertAlign w:val="subscript"/>
                <w:lang w:val="en-GB"/>
              </w:rPr>
              <w:t xml:space="preserve">(61) </w:t>
            </w:r>
          </w:p>
        </w:tc>
        <w:tc>
          <w:tcPr>
            <w:tcW w:w="1276" w:type="dxa"/>
            <w:shd w:val="clear" w:color="auto" w:fill="F2F2F2" w:themeFill="background1" w:themeFillShade="F2"/>
            <w:vAlign w:val="bottom"/>
          </w:tcPr>
          <w:p w14:paraId="220516D4" w14:textId="77777777" w:rsidR="005E45D8" w:rsidRPr="00286ECD" w:rsidRDefault="005E45D8" w:rsidP="00286ECD">
            <w:pPr>
              <w:spacing w:line="480" w:lineRule="auto"/>
              <w:cnfStyle w:val="000000000000" w:firstRow="0" w:lastRow="0" w:firstColumn="0" w:lastColumn="0" w:oddVBand="0" w:evenVBand="0" w:oddHBand="0"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-6,15 %</w:t>
            </w:r>
          </w:p>
        </w:tc>
      </w:tr>
      <w:tr w:rsidR="005E45D8" w:rsidRPr="006876A2" w14:paraId="3965745A" w14:textId="77777777" w:rsidTr="00286ECD">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1560" w:type="dxa"/>
            <w:tcBorders>
              <w:bottom w:val="single" w:sz="4" w:space="0" w:color="000000"/>
            </w:tcBorders>
            <w:shd w:val="clear" w:color="auto" w:fill="FFFFFF" w:themeFill="background1"/>
            <w:vAlign w:val="bottom"/>
          </w:tcPr>
          <w:p w14:paraId="76DA7FDB" w14:textId="77777777" w:rsidR="005E45D8" w:rsidRPr="00286ECD" w:rsidRDefault="005E45D8" w:rsidP="00286ECD">
            <w:pPr>
              <w:spacing w:line="480" w:lineRule="auto"/>
              <w:rPr>
                <w:rFonts w:ascii="Georgia" w:hAnsi="Georgia" w:cs="Calibri"/>
                <w:sz w:val="20"/>
                <w:szCs w:val="20"/>
                <w:lang w:val="en-GB"/>
              </w:rPr>
            </w:pPr>
            <w:proofErr w:type="spellStart"/>
            <w:r w:rsidRPr="00286ECD">
              <w:rPr>
                <w:rFonts w:ascii="Georgia" w:hAnsi="Georgia" w:cs="Calibri"/>
                <w:sz w:val="20"/>
                <w:szCs w:val="20"/>
                <w:lang w:val="en-GB"/>
              </w:rPr>
              <w:t>Links</w:t>
            </w:r>
            <w:r w:rsidRPr="00286ECD">
              <w:rPr>
                <w:rFonts w:ascii="Georgia" w:hAnsi="Georgia" w:cs="Calibri"/>
                <w:sz w:val="20"/>
                <w:szCs w:val="20"/>
                <w:vertAlign w:val="subscript"/>
                <w:lang w:val="en-GB"/>
              </w:rPr>
              <w:t>max</w:t>
            </w:r>
            <w:proofErr w:type="spellEnd"/>
          </w:p>
        </w:tc>
        <w:tc>
          <w:tcPr>
            <w:tcW w:w="1276" w:type="dxa"/>
            <w:tcBorders>
              <w:bottom w:val="single" w:sz="4" w:space="0" w:color="000000"/>
            </w:tcBorders>
            <w:shd w:val="clear" w:color="auto" w:fill="FFFFFF" w:themeFill="background1"/>
            <w:vAlign w:val="bottom"/>
          </w:tcPr>
          <w:p w14:paraId="3767DCEF"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(76)</w:t>
            </w:r>
          </w:p>
        </w:tc>
        <w:tc>
          <w:tcPr>
            <w:tcW w:w="1276" w:type="dxa"/>
            <w:tcBorders>
              <w:bottom w:val="single" w:sz="4" w:space="0" w:color="000000"/>
            </w:tcBorders>
            <w:shd w:val="clear" w:color="auto" w:fill="FFFFFF" w:themeFill="background1"/>
            <w:vAlign w:val="bottom"/>
          </w:tcPr>
          <w:p w14:paraId="269397B7"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(70)</w:t>
            </w:r>
          </w:p>
        </w:tc>
        <w:tc>
          <w:tcPr>
            <w:tcW w:w="1133" w:type="dxa"/>
            <w:tcBorders>
              <w:bottom w:val="single" w:sz="4" w:space="0" w:color="000000"/>
            </w:tcBorders>
            <w:shd w:val="clear" w:color="auto" w:fill="FFFFFF" w:themeFill="background1"/>
            <w:vAlign w:val="bottom"/>
          </w:tcPr>
          <w:p w14:paraId="0730079F"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-7,89 %</w:t>
            </w:r>
          </w:p>
        </w:tc>
        <w:tc>
          <w:tcPr>
            <w:tcW w:w="1276" w:type="dxa"/>
            <w:tcBorders>
              <w:bottom w:val="single" w:sz="4" w:space="0" w:color="000000"/>
            </w:tcBorders>
            <w:shd w:val="clear" w:color="auto" w:fill="FFFFFF" w:themeFill="background1"/>
            <w:vAlign w:val="bottom"/>
          </w:tcPr>
          <w:p w14:paraId="58A124D2"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sz w:val="20"/>
                <w:szCs w:val="20"/>
                <w:lang w:val="en-GB"/>
              </w:rPr>
            </w:pPr>
            <w:r w:rsidRPr="006876A2">
              <w:rPr>
                <w:rFonts w:ascii="Georgia" w:hAnsi="Georgia" w:cs="Calibri"/>
                <w:color w:val="000000"/>
                <w:sz w:val="20"/>
                <w:szCs w:val="20"/>
                <w:lang w:val="en-GB"/>
              </w:rPr>
              <w:t>Amphipods</w:t>
            </w:r>
            <w:r w:rsidRPr="006876A2">
              <w:rPr>
                <w:rFonts w:ascii="Georgia" w:hAnsi="Georgia" w:cs="Calibri"/>
                <w:color w:val="000000"/>
                <w:sz w:val="20"/>
                <w:szCs w:val="20"/>
                <w:vertAlign w:val="subscript"/>
                <w:lang w:val="en-GB"/>
              </w:rPr>
              <w:t xml:space="preserve">         200-500 µm </w:t>
            </w:r>
            <w:r w:rsidRPr="00286ECD">
              <w:rPr>
                <w:rFonts w:ascii="Georgia" w:hAnsi="Georgia" w:cs="Calibri"/>
                <w:sz w:val="20"/>
                <w:szCs w:val="20"/>
                <w:vertAlign w:val="subscript"/>
                <w:lang w:val="en-GB"/>
              </w:rPr>
              <w:t>(74)</w:t>
            </w:r>
          </w:p>
        </w:tc>
        <w:tc>
          <w:tcPr>
            <w:tcW w:w="1276" w:type="dxa"/>
            <w:tcBorders>
              <w:bottom w:val="single" w:sz="4" w:space="0" w:color="000000"/>
            </w:tcBorders>
            <w:shd w:val="clear" w:color="auto" w:fill="FFFFFF" w:themeFill="background1"/>
            <w:vAlign w:val="bottom"/>
          </w:tcPr>
          <w:p w14:paraId="390E5FC3"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-2,63 %</w:t>
            </w:r>
          </w:p>
        </w:tc>
        <w:tc>
          <w:tcPr>
            <w:tcW w:w="1275" w:type="dxa"/>
            <w:tcBorders>
              <w:bottom w:val="single" w:sz="4" w:space="0" w:color="000000"/>
            </w:tcBorders>
            <w:shd w:val="clear" w:color="auto" w:fill="FFFFFF" w:themeFill="background1"/>
            <w:vAlign w:val="bottom"/>
          </w:tcPr>
          <w:p w14:paraId="777C7CA6"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sz w:val="20"/>
                <w:szCs w:val="20"/>
                <w:vertAlign w:val="subscript"/>
                <w:lang w:val="en-GB"/>
              </w:rPr>
            </w:pPr>
            <w:r w:rsidRPr="006876A2">
              <w:rPr>
                <w:rFonts w:ascii="Georgia" w:hAnsi="Georgia" w:cs="Calibri"/>
                <w:color w:val="000000"/>
                <w:sz w:val="20"/>
                <w:szCs w:val="20"/>
                <w:lang w:val="en-GB"/>
              </w:rPr>
              <w:t>Amphipods</w:t>
            </w:r>
          </w:p>
          <w:p w14:paraId="7DC6F113" w14:textId="77777777" w:rsidR="005E45D8" w:rsidRPr="006876A2"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sz w:val="20"/>
                <w:szCs w:val="20"/>
                <w:lang w:val="en-GB"/>
              </w:rPr>
            </w:pPr>
            <w:r w:rsidRPr="006876A2">
              <w:rPr>
                <w:rFonts w:ascii="Georgia" w:hAnsi="Georgia" w:cs="Calibri"/>
                <w:color w:val="000000"/>
                <w:sz w:val="20"/>
                <w:szCs w:val="20"/>
                <w:vertAlign w:val="subscript"/>
                <w:lang w:val="en-GB"/>
              </w:rPr>
              <w:t xml:space="preserve">200-500 µm </w:t>
            </w:r>
            <w:r w:rsidRPr="00286ECD">
              <w:rPr>
                <w:rFonts w:ascii="Georgia" w:hAnsi="Georgia" w:cs="Calibri"/>
                <w:sz w:val="20"/>
                <w:szCs w:val="20"/>
                <w:vertAlign w:val="subscript"/>
                <w:lang w:val="en-GB"/>
              </w:rPr>
              <w:t>(72)</w:t>
            </w:r>
          </w:p>
        </w:tc>
        <w:tc>
          <w:tcPr>
            <w:tcW w:w="1276" w:type="dxa"/>
            <w:tcBorders>
              <w:bottom w:val="single" w:sz="4" w:space="0" w:color="000000"/>
            </w:tcBorders>
            <w:shd w:val="clear" w:color="auto" w:fill="FFFFFF" w:themeFill="background1"/>
            <w:vAlign w:val="bottom"/>
          </w:tcPr>
          <w:p w14:paraId="541B6102" w14:textId="77777777" w:rsidR="005E45D8" w:rsidRPr="00286ECD" w:rsidRDefault="005E45D8" w:rsidP="00286ECD">
            <w:pPr>
              <w:spacing w:line="480" w:lineRule="auto"/>
              <w:cnfStyle w:val="000000100000" w:firstRow="0" w:lastRow="0" w:firstColumn="0" w:lastColumn="0" w:oddVBand="0" w:evenVBand="0" w:oddHBand="1" w:evenHBand="0" w:firstRowFirstColumn="0" w:firstRowLastColumn="0" w:lastRowFirstColumn="0" w:lastRowLastColumn="0"/>
              <w:rPr>
                <w:rFonts w:ascii="Georgia" w:hAnsi="Georgia" w:cs="Calibri"/>
                <w:color w:val="000000" w:themeColor="text1"/>
                <w:sz w:val="20"/>
                <w:szCs w:val="20"/>
                <w:lang w:val="en-GB"/>
              </w:rPr>
            </w:pPr>
            <w:r w:rsidRPr="00286ECD">
              <w:rPr>
                <w:rFonts w:ascii="Georgia" w:hAnsi="Georgia" w:cs="Calibri"/>
                <w:color w:val="000000" w:themeColor="text1"/>
                <w:sz w:val="20"/>
                <w:szCs w:val="20"/>
                <w:lang w:val="en-GB"/>
              </w:rPr>
              <w:t>-5,26 %</w:t>
            </w:r>
          </w:p>
        </w:tc>
      </w:tr>
    </w:tbl>
    <w:p w14:paraId="042D6662" w14:textId="77777777" w:rsidR="005E45D8" w:rsidRPr="00286ECD" w:rsidRDefault="005E45D8" w:rsidP="005E45D8">
      <w:pPr>
        <w:spacing w:line="480" w:lineRule="auto"/>
        <w:rPr>
          <w:rFonts w:ascii="Georgia" w:hAnsi="Georgia"/>
          <w:lang w:val="en-GB"/>
        </w:rPr>
      </w:pPr>
    </w:p>
    <w:p w14:paraId="5CBD6E3B" w14:textId="77777777" w:rsidR="005E45D8" w:rsidRPr="00286ECD" w:rsidRDefault="005E45D8" w:rsidP="005E45D8">
      <w:pPr>
        <w:widowControl w:val="0"/>
        <w:autoSpaceDE w:val="0"/>
        <w:autoSpaceDN w:val="0"/>
        <w:adjustRightInd w:val="0"/>
        <w:spacing w:line="480" w:lineRule="auto"/>
        <w:rPr>
          <w:rFonts w:ascii="Georgia" w:hAnsi="Georgia"/>
          <w:color w:val="000000" w:themeColor="text1"/>
          <w:lang w:val="en-GB"/>
        </w:rPr>
      </w:pPr>
      <w:r w:rsidRPr="00286ECD">
        <w:rPr>
          <w:rFonts w:ascii="Georgia" w:hAnsi="Georgia"/>
          <w:color w:val="000000" w:themeColor="text1"/>
          <w:lang w:val="en-GB"/>
        </w:rPr>
        <w:lastRenderedPageBreak/>
        <w:t>FIGURES</w:t>
      </w:r>
    </w:p>
    <w:p w14:paraId="6A3AA2D9" w14:textId="77777777" w:rsidR="005E45D8" w:rsidRPr="00286ECD" w:rsidRDefault="005E45D8" w:rsidP="005E45D8">
      <w:pPr>
        <w:widowControl w:val="0"/>
        <w:autoSpaceDE w:val="0"/>
        <w:autoSpaceDN w:val="0"/>
        <w:adjustRightInd w:val="0"/>
        <w:spacing w:line="480" w:lineRule="auto"/>
        <w:rPr>
          <w:rFonts w:ascii="Georgia" w:hAnsi="Georgia"/>
          <w:color w:val="000000" w:themeColor="text1"/>
          <w:lang w:val="en-GB"/>
        </w:rPr>
      </w:pPr>
      <w:r w:rsidRPr="00286ECD">
        <w:rPr>
          <w:rFonts w:ascii="Georgia" w:eastAsia="Times New Roman" w:hAnsi="Georgia" w:cs="Times New Roman"/>
          <w:color w:val="000000"/>
          <w:lang w:val="en-GB" w:eastAsia="en-GB"/>
        </w:rPr>
        <w:t>FIGURE</w:t>
      </w:r>
      <w:r w:rsidRPr="006876A2">
        <w:rPr>
          <w:rFonts w:ascii="Georgia" w:eastAsia="Times New Roman" w:hAnsi="Georgia" w:cs="Times New Roman"/>
          <w:color w:val="000000"/>
          <w:lang w:val="en-GB" w:eastAsia="en-GB"/>
        </w:rPr>
        <w:t xml:space="preserve"> 1</w:t>
      </w:r>
    </w:p>
    <w:p w14:paraId="668661BB" w14:textId="77777777" w:rsidR="005E45D8" w:rsidRPr="00286ECD" w:rsidRDefault="005E45D8" w:rsidP="005E45D8">
      <w:pPr>
        <w:spacing w:line="480" w:lineRule="auto"/>
        <w:jc w:val="both"/>
        <w:rPr>
          <w:rFonts w:ascii="Times New Roman" w:eastAsia="Times New Roman" w:hAnsi="Times New Roman" w:cs="Times New Roman"/>
          <w:color w:val="000000"/>
          <w:lang w:val="en-GB" w:eastAsia="en-GB"/>
        </w:rPr>
      </w:pPr>
      <w:r w:rsidRPr="006876A2">
        <w:rPr>
          <w:rFonts w:ascii="Times New Roman" w:eastAsia="Times New Roman" w:hAnsi="Times New Roman" w:cs="Times New Roman"/>
          <w:b/>
          <w:bCs/>
          <w:noProof/>
          <w:color w:val="000000"/>
          <w:lang w:val="en-GB" w:eastAsia="en-GB"/>
        </w:rPr>
        <w:drawing>
          <wp:inline distT="0" distB="0" distL="0" distR="0" wp14:anchorId="6E33D52F" wp14:editId="558654C0">
            <wp:extent cx="6228000" cy="3190591"/>
            <wp:effectExtent l="0" t="0" r="0" b="0"/>
            <wp:docPr id="1142607989" name="Picture 2"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07989" name="Picture 2" descr="A screenshot of a map&#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28000" cy="3190591"/>
                    </a:xfrm>
                    <a:prstGeom prst="rect">
                      <a:avLst/>
                    </a:prstGeom>
                  </pic:spPr>
                </pic:pic>
              </a:graphicData>
            </a:graphic>
          </wp:inline>
        </w:drawing>
      </w:r>
      <w:r w:rsidRPr="006876A2">
        <w:rPr>
          <w:rFonts w:ascii="Times New Roman" w:eastAsia="Times New Roman" w:hAnsi="Times New Roman" w:cs="Times New Roman"/>
          <w:color w:val="000000"/>
          <w:lang w:val="en-GB" w:eastAsia="en-GB"/>
        </w:rPr>
        <w:br w:type="page"/>
      </w:r>
    </w:p>
    <w:p w14:paraId="4C602949" w14:textId="77777777" w:rsidR="005E45D8" w:rsidRPr="00286ECD" w:rsidRDefault="005E45D8" w:rsidP="005E45D8">
      <w:pPr>
        <w:rPr>
          <w:rFonts w:ascii="Georgia" w:eastAsia="Times New Roman" w:hAnsi="Georgia" w:cs="Times New Roman"/>
          <w:color w:val="000000" w:themeColor="text1"/>
          <w:lang w:val="en-GB" w:eastAsia="en-GB"/>
        </w:rPr>
      </w:pPr>
      <w:r w:rsidRPr="00286ECD">
        <w:rPr>
          <w:rFonts w:ascii="Georgia" w:eastAsia="Times New Roman" w:hAnsi="Georgia" w:cs="Times New Roman"/>
          <w:color w:val="000000" w:themeColor="text1"/>
          <w:lang w:val="en-GB" w:eastAsia="en-GB"/>
        </w:rPr>
        <w:lastRenderedPageBreak/>
        <w:t>FIGURE 2</w:t>
      </w:r>
      <w:r w:rsidRPr="006876A2">
        <w:rPr>
          <w:rFonts w:ascii="Times New Roman" w:eastAsia="Times New Roman" w:hAnsi="Times New Roman" w:cs="Times New Roman"/>
          <w:b/>
          <w:bCs/>
          <w:noProof/>
          <w:color w:val="000000" w:themeColor="text1"/>
          <w:lang w:val="en-GB" w:eastAsia="en-GB"/>
        </w:rPr>
        <w:drawing>
          <wp:inline distT="0" distB="0" distL="0" distR="0" wp14:anchorId="1D6E1A27" wp14:editId="23EDF9D3">
            <wp:extent cx="6228000" cy="5030918"/>
            <wp:effectExtent l="0" t="0" r="0" b="0"/>
            <wp:docPr id="223974374" name="Picture 10" descr="A network of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74374" name="Picture 10" descr="A network of colorful dots and line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28000" cy="5030918"/>
                    </a:xfrm>
                    <a:prstGeom prst="rect">
                      <a:avLst/>
                    </a:prstGeom>
                  </pic:spPr>
                </pic:pic>
              </a:graphicData>
            </a:graphic>
          </wp:inline>
        </w:drawing>
      </w:r>
      <w:r w:rsidRPr="00286ECD">
        <w:rPr>
          <w:rFonts w:ascii="Georgia" w:eastAsia="Times New Roman" w:hAnsi="Georgia" w:cs="Times New Roman"/>
          <w:color w:val="000000" w:themeColor="text1"/>
          <w:lang w:val="en-GB" w:eastAsia="en-GB"/>
        </w:rPr>
        <w:br w:type="page"/>
      </w:r>
      <w:r w:rsidRPr="00286ECD">
        <w:rPr>
          <w:rFonts w:ascii="Georgia" w:eastAsia="Times New Roman" w:hAnsi="Georgia" w:cs="Times New Roman"/>
          <w:color w:val="000000"/>
          <w:lang w:val="en-GB" w:eastAsia="en-GB"/>
        </w:rPr>
        <w:lastRenderedPageBreak/>
        <w:t>FIGURE 3</w:t>
      </w:r>
    </w:p>
    <w:p w14:paraId="201CB402" w14:textId="77777777" w:rsidR="005E45D8" w:rsidRPr="006876A2" w:rsidRDefault="005E45D8" w:rsidP="005E45D8">
      <w:pPr>
        <w:autoSpaceDE w:val="0"/>
        <w:autoSpaceDN w:val="0"/>
        <w:adjustRightInd w:val="0"/>
        <w:spacing w:line="480" w:lineRule="auto"/>
        <w:jc w:val="both"/>
        <w:rPr>
          <w:rFonts w:ascii="Times New Roman" w:eastAsia="Times New Roman" w:hAnsi="Times New Roman" w:cs="Times New Roman"/>
          <w:color w:val="000000"/>
          <w:lang w:val="en-GB" w:eastAsia="en-GB"/>
        </w:rPr>
      </w:pPr>
      <w:r>
        <w:rPr>
          <w:rFonts w:ascii="Times New Roman" w:eastAsia="Times New Roman" w:hAnsi="Times New Roman" w:cs="Times New Roman"/>
          <w:noProof/>
          <w:color w:val="000000"/>
          <w:lang w:val="en-GB" w:eastAsia="en-GB"/>
          <w14:ligatures w14:val="standardContextual"/>
        </w:rPr>
        <w:drawing>
          <wp:inline distT="0" distB="0" distL="0" distR="0" wp14:anchorId="7B95DB35" wp14:editId="3F076C00">
            <wp:extent cx="6228000" cy="3570923"/>
            <wp:effectExtent l="0" t="0" r="0" b="0"/>
            <wp:docPr id="2115144257" name="Picture 1" descr="A graph of different colored circ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144257" name="Picture 1" descr="A graph of different colored circles&#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28000" cy="3570923"/>
                    </a:xfrm>
                    <a:prstGeom prst="rect">
                      <a:avLst/>
                    </a:prstGeom>
                  </pic:spPr>
                </pic:pic>
              </a:graphicData>
            </a:graphic>
          </wp:inline>
        </w:drawing>
      </w:r>
      <w:r w:rsidRPr="006876A2">
        <w:rPr>
          <w:rFonts w:ascii="Times New Roman" w:eastAsia="Times New Roman" w:hAnsi="Times New Roman" w:cs="Times New Roman"/>
          <w:color w:val="000000"/>
          <w:lang w:val="en-GB" w:eastAsia="en-GB"/>
        </w:rPr>
        <w:br w:type="page"/>
      </w:r>
    </w:p>
    <w:p w14:paraId="08326614" w14:textId="77777777" w:rsidR="005E45D8" w:rsidRPr="00286ECD" w:rsidRDefault="005E45D8" w:rsidP="005E45D8">
      <w:pPr>
        <w:autoSpaceDE w:val="0"/>
        <w:autoSpaceDN w:val="0"/>
        <w:adjustRightInd w:val="0"/>
        <w:spacing w:line="480" w:lineRule="auto"/>
        <w:jc w:val="both"/>
        <w:rPr>
          <w:rFonts w:ascii="Georgia" w:eastAsia="Times New Roman" w:hAnsi="Georgia" w:cs="Times New Roman"/>
          <w:color w:val="000000"/>
          <w:lang w:val="en-GB" w:eastAsia="en-GB"/>
        </w:rPr>
      </w:pPr>
      <w:r w:rsidRPr="00286ECD">
        <w:rPr>
          <w:rFonts w:ascii="Georgia" w:eastAsia="Times New Roman" w:hAnsi="Georgia" w:cs="Times New Roman"/>
          <w:color w:val="000000"/>
          <w:lang w:val="en-GB" w:eastAsia="en-GB"/>
        </w:rPr>
        <w:lastRenderedPageBreak/>
        <w:t>LEGENDS</w:t>
      </w:r>
    </w:p>
    <w:p w14:paraId="1082CD55" w14:textId="7DA8BDDC" w:rsidR="005E45D8" w:rsidRPr="00286ECD" w:rsidRDefault="005E45D8" w:rsidP="005E45D8">
      <w:pPr>
        <w:autoSpaceDE w:val="0"/>
        <w:autoSpaceDN w:val="0"/>
        <w:adjustRightInd w:val="0"/>
        <w:spacing w:line="480" w:lineRule="auto"/>
        <w:jc w:val="both"/>
        <w:rPr>
          <w:rFonts w:ascii="Georgia" w:eastAsia="Times New Roman" w:hAnsi="Georgia" w:cs="Times New Roman"/>
          <w:color w:val="000000"/>
          <w:lang w:val="en-GB" w:eastAsia="en-GB"/>
        </w:rPr>
      </w:pPr>
      <w:r w:rsidRPr="00286ECD">
        <w:rPr>
          <w:rFonts w:ascii="Georgia" w:eastAsia="Times New Roman" w:hAnsi="Georgia" w:cs="Times New Roman"/>
          <w:b/>
          <w:bCs/>
          <w:color w:val="000000"/>
          <w:lang w:val="en-GB" w:eastAsia="en-GB"/>
        </w:rPr>
        <w:t>FIGURE 1</w:t>
      </w:r>
      <w:r w:rsidRPr="00286ECD">
        <w:rPr>
          <w:rFonts w:ascii="Georgia" w:eastAsia="Times New Roman" w:hAnsi="Georgia" w:cs="Times New Roman"/>
          <w:color w:val="000000"/>
          <w:lang w:val="en-GB" w:eastAsia="en-GB"/>
        </w:rPr>
        <w:t xml:space="preserve"> Overview of Skagerrak study system. The food web was constructed using data from observed taxa monitored in Skagerrak (a), while the impact of intraspecific diversity within the food web was studied </w:t>
      </w:r>
      <w:r>
        <w:rPr>
          <w:rFonts w:ascii="Georgia" w:eastAsia="Times New Roman" w:hAnsi="Georgia" w:cs="Times New Roman"/>
          <w:color w:val="000000"/>
          <w:lang w:val="en-GB" w:eastAsia="en-GB"/>
        </w:rPr>
        <w:t xml:space="preserve">by </w:t>
      </w:r>
      <w:r w:rsidRPr="00286ECD">
        <w:rPr>
          <w:rFonts w:ascii="Georgia" w:eastAsia="Times New Roman" w:hAnsi="Georgia" w:cs="Times New Roman"/>
          <w:color w:val="000000"/>
          <w:lang w:val="en-GB" w:eastAsia="en-GB"/>
        </w:rPr>
        <w:t xml:space="preserve">focusing on the North Sea and Fjord cod ecotypes. These </w:t>
      </w:r>
      <w:r w:rsidRPr="006876A2">
        <w:rPr>
          <w:rFonts w:ascii="Georgia" w:eastAsia="Times New Roman" w:hAnsi="Georgia" w:cs="Times New Roman"/>
          <w:color w:val="000000"/>
          <w:lang w:val="en-GB" w:eastAsia="en-GB"/>
        </w:rPr>
        <w:t xml:space="preserve">cod </w:t>
      </w:r>
      <w:r w:rsidRPr="00286ECD">
        <w:rPr>
          <w:rFonts w:ascii="Georgia" w:eastAsia="Times New Roman" w:hAnsi="Georgia" w:cs="Times New Roman"/>
          <w:color w:val="000000"/>
          <w:lang w:val="en-GB" w:eastAsia="en-GB"/>
        </w:rPr>
        <w:t>ecotypes typically occupy different locations along the Skagerrak coast (b</w:t>
      </w:r>
      <w:proofErr w:type="gramStart"/>
      <w:r w:rsidRPr="00286ECD">
        <w:rPr>
          <w:rFonts w:ascii="Georgia" w:eastAsia="Times New Roman" w:hAnsi="Georgia" w:cs="Times New Roman"/>
          <w:color w:val="000000"/>
          <w:lang w:val="en-GB" w:eastAsia="en-GB"/>
        </w:rPr>
        <w:t>),</w:t>
      </w:r>
      <w:r w:rsidR="009575B8">
        <w:rPr>
          <w:rFonts w:ascii="Georgia" w:eastAsia="Times New Roman" w:hAnsi="Georgia" w:cs="Times New Roman"/>
          <w:color w:val="000000"/>
          <w:lang w:val="en-GB" w:eastAsia="en-GB"/>
        </w:rPr>
        <w:t xml:space="preserve"> </w:t>
      </w:r>
      <w:r w:rsidRPr="00286ECD">
        <w:rPr>
          <w:rFonts w:ascii="Georgia" w:eastAsia="Times New Roman" w:hAnsi="Georgia" w:cs="Times New Roman"/>
          <w:color w:val="000000"/>
          <w:lang w:val="en-GB" w:eastAsia="en-GB"/>
        </w:rPr>
        <w:t>and</w:t>
      </w:r>
      <w:proofErr w:type="gramEnd"/>
      <w:r w:rsidRPr="00286ECD">
        <w:rPr>
          <w:rFonts w:ascii="Georgia" w:eastAsia="Times New Roman" w:hAnsi="Georgia" w:cs="Times New Roman"/>
          <w:color w:val="000000"/>
          <w:lang w:val="en-GB" w:eastAsia="en-GB"/>
        </w:rPr>
        <w:t xml:space="preserve"> display distinct growth trajectories (c). Information regarding the location of the ecotypes and their growth characteristics has been adapted from Kuparinen et al. 2016.</w:t>
      </w:r>
    </w:p>
    <w:p w14:paraId="050BF4F9" w14:textId="77777777" w:rsidR="005E45D8" w:rsidRPr="00286ECD" w:rsidRDefault="005E45D8" w:rsidP="005E45D8">
      <w:pPr>
        <w:autoSpaceDE w:val="0"/>
        <w:autoSpaceDN w:val="0"/>
        <w:adjustRightInd w:val="0"/>
        <w:spacing w:line="480" w:lineRule="auto"/>
        <w:jc w:val="both"/>
        <w:rPr>
          <w:rFonts w:ascii="Georgia" w:eastAsia="Times New Roman" w:hAnsi="Georgia" w:cs="Times New Roman"/>
          <w:b/>
          <w:bCs/>
          <w:color w:val="000000" w:themeColor="text1"/>
          <w:lang w:val="en-GB" w:eastAsia="en-GB"/>
        </w:rPr>
      </w:pPr>
    </w:p>
    <w:p w14:paraId="36C1A5B0" w14:textId="08E25CD3" w:rsidR="005E45D8" w:rsidRPr="00286ECD" w:rsidRDefault="005E45D8" w:rsidP="005E45D8">
      <w:pPr>
        <w:autoSpaceDE w:val="0"/>
        <w:autoSpaceDN w:val="0"/>
        <w:adjustRightInd w:val="0"/>
        <w:spacing w:line="480" w:lineRule="auto"/>
        <w:jc w:val="both"/>
        <w:rPr>
          <w:rFonts w:ascii="Georgia" w:eastAsia="Times New Roman" w:hAnsi="Georgia" w:cs="Times New Roman"/>
          <w:color w:val="000000" w:themeColor="text1"/>
          <w:lang w:val="en-GB" w:eastAsia="en-GB"/>
        </w:rPr>
      </w:pPr>
      <w:r w:rsidRPr="00286ECD">
        <w:rPr>
          <w:rFonts w:ascii="Georgia" w:eastAsia="Times New Roman" w:hAnsi="Georgia" w:cs="Times New Roman"/>
          <w:b/>
          <w:bCs/>
          <w:color w:val="000000" w:themeColor="text1"/>
          <w:lang w:val="en-GB" w:eastAsia="en-GB"/>
        </w:rPr>
        <w:t>FIGURE 2</w:t>
      </w:r>
      <w:r w:rsidRPr="00286ECD">
        <w:rPr>
          <w:rFonts w:ascii="Georgia" w:eastAsia="Times New Roman" w:hAnsi="Georgia" w:cs="Times New Roman"/>
          <w:color w:val="000000" w:themeColor="text1"/>
          <w:lang w:val="en-GB" w:eastAsia="en-GB"/>
        </w:rPr>
        <w:t xml:space="preserve"> Trophic structure of the coastal pelagic food web in Skagerrak. Guilds, represented by dots, are arranged according to their trophic position along the vertical axis. The size of the transparent guilds corresponds to their centrality degree, indicating the number of realized feeding links. Both guilds and links are </w:t>
      </w:r>
      <w:r w:rsidR="009575B8" w:rsidRPr="00286ECD">
        <w:rPr>
          <w:rFonts w:ascii="Georgia" w:eastAsia="Times New Roman" w:hAnsi="Georgia" w:cs="Times New Roman"/>
          <w:color w:val="000000" w:themeColor="text1"/>
          <w:lang w:val="en-GB" w:eastAsia="en-GB"/>
        </w:rPr>
        <w:t>coloured</w:t>
      </w:r>
      <w:r w:rsidRPr="00286ECD">
        <w:rPr>
          <w:rFonts w:ascii="Georgia" w:eastAsia="Times New Roman" w:hAnsi="Georgia" w:cs="Times New Roman"/>
          <w:color w:val="000000" w:themeColor="text1"/>
          <w:lang w:val="en-GB" w:eastAsia="en-GB"/>
        </w:rPr>
        <w:t xml:space="preserve"> based on the aggregated functional guild to which they belong. Labels annotate the life histo</w:t>
      </w:r>
      <w:r>
        <w:rPr>
          <w:rFonts w:ascii="Georgia" w:eastAsia="Times New Roman" w:hAnsi="Georgia" w:cs="Times New Roman"/>
          <w:color w:val="000000" w:themeColor="text1"/>
          <w:lang w:val="en-GB" w:eastAsia="en-GB"/>
        </w:rPr>
        <w:t>r</w:t>
      </w:r>
      <w:r w:rsidRPr="00286ECD">
        <w:rPr>
          <w:rFonts w:ascii="Georgia" w:eastAsia="Times New Roman" w:hAnsi="Georgia" w:cs="Times New Roman"/>
          <w:color w:val="000000" w:themeColor="text1"/>
          <w:lang w:val="en-GB" w:eastAsia="en-GB"/>
        </w:rPr>
        <w:t>y stage (</w:t>
      </w:r>
      <w:r>
        <w:rPr>
          <w:rFonts w:ascii="Georgia" w:eastAsia="Times New Roman" w:hAnsi="Georgia" w:cs="Times New Roman"/>
          <w:color w:val="000000" w:themeColor="text1"/>
          <w:lang w:val="en-GB" w:eastAsia="en-GB"/>
        </w:rPr>
        <w:t>0</w:t>
      </w:r>
      <w:r w:rsidRPr="00286ECD">
        <w:rPr>
          <w:rFonts w:ascii="Georgia" w:eastAsia="Times New Roman" w:hAnsi="Georgia" w:cs="Times New Roman"/>
          <w:color w:val="000000" w:themeColor="text1"/>
          <w:lang w:val="en-GB" w:eastAsia="en-GB"/>
        </w:rPr>
        <w:t xml:space="preserve"> for larvae stage, 1 for juvenile stage, 2 for 2-year-olds, 3 for 3-year-olds and 4 for </w:t>
      </w:r>
      <w:proofErr w:type="gramStart"/>
      <w:r w:rsidRPr="00286ECD">
        <w:rPr>
          <w:rFonts w:ascii="Georgia" w:eastAsia="Times New Roman" w:hAnsi="Georgia" w:cs="Times New Roman"/>
          <w:color w:val="000000" w:themeColor="text1"/>
          <w:lang w:val="en-GB" w:eastAsia="en-GB"/>
        </w:rPr>
        <w:t>4-year olds</w:t>
      </w:r>
      <w:proofErr w:type="gramEnd"/>
      <w:r w:rsidRPr="00286ECD">
        <w:rPr>
          <w:rFonts w:ascii="Georgia" w:eastAsia="Times New Roman" w:hAnsi="Georgia" w:cs="Times New Roman"/>
          <w:color w:val="000000" w:themeColor="text1"/>
          <w:lang w:val="en-GB" w:eastAsia="en-GB"/>
        </w:rPr>
        <w:t xml:space="preserve">-and older) of </w:t>
      </w:r>
      <w:r>
        <w:rPr>
          <w:rFonts w:ascii="Georgia" w:eastAsia="Times New Roman" w:hAnsi="Georgia" w:cs="Times New Roman"/>
          <w:color w:val="000000" w:themeColor="text1"/>
          <w:lang w:val="en-GB" w:eastAsia="en-GB"/>
        </w:rPr>
        <w:t xml:space="preserve">the </w:t>
      </w:r>
      <w:r w:rsidRPr="00286ECD">
        <w:rPr>
          <w:rFonts w:ascii="Georgia" w:eastAsia="Times New Roman" w:hAnsi="Georgia" w:cs="Times New Roman"/>
          <w:color w:val="000000" w:themeColor="text1"/>
          <w:lang w:val="en-GB" w:eastAsia="en-GB"/>
        </w:rPr>
        <w:t>Fjord cod ecotype (</w:t>
      </w:r>
      <w:proofErr w:type="spellStart"/>
      <w:r w:rsidRPr="00286ECD">
        <w:rPr>
          <w:rFonts w:ascii="Georgia" w:eastAsia="Times New Roman" w:hAnsi="Georgia" w:cs="Times New Roman"/>
          <w:color w:val="000000" w:themeColor="text1"/>
          <w:lang w:val="en-GB" w:eastAsia="en-GB"/>
        </w:rPr>
        <w:t>Cdf</w:t>
      </w:r>
      <w:proofErr w:type="spellEnd"/>
      <w:r w:rsidRPr="00286ECD">
        <w:rPr>
          <w:rFonts w:ascii="Georgia" w:eastAsia="Times New Roman" w:hAnsi="Georgia" w:cs="Times New Roman"/>
          <w:color w:val="000000" w:themeColor="text1"/>
          <w:lang w:val="en-GB" w:eastAsia="en-GB"/>
        </w:rPr>
        <w:t>) and North Sea cod ecotype (</w:t>
      </w:r>
      <w:proofErr w:type="spellStart"/>
      <w:r w:rsidRPr="00286ECD">
        <w:rPr>
          <w:rFonts w:ascii="Georgia" w:eastAsia="Times New Roman" w:hAnsi="Georgia" w:cs="Times New Roman"/>
          <w:color w:val="000000" w:themeColor="text1"/>
          <w:lang w:val="en-GB" w:eastAsia="en-GB"/>
        </w:rPr>
        <w:t>Cdn</w:t>
      </w:r>
      <w:proofErr w:type="spellEnd"/>
      <w:r w:rsidRPr="00286ECD">
        <w:rPr>
          <w:rFonts w:ascii="Georgia" w:eastAsia="Times New Roman" w:hAnsi="Georgia" w:cs="Times New Roman"/>
          <w:color w:val="000000" w:themeColor="text1"/>
          <w:lang w:val="en-GB" w:eastAsia="en-GB"/>
        </w:rPr>
        <w:t>) guilds.</w:t>
      </w:r>
    </w:p>
    <w:p w14:paraId="3DFE1160" w14:textId="77777777" w:rsidR="005E45D8" w:rsidRPr="00286ECD" w:rsidRDefault="005E45D8" w:rsidP="005E45D8">
      <w:pPr>
        <w:autoSpaceDE w:val="0"/>
        <w:autoSpaceDN w:val="0"/>
        <w:adjustRightInd w:val="0"/>
        <w:spacing w:line="480" w:lineRule="auto"/>
        <w:jc w:val="both"/>
        <w:rPr>
          <w:rFonts w:ascii="Georgia" w:eastAsia="Times New Roman" w:hAnsi="Georgia" w:cs="Times New Roman"/>
          <w:color w:val="000000"/>
          <w:lang w:val="en-GB" w:eastAsia="en-GB"/>
        </w:rPr>
      </w:pPr>
    </w:p>
    <w:p w14:paraId="239114C6" w14:textId="06B28341" w:rsidR="005E45D8" w:rsidRPr="005E45D8" w:rsidRDefault="005E45D8" w:rsidP="005E45D8">
      <w:pPr>
        <w:autoSpaceDE w:val="0"/>
        <w:autoSpaceDN w:val="0"/>
        <w:adjustRightInd w:val="0"/>
        <w:spacing w:line="480" w:lineRule="auto"/>
        <w:jc w:val="both"/>
        <w:rPr>
          <w:rFonts w:ascii="Georgia" w:hAnsi="Georgia" w:cs="Times New Roman"/>
          <w:color w:val="000000" w:themeColor="text1"/>
          <w:u w:color="E6000E"/>
          <w:lang w:val="en-GB"/>
        </w:rPr>
      </w:pPr>
      <w:r w:rsidRPr="00286ECD">
        <w:rPr>
          <w:rFonts w:ascii="Georgia" w:eastAsia="Times New Roman" w:hAnsi="Georgia" w:cs="Times New Roman"/>
          <w:b/>
          <w:bCs/>
          <w:color w:val="000000" w:themeColor="text1"/>
          <w:lang w:val="en-GB" w:eastAsia="en-GB"/>
        </w:rPr>
        <w:t>FIGURE 3</w:t>
      </w:r>
      <w:r w:rsidRPr="00286ECD">
        <w:rPr>
          <w:rFonts w:ascii="Georgia" w:eastAsia="Times New Roman" w:hAnsi="Georgia" w:cs="Times New Roman"/>
          <w:color w:val="000000" w:themeColor="text1"/>
          <w:lang w:val="en-GB" w:eastAsia="en-GB"/>
        </w:rPr>
        <w:t xml:space="preserve"> Biomass changes in </w:t>
      </w:r>
      <w:r>
        <w:rPr>
          <w:rFonts w:ascii="Georgia" w:eastAsia="Times New Roman" w:hAnsi="Georgia" w:cs="Times New Roman"/>
          <w:color w:val="000000" w:themeColor="text1"/>
          <w:lang w:val="en-GB" w:eastAsia="en-GB"/>
        </w:rPr>
        <w:t xml:space="preserve">the </w:t>
      </w:r>
      <w:r w:rsidRPr="00286ECD">
        <w:rPr>
          <w:rFonts w:ascii="Georgia" w:eastAsia="Times New Roman" w:hAnsi="Georgia" w:cs="Times New Roman"/>
          <w:color w:val="000000" w:themeColor="text1"/>
          <w:lang w:val="en-GB" w:eastAsia="en-GB"/>
        </w:rPr>
        <w:t xml:space="preserve">Skagerrak food web in response to the removal of one or both cod ecotypes. </w:t>
      </w:r>
      <w:r w:rsidRPr="00286ECD">
        <w:rPr>
          <w:rFonts w:ascii="Georgia" w:hAnsi="Georgia" w:cs="Times New Roman"/>
          <w:color w:val="000000" w:themeColor="text1"/>
          <w:u w:color="E6000E"/>
          <w:lang w:val="en-GB"/>
        </w:rPr>
        <w:t xml:space="preserve">The percentage of average biomass change in aggregated functional guilds (a) and the percentage of log biomass change in </w:t>
      </w:r>
      <w:r>
        <w:rPr>
          <w:rFonts w:ascii="Georgia" w:hAnsi="Georgia" w:cs="Times New Roman"/>
          <w:color w:val="000000" w:themeColor="text1"/>
          <w:u w:color="E6000E"/>
          <w:lang w:val="en-GB"/>
        </w:rPr>
        <w:t xml:space="preserve">the </w:t>
      </w:r>
      <w:r w:rsidRPr="00286ECD">
        <w:rPr>
          <w:rFonts w:ascii="Georgia" w:hAnsi="Georgia" w:cs="Times New Roman"/>
          <w:color w:val="000000" w:themeColor="text1"/>
          <w:u w:color="E6000E"/>
          <w:lang w:val="en-GB"/>
        </w:rPr>
        <w:t>ten fish species that exhibited the greatest change (b)</w:t>
      </w:r>
      <w:r>
        <w:rPr>
          <w:rFonts w:ascii="Georgia" w:hAnsi="Georgia" w:cs="Times New Roman"/>
          <w:color w:val="000000" w:themeColor="text1"/>
          <w:u w:color="E6000E"/>
          <w:lang w:val="en-GB"/>
        </w:rPr>
        <w:t>.</w:t>
      </w:r>
      <w:r w:rsidRPr="00286ECD">
        <w:rPr>
          <w:rFonts w:ascii="Georgia" w:hAnsi="Georgia" w:cs="Times New Roman"/>
          <w:color w:val="000000" w:themeColor="text1"/>
          <w:u w:color="E6000E"/>
          <w:lang w:val="en-GB"/>
        </w:rPr>
        <w:t xml:space="preserve"> </w:t>
      </w:r>
      <w:r>
        <w:rPr>
          <w:rFonts w:ascii="Georgia" w:hAnsi="Georgia" w:cs="Times New Roman"/>
          <w:color w:val="000000" w:themeColor="text1"/>
          <w:u w:color="E6000E"/>
          <w:lang w:val="en-GB"/>
        </w:rPr>
        <w:t>Changes were</w:t>
      </w:r>
      <w:r w:rsidRPr="00286ECD">
        <w:rPr>
          <w:rFonts w:ascii="Georgia" w:hAnsi="Georgia" w:cs="Times New Roman"/>
          <w:color w:val="000000" w:themeColor="text1"/>
          <w:u w:color="E6000E"/>
          <w:lang w:val="en-GB"/>
        </w:rPr>
        <w:t xml:space="preserve"> estimated relative to the Skagerrak food web where both </w:t>
      </w:r>
      <w:r>
        <w:rPr>
          <w:rFonts w:ascii="Georgia" w:hAnsi="Georgia" w:cs="Times New Roman"/>
          <w:color w:val="000000" w:themeColor="text1"/>
          <w:u w:color="E6000E"/>
          <w:lang w:val="en-GB"/>
        </w:rPr>
        <w:t xml:space="preserve">cod </w:t>
      </w:r>
      <w:r w:rsidRPr="00286ECD">
        <w:rPr>
          <w:rFonts w:ascii="Georgia" w:hAnsi="Georgia" w:cs="Times New Roman"/>
          <w:color w:val="000000" w:themeColor="text1"/>
          <w:u w:color="E6000E"/>
          <w:lang w:val="en-GB"/>
        </w:rPr>
        <w:t xml:space="preserve">ecotypes are present. Gray points represent the relative change in a scenario where both cod ecotypes were removed, blue points represent </w:t>
      </w:r>
      <w:r>
        <w:rPr>
          <w:rFonts w:ascii="Georgia" w:hAnsi="Georgia" w:cs="Times New Roman"/>
          <w:color w:val="000000" w:themeColor="text1"/>
          <w:u w:color="E6000E"/>
          <w:lang w:val="en-GB"/>
        </w:rPr>
        <w:t xml:space="preserve">the </w:t>
      </w:r>
      <w:r w:rsidRPr="00286ECD">
        <w:rPr>
          <w:rFonts w:ascii="Georgia" w:hAnsi="Georgia" w:cs="Times New Roman"/>
          <w:color w:val="000000" w:themeColor="text1"/>
          <w:u w:color="E6000E"/>
          <w:lang w:val="en-GB"/>
        </w:rPr>
        <w:t xml:space="preserve">relative change in a scenario where Fjord cod ecotype was removed, and </w:t>
      </w:r>
      <w:r w:rsidRPr="00286ECD">
        <w:rPr>
          <w:rFonts w:ascii="Georgia" w:hAnsi="Georgia" w:cs="Times New Roman"/>
          <w:color w:val="000000" w:themeColor="text1"/>
          <w:u w:color="E6000E"/>
          <w:lang w:val="en-GB"/>
        </w:rPr>
        <w:lastRenderedPageBreak/>
        <w:t>purple points represent the relative change in a scenario where the North Sea cod ecotype was removed.</w:t>
      </w:r>
    </w:p>
    <w:sectPr w:rsidR="005E45D8" w:rsidRPr="005E45D8" w:rsidSect="005E45D8">
      <w:footerReference w:type="even" r:id="rId16"/>
      <w:footerReference w:type="default" r:id="rId17"/>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CF039" w14:textId="77777777" w:rsidR="00BF453B" w:rsidRDefault="00BF453B">
      <w:r>
        <w:separator/>
      </w:r>
    </w:p>
  </w:endnote>
  <w:endnote w:type="continuationSeparator" w:id="0">
    <w:p w14:paraId="20640486" w14:textId="77777777" w:rsidR="00BF453B" w:rsidRDefault="00BF4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Segoe UI">
    <w:panose1 w:val="020B0604020202020204"/>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Avenir Heavy">
    <w:panose1 w:val="020B0703020203020204"/>
    <w:charset w:val="4D"/>
    <w:family w:val="swiss"/>
    <w:pitch w:val="variable"/>
    <w:sig w:usb0="800000A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Apple Chancery">
    <w:panose1 w:val="03020702040506060504"/>
    <w:charset w:val="B1"/>
    <w:family w:val="script"/>
    <w:pitch w:val="variable"/>
    <w:sig w:usb0="80000867" w:usb1="00000003" w:usb2="00000000" w:usb3="00000000" w:csb0="000001F3"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06299670"/>
      <w:docPartObj>
        <w:docPartGallery w:val="Page Numbers (Bottom of Page)"/>
        <w:docPartUnique/>
      </w:docPartObj>
    </w:sdtPr>
    <w:sdtContent>
      <w:p w14:paraId="1AC71DA2" w14:textId="77777777" w:rsidR="00CE13F0" w:rsidRDefault="00000000" w:rsidP="00D6495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3C89D53" w14:textId="77777777" w:rsidR="00CE13F0" w:rsidRDefault="00CE13F0" w:rsidP="009653C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9889898"/>
      <w:docPartObj>
        <w:docPartGallery w:val="Page Numbers (Bottom of Page)"/>
        <w:docPartUnique/>
      </w:docPartObj>
    </w:sdtPr>
    <w:sdtContent>
      <w:p w14:paraId="505635E3" w14:textId="77777777" w:rsidR="00CE13F0" w:rsidRDefault="00000000" w:rsidP="00D6495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65E229B" w14:textId="77777777" w:rsidR="00CE13F0" w:rsidRDefault="00CE13F0" w:rsidP="009653C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5E714" w14:textId="77777777" w:rsidR="00BF453B" w:rsidRDefault="00BF453B">
      <w:r>
        <w:separator/>
      </w:r>
    </w:p>
  </w:footnote>
  <w:footnote w:type="continuationSeparator" w:id="0">
    <w:p w14:paraId="0BA5F687" w14:textId="77777777" w:rsidR="00BF453B" w:rsidRDefault="00BF45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11F77"/>
    <w:multiLevelType w:val="hybridMultilevel"/>
    <w:tmpl w:val="5B8444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B714420"/>
    <w:multiLevelType w:val="multilevel"/>
    <w:tmpl w:val="7EAE3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24477253">
    <w:abstractNumId w:val="1"/>
  </w:num>
  <w:num w:numId="2" w16cid:durableId="21152006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5D8"/>
    <w:rsid w:val="0006011B"/>
    <w:rsid w:val="000F5BF9"/>
    <w:rsid w:val="00136912"/>
    <w:rsid w:val="001918DA"/>
    <w:rsid w:val="001A6D66"/>
    <w:rsid w:val="001B06B2"/>
    <w:rsid w:val="001D3104"/>
    <w:rsid w:val="001E1917"/>
    <w:rsid w:val="00244AC5"/>
    <w:rsid w:val="002F7118"/>
    <w:rsid w:val="00355FE5"/>
    <w:rsid w:val="003B46B8"/>
    <w:rsid w:val="003D6316"/>
    <w:rsid w:val="004009A6"/>
    <w:rsid w:val="00464FA8"/>
    <w:rsid w:val="00527642"/>
    <w:rsid w:val="00582FE0"/>
    <w:rsid w:val="005B3F12"/>
    <w:rsid w:val="005E45D8"/>
    <w:rsid w:val="00676293"/>
    <w:rsid w:val="006A7C85"/>
    <w:rsid w:val="0071336A"/>
    <w:rsid w:val="00787EE9"/>
    <w:rsid w:val="008102B0"/>
    <w:rsid w:val="008263CD"/>
    <w:rsid w:val="009003E3"/>
    <w:rsid w:val="009438A1"/>
    <w:rsid w:val="009575B8"/>
    <w:rsid w:val="00A02968"/>
    <w:rsid w:val="00A41D25"/>
    <w:rsid w:val="00AE6E63"/>
    <w:rsid w:val="00B11149"/>
    <w:rsid w:val="00B32800"/>
    <w:rsid w:val="00B90F2E"/>
    <w:rsid w:val="00BA279F"/>
    <w:rsid w:val="00BD4307"/>
    <w:rsid w:val="00BF3E23"/>
    <w:rsid w:val="00BF453B"/>
    <w:rsid w:val="00C228A7"/>
    <w:rsid w:val="00CE13F0"/>
    <w:rsid w:val="00E14A73"/>
    <w:rsid w:val="00E7718E"/>
    <w:rsid w:val="00E94CED"/>
    <w:rsid w:val="00F23143"/>
    <w:rsid w:val="00F328A1"/>
    <w:rsid w:val="00F33907"/>
    <w:rsid w:val="00FC64D0"/>
    <w:rsid w:val="00FE3796"/>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decimalSymbol w:val=","/>
  <w:listSeparator w:val=","/>
  <w14:docId w14:val="53D194B4"/>
  <w15:chartTrackingRefBased/>
  <w15:docId w15:val="{FC8C21CC-9DF3-604C-918A-72077210A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F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45D8"/>
    <w:pPr>
      <w:spacing w:after="0" w:line="240" w:lineRule="auto"/>
    </w:pPr>
    <w:rPr>
      <w:kern w:val="0"/>
      <w:lang w:val="en-US"/>
      <w14:ligatures w14:val="none"/>
    </w:rPr>
  </w:style>
  <w:style w:type="paragraph" w:styleId="Heading1">
    <w:name w:val="heading 1"/>
    <w:basedOn w:val="Normal"/>
    <w:next w:val="Normal"/>
    <w:link w:val="Heading1Char"/>
    <w:uiPriority w:val="9"/>
    <w:qFormat/>
    <w:rsid w:val="005E45D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E45D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E45D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E45D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E45D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E45D8"/>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E45D8"/>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E45D8"/>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E45D8"/>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45D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E45D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E45D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E45D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E45D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E45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E45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E45D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E45D8"/>
    <w:rPr>
      <w:rFonts w:eastAsiaTheme="majorEastAsia" w:cstheme="majorBidi"/>
      <w:color w:val="272727" w:themeColor="text1" w:themeTint="D8"/>
    </w:rPr>
  </w:style>
  <w:style w:type="paragraph" w:styleId="Title">
    <w:name w:val="Title"/>
    <w:basedOn w:val="Normal"/>
    <w:next w:val="Normal"/>
    <w:link w:val="TitleChar"/>
    <w:uiPriority w:val="10"/>
    <w:qFormat/>
    <w:rsid w:val="005E45D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45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E45D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E45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E45D8"/>
    <w:pPr>
      <w:spacing w:before="160"/>
      <w:jc w:val="center"/>
    </w:pPr>
    <w:rPr>
      <w:i/>
      <w:iCs/>
      <w:color w:val="404040" w:themeColor="text1" w:themeTint="BF"/>
    </w:rPr>
  </w:style>
  <w:style w:type="character" w:customStyle="1" w:styleId="QuoteChar">
    <w:name w:val="Quote Char"/>
    <w:basedOn w:val="DefaultParagraphFont"/>
    <w:link w:val="Quote"/>
    <w:uiPriority w:val="29"/>
    <w:rsid w:val="005E45D8"/>
    <w:rPr>
      <w:i/>
      <w:iCs/>
      <w:color w:val="404040" w:themeColor="text1" w:themeTint="BF"/>
    </w:rPr>
  </w:style>
  <w:style w:type="paragraph" w:styleId="ListParagraph">
    <w:name w:val="List Paragraph"/>
    <w:basedOn w:val="Normal"/>
    <w:uiPriority w:val="34"/>
    <w:qFormat/>
    <w:rsid w:val="005E45D8"/>
    <w:pPr>
      <w:ind w:left="720"/>
      <w:contextualSpacing/>
    </w:pPr>
  </w:style>
  <w:style w:type="character" w:styleId="IntenseEmphasis">
    <w:name w:val="Intense Emphasis"/>
    <w:basedOn w:val="DefaultParagraphFont"/>
    <w:uiPriority w:val="21"/>
    <w:qFormat/>
    <w:rsid w:val="005E45D8"/>
    <w:rPr>
      <w:i/>
      <w:iCs/>
      <w:color w:val="0F4761" w:themeColor="accent1" w:themeShade="BF"/>
    </w:rPr>
  </w:style>
  <w:style w:type="paragraph" w:styleId="IntenseQuote">
    <w:name w:val="Intense Quote"/>
    <w:basedOn w:val="Normal"/>
    <w:next w:val="Normal"/>
    <w:link w:val="IntenseQuoteChar"/>
    <w:uiPriority w:val="30"/>
    <w:qFormat/>
    <w:rsid w:val="005E45D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E45D8"/>
    <w:rPr>
      <w:i/>
      <w:iCs/>
      <w:color w:val="0F4761" w:themeColor="accent1" w:themeShade="BF"/>
    </w:rPr>
  </w:style>
  <w:style w:type="character" w:styleId="IntenseReference">
    <w:name w:val="Intense Reference"/>
    <w:basedOn w:val="DefaultParagraphFont"/>
    <w:uiPriority w:val="32"/>
    <w:qFormat/>
    <w:rsid w:val="005E45D8"/>
    <w:rPr>
      <w:b/>
      <w:bCs/>
      <w:smallCaps/>
      <w:color w:val="0F4761" w:themeColor="accent1" w:themeShade="BF"/>
      <w:spacing w:val="5"/>
    </w:rPr>
  </w:style>
  <w:style w:type="character" w:styleId="CommentReference">
    <w:name w:val="annotation reference"/>
    <w:basedOn w:val="DefaultParagraphFont"/>
    <w:uiPriority w:val="99"/>
    <w:semiHidden/>
    <w:unhideWhenUsed/>
    <w:rsid w:val="005E45D8"/>
    <w:rPr>
      <w:sz w:val="16"/>
      <w:szCs w:val="16"/>
    </w:rPr>
  </w:style>
  <w:style w:type="paragraph" w:styleId="CommentText">
    <w:name w:val="annotation text"/>
    <w:basedOn w:val="Normal"/>
    <w:link w:val="CommentTextChar"/>
    <w:uiPriority w:val="99"/>
    <w:unhideWhenUsed/>
    <w:rsid w:val="005E45D8"/>
    <w:rPr>
      <w:sz w:val="20"/>
      <w:szCs w:val="20"/>
    </w:rPr>
  </w:style>
  <w:style w:type="character" w:customStyle="1" w:styleId="CommentTextChar">
    <w:name w:val="Comment Text Char"/>
    <w:basedOn w:val="DefaultParagraphFont"/>
    <w:link w:val="CommentText"/>
    <w:uiPriority w:val="99"/>
    <w:rsid w:val="005E45D8"/>
    <w:rPr>
      <w:kern w:val="0"/>
      <w:sz w:val="20"/>
      <w:szCs w:val="20"/>
      <w:lang w:val="en-US"/>
      <w14:ligatures w14:val="none"/>
    </w:rPr>
  </w:style>
  <w:style w:type="paragraph" w:styleId="Header">
    <w:name w:val="header"/>
    <w:basedOn w:val="Normal"/>
    <w:link w:val="HeaderChar"/>
    <w:uiPriority w:val="99"/>
    <w:unhideWhenUsed/>
    <w:rsid w:val="005E45D8"/>
    <w:pPr>
      <w:tabs>
        <w:tab w:val="center" w:pos="4513"/>
        <w:tab w:val="right" w:pos="9026"/>
      </w:tabs>
    </w:pPr>
  </w:style>
  <w:style w:type="character" w:customStyle="1" w:styleId="HeaderChar">
    <w:name w:val="Header Char"/>
    <w:basedOn w:val="DefaultParagraphFont"/>
    <w:link w:val="Header"/>
    <w:uiPriority w:val="99"/>
    <w:rsid w:val="005E45D8"/>
    <w:rPr>
      <w:kern w:val="0"/>
      <w:lang w:val="en-US"/>
      <w14:ligatures w14:val="none"/>
    </w:rPr>
  </w:style>
  <w:style w:type="paragraph" w:styleId="Footer">
    <w:name w:val="footer"/>
    <w:basedOn w:val="Normal"/>
    <w:link w:val="FooterChar"/>
    <w:uiPriority w:val="99"/>
    <w:unhideWhenUsed/>
    <w:rsid w:val="005E45D8"/>
    <w:pPr>
      <w:tabs>
        <w:tab w:val="center" w:pos="4513"/>
        <w:tab w:val="right" w:pos="9026"/>
      </w:tabs>
    </w:pPr>
  </w:style>
  <w:style w:type="character" w:customStyle="1" w:styleId="FooterChar">
    <w:name w:val="Footer Char"/>
    <w:basedOn w:val="DefaultParagraphFont"/>
    <w:link w:val="Footer"/>
    <w:uiPriority w:val="99"/>
    <w:rsid w:val="005E45D8"/>
    <w:rPr>
      <w:kern w:val="0"/>
      <w:lang w:val="en-US"/>
      <w14:ligatures w14:val="none"/>
    </w:rPr>
  </w:style>
  <w:style w:type="table" w:styleId="PlainTable4">
    <w:name w:val="Plain Table 4"/>
    <w:basedOn w:val="TableNormal"/>
    <w:uiPriority w:val="44"/>
    <w:rsid w:val="005E45D8"/>
    <w:pPr>
      <w:spacing w:after="0" w:line="240" w:lineRule="auto"/>
    </w:pPr>
    <w:rPr>
      <w:kern w:val="0"/>
      <w:lang w:val="en-US"/>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5E45D8"/>
    <w:pPr>
      <w:spacing w:after="0" w:line="240" w:lineRule="auto"/>
    </w:pPr>
    <w:rPr>
      <w:kern w:val="0"/>
      <w:lang w:val="en-US"/>
      <w14:ligatures w14:val="none"/>
    </w:rPr>
  </w:style>
  <w:style w:type="paragraph" w:styleId="CommentSubject">
    <w:name w:val="annotation subject"/>
    <w:basedOn w:val="CommentText"/>
    <w:next w:val="CommentText"/>
    <w:link w:val="CommentSubjectChar"/>
    <w:uiPriority w:val="99"/>
    <w:semiHidden/>
    <w:unhideWhenUsed/>
    <w:rsid w:val="005E45D8"/>
    <w:rPr>
      <w:b/>
      <w:bCs/>
    </w:rPr>
  </w:style>
  <w:style w:type="character" w:customStyle="1" w:styleId="CommentSubjectChar">
    <w:name w:val="Comment Subject Char"/>
    <w:basedOn w:val="CommentTextChar"/>
    <w:link w:val="CommentSubject"/>
    <w:uiPriority w:val="99"/>
    <w:semiHidden/>
    <w:rsid w:val="005E45D8"/>
    <w:rPr>
      <w:b/>
      <w:bCs/>
      <w:kern w:val="0"/>
      <w:sz w:val="20"/>
      <w:szCs w:val="20"/>
      <w:lang w:val="en-US"/>
      <w14:ligatures w14:val="none"/>
    </w:rPr>
  </w:style>
  <w:style w:type="character" w:styleId="PlaceholderText">
    <w:name w:val="Placeholder Text"/>
    <w:basedOn w:val="DefaultParagraphFont"/>
    <w:uiPriority w:val="99"/>
    <w:semiHidden/>
    <w:rsid w:val="005E45D8"/>
    <w:rPr>
      <w:color w:val="808080"/>
    </w:rPr>
  </w:style>
  <w:style w:type="paragraph" w:styleId="BalloonText">
    <w:name w:val="Balloon Text"/>
    <w:basedOn w:val="Normal"/>
    <w:link w:val="BalloonTextChar"/>
    <w:uiPriority w:val="99"/>
    <w:semiHidden/>
    <w:unhideWhenUsed/>
    <w:rsid w:val="005E45D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45D8"/>
    <w:rPr>
      <w:rFonts w:ascii="Segoe UI" w:hAnsi="Segoe UI" w:cs="Segoe UI"/>
      <w:kern w:val="0"/>
      <w:sz w:val="18"/>
      <w:szCs w:val="18"/>
      <w:lang w:val="en-US"/>
      <w14:ligatures w14:val="none"/>
    </w:rPr>
  </w:style>
  <w:style w:type="character" w:styleId="LineNumber">
    <w:name w:val="line number"/>
    <w:basedOn w:val="DefaultParagraphFont"/>
    <w:uiPriority w:val="99"/>
    <w:semiHidden/>
    <w:unhideWhenUsed/>
    <w:rsid w:val="005E45D8"/>
  </w:style>
  <w:style w:type="character" w:styleId="Hyperlink">
    <w:name w:val="Hyperlink"/>
    <w:basedOn w:val="DefaultParagraphFont"/>
    <w:uiPriority w:val="99"/>
    <w:unhideWhenUsed/>
    <w:rsid w:val="005E45D8"/>
    <w:rPr>
      <w:color w:val="467886" w:themeColor="hyperlink"/>
      <w:u w:val="single"/>
    </w:rPr>
  </w:style>
  <w:style w:type="character" w:styleId="UnresolvedMention">
    <w:name w:val="Unresolved Mention"/>
    <w:basedOn w:val="DefaultParagraphFont"/>
    <w:uiPriority w:val="99"/>
    <w:semiHidden/>
    <w:unhideWhenUsed/>
    <w:rsid w:val="005E45D8"/>
    <w:rPr>
      <w:color w:val="605E5C"/>
      <w:shd w:val="clear" w:color="auto" w:fill="E1DFDD"/>
    </w:rPr>
  </w:style>
  <w:style w:type="character" w:styleId="PageNumber">
    <w:name w:val="page number"/>
    <w:basedOn w:val="DefaultParagraphFont"/>
    <w:uiPriority w:val="99"/>
    <w:semiHidden/>
    <w:unhideWhenUsed/>
    <w:rsid w:val="005E45D8"/>
  </w:style>
  <w:style w:type="character" w:styleId="FollowedHyperlink">
    <w:name w:val="FollowedHyperlink"/>
    <w:basedOn w:val="DefaultParagraphFont"/>
    <w:uiPriority w:val="99"/>
    <w:semiHidden/>
    <w:unhideWhenUsed/>
    <w:rsid w:val="005E45D8"/>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7093846">
      <w:bodyDiv w:val="1"/>
      <w:marLeft w:val="0"/>
      <w:marRight w:val="0"/>
      <w:marTop w:val="0"/>
      <w:marBottom w:val="0"/>
      <w:divBdr>
        <w:top w:val="none" w:sz="0" w:space="0" w:color="auto"/>
        <w:left w:val="none" w:sz="0" w:space="0" w:color="auto"/>
        <w:bottom w:val="none" w:sz="0" w:space="0" w:color="auto"/>
        <w:right w:val="none" w:sz="0" w:space="0" w:color="auto"/>
      </w:divBdr>
    </w:div>
    <w:div w:id="1187402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sben.moland.olsen@hi.no" TargetMode="External"/><Relationship Id="rId13" Type="http://schemas.openxmlformats.org/officeDocument/2006/relationships/image" Target="media/image1.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tommi.a.perala@jyu.fi" TargetMode="External"/><Relationship Id="rId12" Type="http://schemas.openxmlformats.org/officeDocument/2006/relationships/hyperlink" Target="https://datadryad.org/stash/share/V80aZrZjNoQcCP65XNt58vcHMMg7ckvqvTv2UMsvS_s"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ra.s.hocevar@jyu.fi" TargetMode="External"/><Relationship Id="rId5" Type="http://schemas.openxmlformats.org/officeDocument/2006/relationships/footnotes" Target="footnotes.xml"/><Relationship Id="rId15" Type="http://schemas.openxmlformats.org/officeDocument/2006/relationships/image" Target="media/image3.tiff"/><Relationship Id="rId10" Type="http://schemas.openxmlformats.org/officeDocument/2006/relationships/hyperlink" Target="mailto:larsjn@hi.no"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tone.falkenhaug@hi.no" TargetMode="External"/><Relationship Id="rId14"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109</TotalTime>
  <Pages>35</Pages>
  <Words>37783</Words>
  <Characters>215366</Characters>
  <Application>Microsoft Office Word</Application>
  <DocSecurity>0</DocSecurity>
  <Lines>1794</Lines>
  <Paragraphs>505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Hocevar, Sara</dc:creator>
  <cp:keywords/>
  <dc:description/>
  <cp:lastModifiedBy>Hocevar, Sara</cp:lastModifiedBy>
  <cp:revision>34</cp:revision>
  <dcterms:created xsi:type="dcterms:W3CDTF">2024-06-27T12:53:00Z</dcterms:created>
  <dcterms:modified xsi:type="dcterms:W3CDTF">2024-07-01T13:53:00Z</dcterms:modified>
</cp:coreProperties>
</file>