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62DF77" w14:textId="77777777" w:rsidR="003136B9" w:rsidRPr="00011EB4" w:rsidRDefault="00000000">
      <w:pPr>
        <w:keepNext/>
        <w:keepLines/>
        <w:spacing w:after="60" w:line="276" w:lineRule="auto"/>
        <w:jc w:val="both"/>
        <w:rPr>
          <w:rFonts w:ascii="Arial" w:eastAsia="Arial" w:hAnsi="Arial" w:cs="Arial"/>
          <w:sz w:val="20"/>
          <w:szCs w:val="20"/>
          <w:lang w:val="pt-BR"/>
        </w:rPr>
      </w:pPr>
      <w:bookmarkStart w:id="0" w:name="_gjdgxs" w:colFirst="0" w:colLast="0"/>
      <w:bookmarkEnd w:id="0"/>
      <w:proofErr w:type="spellStart"/>
      <w:r w:rsidRPr="00011EB4">
        <w:rPr>
          <w:rFonts w:ascii="Arial" w:eastAsia="Arial" w:hAnsi="Arial" w:cs="Arial"/>
          <w:sz w:val="32"/>
          <w:szCs w:val="32"/>
          <w:lang w:val="pt-BR"/>
        </w:rPr>
        <w:t>Mpox</w:t>
      </w:r>
      <w:proofErr w:type="spellEnd"/>
      <w:r w:rsidRPr="00011EB4">
        <w:rPr>
          <w:rFonts w:ascii="Arial" w:eastAsia="Arial" w:hAnsi="Arial" w:cs="Arial"/>
          <w:sz w:val="32"/>
          <w:szCs w:val="32"/>
          <w:lang w:val="pt-BR"/>
        </w:rPr>
        <w:t xml:space="preserve"> </w:t>
      </w:r>
      <w:proofErr w:type="spellStart"/>
      <w:r w:rsidRPr="00011EB4">
        <w:rPr>
          <w:rFonts w:ascii="Arial" w:eastAsia="Arial" w:hAnsi="Arial" w:cs="Arial"/>
          <w:sz w:val="32"/>
          <w:szCs w:val="32"/>
          <w:lang w:val="pt-BR"/>
        </w:rPr>
        <w:t>outbreak</w:t>
      </w:r>
      <w:proofErr w:type="spellEnd"/>
      <w:r w:rsidRPr="00011EB4">
        <w:rPr>
          <w:rFonts w:ascii="Arial" w:eastAsia="Arial" w:hAnsi="Arial" w:cs="Arial"/>
          <w:sz w:val="32"/>
          <w:szCs w:val="32"/>
          <w:lang w:val="pt-BR"/>
        </w:rPr>
        <w:t xml:space="preserve"> in Rio de Janeiro, </w:t>
      </w:r>
      <w:proofErr w:type="spellStart"/>
      <w:r w:rsidRPr="00011EB4">
        <w:rPr>
          <w:rFonts w:ascii="Arial" w:eastAsia="Arial" w:hAnsi="Arial" w:cs="Arial"/>
          <w:sz w:val="32"/>
          <w:szCs w:val="32"/>
          <w:lang w:val="pt-BR"/>
        </w:rPr>
        <w:t>Brazil</w:t>
      </w:r>
      <w:proofErr w:type="spellEnd"/>
      <w:r w:rsidRPr="00011EB4">
        <w:rPr>
          <w:rFonts w:ascii="Arial" w:eastAsia="Arial" w:hAnsi="Arial" w:cs="Arial"/>
          <w:sz w:val="32"/>
          <w:szCs w:val="32"/>
          <w:lang w:val="pt-BR"/>
        </w:rPr>
        <w:t xml:space="preserve">: a </w:t>
      </w:r>
      <w:proofErr w:type="spellStart"/>
      <w:r w:rsidRPr="00011EB4">
        <w:rPr>
          <w:rFonts w:ascii="Arial" w:eastAsia="Arial" w:hAnsi="Arial" w:cs="Arial"/>
          <w:sz w:val="32"/>
          <w:szCs w:val="32"/>
          <w:lang w:val="pt-BR"/>
        </w:rPr>
        <w:t>translational</w:t>
      </w:r>
      <w:proofErr w:type="spellEnd"/>
      <w:r w:rsidRPr="00011EB4">
        <w:rPr>
          <w:rFonts w:ascii="Arial" w:eastAsia="Arial" w:hAnsi="Arial" w:cs="Arial"/>
          <w:sz w:val="32"/>
          <w:szCs w:val="32"/>
          <w:lang w:val="pt-BR"/>
        </w:rPr>
        <w:t xml:space="preserve"> approach. </w:t>
      </w:r>
    </w:p>
    <w:p w14:paraId="4E23B656" w14:textId="77777777" w:rsidR="003136B9" w:rsidRPr="00011EB4" w:rsidRDefault="00000000">
      <w:pPr>
        <w:spacing w:line="276" w:lineRule="auto"/>
        <w:jc w:val="both"/>
        <w:rPr>
          <w:rFonts w:ascii="Arial" w:eastAsia="Arial" w:hAnsi="Arial" w:cs="Arial"/>
          <w:sz w:val="20"/>
          <w:szCs w:val="20"/>
          <w:vertAlign w:val="superscript"/>
          <w:lang w:val="pt-BR"/>
        </w:rPr>
      </w:pPr>
      <w:r w:rsidRPr="00011EB4">
        <w:rPr>
          <w:rFonts w:ascii="Arial" w:eastAsia="Arial" w:hAnsi="Arial" w:cs="Arial"/>
          <w:sz w:val="20"/>
          <w:szCs w:val="20"/>
          <w:lang w:val="pt-BR"/>
        </w:rPr>
        <w:t>Guilherme S. Lira</w:t>
      </w:r>
      <w:r w:rsidRPr="00011EB4">
        <w:rPr>
          <w:rFonts w:ascii="Arial" w:eastAsia="Arial" w:hAnsi="Arial" w:cs="Arial"/>
          <w:sz w:val="20"/>
          <w:szCs w:val="20"/>
          <w:vertAlign w:val="superscript"/>
          <w:lang w:val="pt-BR"/>
        </w:rPr>
        <w:t>1,5</w:t>
      </w:r>
      <w:r w:rsidRPr="00011EB4">
        <w:rPr>
          <w:rFonts w:ascii="Arial" w:eastAsia="Arial" w:hAnsi="Arial" w:cs="Arial"/>
          <w:sz w:val="20"/>
          <w:szCs w:val="20"/>
          <w:lang w:val="pt-BR"/>
        </w:rPr>
        <w:t>*, Victor A. Ota</w:t>
      </w:r>
      <w:r w:rsidRPr="00011EB4">
        <w:rPr>
          <w:rFonts w:ascii="Arial" w:eastAsia="Arial" w:hAnsi="Arial" w:cs="Arial"/>
          <w:sz w:val="20"/>
          <w:szCs w:val="20"/>
          <w:vertAlign w:val="superscript"/>
          <w:lang w:val="pt-BR"/>
        </w:rPr>
        <w:t>1,5</w:t>
      </w:r>
      <w:r w:rsidRPr="00011EB4">
        <w:rPr>
          <w:rFonts w:ascii="Arial" w:eastAsia="Arial" w:hAnsi="Arial" w:cs="Arial"/>
          <w:sz w:val="20"/>
          <w:szCs w:val="20"/>
          <w:lang w:val="pt-BR"/>
        </w:rPr>
        <w:t>*, Mariana Q. S. Melo</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Anna C. P. Castiñeiras</w:t>
      </w:r>
      <w:r w:rsidRPr="00011EB4">
        <w:rPr>
          <w:rFonts w:ascii="Arial" w:eastAsia="Arial" w:hAnsi="Arial" w:cs="Arial"/>
          <w:sz w:val="20"/>
          <w:szCs w:val="20"/>
          <w:vertAlign w:val="superscript"/>
          <w:lang w:val="pt-BR"/>
        </w:rPr>
        <w:t>1,6</w:t>
      </w:r>
      <w:r w:rsidRPr="00011EB4">
        <w:rPr>
          <w:rFonts w:ascii="Arial" w:eastAsia="Arial" w:hAnsi="Arial" w:cs="Arial"/>
          <w:sz w:val="20"/>
          <w:szCs w:val="20"/>
          <w:lang w:val="pt-BR"/>
        </w:rPr>
        <w:t>, Isabela C. Leitão</w:t>
      </w:r>
      <w:r w:rsidRPr="00011EB4">
        <w:rPr>
          <w:rFonts w:ascii="Arial" w:eastAsia="Arial" w:hAnsi="Arial" w:cs="Arial"/>
          <w:sz w:val="20"/>
          <w:szCs w:val="20"/>
          <w:vertAlign w:val="superscript"/>
          <w:lang w:val="pt-BR"/>
        </w:rPr>
        <w:t>1,6</w:t>
      </w:r>
      <w:r w:rsidRPr="00011EB4">
        <w:rPr>
          <w:rFonts w:ascii="Arial" w:eastAsia="Arial" w:hAnsi="Arial" w:cs="Arial"/>
          <w:sz w:val="20"/>
          <w:szCs w:val="20"/>
          <w:lang w:val="pt-BR"/>
        </w:rPr>
        <w:t>, Bianca O. Silva</w:t>
      </w:r>
      <w:r w:rsidRPr="00011EB4">
        <w:rPr>
          <w:rFonts w:ascii="Arial" w:eastAsia="Arial" w:hAnsi="Arial" w:cs="Arial"/>
          <w:sz w:val="20"/>
          <w:szCs w:val="20"/>
          <w:vertAlign w:val="superscript"/>
          <w:lang w:val="pt-BR"/>
        </w:rPr>
        <w:t>1</w:t>
      </w:r>
      <w:r w:rsidRPr="00011EB4">
        <w:rPr>
          <w:rFonts w:ascii="Arial" w:eastAsia="Arial" w:hAnsi="Arial" w:cs="Arial"/>
          <w:sz w:val="20"/>
          <w:szCs w:val="20"/>
          <w:lang w:val="pt-BR"/>
        </w:rPr>
        <w:t>, Diana Mariani</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Cássia C. A. Gonçalves</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Liane J. Ribeiro</w:t>
      </w:r>
      <w:r w:rsidRPr="00011EB4">
        <w:rPr>
          <w:rFonts w:ascii="Arial" w:eastAsia="Arial" w:hAnsi="Arial" w:cs="Arial"/>
          <w:sz w:val="20"/>
          <w:szCs w:val="20"/>
          <w:vertAlign w:val="superscript"/>
          <w:lang w:val="pt-BR"/>
        </w:rPr>
        <w:t>2</w:t>
      </w:r>
      <w:r w:rsidRPr="00011EB4">
        <w:rPr>
          <w:rFonts w:ascii="Arial" w:eastAsia="Arial" w:hAnsi="Arial" w:cs="Arial"/>
          <w:sz w:val="20"/>
          <w:szCs w:val="20"/>
          <w:lang w:val="pt-BR"/>
        </w:rPr>
        <w:t>, Marcia Halpern</w:t>
      </w:r>
      <w:r w:rsidRPr="00011EB4">
        <w:rPr>
          <w:rFonts w:ascii="Arial" w:eastAsia="Arial" w:hAnsi="Arial" w:cs="Arial"/>
          <w:sz w:val="20"/>
          <w:szCs w:val="20"/>
          <w:vertAlign w:val="superscript"/>
          <w:lang w:val="pt-BR"/>
        </w:rPr>
        <w:t>6</w:t>
      </w:r>
      <w:r w:rsidRPr="00011EB4">
        <w:rPr>
          <w:rFonts w:ascii="Arial" w:eastAsia="Arial" w:hAnsi="Arial" w:cs="Arial"/>
          <w:sz w:val="20"/>
          <w:szCs w:val="20"/>
          <w:lang w:val="pt-BR"/>
        </w:rPr>
        <w:t>, Thalita F. Abreu</w:t>
      </w:r>
      <w:r w:rsidRPr="00011EB4">
        <w:rPr>
          <w:rFonts w:ascii="Arial" w:eastAsia="Arial" w:hAnsi="Arial" w:cs="Arial"/>
          <w:sz w:val="20"/>
          <w:szCs w:val="20"/>
          <w:vertAlign w:val="superscript"/>
          <w:lang w:val="pt-BR"/>
        </w:rPr>
        <w:t>7</w:t>
      </w:r>
      <w:r w:rsidRPr="00011EB4">
        <w:rPr>
          <w:rFonts w:ascii="Arial" w:eastAsia="Arial" w:hAnsi="Arial" w:cs="Arial"/>
          <w:sz w:val="20"/>
          <w:szCs w:val="20"/>
          <w:lang w:val="pt-BR"/>
        </w:rPr>
        <w:t>, Fabiana A. Carneiro</w:t>
      </w:r>
      <w:r w:rsidRPr="00011EB4">
        <w:rPr>
          <w:rFonts w:ascii="Arial" w:eastAsia="Arial" w:hAnsi="Arial" w:cs="Arial"/>
          <w:sz w:val="20"/>
          <w:szCs w:val="20"/>
          <w:vertAlign w:val="superscript"/>
          <w:lang w:val="pt-BR"/>
        </w:rPr>
        <w:t>4,8</w:t>
      </w:r>
      <w:r w:rsidRPr="00011EB4">
        <w:rPr>
          <w:rFonts w:ascii="Arial" w:eastAsia="Arial" w:hAnsi="Arial" w:cs="Arial"/>
          <w:sz w:val="20"/>
          <w:szCs w:val="20"/>
          <w:lang w:val="pt-BR"/>
        </w:rPr>
        <w:t>, Helena T. Scheid</w:t>
      </w:r>
      <w:r w:rsidRPr="00011EB4">
        <w:rPr>
          <w:rFonts w:ascii="Arial" w:eastAsia="Arial" w:hAnsi="Arial" w:cs="Arial"/>
          <w:sz w:val="20"/>
          <w:szCs w:val="20"/>
          <w:vertAlign w:val="superscript"/>
          <w:lang w:val="pt-BR"/>
        </w:rPr>
        <w:t>1</w:t>
      </w:r>
      <w:r w:rsidRPr="00011EB4">
        <w:rPr>
          <w:rFonts w:ascii="Arial" w:eastAsia="Arial" w:hAnsi="Arial" w:cs="Arial"/>
          <w:sz w:val="20"/>
          <w:szCs w:val="20"/>
          <w:lang w:val="pt-BR"/>
        </w:rPr>
        <w:t>, Leonardo A. V. Souza</w:t>
      </w:r>
      <w:r w:rsidRPr="00011EB4">
        <w:rPr>
          <w:rFonts w:ascii="Arial" w:eastAsia="Arial" w:hAnsi="Arial" w:cs="Arial"/>
          <w:sz w:val="20"/>
          <w:szCs w:val="20"/>
          <w:vertAlign w:val="superscript"/>
          <w:lang w:val="pt-BR"/>
        </w:rPr>
        <w:t>6</w:t>
      </w:r>
      <w:r w:rsidRPr="00011EB4">
        <w:rPr>
          <w:rFonts w:ascii="Arial" w:eastAsia="Arial" w:hAnsi="Arial" w:cs="Arial"/>
          <w:sz w:val="20"/>
          <w:szCs w:val="20"/>
          <w:lang w:val="pt-BR"/>
        </w:rPr>
        <w:t>, Débora G. M. Rodrigues</w:t>
      </w:r>
      <w:r w:rsidRPr="00011EB4">
        <w:rPr>
          <w:rFonts w:ascii="Arial" w:eastAsia="Arial" w:hAnsi="Arial" w:cs="Arial"/>
          <w:sz w:val="20"/>
          <w:szCs w:val="20"/>
          <w:vertAlign w:val="superscript"/>
          <w:lang w:val="pt-BR"/>
        </w:rPr>
        <w:t>1</w:t>
      </w:r>
      <w:r w:rsidRPr="00011EB4">
        <w:rPr>
          <w:rFonts w:ascii="Arial" w:eastAsia="Arial" w:hAnsi="Arial" w:cs="Arial"/>
          <w:sz w:val="20"/>
          <w:szCs w:val="20"/>
          <w:lang w:val="pt-BR"/>
        </w:rPr>
        <w:t>, Nádia V. G. Cruz</w:t>
      </w:r>
      <w:r w:rsidRPr="00011EB4">
        <w:rPr>
          <w:rFonts w:ascii="Arial" w:eastAsia="Arial" w:hAnsi="Arial" w:cs="Arial"/>
          <w:sz w:val="20"/>
          <w:szCs w:val="20"/>
          <w:vertAlign w:val="superscript"/>
          <w:lang w:val="pt-BR"/>
        </w:rPr>
        <w:t>10</w:t>
      </w:r>
      <w:r w:rsidRPr="00011EB4">
        <w:rPr>
          <w:rFonts w:ascii="Arial" w:eastAsia="Arial" w:hAnsi="Arial" w:cs="Arial"/>
          <w:sz w:val="20"/>
          <w:szCs w:val="20"/>
          <w:lang w:val="pt-BR"/>
        </w:rPr>
        <w:t>, Andrea Cony</w:t>
      </w:r>
      <w:r w:rsidRPr="00011EB4">
        <w:rPr>
          <w:rFonts w:ascii="Arial" w:eastAsia="Arial" w:hAnsi="Arial" w:cs="Arial"/>
          <w:sz w:val="20"/>
          <w:szCs w:val="20"/>
          <w:vertAlign w:val="superscript"/>
          <w:lang w:val="pt-BR"/>
        </w:rPr>
        <w:t>11</w:t>
      </w:r>
      <w:r w:rsidRPr="00011EB4">
        <w:rPr>
          <w:rFonts w:ascii="Arial" w:eastAsia="Arial" w:hAnsi="Arial" w:cs="Arial"/>
          <w:sz w:val="20"/>
          <w:szCs w:val="20"/>
          <w:lang w:val="pt-BR"/>
        </w:rPr>
        <w:t>, Silvia Carvalho</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w:t>
      </w:r>
      <w:proofErr w:type="spellStart"/>
      <w:r w:rsidRPr="00011EB4">
        <w:rPr>
          <w:rFonts w:ascii="Arial" w:eastAsia="Arial" w:hAnsi="Arial" w:cs="Arial"/>
          <w:sz w:val="20"/>
          <w:szCs w:val="20"/>
          <w:lang w:val="pt-BR"/>
        </w:rPr>
        <w:t>Loyze</w:t>
      </w:r>
      <w:proofErr w:type="spellEnd"/>
      <w:r w:rsidRPr="00011EB4">
        <w:rPr>
          <w:rFonts w:ascii="Arial" w:eastAsia="Arial" w:hAnsi="Arial" w:cs="Arial"/>
          <w:sz w:val="20"/>
          <w:szCs w:val="20"/>
          <w:lang w:val="pt-BR"/>
        </w:rPr>
        <w:t xml:space="preserve"> P. O. de Lima</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Vincent L. Viala</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Lucio A. Caldas</w:t>
      </w:r>
      <w:r w:rsidRPr="00011EB4">
        <w:rPr>
          <w:rFonts w:ascii="Arial" w:eastAsia="Arial" w:hAnsi="Arial" w:cs="Arial"/>
          <w:sz w:val="20"/>
          <w:szCs w:val="20"/>
          <w:vertAlign w:val="superscript"/>
          <w:lang w:val="pt-BR"/>
        </w:rPr>
        <w:t>4,8</w:t>
      </w:r>
      <w:r w:rsidRPr="00011EB4">
        <w:rPr>
          <w:rFonts w:ascii="Arial" w:eastAsia="Arial" w:hAnsi="Arial" w:cs="Arial"/>
          <w:sz w:val="20"/>
          <w:szCs w:val="20"/>
          <w:lang w:val="pt-BR"/>
        </w:rPr>
        <w:t>, Wanderley de Souza</w:t>
      </w:r>
      <w:r w:rsidRPr="00011EB4">
        <w:rPr>
          <w:rFonts w:ascii="Arial" w:eastAsia="Arial" w:hAnsi="Arial" w:cs="Arial"/>
          <w:sz w:val="20"/>
          <w:szCs w:val="20"/>
          <w:vertAlign w:val="superscript"/>
          <w:lang w:val="pt-BR"/>
        </w:rPr>
        <w:t>4,9</w:t>
      </w:r>
      <w:r w:rsidRPr="00011EB4">
        <w:rPr>
          <w:rFonts w:ascii="Arial" w:eastAsia="Arial" w:hAnsi="Arial" w:cs="Arial"/>
          <w:sz w:val="20"/>
          <w:szCs w:val="20"/>
          <w:lang w:val="pt-BR"/>
        </w:rPr>
        <w:t>, Luiza M. Higa</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Carolina M. Voloch</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Orlando C. Ferreira Jr</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Clarissa R. Damaso</w:t>
      </w:r>
      <w:r w:rsidRPr="00011EB4">
        <w:rPr>
          <w:rFonts w:ascii="Arial" w:eastAsia="Arial" w:hAnsi="Arial" w:cs="Arial"/>
          <w:sz w:val="20"/>
          <w:szCs w:val="20"/>
          <w:vertAlign w:val="superscript"/>
          <w:lang w:val="pt-BR"/>
        </w:rPr>
        <w:t>1,4</w:t>
      </w:r>
      <w:r w:rsidRPr="00011EB4">
        <w:rPr>
          <w:rFonts w:ascii="Arial" w:eastAsia="Arial" w:hAnsi="Arial" w:cs="Arial"/>
          <w:sz w:val="20"/>
          <w:szCs w:val="20"/>
          <w:lang w:val="pt-BR"/>
        </w:rPr>
        <w:t>, Rafael M. Galliez</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Débora S. Faffe</w:t>
      </w:r>
      <w:r w:rsidRPr="00011EB4">
        <w:rPr>
          <w:rFonts w:ascii="Arial" w:eastAsia="Arial" w:hAnsi="Arial" w:cs="Arial"/>
          <w:sz w:val="20"/>
          <w:szCs w:val="20"/>
          <w:vertAlign w:val="superscript"/>
          <w:lang w:val="pt-BR"/>
        </w:rPr>
        <w:t>1,4</w:t>
      </w:r>
      <w:r w:rsidRPr="00011EB4">
        <w:rPr>
          <w:rFonts w:ascii="Arial" w:eastAsia="Arial" w:hAnsi="Arial" w:cs="Arial"/>
          <w:sz w:val="20"/>
          <w:szCs w:val="20"/>
          <w:lang w:val="pt-BR"/>
        </w:rPr>
        <w:t xml:space="preserve">, </w:t>
      </w:r>
      <w:proofErr w:type="spellStart"/>
      <w:r w:rsidRPr="00011EB4">
        <w:rPr>
          <w:rFonts w:ascii="Arial" w:eastAsia="Arial" w:hAnsi="Arial" w:cs="Arial"/>
          <w:sz w:val="20"/>
          <w:szCs w:val="20"/>
          <w:lang w:val="pt-BR"/>
        </w:rPr>
        <w:t>Amilcar</w:t>
      </w:r>
      <w:proofErr w:type="spellEnd"/>
      <w:r w:rsidRPr="00011EB4">
        <w:rPr>
          <w:rFonts w:ascii="Arial" w:eastAsia="Arial" w:hAnsi="Arial" w:cs="Arial"/>
          <w:sz w:val="20"/>
          <w:szCs w:val="20"/>
          <w:lang w:val="pt-BR"/>
        </w:rPr>
        <w:t xml:space="preserve"> Tanuri</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Terezinha M. P. P. Castiñeiras</w:t>
      </w:r>
      <w:r w:rsidRPr="00011EB4">
        <w:rPr>
          <w:rFonts w:ascii="Arial" w:eastAsia="Arial" w:hAnsi="Arial" w:cs="Arial"/>
          <w:sz w:val="20"/>
          <w:szCs w:val="20"/>
          <w:vertAlign w:val="superscript"/>
          <w:lang w:val="pt-BR"/>
        </w:rPr>
        <w:t xml:space="preserve">1,3 </w:t>
      </w:r>
      <w:r w:rsidRPr="00011EB4">
        <w:rPr>
          <w:rFonts w:ascii="Arial" w:eastAsia="Arial" w:hAnsi="Arial" w:cs="Arial"/>
          <w:sz w:val="20"/>
          <w:szCs w:val="20"/>
          <w:lang w:val="pt-BR"/>
        </w:rPr>
        <w:t>**</w:t>
      </w:r>
    </w:p>
    <w:p w14:paraId="4B16D8D5" w14:textId="77777777" w:rsidR="003136B9" w:rsidRPr="00011EB4" w:rsidRDefault="003136B9">
      <w:pPr>
        <w:jc w:val="both"/>
        <w:rPr>
          <w:rFonts w:ascii="Arial" w:eastAsia="Arial" w:hAnsi="Arial" w:cs="Arial"/>
          <w:lang w:val="pt-BR"/>
        </w:rPr>
      </w:pPr>
    </w:p>
    <w:p w14:paraId="46894A2E"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1</w:t>
      </w:r>
      <w:r w:rsidRPr="00011EB4">
        <w:rPr>
          <w:rFonts w:ascii="Arial" w:eastAsia="Arial" w:hAnsi="Arial" w:cs="Arial"/>
          <w:sz w:val="18"/>
          <w:szCs w:val="18"/>
          <w:lang w:val="pt-BR"/>
        </w:rPr>
        <w:t>Núcleo de Enfrentamento e Estudos de Doenças Infecciosas Emergentes e Reemergentes, Universidade Federal do Rio de Janeiro, Rio de Janeiro, RJ, Brasil</w:t>
      </w:r>
    </w:p>
    <w:p w14:paraId="1BEFA8A5"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2</w:t>
      </w:r>
      <w:r w:rsidRPr="00011EB4">
        <w:rPr>
          <w:rFonts w:ascii="Arial" w:eastAsia="Arial" w:hAnsi="Arial" w:cs="Arial"/>
          <w:sz w:val="18"/>
          <w:szCs w:val="18"/>
          <w:lang w:val="pt-BR"/>
        </w:rPr>
        <w:t>Laboratório de Virologia Molecular, Departamento de Genética, Instituto de Biologia, Universidade Federal do Rio de Janeiro, Rio de Janeiro, RJ, Brasil</w:t>
      </w:r>
    </w:p>
    <w:p w14:paraId="542584ED"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3</w:t>
      </w:r>
      <w:r w:rsidRPr="00011EB4">
        <w:rPr>
          <w:rFonts w:ascii="Arial" w:eastAsia="Arial" w:hAnsi="Arial" w:cs="Arial"/>
          <w:sz w:val="18"/>
          <w:szCs w:val="18"/>
          <w:lang w:val="pt-BR"/>
        </w:rPr>
        <w:t>Departamento de Doenças Infecciosas e Parasitárias, Faculdade de Medicina, Universidade Federal do Rio de Janeiro, Rio de Janeiro, RJ, Brasil</w:t>
      </w:r>
    </w:p>
    <w:p w14:paraId="3E6960C6"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4</w:t>
      </w:r>
      <w:r w:rsidRPr="00011EB4">
        <w:rPr>
          <w:rFonts w:ascii="Arial" w:eastAsia="Arial" w:hAnsi="Arial" w:cs="Arial"/>
          <w:sz w:val="18"/>
          <w:szCs w:val="18"/>
          <w:lang w:val="pt-BR"/>
        </w:rPr>
        <w:t>Instituto de Biofísica Carlos Chagas Filho, Universidade Federal do Rio de Janeiro, Rio de Janeiro, RJ, Brasil</w:t>
      </w:r>
    </w:p>
    <w:p w14:paraId="6BB25C40"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5</w:t>
      </w:r>
      <w:r w:rsidRPr="00011EB4">
        <w:rPr>
          <w:rFonts w:ascii="Arial" w:eastAsia="Arial" w:hAnsi="Arial" w:cs="Arial"/>
          <w:sz w:val="18"/>
          <w:szCs w:val="18"/>
          <w:lang w:val="pt-BR"/>
        </w:rPr>
        <w:t>Instituto de Microbiologia Paulo de Góes, Universidade Federal do Rio de Janeiro, Rio de Janeiro, RJ, Brasil</w:t>
      </w:r>
    </w:p>
    <w:p w14:paraId="3489F8AA"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6</w:t>
      </w:r>
      <w:r w:rsidRPr="00011EB4">
        <w:rPr>
          <w:rFonts w:ascii="Arial" w:eastAsia="Arial" w:hAnsi="Arial" w:cs="Arial"/>
          <w:sz w:val="18"/>
          <w:szCs w:val="18"/>
          <w:lang w:val="pt-BR"/>
        </w:rPr>
        <w:t>Hospital Universitário Clementino Fraga Filho, Universidade Federal do Rio de Janeiro, Rio de Janeiro, RJ, Brasil</w:t>
      </w:r>
    </w:p>
    <w:p w14:paraId="2C155D83"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7</w:t>
      </w:r>
      <w:r w:rsidRPr="00011EB4">
        <w:rPr>
          <w:rFonts w:ascii="Arial" w:eastAsia="Arial" w:hAnsi="Arial" w:cs="Arial"/>
          <w:sz w:val="18"/>
          <w:szCs w:val="18"/>
          <w:lang w:val="pt-BR"/>
        </w:rPr>
        <w:t xml:space="preserve">Instituto de Puericultura e Pediatria Martagão </w:t>
      </w:r>
      <w:proofErr w:type="spellStart"/>
      <w:r w:rsidRPr="00011EB4">
        <w:rPr>
          <w:rFonts w:ascii="Arial" w:eastAsia="Arial" w:hAnsi="Arial" w:cs="Arial"/>
          <w:sz w:val="18"/>
          <w:szCs w:val="18"/>
          <w:lang w:val="pt-BR"/>
        </w:rPr>
        <w:t>Gesteira</w:t>
      </w:r>
      <w:proofErr w:type="spellEnd"/>
      <w:r w:rsidRPr="00011EB4">
        <w:rPr>
          <w:rFonts w:ascii="Arial" w:eastAsia="Arial" w:hAnsi="Arial" w:cs="Arial"/>
          <w:sz w:val="18"/>
          <w:szCs w:val="18"/>
          <w:lang w:val="pt-BR"/>
        </w:rPr>
        <w:t>, Universidade Federal do Rio de Janeiro, Rio de Janeiro, RJ, Brasil</w:t>
      </w:r>
    </w:p>
    <w:p w14:paraId="4AB13691"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8</w:t>
      </w:r>
      <w:r w:rsidRPr="00011EB4">
        <w:rPr>
          <w:rFonts w:ascii="Arial" w:eastAsia="Arial" w:hAnsi="Arial" w:cs="Arial"/>
          <w:sz w:val="18"/>
          <w:szCs w:val="18"/>
          <w:lang w:val="pt-BR"/>
        </w:rPr>
        <w:t>Núcleo Multidisciplinar de Pesquisas em Biologia - NUMPEX-BIO, Campus Duque de Caxias Geraldo Cidade, Universidade Federal do Rio de Janeiro, Duque de Caxias, RJ, Brasil.</w:t>
      </w:r>
    </w:p>
    <w:p w14:paraId="0B873990"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9</w:t>
      </w:r>
      <w:r w:rsidRPr="00011EB4">
        <w:rPr>
          <w:rFonts w:ascii="Arial" w:eastAsia="Arial" w:hAnsi="Arial" w:cs="Arial"/>
          <w:sz w:val="18"/>
          <w:szCs w:val="18"/>
          <w:lang w:val="pt-BR"/>
        </w:rPr>
        <w:t>Instituto Nacional de Ciência e Tecnologia de Biologia Estrutural e Bioimagem (INBEB) and Centro Nacional de Biologia Estrutural e Bioimagem (CENABIO), Universidade Federal do Rio de Janeiro, Rio de Janeiro, RJ, Brasil.</w:t>
      </w:r>
    </w:p>
    <w:p w14:paraId="5DB7F778"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10</w:t>
      </w:r>
      <w:r w:rsidRPr="00011EB4">
        <w:rPr>
          <w:rFonts w:ascii="Arial" w:eastAsia="Arial" w:hAnsi="Arial" w:cs="Arial"/>
          <w:sz w:val="18"/>
          <w:szCs w:val="18"/>
          <w:lang w:val="pt-BR"/>
        </w:rPr>
        <w:t xml:space="preserve">Laboratório de Pesquisa e Biodefesa, Instituto de Biologia do Exército, Rio </w:t>
      </w:r>
      <w:proofErr w:type="gramStart"/>
      <w:r w:rsidRPr="00011EB4">
        <w:rPr>
          <w:rFonts w:ascii="Arial" w:eastAsia="Arial" w:hAnsi="Arial" w:cs="Arial"/>
          <w:sz w:val="18"/>
          <w:szCs w:val="18"/>
          <w:lang w:val="pt-BR"/>
        </w:rPr>
        <w:t>de  Janeiro</w:t>
      </w:r>
      <w:proofErr w:type="gramEnd"/>
      <w:r w:rsidRPr="00011EB4">
        <w:rPr>
          <w:rFonts w:ascii="Arial" w:eastAsia="Arial" w:hAnsi="Arial" w:cs="Arial"/>
          <w:sz w:val="18"/>
          <w:szCs w:val="18"/>
          <w:lang w:val="pt-BR"/>
        </w:rPr>
        <w:t>, Rio de Janeiro, RJ, Brasil</w:t>
      </w:r>
    </w:p>
    <w:p w14:paraId="759D8C3C"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11</w:t>
      </w:r>
      <w:r w:rsidRPr="00011EB4">
        <w:rPr>
          <w:rFonts w:ascii="Arial" w:eastAsia="Arial" w:hAnsi="Arial" w:cs="Arial"/>
          <w:sz w:val="18"/>
          <w:szCs w:val="18"/>
          <w:lang w:val="pt-BR"/>
        </w:rPr>
        <w:t>Laboratório Central Noel Nutes, Secretaria de Estado de Saúde do Rio de Janeiro, Rio de Janeiro, RJ, Brasil</w:t>
      </w:r>
    </w:p>
    <w:p w14:paraId="3819CB3D"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12</w:t>
      </w:r>
      <w:r w:rsidRPr="00011EB4">
        <w:rPr>
          <w:rFonts w:ascii="Arial" w:eastAsia="Arial" w:hAnsi="Arial" w:cs="Arial"/>
          <w:sz w:val="18"/>
          <w:szCs w:val="18"/>
          <w:lang w:val="pt-BR"/>
        </w:rPr>
        <w:t>Superintendência de Emergências Em Saúde Pública, Secretaria de Estado de Saúde do Rio de Janeiro, Rio de Janeiro, RJ, Brasil</w:t>
      </w:r>
    </w:p>
    <w:p w14:paraId="5096BD26" w14:textId="77777777" w:rsidR="003136B9" w:rsidRPr="00011EB4" w:rsidRDefault="00000000">
      <w:pPr>
        <w:spacing w:line="276" w:lineRule="auto"/>
        <w:jc w:val="both"/>
        <w:rPr>
          <w:rFonts w:ascii="Arial" w:eastAsia="Arial" w:hAnsi="Arial" w:cs="Arial"/>
          <w:sz w:val="18"/>
          <w:szCs w:val="18"/>
          <w:lang w:val="pt-BR"/>
        </w:rPr>
      </w:pPr>
      <w:r w:rsidRPr="00011EB4">
        <w:rPr>
          <w:rFonts w:ascii="Arial" w:eastAsia="Arial" w:hAnsi="Arial" w:cs="Arial"/>
          <w:sz w:val="18"/>
          <w:szCs w:val="18"/>
          <w:vertAlign w:val="superscript"/>
          <w:lang w:val="pt-BR"/>
        </w:rPr>
        <w:t>13</w:t>
      </w:r>
      <w:r w:rsidRPr="00011EB4">
        <w:rPr>
          <w:rFonts w:ascii="Arial" w:eastAsia="Arial" w:hAnsi="Arial" w:cs="Arial"/>
          <w:sz w:val="18"/>
          <w:szCs w:val="18"/>
          <w:lang w:val="pt-BR"/>
        </w:rPr>
        <w:t>Centro de Vigilância Genômica e Avaliação Sorológica CeVIVAS, Instituto Butantan, São Paulo, SP, Brasil</w:t>
      </w:r>
    </w:p>
    <w:p w14:paraId="41E33A6A" w14:textId="77777777" w:rsidR="003136B9" w:rsidRPr="00011EB4" w:rsidRDefault="003136B9">
      <w:pPr>
        <w:spacing w:line="276" w:lineRule="auto"/>
        <w:jc w:val="both"/>
        <w:rPr>
          <w:rFonts w:ascii="Arial" w:eastAsia="Arial" w:hAnsi="Arial" w:cs="Arial"/>
          <w:sz w:val="18"/>
          <w:szCs w:val="18"/>
          <w:lang w:val="pt-BR"/>
        </w:rPr>
      </w:pPr>
    </w:p>
    <w:p w14:paraId="4544C5A8" w14:textId="77777777" w:rsidR="003136B9" w:rsidRDefault="00000000">
      <w:pPr>
        <w:rPr>
          <w:rFonts w:ascii="Arial" w:eastAsia="Arial" w:hAnsi="Arial" w:cs="Arial"/>
          <w:sz w:val="18"/>
          <w:szCs w:val="18"/>
        </w:rPr>
      </w:pPr>
      <w:r>
        <w:rPr>
          <w:rFonts w:ascii="Arial" w:eastAsia="Arial" w:hAnsi="Arial" w:cs="Arial"/>
          <w:sz w:val="18"/>
          <w:szCs w:val="18"/>
        </w:rPr>
        <w:t>*These authors contributed equally to this work.</w:t>
      </w:r>
    </w:p>
    <w:p w14:paraId="7A5F8D01" w14:textId="77777777" w:rsidR="003136B9" w:rsidRPr="00011EB4" w:rsidRDefault="00000000">
      <w:pPr>
        <w:rPr>
          <w:rFonts w:ascii="Arial" w:eastAsia="Arial" w:hAnsi="Arial" w:cs="Arial"/>
          <w:sz w:val="18"/>
          <w:szCs w:val="18"/>
          <w:lang w:val="pt-BR"/>
        </w:rPr>
      </w:pPr>
      <w:bookmarkStart w:id="1" w:name="_30j0zll" w:colFirst="0" w:colLast="0"/>
      <w:bookmarkEnd w:id="1"/>
      <w:r w:rsidRPr="00011EB4">
        <w:rPr>
          <w:rFonts w:ascii="Arial" w:eastAsia="Arial" w:hAnsi="Arial" w:cs="Arial"/>
          <w:sz w:val="18"/>
          <w:szCs w:val="18"/>
          <w:lang w:val="pt-BR"/>
        </w:rPr>
        <w:t xml:space="preserve">** Corresponding author. Núcleo de Enfrentamento e Estudos de Doenças Infecciosas Emergentes e Reemergentes (NEEDIER). Universidade Federal do Rio de Janeiro, Av Carlos Chagas Filho, 791, Polo de Biotecnologia, Rio de Janeiro, RJ, Brazil. CEP 21941.599. E-mail: </w:t>
      </w:r>
      <w:hyperlink r:id="rId7">
        <w:r w:rsidRPr="00011EB4">
          <w:rPr>
            <w:rFonts w:ascii="Arial" w:eastAsia="Arial" w:hAnsi="Arial" w:cs="Arial"/>
            <w:color w:val="0000FF"/>
            <w:sz w:val="18"/>
            <w:szCs w:val="18"/>
            <w:u w:val="single"/>
            <w:lang w:val="pt-BR"/>
          </w:rPr>
          <w:t>tmartapc@medicina.ufrj.br</w:t>
        </w:r>
      </w:hyperlink>
      <w:r w:rsidRPr="00011EB4">
        <w:rPr>
          <w:rFonts w:ascii="Arial" w:eastAsia="Arial" w:hAnsi="Arial" w:cs="Arial"/>
          <w:sz w:val="18"/>
          <w:szCs w:val="18"/>
          <w:lang w:val="pt-BR"/>
        </w:rPr>
        <w:t xml:space="preserve"> (Terezinha M. P. P. Castiñeiras).</w:t>
      </w:r>
    </w:p>
    <w:p w14:paraId="3EB14A70" w14:textId="77777777" w:rsidR="003136B9" w:rsidRPr="00011EB4" w:rsidRDefault="003136B9">
      <w:pPr>
        <w:rPr>
          <w:sz w:val="20"/>
          <w:szCs w:val="20"/>
          <w:lang w:val="pt-BR"/>
        </w:rPr>
      </w:pPr>
    </w:p>
    <w:p w14:paraId="328173E5" w14:textId="77777777" w:rsidR="003136B9" w:rsidRDefault="00000000">
      <w:pPr>
        <w:rPr>
          <w:rFonts w:ascii="Arial" w:eastAsia="Arial" w:hAnsi="Arial" w:cs="Arial"/>
          <w:sz w:val="20"/>
          <w:szCs w:val="20"/>
        </w:rPr>
      </w:pPr>
      <w:r>
        <w:rPr>
          <w:rFonts w:ascii="Arial" w:eastAsia="Arial" w:hAnsi="Arial" w:cs="Arial"/>
          <w:b/>
          <w:sz w:val="20"/>
          <w:szCs w:val="20"/>
        </w:rPr>
        <w:t>Shortened title (running head</w:t>
      </w:r>
      <w:r>
        <w:rPr>
          <w:rFonts w:ascii="Arial" w:eastAsia="Arial" w:hAnsi="Arial" w:cs="Arial"/>
          <w:sz w:val="20"/>
          <w:szCs w:val="20"/>
        </w:rPr>
        <w:t>) – “</w:t>
      </w:r>
      <w:proofErr w:type="spellStart"/>
      <w:r>
        <w:rPr>
          <w:rFonts w:ascii="Arial" w:eastAsia="Arial" w:hAnsi="Arial" w:cs="Arial"/>
          <w:sz w:val="20"/>
          <w:szCs w:val="20"/>
        </w:rPr>
        <w:t>Mpox</w:t>
      </w:r>
      <w:proofErr w:type="spellEnd"/>
      <w:r>
        <w:rPr>
          <w:rFonts w:ascii="Arial" w:eastAsia="Arial" w:hAnsi="Arial" w:cs="Arial"/>
          <w:sz w:val="20"/>
          <w:szCs w:val="20"/>
        </w:rPr>
        <w:t xml:space="preserve"> outbreak in Rio de Janeiro, </w:t>
      </w:r>
      <w:proofErr w:type="gramStart"/>
      <w:r>
        <w:rPr>
          <w:rFonts w:ascii="Arial" w:eastAsia="Arial" w:hAnsi="Arial" w:cs="Arial"/>
          <w:sz w:val="20"/>
          <w:szCs w:val="20"/>
        </w:rPr>
        <w:t>Brazil</w:t>
      </w:r>
      <w:proofErr w:type="gramEnd"/>
      <w:r>
        <w:rPr>
          <w:rFonts w:ascii="Arial" w:eastAsia="Arial" w:hAnsi="Arial" w:cs="Arial"/>
          <w:sz w:val="20"/>
          <w:szCs w:val="20"/>
        </w:rPr>
        <w:t>”</w:t>
      </w:r>
    </w:p>
    <w:p w14:paraId="2B47DD6D" w14:textId="77777777" w:rsidR="003136B9" w:rsidRDefault="003136B9">
      <w:pPr>
        <w:rPr>
          <w:rFonts w:ascii="Arial" w:eastAsia="Arial" w:hAnsi="Arial" w:cs="Arial"/>
          <w:b/>
          <w:sz w:val="20"/>
          <w:szCs w:val="20"/>
        </w:rPr>
      </w:pPr>
    </w:p>
    <w:p w14:paraId="7F067224" w14:textId="77777777" w:rsidR="003136B9" w:rsidRPr="00011EB4" w:rsidRDefault="00000000">
      <w:pPr>
        <w:rPr>
          <w:rFonts w:ascii="Arial" w:eastAsia="Arial" w:hAnsi="Arial" w:cs="Arial"/>
          <w:b/>
          <w:sz w:val="20"/>
          <w:szCs w:val="20"/>
          <w:lang w:val="pt-BR"/>
        </w:rPr>
      </w:pPr>
      <w:r w:rsidRPr="00011EB4">
        <w:rPr>
          <w:rFonts w:ascii="Arial" w:eastAsia="Arial" w:hAnsi="Arial" w:cs="Arial"/>
          <w:b/>
          <w:sz w:val="20"/>
          <w:szCs w:val="20"/>
          <w:lang w:val="pt-BR"/>
        </w:rPr>
        <w:t xml:space="preserve">ORCID: </w:t>
      </w:r>
    </w:p>
    <w:p w14:paraId="3555BD39" w14:textId="77777777" w:rsidR="003136B9" w:rsidRPr="00011EB4" w:rsidRDefault="00000000">
      <w:pPr>
        <w:rPr>
          <w:rFonts w:ascii="Arial" w:eastAsia="Arial" w:hAnsi="Arial" w:cs="Arial"/>
          <w:sz w:val="20"/>
          <w:szCs w:val="20"/>
          <w:lang w:val="pt-BR"/>
        </w:rPr>
      </w:pPr>
      <w:r w:rsidRPr="00011EB4">
        <w:rPr>
          <w:rFonts w:ascii="Arial" w:eastAsia="Arial" w:hAnsi="Arial" w:cs="Arial"/>
          <w:sz w:val="20"/>
          <w:szCs w:val="20"/>
          <w:lang w:val="pt-BR"/>
        </w:rPr>
        <w:t xml:space="preserve">Terezinha M. P. P. </w:t>
      </w:r>
      <w:proofErr w:type="spellStart"/>
      <w:r w:rsidRPr="00011EB4">
        <w:rPr>
          <w:rFonts w:ascii="Arial" w:eastAsia="Arial" w:hAnsi="Arial" w:cs="Arial"/>
          <w:sz w:val="20"/>
          <w:szCs w:val="20"/>
          <w:lang w:val="pt-BR"/>
        </w:rPr>
        <w:t>Castiñeiras</w:t>
      </w:r>
      <w:proofErr w:type="spellEnd"/>
      <w:r w:rsidRPr="00011EB4">
        <w:rPr>
          <w:rFonts w:ascii="Arial" w:eastAsia="Arial" w:hAnsi="Arial" w:cs="Arial"/>
          <w:sz w:val="20"/>
          <w:szCs w:val="20"/>
          <w:lang w:val="pt-BR"/>
        </w:rPr>
        <w:t xml:space="preserve">: </w:t>
      </w:r>
      <w:hyperlink r:id="rId8">
        <w:r w:rsidRPr="00011EB4">
          <w:rPr>
            <w:rFonts w:ascii="Arial" w:eastAsia="Arial" w:hAnsi="Arial" w:cs="Arial"/>
            <w:sz w:val="20"/>
            <w:szCs w:val="20"/>
            <w:u w:val="single"/>
            <w:lang w:val="pt-BR"/>
          </w:rPr>
          <w:t>https://orcid.org/0000-0002-4746-6049</w:t>
        </w:r>
      </w:hyperlink>
    </w:p>
    <w:p w14:paraId="35490DFF" w14:textId="77777777" w:rsidR="003136B9" w:rsidRPr="00011EB4" w:rsidRDefault="00000000">
      <w:pPr>
        <w:rPr>
          <w:rFonts w:ascii="Arial" w:eastAsia="Arial" w:hAnsi="Arial" w:cs="Arial"/>
          <w:sz w:val="20"/>
          <w:szCs w:val="20"/>
          <w:lang w:val="pt-BR"/>
        </w:rPr>
      </w:pPr>
      <w:proofErr w:type="spellStart"/>
      <w:r w:rsidRPr="00011EB4">
        <w:rPr>
          <w:rFonts w:ascii="Arial" w:eastAsia="Arial" w:hAnsi="Arial" w:cs="Arial"/>
          <w:sz w:val="20"/>
          <w:szCs w:val="20"/>
          <w:lang w:val="pt-BR"/>
        </w:rPr>
        <w:t>Amilcar</w:t>
      </w:r>
      <w:proofErr w:type="spellEnd"/>
      <w:r w:rsidRPr="00011EB4">
        <w:rPr>
          <w:rFonts w:ascii="Arial" w:eastAsia="Arial" w:hAnsi="Arial" w:cs="Arial"/>
          <w:sz w:val="20"/>
          <w:szCs w:val="20"/>
          <w:lang w:val="pt-BR"/>
        </w:rPr>
        <w:t xml:space="preserve"> </w:t>
      </w:r>
      <w:proofErr w:type="spellStart"/>
      <w:r w:rsidRPr="00011EB4">
        <w:rPr>
          <w:rFonts w:ascii="Arial" w:eastAsia="Arial" w:hAnsi="Arial" w:cs="Arial"/>
          <w:sz w:val="20"/>
          <w:szCs w:val="20"/>
          <w:lang w:val="pt-BR"/>
        </w:rPr>
        <w:t>Tanuri</w:t>
      </w:r>
      <w:proofErr w:type="spellEnd"/>
      <w:r w:rsidRPr="00011EB4">
        <w:rPr>
          <w:rFonts w:ascii="Arial" w:eastAsia="Arial" w:hAnsi="Arial" w:cs="Arial"/>
          <w:sz w:val="20"/>
          <w:szCs w:val="20"/>
          <w:lang w:val="pt-BR"/>
        </w:rPr>
        <w:t xml:space="preserve">: </w:t>
      </w:r>
      <w:hyperlink r:id="rId9">
        <w:r w:rsidRPr="00011EB4">
          <w:rPr>
            <w:rFonts w:ascii="Arial" w:eastAsia="Arial" w:hAnsi="Arial" w:cs="Arial"/>
            <w:sz w:val="20"/>
            <w:szCs w:val="20"/>
            <w:u w:val="single"/>
            <w:lang w:val="pt-BR"/>
          </w:rPr>
          <w:t>https://orcid.org/0000-0002-9420-6143</w:t>
        </w:r>
      </w:hyperlink>
    </w:p>
    <w:p w14:paraId="4EAAC4C1" w14:textId="77777777" w:rsidR="003136B9" w:rsidRPr="00011EB4" w:rsidRDefault="00000000">
      <w:pPr>
        <w:rPr>
          <w:rFonts w:ascii="Arial" w:eastAsia="Arial" w:hAnsi="Arial" w:cs="Arial"/>
          <w:sz w:val="20"/>
          <w:szCs w:val="20"/>
          <w:lang w:val="pt-BR"/>
        </w:rPr>
      </w:pPr>
      <w:r w:rsidRPr="00011EB4">
        <w:rPr>
          <w:rFonts w:ascii="Arial" w:eastAsia="Arial" w:hAnsi="Arial" w:cs="Arial"/>
          <w:sz w:val="20"/>
          <w:szCs w:val="20"/>
          <w:lang w:val="pt-BR"/>
        </w:rPr>
        <w:t xml:space="preserve">Clarissa Damaso: </w:t>
      </w:r>
      <w:hyperlink r:id="rId10">
        <w:r w:rsidRPr="00011EB4">
          <w:rPr>
            <w:rFonts w:ascii="Arial" w:eastAsia="Arial" w:hAnsi="Arial" w:cs="Arial"/>
            <w:sz w:val="20"/>
            <w:szCs w:val="20"/>
            <w:u w:val="single"/>
            <w:lang w:val="pt-BR"/>
          </w:rPr>
          <w:t>https://orcid.org/0000-0001-6299-2816</w:t>
        </w:r>
      </w:hyperlink>
    </w:p>
    <w:p w14:paraId="084B0725" w14:textId="77777777" w:rsidR="003136B9" w:rsidRPr="00011EB4" w:rsidRDefault="00000000">
      <w:pPr>
        <w:rPr>
          <w:rFonts w:ascii="Arial" w:eastAsia="Arial" w:hAnsi="Arial" w:cs="Arial"/>
          <w:sz w:val="20"/>
          <w:szCs w:val="20"/>
          <w:lang w:val="pt-BR"/>
        </w:rPr>
      </w:pPr>
      <w:r w:rsidRPr="00011EB4">
        <w:rPr>
          <w:rFonts w:ascii="Arial" w:eastAsia="Arial" w:hAnsi="Arial" w:cs="Arial"/>
          <w:sz w:val="20"/>
          <w:szCs w:val="20"/>
          <w:lang w:val="pt-BR"/>
        </w:rPr>
        <w:t xml:space="preserve">Debora S </w:t>
      </w:r>
      <w:proofErr w:type="spellStart"/>
      <w:r w:rsidRPr="00011EB4">
        <w:rPr>
          <w:rFonts w:ascii="Arial" w:eastAsia="Arial" w:hAnsi="Arial" w:cs="Arial"/>
          <w:sz w:val="20"/>
          <w:szCs w:val="20"/>
          <w:lang w:val="pt-BR"/>
        </w:rPr>
        <w:t>Faffe</w:t>
      </w:r>
      <w:proofErr w:type="spellEnd"/>
      <w:r w:rsidRPr="00011EB4">
        <w:rPr>
          <w:rFonts w:ascii="Arial" w:eastAsia="Arial" w:hAnsi="Arial" w:cs="Arial"/>
          <w:sz w:val="20"/>
          <w:szCs w:val="20"/>
          <w:lang w:val="pt-BR"/>
        </w:rPr>
        <w:t xml:space="preserve">: </w:t>
      </w:r>
      <w:hyperlink r:id="rId11">
        <w:r w:rsidRPr="00011EB4">
          <w:rPr>
            <w:rFonts w:ascii="Arial" w:eastAsia="Arial" w:hAnsi="Arial" w:cs="Arial"/>
            <w:sz w:val="20"/>
            <w:szCs w:val="20"/>
            <w:u w:val="single"/>
            <w:lang w:val="pt-BR"/>
          </w:rPr>
          <w:t>https://</w:t>
        </w:r>
      </w:hyperlink>
      <w:hyperlink r:id="rId12">
        <w:r w:rsidRPr="00011EB4">
          <w:rPr>
            <w:rFonts w:ascii="Arial" w:eastAsia="Arial" w:hAnsi="Arial" w:cs="Arial"/>
            <w:sz w:val="20"/>
            <w:szCs w:val="20"/>
            <w:u w:val="single"/>
            <w:lang w:val="pt-BR"/>
          </w:rPr>
          <w:t>orcid</w:t>
        </w:r>
      </w:hyperlink>
      <w:hyperlink r:id="rId13">
        <w:r w:rsidRPr="00011EB4">
          <w:rPr>
            <w:rFonts w:ascii="Arial" w:eastAsia="Arial" w:hAnsi="Arial" w:cs="Arial"/>
            <w:sz w:val="20"/>
            <w:szCs w:val="20"/>
            <w:u w:val="single"/>
            <w:lang w:val="pt-BR"/>
          </w:rPr>
          <w:t>.org/0000-0001-5255-5938</w:t>
        </w:r>
      </w:hyperlink>
    </w:p>
    <w:p w14:paraId="415DC08D" w14:textId="77777777" w:rsidR="003136B9" w:rsidRPr="00011EB4" w:rsidRDefault="00000000">
      <w:pPr>
        <w:rPr>
          <w:rFonts w:ascii="Arial" w:eastAsia="Arial" w:hAnsi="Arial" w:cs="Arial"/>
          <w:sz w:val="20"/>
          <w:szCs w:val="20"/>
          <w:lang w:val="pt-BR"/>
        </w:rPr>
      </w:pPr>
      <w:r w:rsidRPr="00011EB4">
        <w:rPr>
          <w:rFonts w:ascii="Arial" w:eastAsia="Arial" w:hAnsi="Arial" w:cs="Arial"/>
          <w:sz w:val="20"/>
          <w:szCs w:val="20"/>
          <w:lang w:val="pt-BR"/>
        </w:rPr>
        <w:t xml:space="preserve">Guilherme S Lira: </w:t>
      </w:r>
      <w:hyperlink r:id="rId14">
        <w:r w:rsidRPr="00011EB4">
          <w:rPr>
            <w:rFonts w:ascii="Arial" w:eastAsia="Arial" w:hAnsi="Arial" w:cs="Arial"/>
            <w:sz w:val="20"/>
            <w:szCs w:val="20"/>
            <w:u w:val="single"/>
            <w:lang w:val="pt-BR"/>
          </w:rPr>
          <w:t>https://orcid.org/0000-0001-8577-9313</w:t>
        </w:r>
      </w:hyperlink>
    </w:p>
    <w:p w14:paraId="44B0BE35" w14:textId="77777777" w:rsidR="003136B9" w:rsidRDefault="00000000">
      <w:pPr>
        <w:rPr>
          <w:rFonts w:ascii="Arial" w:eastAsia="Arial" w:hAnsi="Arial" w:cs="Arial"/>
          <w:sz w:val="20"/>
          <w:szCs w:val="20"/>
        </w:rPr>
      </w:pPr>
      <w:r>
        <w:rPr>
          <w:rFonts w:ascii="Arial" w:eastAsia="Arial" w:hAnsi="Arial" w:cs="Arial"/>
          <w:sz w:val="20"/>
          <w:szCs w:val="20"/>
        </w:rPr>
        <w:t xml:space="preserve">Victor A. Ota: </w:t>
      </w:r>
      <w:hyperlink r:id="rId15">
        <w:r>
          <w:rPr>
            <w:rFonts w:ascii="Arial" w:eastAsia="Arial" w:hAnsi="Arial" w:cs="Arial"/>
            <w:sz w:val="20"/>
            <w:szCs w:val="20"/>
            <w:u w:val="single"/>
          </w:rPr>
          <w:t>https://orcid.org/0000-0002-5339-6323</w:t>
        </w:r>
      </w:hyperlink>
    </w:p>
    <w:p w14:paraId="4B7DE10D" w14:textId="77777777" w:rsidR="003136B9" w:rsidRDefault="003136B9">
      <w:pPr>
        <w:rPr>
          <w:rFonts w:ascii="Arial" w:eastAsia="Arial" w:hAnsi="Arial" w:cs="Arial"/>
          <w:sz w:val="20"/>
          <w:szCs w:val="20"/>
        </w:rPr>
      </w:pPr>
    </w:p>
    <w:p w14:paraId="372F9BD8" w14:textId="77777777" w:rsidR="003136B9" w:rsidRDefault="003136B9">
      <w:pPr>
        <w:rPr>
          <w:rFonts w:ascii="Arial" w:eastAsia="Arial" w:hAnsi="Arial" w:cs="Arial"/>
          <w:sz w:val="20"/>
          <w:szCs w:val="20"/>
        </w:rPr>
      </w:pPr>
    </w:p>
    <w:p w14:paraId="414C9670" w14:textId="77777777" w:rsidR="00011EB4" w:rsidRDefault="00011EB4">
      <w:pPr>
        <w:rPr>
          <w:rFonts w:ascii="Arial" w:eastAsia="Arial" w:hAnsi="Arial" w:cs="Arial"/>
          <w:sz w:val="20"/>
          <w:szCs w:val="20"/>
        </w:rPr>
      </w:pPr>
    </w:p>
    <w:p w14:paraId="387A8B6E" w14:textId="77777777" w:rsidR="003136B9" w:rsidRDefault="003136B9">
      <w:pPr>
        <w:rPr>
          <w:rFonts w:ascii="Arial" w:eastAsia="Arial" w:hAnsi="Arial" w:cs="Arial"/>
          <w:sz w:val="20"/>
          <w:szCs w:val="20"/>
        </w:rPr>
      </w:pPr>
    </w:p>
    <w:p w14:paraId="5043CC42" w14:textId="77777777" w:rsidR="003136B9" w:rsidRDefault="00000000">
      <w:pPr>
        <w:jc w:val="both"/>
        <w:rPr>
          <w:rFonts w:ascii="Arial" w:eastAsia="Arial" w:hAnsi="Arial" w:cs="Arial"/>
          <w:b/>
        </w:rPr>
      </w:pPr>
      <w:r>
        <w:rPr>
          <w:rFonts w:ascii="Arial" w:eastAsia="Arial" w:hAnsi="Arial" w:cs="Arial"/>
          <w:b/>
        </w:rPr>
        <w:lastRenderedPageBreak/>
        <w:t>List of email addresses</w:t>
      </w:r>
    </w:p>
    <w:p w14:paraId="53FFDCE3" w14:textId="77777777" w:rsidR="003136B9" w:rsidRDefault="003136B9">
      <w:pPr>
        <w:jc w:val="both"/>
        <w:rPr>
          <w:rFonts w:ascii="Arial" w:eastAsia="Arial" w:hAnsi="Arial" w:cs="Arial"/>
          <w:sz w:val="20"/>
          <w:szCs w:val="20"/>
        </w:rPr>
      </w:pPr>
    </w:p>
    <w:p w14:paraId="19C9D34C" w14:textId="77777777" w:rsidR="003136B9" w:rsidRDefault="00000000">
      <w:pPr>
        <w:jc w:val="both"/>
        <w:rPr>
          <w:rFonts w:ascii="Arial" w:eastAsia="Arial" w:hAnsi="Arial" w:cs="Arial"/>
          <w:sz w:val="20"/>
          <w:szCs w:val="20"/>
        </w:rPr>
      </w:pPr>
      <w:r>
        <w:rPr>
          <w:rFonts w:ascii="Arial" w:eastAsia="Arial" w:hAnsi="Arial" w:cs="Arial"/>
          <w:sz w:val="20"/>
          <w:szCs w:val="20"/>
        </w:rPr>
        <w:t>Guilherme S. Lira</w:t>
      </w:r>
      <w:r>
        <w:rPr>
          <w:rFonts w:ascii="Arial" w:eastAsia="Arial" w:hAnsi="Arial" w:cs="Arial"/>
          <w:sz w:val="20"/>
          <w:szCs w:val="20"/>
          <w:vertAlign w:val="superscript"/>
        </w:rPr>
        <w:t>1,5</w:t>
      </w:r>
      <w:r>
        <w:rPr>
          <w:rFonts w:ascii="Arial" w:eastAsia="Arial" w:hAnsi="Arial" w:cs="Arial"/>
          <w:sz w:val="20"/>
          <w:szCs w:val="20"/>
        </w:rPr>
        <w:t>* – guilhermelira@ufrj.br</w:t>
      </w:r>
    </w:p>
    <w:p w14:paraId="6EBBD47C" w14:textId="77777777" w:rsidR="003136B9" w:rsidRDefault="00000000">
      <w:pPr>
        <w:jc w:val="both"/>
        <w:rPr>
          <w:rFonts w:ascii="Arial" w:eastAsia="Arial" w:hAnsi="Arial" w:cs="Arial"/>
          <w:sz w:val="20"/>
          <w:szCs w:val="20"/>
        </w:rPr>
      </w:pPr>
      <w:r>
        <w:rPr>
          <w:rFonts w:ascii="Arial" w:eastAsia="Arial" w:hAnsi="Arial" w:cs="Arial"/>
          <w:sz w:val="20"/>
          <w:szCs w:val="20"/>
        </w:rPr>
        <w:t>Victor A. Ota</w:t>
      </w:r>
      <w:r>
        <w:rPr>
          <w:rFonts w:ascii="Arial" w:eastAsia="Arial" w:hAnsi="Arial" w:cs="Arial"/>
          <w:sz w:val="20"/>
          <w:szCs w:val="20"/>
          <w:vertAlign w:val="superscript"/>
        </w:rPr>
        <w:t>1,5</w:t>
      </w:r>
      <w:r>
        <w:rPr>
          <w:rFonts w:ascii="Arial" w:eastAsia="Arial" w:hAnsi="Arial" w:cs="Arial"/>
          <w:sz w:val="20"/>
          <w:szCs w:val="20"/>
        </w:rPr>
        <w:t>* – victorota1996@gmail.com</w:t>
      </w:r>
    </w:p>
    <w:p w14:paraId="36D39CFF"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Mariana Q. S. Melo</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xml:space="preserve"> – mariana.qsmelo@gmail.com</w:t>
      </w:r>
    </w:p>
    <w:p w14:paraId="6F3AB787"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Anna C. P. Castiñeiras</w:t>
      </w:r>
      <w:r w:rsidRPr="00011EB4">
        <w:rPr>
          <w:rFonts w:ascii="Arial" w:eastAsia="Arial" w:hAnsi="Arial" w:cs="Arial"/>
          <w:sz w:val="20"/>
          <w:szCs w:val="20"/>
          <w:vertAlign w:val="superscript"/>
          <w:lang w:val="pt-BR"/>
        </w:rPr>
        <w:t>1,6</w:t>
      </w:r>
      <w:r w:rsidRPr="00011EB4">
        <w:rPr>
          <w:rFonts w:ascii="Arial" w:eastAsia="Arial" w:hAnsi="Arial" w:cs="Arial"/>
          <w:sz w:val="20"/>
          <w:szCs w:val="20"/>
          <w:lang w:val="pt-BR"/>
        </w:rPr>
        <w:t xml:space="preserve"> – accastineiras@gmail.com</w:t>
      </w:r>
    </w:p>
    <w:p w14:paraId="3A9FAE87"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Isabela C. Leitão</w:t>
      </w:r>
      <w:r w:rsidRPr="00011EB4">
        <w:rPr>
          <w:rFonts w:ascii="Arial" w:eastAsia="Arial" w:hAnsi="Arial" w:cs="Arial"/>
          <w:sz w:val="20"/>
          <w:szCs w:val="20"/>
          <w:vertAlign w:val="superscript"/>
          <w:lang w:val="pt-BR"/>
        </w:rPr>
        <w:t>1,</w:t>
      </w:r>
      <w:proofErr w:type="gramStart"/>
      <w:r w:rsidRPr="00011EB4">
        <w:rPr>
          <w:rFonts w:ascii="Arial" w:eastAsia="Arial" w:hAnsi="Arial" w:cs="Arial"/>
          <w:sz w:val="20"/>
          <w:szCs w:val="20"/>
          <w:vertAlign w:val="superscript"/>
          <w:lang w:val="pt-BR"/>
        </w:rPr>
        <w:t xml:space="preserve">6 </w:t>
      </w:r>
      <w:r w:rsidRPr="00011EB4">
        <w:rPr>
          <w:rFonts w:ascii="Arial" w:eastAsia="Arial" w:hAnsi="Arial" w:cs="Arial"/>
          <w:sz w:val="12"/>
          <w:szCs w:val="12"/>
          <w:lang w:val="pt-BR"/>
        </w:rPr>
        <w:t xml:space="preserve"> </w:t>
      </w:r>
      <w:r w:rsidRPr="00011EB4">
        <w:rPr>
          <w:rFonts w:ascii="Arial" w:eastAsia="Arial" w:hAnsi="Arial" w:cs="Arial"/>
          <w:sz w:val="20"/>
          <w:szCs w:val="20"/>
          <w:lang w:val="pt-BR"/>
        </w:rPr>
        <w:t>–</w:t>
      </w:r>
      <w:proofErr w:type="gramEnd"/>
      <w:r w:rsidRPr="00011EB4">
        <w:rPr>
          <w:rFonts w:ascii="Arial" w:eastAsia="Arial" w:hAnsi="Arial" w:cs="Arial"/>
          <w:sz w:val="20"/>
          <w:szCs w:val="20"/>
          <w:lang w:val="pt-BR"/>
        </w:rPr>
        <w:t xml:space="preserve"> isacarvleitao@gmail.com</w:t>
      </w:r>
    </w:p>
    <w:p w14:paraId="1AF74DE2"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Bianca O. Silva</w:t>
      </w:r>
      <w:proofErr w:type="gramStart"/>
      <w:r w:rsidRPr="00011EB4">
        <w:rPr>
          <w:rFonts w:ascii="Arial" w:eastAsia="Arial" w:hAnsi="Arial" w:cs="Arial"/>
          <w:sz w:val="20"/>
          <w:szCs w:val="20"/>
          <w:vertAlign w:val="superscript"/>
          <w:lang w:val="pt-BR"/>
        </w:rPr>
        <w:t xml:space="preserve">1  </w:t>
      </w:r>
      <w:r w:rsidRPr="00011EB4">
        <w:rPr>
          <w:rFonts w:ascii="Arial" w:eastAsia="Arial" w:hAnsi="Arial" w:cs="Arial"/>
          <w:sz w:val="20"/>
          <w:szCs w:val="20"/>
          <w:lang w:val="pt-BR"/>
        </w:rPr>
        <w:t>–</w:t>
      </w:r>
      <w:proofErr w:type="gramEnd"/>
      <w:r w:rsidRPr="00011EB4">
        <w:rPr>
          <w:rFonts w:ascii="Arial" w:eastAsia="Arial" w:hAnsi="Arial" w:cs="Arial"/>
          <w:sz w:val="20"/>
          <w:szCs w:val="20"/>
          <w:lang w:val="pt-BR"/>
        </w:rPr>
        <w:t xml:space="preserve"> bianca.ortix@gmail.com</w:t>
      </w:r>
    </w:p>
    <w:p w14:paraId="1C738C9A"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Diana Mariani</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 mariani.diana@gmail.com</w:t>
      </w:r>
    </w:p>
    <w:p w14:paraId="17E5BDF3"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Cássia C. A. Gonçalves</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 cassia.alves@gmail.com</w:t>
      </w:r>
    </w:p>
    <w:p w14:paraId="63B4CA1F"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Liane J. Ribeiro</w:t>
      </w:r>
      <w:r w:rsidRPr="00011EB4">
        <w:rPr>
          <w:rFonts w:ascii="Arial" w:eastAsia="Arial" w:hAnsi="Arial" w:cs="Arial"/>
          <w:sz w:val="20"/>
          <w:szCs w:val="20"/>
          <w:vertAlign w:val="superscript"/>
          <w:lang w:val="pt-BR"/>
        </w:rPr>
        <w:t>2</w:t>
      </w:r>
      <w:r w:rsidRPr="00011EB4">
        <w:rPr>
          <w:rFonts w:ascii="Arial" w:eastAsia="Arial" w:hAnsi="Arial" w:cs="Arial"/>
          <w:sz w:val="20"/>
          <w:szCs w:val="20"/>
          <w:lang w:val="pt-BR"/>
        </w:rPr>
        <w:t xml:space="preserve"> – lianejr@gmail.com</w:t>
      </w:r>
    </w:p>
    <w:p w14:paraId="29BB05F8"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Marcia Halpern</w:t>
      </w:r>
      <w:r w:rsidRPr="00011EB4">
        <w:rPr>
          <w:rFonts w:ascii="Arial" w:eastAsia="Arial" w:hAnsi="Arial" w:cs="Arial"/>
          <w:sz w:val="20"/>
          <w:szCs w:val="20"/>
          <w:vertAlign w:val="superscript"/>
          <w:lang w:val="pt-BR"/>
        </w:rPr>
        <w:t>6</w:t>
      </w:r>
      <w:r w:rsidRPr="00011EB4">
        <w:rPr>
          <w:rFonts w:ascii="Arial" w:eastAsia="Arial" w:hAnsi="Arial" w:cs="Arial"/>
          <w:sz w:val="20"/>
          <w:szCs w:val="20"/>
          <w:lang w:val="pt-BR"/>
        </w:rPr>
        <w:t xml:space="preserve"> – mhalpern@hucff.ufrj.br</w:t>
      </w:r>
    </w:p>
    <w:p w14:paraId="06E0B47E"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Thalita F. Abreu</w:t>
      </w:r>
      <w:r w:rsidRPr="00011EB4">
        <w:rPr>
          <w:rFonts w:ascii="Arial" w:eastAsia="Arial" w:hAnsi="Arial" w:cs="Arial"/>
          <w:sz w:val="20"/>
          <w:szCs w:val="20"/>
          <w:vertAlign w:val="superscript"/>
          <w:lang w:val="pt-BR"/>
        </w:rPr>
        <w:t>7</w:t>
      </w:r>
      <w:r w:rsidRPr="00011EB4">
        <w:rPr>
          <w:rFonts w:ascii="Arial" w:eastAsia="Arial" w:hAnsi="Arial" w:cs="Arial"/>
          <w:sz w:val="20"/>
          <w:szCs w:val="20"/>
          <w:lang w:val="pt-BR"/>
        </w:rPr>
        <w:t xml:space="preserve"> – thalita.abreu@ippmg.ufrj.br</w:t>
      </w:r>
    </w:p>
    <w:p w14:paraId="7578FE7E"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Fabiana A. Carneiro</w:t>
      </w:r>
      <w:r w:rsidRPr="00011EB4">
        <w:rPr>
          <w:rFonts w:ascii="Arial" w:eastAsia="Arial" w:hAnsi="Arial" w:cs="Arial"/>
          <w:sz w:val="20"/>
          <w:szCs w:val="20"/>
          <w:vertAlign w:val="superscript"/>
          <w:lang w:val="pt-BR"/>
        </w:rPr>
        <w:t>4,8</w:t>
      </w:r>
      <w:r w:rsidRPr="00011EB4">
        <w:rPr>
          <w:rFonts w:ascii="Arial" w:eastAsia="Arial" w:hAnsi="Arial" w:cs="Arial"/>
          <w:sz w:val="20"/>
          <w:szCs w:val="20"/>
          <w:lang w:val="pt-BR"/>
        </w:rPr>
        <w:t xml:space="preserve"> – fcarneiro@gmail.com</w:t>
      </w:r>
    </w:p>
    <w:p w14:paraId="3DC814DF"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Helena T. Scheid</w:t>
      </w:r>
      <w:r w:rsidRPr="00011EB4">
        <w:rPr>
          <w:rFonts w:ascii="Arial" w:eastAsia="Arial" w:hAnsi="Arial" w:cs="Arial"/>
          <w:sz w:val="20"/>
          <w:szCs w:val="20"/>
          <w:vertAlign w:val="superscript"/>
          <w:lang w:val="pt-BR"/>
        </w:rPr>
        <w:t>1</w:t>
      </w:r>
      <w:r w:rsidRPr="00011EB4">
        <w:rPr>
          <w:rFonts w:ascii="Arial" w:eastAsia="Arial" w:hAnsi="Arial" w:cs="Arial"/>
          <w:sz w:val="20"/>
          <w:szCs w:val="20"/>
          <w:lang w:val="pt-BR"/>
        </w:rPr>
        <w:t xml:space="preserve"> – helenatoledos@gmail.com</w:t>
      </w:r>
    </w:p>
    <w:p w14:paraId="3FD57478"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Leonardo A. V. Souza</w:t>
      </w:r>
      <w:r w:rsidRPr="00011EB4">
        <w:rPr>
          <w:rFonts w:ascii="Arial" w:eastAsia="Arial" w:hAnsi="Arial" w:cs="Arial"/>
          <w:sz w:val="20"/>
          <w:szCs w:val="20"/>
          <w:vertAlign w:val="superscript"/>
          <w:lang w:val="pt-BR"/>
        </w:rPr>
        <w:t>6</w:t>
      </w:r>
      <w:r w:rsidRPr="00011EB4">
        <w:rPr>
          <w:rFonts w:ascii="Arial" w:eastAsia="Arial" w:hAnsi="Arial" w:cs="Arial"/>
          <w:sz w:val="20"/>
          <w:szCs w:val="20"/>
          <w:lang w:val="pt-BR"/>
        </w:rPr>
        <w:t xml:space="preserve"> – leo.vilaca@yahoo.com.br</w:t>
      </w:r>
    </w:p>
    <w:p w14:paraId="7AE2080A"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Débora G. M. Rodrigues</w:t>
      </w:r>
      <w:r w:rsidRPr="00011EB4">
        <w:rPr>
          <w:rFonts w:ascii="Arial" w:eastAsia="Arial" w:hAnsi="Arial" w:cs="Arial"/>
          <w:sz w:val="20"/>
          <w:szCs w:val="20"/>
          <w:vertAlign w:val="superscript"/>
          <w:lang w:val="pt-BR"/>
        </w:rPr>
        <w:t>1</w:t>
      </w:r>
      <w:r w:rsidRPr="00011EB4">
        <w:rPr>
          <w:rFonts w:ascii="Arial" w:eastAsia="Arial" w:hAnsi="Arial" w:cs="Arial"/>
          <w:sz w:val="20"/>
          <w:szCs w:val="20"/>
          <w:lang w:val="pt-BR"/>
        </w:rPr>
        <w:t xml:space="preserve"> – deboramarinsdgm@gmail.com</w:t>
      </w:r>
    </w:p>
    <w:p w14:paraId="4C5B6FC7"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Nádia V. G. Cruz</w:t>
      </w:r>
      <w:r w:rsidRPr="00011EB4">
        <w:rPr>
          <w:rFonts w:ascii="Arial" w:eastAsia="Arial" w:hAnsi="Arial" w:cs="Arial"/>
          <w:sz w:val="20"/>
          <w:szCs w:val="20"/>
          <w:vertAlign w:val="superscript"/>
          <w:lang w:val="pt-BR"/>
        </w:rPr>
        <w:t>10</w:t>
      </w:r>
      <w:r w:rsidRPr="00011EB4">
        <w:rPr>
          <w:rFonts w:ascii="Arial" w:eastAsia="Arial" w:hAnsi="Arial" w:cs="Arial"/>
          <w:sz w:val="20"/>
          <w:szCs w:val="20"/>
          <w:lang w:val="pt-BR"/>
        </w:rPr>
        <w:t xml:space="preserve"> – nadiavaez@hotmail.com</w:t>
      </w:r>
    </w:p>
    <w:p w14:paraId="6ADC00C7" w14:textId="77777777" w:rsidR="003136B9" w:rsidRDefault="00000000">
      <w:pPr>
        <w:jc w:val="both"/>
        <w:rPr>
          <w:rFonts w:ascii="Arial" w:eastAsia="Arial" w:hAnsi="Arial" w:cs="Arial"/>
          <w:sz w:val="20"/>
          <w:szCs w:val="20"/>
        </w:rPr>
      </w:pPr>
      <w:r>
        <w:rPr>
          <w:rFonts w:ascii="Arial" w:eastAsia="Arial" w:hAnsi="Arial" w:cs="Arial"/>
          <w:sz w:val="20"/>
          <w:szCs w:val="20"/>
        </w:rPr>
        <w:t>Andrea Cony</w:t>
      </w:r>
      <w:r>
        <w:rPr>
          <w:rFonts w:ascii="Arial" w:eastAsia="Arial" w:hAnsi="Arial" w:cs="Arial"/>
          <w:sz w:val="20"/>
          <w:szCs w:val="20"/>
          <w:vertAlign w:val="superscript"/>
        </w:rPr>
        <w:t>11</w:t>
      </w:r>
      <w:r>
        <w:rPr>
          <w:rFonts w:ascii="Arial" w:eastAsia="Arial" w:hAnsi="Arial" w:cs="Arial"/>
          <w:sz w:val="20"/>
          <w:szCs w:val="20"/>
        </w:rPr>
        <w:t xml:space="preserve"> – dg@lacen.fs.rj.gov.br</w:t>
      </w:r>
    </w:p>
    <w:p w14:paraId="1516CA2E"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Silvia Carvalho</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 carvalho.silviacristina@gmail.com</w:t>
      </w:r>
    </w:p>
    <w:p w14:paraId="2657122A"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Loyse P. O. de Lima</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xml:space="preserve"> – loyse.lima@butantan.gov.br</w:t>
      </w:r>
    </w:p>
    <w:p w14:paraId="7560ABB9"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Vincent L. Viala</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xml:space="preserve"> – vincent.viala@butantan.gov.br</w:t>
      </w:r>
    </w:p>
    <w:p w14:paraId="18A8C994"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Lucio A. Caldas</w:t>
      </w:r>
      <w:r w:rsidRPr="00011EB4">
        <w:rPr>
          <w:rFonts w:ascii="Arial" w:eastAsia="Arial" w:hAnsi="Arial" w:cs="Arial"/>
          <w:sz w:val="20"/>
          <w:szCs w:val="20"/>
          <w:vertAlign w:val="superscript"/>
          <w:lang w:val="pt-BR"/>
        </w:rPr>
        <w:t>4,8</w:t>
      </w:r>
      <w:r w:rsidRPr="00011EB4">
        <w:rPr>
          <w:rFonts w:ascii="Arial" w:eastAsia="Arial" w:hAnsi="Arial" w:cs="Arial"/>
          <w:sz w:val="20"/>
          <w:szCs w:val="20"/>
          <w:lang w:val="pt-BR"/>
        </w:rPr>
        <w:t xml:space="preserve"> – lucio@biof.ufrj.br</w:t>
      </w:r>
    </w:p>
    <w:p w14:paraId="1E49DF80"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Wanderley de Souza</w:t>
      </w:r>
      <w:r w:rsidRPr="00011EB4">
        <w:rPr>
          <w:rFonts w:ascii="Arial" w:eastAsia="Arial" w:hAnsi="Arial" w:cs="Arial"/>
          <w:sz w:val="20"/>
          <w:szCs w:val="20"/>
          <w:vertAlign w:val="superscript"/>
          <w:lang w:val="pt-BR"/>
        </w:rPr>
        <w:t>4,9</w:t>
      </w:r>
      <w:r w:rsidRPr="00011EB4">
        <w:rPr>
          <w:rFonts w:ascii="Arial" w:eastAsia="Arial" w:hAnsi="Arial" w:cs="Arial"/>
          <w:sz w:val="20"/>
          <w:szCs w:val="20"/>
          <w:lang w:val="pt-BR"/>
        </w:rPr>
        <w:t xml:space="preserve"> – wsouza@biof.ufrj.br</w:t>
      </w:r>
    </w:p>
    <w:p w14:paraId="130FF5D6"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Luiza M. Higa</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 luizahiga@gmail.com</w:t>
      </w:r>
    </w:p>
    <w:p w14:paraId="6656DF64"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Carolina M. Voloch</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 carolvoloch@gmail.com</w:t>
      </w:r>
    </w:p>
    <w:p w14:paraId="2DC4F890"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Orlando C. Ferreira Jr</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 orlandocfj@gmail.com</w:t>
      </w:r>
    </w:p>
    <w:p w14:paraId="7880821A"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Clarissa R. Damaso</w:t>
      </w:r>
      <w:r w:rsidRPr="00011EB4">
        <w:rPr>
          <w:rFonts w:ascii="Arial" w:eastAsia="Arial" w:hAnsi="Arial" w:cs="Arial"/>
          <w:sz w:val="20"/>
          <w:szCs w:val="20"/>
          <w:vertAlign w:val="superscript"/>
          <w:lang w:val="pt-BR"/>
        </w:rPr>
        <w:t>1,4</w:t>
      </w:r>
      <w:r w:rsidRPr="00011EB4">
        <w:rPr>
          <w:rFonts w:ascii="Arial" w:eastAsia="Arial" w:hAnsi="Arial" w:cs="Arial"/>
          <w:sz w:val="20"/>
          <w:szCs w:val="20"/>
          <w:lang w:val="pt-BR"/>
        </w:rPr>
        <w:t xml:space="preserve"> – damasoc@biof.ufrj.br</w:t>
      </w:r>
    </w:p>
    <w:p w14:paraId="750C1ED2"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Rafael M. Galliez</w:t>
      </w:r>
      <w:r w:rsidRPr="00011EB4">
        <w:rPr>
          <w:rFonts w:ascii="Arial" w:eastAsia="Arial" w:hAnsi="Arial" w:cs="Arial"/>
          <w:sz w:val="20"/>
          <w:szCs w:val="20"/>
          <w:vertAlign w:val="superscript"/>
          <w:lang w:val="pt-BR"/>
        </w:rPr>
        <w:t>1,3</w:t>
      </w:r>
      <w:r w:rsidRPr="00011EB4">
        <w:rPr>
          <w:rFonts w:ascii="Arial" w:eastAsia="Arial" w:hAnsi="Arial" w:cs="Arial"/>
          <w:sz w:val="20"/>
          <w:szCs w:val="20"/>
          <w:lang w:val="pt-BR"/>
        </w:rPr>
        <w:t xml:space="preserve"> – galliez77@gmail.com</w:t>
      </w:r>
    </w:p>
    <w:p w14:paraId="6D075666"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Débora S. Faffe</w:t>
      </w:r>
      <w:r w:rsidRPr="00011EB4">
        <w:rPr>
          <w:rFonts w:ascii="Arial" w:eastAsia="Arial" w:hAnsi="Arial" w:cs="Arial"/>
          <w:sz w:val="20"/>
          <w:szCs w:val="20"/>
          <w:vertAlign w:val="superscript"/>
          <w:lang w:val="pt-BR"/>
        </w:rPr>
        <w:t>1,4</w:t>
      </w:r>
      <w:r w:rsidRPr="00011EB4">
        <w:rPr>
          <w:rFonts w:ascii="Arial" w:eastAsia="Arial" w:hAnsi="Arial" w:cs="Arial"/>
          <w:sz w:val="20"/>
          <w:szCs w:val="20"/>
          <w:lang w:val="pt-BR"/>
        </w:rPr>
        <w:t xml:space="preserve"> – faffe@biof.ufrj.br</w:t>
      </w:r>
    </w:p>
    <w:p w14:paraId="4D8A677D"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Amilcar Tanuri</w:t>
      </w:r>
      <w:r w:rsidRPr="00011EB4">
        <w:rPr>
          <w:rFonts w:ascii="Arial" w:eastAsia="Arial" w:hAnsi="Arial" w:cs="Arial"/>
          <w:sz w:val="20"/>
          <w:szCs w:val="20"/>
          <w:vertAlign w:val="superscript"/>
          <w:lang w:val="pt-BR"/>
        </w:rPr>
        <w:t>1,2</w:t>
      </w:r>
      <w:r w:rsidRPr="00011EB4">
        <w:rPr>
          <w:rFonts w:ascii="Arial" w:eastAsia="Arial" w:hAnsi="Arial" w:cs="Arial"/>
          <w:sz w:val="20"/>
          <w:szCs w:val="20"/>
          <w:lang w:val="pt-BR"/>
        </w:rPr>
        <w:t xml:space="preserve"> – atanuri1@gmail.com</w:t>
      </w:r>
    </w:p>
    <w:p w14:paraId="51B0F78F" w14:textId="77777777" w:rsidR="003136B9" w:rsidRPr="00011EB4" w:rsidRDefault="00000000">
      <w:pPr>
        <w:jc w:val="both"/>
        <w:rPr>
          <w:rFonts w:ascii="Arial" w:eastAsia="Arial" w:hAnsi="Arial" w:cs="Arial"/>
          <w:sz w:val="20"/>
          <w:szCs w:val="20"/>
          <w:lang w:val="pt-BR"/>
        </w:rPr>
      </w:pPr>
      <w:r w:rsidRPr="00011EB4">
        <w:rPr>
          <w:rFonts w:ascii="Arial" w:eastAsia="Arial" w:hAnsi="Arial" w:cs="Arial"/>
          <w:sz w:val="20"/>
          <w:szCs w:val="20"/>
          <w:lang w:val="pt-BR"/>
        </w:rPr>
        <w:t>Terezinha M. P. P. Castiñeiras</w:t>
      </w:r>
      <w:r w:rsidRPr="00011EB4">
        <w:rPr>
          <w:rFonts w:ascii="Arial" w:eastAsia="Arial" w:hAnsi="Arial" w:cs="Arial"/>
          <w:sz w:val="20"/>
          <w:szCs w:val="20"/>
          <w:vertAlign w:val="superscript"/>
          <w:lang w:val="pt-BR"/>
        </w:rPr>
        <w:t xml:space="preserve">1,3 </w:t>
      </w:r>
      <w:r w:rsidRPr="00011EB4">
        <w:rPr>
          <w:rFonts w:ascii="Arial" w:eastAsia="Arial" w:hAnsi="Arial" w:cs="Arial"/>
          <w:sz w:val="20"/>
          <w:szCs w:val="20"/>
          <w:lang w:val="pt-BR"/>
        </w:rPr>
        <w:t>** – tmartapc@medicina.ufrj.br</w:t>
      </w:r>
    </w:p>
    <w:p w14:paraId="0D15F7ED" w14:textId="77777777" w:rsidR="003136B9" w:rsidRPr="00011EB4" w:rsidRDefault="00000000">
      <w:pPr>
        <w:rPr>
          <w:lang w:val="pt-BR"/>
        </w:rPr>
      </w:pPr>
      <w:r w:rsidRPr="00011EB4">
        <w:rPr>
          <w:lang w:val="pt-BR"/>
        </w:rPr>
        <w:t xml:space="preserve"> </w:t>
      </w:r>
    </w:p>
    <w:p w14:paraId="1ED503CF" w14:textId="77777777" w:rsidR="003136B9" w:rsidRPr="00011EB4" w:rsidRDefault="00000000">
      <w:pPr>
        <w:rPr>
          <w:rFonts w:ascii="Calibri" w:eastAsia="Calibri" w:hAnsi="Calibri" w:cs="Calibri"/>
          <w:lang w:val="pt-BR"/>
        </w:rPr>
      </w:pPr>
      <w:r w:rsidRPr="00011EB4">
        <w:rPr>
          <w:rFonts w:ascii="Calibri" w:eastAsia="Calibri" w:hAnsi="Calibri" w:cs="Calibri"/>
          <w:lang w:val="pt-BR"/>
        </w:rPr>
        <w:t xml:space="preserve"> </w:t>
      </w:r>
    </w:p>
    <w:p w14:paraId="6CFFE554" w14:textId="77777777" w:rsidR="003136B9" w:rsidRPr="00011EB4" w:rsidRDefault="003136B9">
      <w:pPr>
        <w:rPr>
          <w:rFonts w:ascii="Arial" w:eastAsia="Arial" w:hAnsi="Arial" w:cs="Arial"/>
          <w:sz w:val="20"/>
          <w:szCs w:val="20"/>
          <w:lang w:val="pt-BR"/>
        </w:rPr>
      </w:pPr>
    </w:p>
    <w:p w14:paraId="300DAC25" w14:textId="77777777" w:rsidR="003136B9" w:rsidRPr="00011EB4" w:rsidRDefault="003136B9">
      <w:pPr>
        <w:rPr>
          <w:rFonts w:ascii="Arial" w:eastAsia="Arial" w:hAnsi="Arial" w:cs="Arial"/>
          <w:sz w:val="20"/>
          <w:szCs w:val="20"/>
          <w:lang w:val="pt-BR"/>
        </w:rPr>
      </w:pPr>
    </w:p>
    <w:p w14:paraId="1791DF2F" w14:textId="77777777" w:rsidR="003136B9" w:rsidRPr="00011EB4" w:rsidRDefault="003136B9">
      <w:pPr>
        <w:pStyle w:val="Ttulo1"/>
        <w:rPr>
          <w:lang w:val="pt-BR"/>
        </w:rPr>
      </w:pPr>
    </w:p>
    <w:p w14:paraId="522BDC73" w14:textId="77777777" w:rsidR="003136B9" w:rsidRPr="00011EB4" w:rsidRDefault="00000000">
      <w:pPr>
        <w:pStyle w:val="Ttulo1"/>
        <w:rPr>
          <w:lang w:val="pt-BR"/>
        </w:rPr>
      </w:pPr>
      <w:r w:rsidRPr="00011EB4">
        <w:rPr>
          <w:lang w:val="pt-BR"/>
        </w:rPr>
        <w:br w:type="page"/>
      </w:r>
    </w:p>
    <w:p w14:paraId="77B50177" w14:textId="77777777" w:rsidR="003136B9" w:rsidRDefault="00000000">
      <w:pPr>
        <w:pStyle w:val="Ttulo1"/>
      </w:pPr>
      <w:r>
        <w:lastRenderedPageBreak/>
        <w:t>ABSTRACT</w:t>
      </w:r>
    </w:p>
    <w:p w14:paraId="76061C53" w14:textId="77777777" w:rsidR="003136B9" w:rsidRDefault="00000000">
      <w:pPr>
        <w:pBdr>
          <w:top w:val="nil"/>
          <w:left w:val="nil"/>
          <w:bottom w:val="nil"/>
          <w:right w:val="nil"/>
          <w:between w:val="nil"/>
        </w:pBdr>
        <w:jc w:val="both"/>
        <w:rPr>
          <w:rFonts w:ascii="Arial" w:eastAsia="Arial" w:hAnsi="Arial" w:cs="Arial"/>
          <w:color w:val="000000"/>
        </w:rPr>
      </w:pPr>
      <w:proofErr w:type="spellStart"/>
      <w:r>
        <w:rPr>
          <w:rFonts w:ascii="Arial" w:eastAsia="Arial" w:hAnsi="Arial" w:cs="Arial"/>
          <w:color w:val="000000"/>
        </w:rPr>
        <w:t>Mpox</w:t>
      </w:r>
      <w:proofErr w:type="spellEnd"/>
      <w:r>
        <w:rPr>
          <w:rFonts w:ascii="Arial" w:eastAsia="Arial" w:hAnsi="Arial" w:cs="Arial"/>
          <w:color w:val="000000"/>
        </w:rPr>
        <w:t xml:space="preserve"> is a zoonotic disease historically reported in Africa. Since 2003, limited outbreaks have occurred outside Africa. In 2022, the global spread of cases with sustained interhu</w:t>
      </w:r>
      <w:r>
        <w:rPr>
          <w:rFonts w:ascii="Arial" w:eastAsia="Arial" w:hAnsi="Arial" w:cs="Arial"/>
        </w:rPr>
        <w:t xml:space="preserve">man transmission and unusual disease features raised public health concerns. We explore the </w:t>
      </w:r>
      <w:proofErr w:type="spellStart"/>
      <w:r>
        <w:rPr>
          <w:rFonts w:ascii="Arial" w:eastAsia="Arial" w:hAnsi="Arial" w:cs="Arial"/>
        </w:rPr>
        <w:t>mpox</w:t>
      </w:r>
      <w:proofErr w:type="spellEnd"/>
      <w:r>
        <w:rPr>
          <w:rFonts w:ascii="Arial" w:eastAsia="Arial" w:hAnsi="Arial" w:cs="Arial"/>
        </w:rPr>
        <w:t xml:space="preserve"> outbreak in Rio de Janeiro (RJ) state, Brazil, in an observational study of </w:t>
      </w:r>
      <w:proofErr w:type="spellStart"/>
      <w:r>
        <w:rPr>
          <w:rFonts w:ascii="Arial" w:eastAsia="Arial" w:hAnsi="Arial" w:cs="Arial"/>
        </w:rPr>
        <w:t>mpox</w:t>
      </w:r>
      <w:proofErr w:type="spellEnd"/>
      <w:r>
        <w:rPr>
          <w:rFonts w:ascii="Arial" w:eastAsia="Arial" w:hAnsi="Arial" w:cs="Arial"/>
        </w:rPr>
        <w:t>-suspected cases from June to December 2022. Data collection relied on a public healthcare notification form. Diagnosis was determined by</w:t>
      </w:r>
      <w:r>
        <w:rPr>
          <w:rFonts w:ascii="Arial" w:eastAsia="Arial" w:hAnsi="Arial" w:cs="Arial"/>
          <w:color w:val="000000"/>
        </w:rPr>
        <w:t xml:space="preserve"> MPXV-PCR. In 46 confirmed cases, anti-VACV IgG was determined by ELISA, and seven MPXV genomes were sequenced. A total of 3,095 cases were included, 816 (26%) with positive MPXV-PCR results. Most positive cases were men in their 30s and MSM. A total of 285 (35%) MPXV-PCR+ patients lived with HIV. Eight were coinfected with varicella-zoster virus. Anogenital lesions and adenomegaly were associated with the diagnosis of </w:t>
      </w:r>
      <w:proofErr w:type="spellStart"/>
      <w:r>
        <w:rPr>
          <w:rFonts w:ascii="Arial" w:eastAsia="Arial" w:hAnsi="Arial" w:cs="Arial"/>
          <w:color w:val="000000"/>
        </w:rPr>
        <w:t>mpox</w:t>
      </w:r>
      <w:proofErr w:type="spellEnd"/>
      <w:r>
        <w:rPr>
          <w:rFonts w:ascii="Arial" w:eastAsia="Arial" w:hAnsi="Arial" w:cs="Arial"/>
          <w:color w:val="000000"/>
        </w:rPr>
        <w:t xml:space="preserve">. Females and individuals under 18 represented 9% and 5% of all confirmed cases, respectively, showing higher PCR cycle threshold values and fewer anogenital lesions than adult men. Anti-VACV IgG was detected in 29/46 (63%) patients. All analyzed sequences belonged to clade IIb. In RJ state, </w:t>
      </w:r>
      <w:proofErr w:type="spellStart"/>
      <w:r>
        <w:rPr>
          <w:rFonts w:ascii="Arial" w:eastAsia="Arial" w:hAnsi="Arial" w:cs="Arial"/>
          <w:color w:val="000000"/>
        </w:rPr>
        <w:t>mpox</w:t>
      </w:r>
      <w:proofErr w:type="spellEnd"/>
      <w:r>
        <w:rPr>
          <w:rFonts w:ascii="Arial" w:eastAsia="Arial" w:hAnsi="Arial" w:cs="Arial"/>
          <w:color w:val="000000"/>
        </w:rPr>
        <w:t xml:space="preserve"> presented a diverse clinical picture, represented mainly by mild cases with low complication rates and prominent genital involvement. The incidence in females and children was higher than usually reported. The observation of a bimodal distribution of Ct values, with few positive results, may suggest the need to review the diagnostic criteria in these groups.</w:t>
      </w:r>
    </w:p>
    <w:p w14:paraId="6379A425" w14:textId="77777777" w:rsidR="003136B9" w:rsidRDefault="003136B9">
      <w:pPr>
        <w:pBdr>
          <w:top w:val="nil"/>
          <w:left w:val="nil"/>
          <w:bottom w:val="nil"/>
          <w:right w:val="nil"/>
          <w:between w:val="nil"/>
        </w:pBdr>
        <w:jc w:val="both"/>
        <w:rPr>
          <w:color w:val="000000"/>
        </w:rPr>
      </w:pPr>
    </w:p>
    <w:p w14:paraId="4C9B135B" w14:textId="77777777" w:rsidR="003136B9" w:rsidRDefault="003136B9"/>
    <w:p w14:paraId="744263D2" w14:textId="77777777" w:rsidR="003136B9" w:rsidRDefault="00000000">
      <w:pPr>
        <w:rPr>
          <w:rFonts w:ascii="Arial" w:eastAsia="Arial" w:hAnsi="Arial" w:cs="Arial"/>
        </w:rPr>
      </w:pPr>
      <w:r>
        <w:rPr>
          <w:rFonts w:ascii="Arial" w:eastAsia="Arial" w:hAnsi="Arial" w:cs="Arial"/>
          <w:b/>
        </w:rPr>
        <w:t>Keywords:</w:t>
      </w:r>
    </w:p>
    <w:p w14:paraId="31FC605B" w14:textId="77777777" w:rsidR="003136B9" w:rsidRDefault="00000000">
      <w:pPr>
        <w:rPr>
          <w:rFonts w:ascii="Arial" w:eastAsia="Arial" w:hAnsi="Arial" w:cs="Arial"/>
        </w:rPr>
      </w:pPr>
      <w:r>
        <w:rPr>
          <w:rFonts w:ascii="Arial" w:eastAsia="Arial" w:hAnsi="Arial" w:cs="Arial"/>
        </w:rPr>
        <w:t>Monkeypox virus</w:t>
      </w:r>
    </w:p>
    <w:p w14:paraId="3A0960A5" w14:textId="77777777" w:rsidR="003136B9" w:rsidRDefault="00000000">
      <w:pPr>
        <w:rPr>
          <w:rFonts w:ascii="Arial" w:eastAsia="Arial" w:hAnsi="Arial" w:cs="Arial"/>
        </w:rPr>
      </w:pPr>
      <w:proofErr w:type="spellStart"/>
      <w:r>
        <w:rPr>
          <w:rFonts w:ascii="Arial" w:eastAsia="Arial" w:hAnsi="Arial" w:cs="Arial"/>
        </w:rPr>
        <w:t>Mpox</w:t>
      </w:r>
      <w:proofErr w:type="spellEnd"/>
      <w:r>
        <w:rPr>
          <w:rFonts w:ascii="Arial" w:eastAsia="Arial" w:hAnsi="Arial" w:cs="Arial"/>
        </w:rPr>
        <w:t xml:space="preserve"> outbreak</w:t>
      </w:r>
    </w:p>
    <w:p w14:paraId="14CD6EC3" w14:textId="77777777" w:rsidR="003136B9" w:rsidRDefault="00000000">
      <w:pPr>
        <w:rPr>
          <w:rFonts w:ascii="Arial" w:eastAsia="Arial" w:hAnsi="Arial" w:cs="Arial"/>
        </w:rPr>
      </w:pPr>
      <w:r>
        <w:rPr>
          <w:rFonts w:ascii="Arial" w:eastAsia="Arial" w:hAnsi="Arial" w:cs="Arial"/>
        </w:rPr>
        <w:t>Sexual transmitted infection</w:t>
      </w:r>
    </w:p>
    <w:p w14:paraId="281EF9FF" w14:textId="77777777" w:rsidR="003136B9" w:rsidRDefault="00000000">
      <w:pPr>
        <w:rPr>
          <w:rFonts w:ascii="Arial" w:eastAsia="Arial" w:hAnsi="Arial" w:cs="Arial"/>
        </w:rPr>
      </w:pPr>
      <w:r>
        <w:rPr>
          <w:rFonts w:ascii="Arial" w:eastAsia="Arial" w:hAnsi="Arial" w:cs="Arial"/>
        </w:rPr>
        <w:t>Zoonotic disease</w:t>
      </w:r>
    </w:p>
    <w:p w14:paraId="4769663B" w14:textId="77777777" w:rsidR="003136B9" w:rsidRDefault="00000000">
      <w:pPr>
        <w:rPr>
          <w:rFonts w:ascii="Arial" w:eastAsia="Arial" w:hAnsi="Arial" w:cs="Arial"/>
        </w:rPr>
      </w:pPr>
      <w:r>
        <w:rPr>
          <w:rFonts w:ascii="Arial" w:eastAsia="Arial" w:hAnsi="Arial" w:cs="Arial"/>
        </w:rPr>
        <w:t>Females</w:t>
      </w:r>
    </w:p>
    <w:p w14:paraId="3183C0EC" w14:textId="77777777" w:rsidR="003136B9" w:rsidRDefault="00000000">
      <w:pPr>
        <w:rPr>
          <w:rFonts w:ascii="Arial" w:eastAsia="Arial" w:hAnsi="Arial" w:cs="Arial"/>
        </w:rPr>
      </w:pPr>
      <w:r>
        <w:rPr>
          <w:rFonts w:ascii="Arial" w:eastAsia="Arial" w:hAnsi="Arial" w:cs="Arial"/>
        </w:rPr>
        <w:t>Children</w:t>
      </w:r>
    </w:p>
    <w:p w14:paraId="268CEF42" w14:textId="77777777" w:rsidR="003136B9" w:rsidRDefault="003136B9"/>
    <w:p w14:paraId="07C3826F" w14:textId="77777777" w:rsidR="003136B9" w:rsidRDefault="003136B9"/>
    <w:p w14:paraId="726F8C6D" w14:textId="77777777" w:rsidR="003136B9" w:rsidRDefault="003136B9"/>
    <w:p w14:paraId="3C6B22F7" w14:textId="77777777" w:rsidR="003136B9" w:rsidRDefault="003136B9"/>
    <w:p w14:paraId="752930D3" w14:textId="77777777" w:rsidR="003136B9" w:rsidRDefault="003136B9"/>
    <w:p w14:paraId="4842F95A" w14:textId="77777777" w:rsidR="003136B9" w:rsidRDefault="00000000">
      <w:r>
        <w:br w:type="page"/>
      </w:r>
    </w:p>
    <w:p w14:paraId="4C64BE59" w14:textId="77777777" w:rsidR="003136B9" w:rsidRDefault="00000000">
      <w:pPr>
        <w:pStyle w:val="Ttulo1"/>
        <w:numPr>
          <w:ilvl w:val="0"/>
          <w:numId w:val="1"/>
        </w:numPr>
        <w:ind w:left="0" w:firstLine="0"/>
      </w:pPr>
      <w:bookmarkStart w:id="2" w:name="_1fob9te" w:colFirst="0" w:colLast="0"/>
      <w:bookmarkEnd w:id="2"/>
      <w:r>
        <w:lastRenderedPageBreak/>
        <w:t>INTRODUCTION</w:t>
      </w:r>
    </w:p>
    <w:p w14:paraId="4FE72F34" w14:textId="77777777" w:rsidR="003136B9" w:rsidRDefault="00000000">
      <w:pPr>
        <w:ind w:firstLine="720"/>
        <w:jc w:val="both"/>
        <w:rPr>
          <w:rFonts w:ascii="Arial" w:eastAsia="Arial" w:hAnsi="Arial" w:cs="Arial"/>
        </w:rPr>
      </w:pPr>
      <w:bookmarkStart w:id="3" w:name="_3znysh7" w:colFirst="0" w:colLast="0"/>
      <w:bookmarkEnd w:id="3"/>
      <w:proofErr w:type="spellStart"/>
      <w:r>
        <w:rPr>
          <w:rFonts w:ascii="Arial" w:eastAsia="Arial" w:hAnsi="Arial" w:cs="Arial"/>
        </w:rPr>
        <w:t>Mpox</w:t>
      </w:r>
      <w:proofErr w:type="spellEnd"/>
      <w:r>
        <w:rPr>
          <w:rFonts w:ascii="Arial" w:eastAsia="Arial" w:hAnsi="Arial" w:cs="Arial"/>
        </w:rPr>
        <w:t xml:space="preserve"> (formerly called monkeypox) is a zoonotic disease caused by the monkeypox virus (MPXV), a member of the </w:t>
      </w:r>
      <w:proofErr w:type="spellStart"/>
      <w:r>
        <w:rPr>
          <w:rFonts w:ascii="Arial" w:eastAsia="Arial" w:hAnsi="Arial" w:cs="Arial"/>
        </w:rPr>
        <w:t>Orthopoxvirus</w:t>
      </w:r>
      <w:proofErr w:type="spellEnd"/>
      <w:r>
        <w:rPr>
          <w:rFonts w:ascii="Arial" w:eastAsia="Arial" w:hAnsi="Arial" w:cs="Arial"/>
        </w:rPr>
        <w:t xml:space="preserve"> genus, which includes variola, vaccinia, and cowpox viruses</w:t>
      </w:r>
      <w:r>
        <w:rPr>
          <w:rFonts w:ascii="Arial" w:eastAsia="Arial" w:hAnsi="Arial" w:cs="Arial"/>
          <w:vertAlign w:val="superscript"/>
        </w:rPr>
        <w:t>1</w:t>
      </w:r>
      <w:r>
        <w:rPr>
          <w:rFonts w:ascii="Arial" w:eastAsia="Arial" w:hAnsi="Arial" w:cs="Arial"/>
        </w:rPr>
        <w:t>. The first documented human case was reported in an infant from the Democratic Republic of Congo in 1970</w:t>
      </w:r>
      <w:r>
        <w:rPr>
          <w:rFonts w:ascii="Arial" w:eastAsia="Arial" w:hAnsi="Arial" w:cs="Arial"/>
          <w:vertAlign w:val="superscript"/>
        </w:rPr>
        <w:t>2,3</w:t>
      </w:r>
      <w:r>
        <w:rPr>
          <w:rFonts w:ascii="Arial" w:eastAsia="Arial" w:hAnsi="Arial" w:cs="Arial"/>
        </w:rPr>
        <w:t>. The disease has been endemic in Africa, leading to periodic outbreaks characterized by animal-to-human transmission with low secondary attack rates. Case identifications in Africa have revealed two clades: clade I (Central Africa/Congo Basin), with up to a 10% fatality rate, and clade II (West Africa), with approximately a 1% fatality rate</w:t>
      </w:r>
      <w:r>
        <w:rPr>
          <w:rFonts w:ascii="Arial" w:eastAsia="Arial" w:hAnsi="Arial" w:cs="Arial"/>
          <w:vertAlign w:val="superscript"/>
        </w:rPr>
        <w:t>4</w:t>
      </w:r>
      <w:r>
        <w:rPr>
          <w:rFonts w:ascii="Arial" w:eastAsia="Arial" w:hAnsi="Arial" w:cs="Arial"/>
        </w:rPr>
        <w:t>.</w:t>
      </w:r>
    </w:p>
    <w:p w14:paraId="730AB3AE" w14:textId="77777777" w:rsidR="003136B9" w:rsidRDefault="00000000">
      <w:pPr>
        <w:ind w:firstLine="720"/>
        <w:jc w:val="both"/>
        <w:rPr>
          <w:rFonts w:ascii="Arial" w:eastAsia="Arial" w:hAnsi="Arial" w:cs="Arial"/>
        </w:rPr>
      </w:pPr>
      <w:r>
        <w:rPr>
          <w:rFonts w:ascii="Arial" w:eastAsia="Arial" w:hAnsi="Arial" w:cs="Arial"/>
        </w:rPr>
        <w:t xml:space="preserve">Literature reports suggest a gradual increase in </w:t>
      </w:r>
      <w:proofErr w:type="spellStart"/>
      <w:r>
        <w:rPr>
          <w:rFonts w:ascii="Arial" w:eastAsia="Arial" w:hAnsi="Arial" w:cs="Arial"/>
        </w:rPr>
        <w:t>mpox</w:t>
      </w:r>
      <w:proofErr w:type="spellEnd"/>
      <w:r>
        <w:rPr>
          <w:rFonts w:ascii="Arial" w:eastAsia="Arial" w:hAnsi="Arial" w:cs="Arial"/>
        </w:rPr>
        <w:t xml:space="preserve"> cases between 1980 and 2013, raising concerns about potential changes in the epidemiological pattern</w:t>
      </w:r>
      <w:r>
        <w:rPr>
          <w:rFonts w:ascii="Arial" w:eastAsia="Arial" w:hAnsi="Arial" w:cs="Arial"/>
          <w:vertAlign w:val="superscript"/>
        </w:rPr>
        <w:t>5,6</w:t>
      </w:r>
      <w:r>
        <w:rPr>
          <w:rFonts w:ascii="Arial" w:eastAsia="Arial" w:hAnsi="Arial" w:cs="Arial"/>
        </w:rPr>
        <w:t>. In 2003, 47 cases related to zoonotic transmission of MPXV from imported rodents occurred in the United States</w:t>
      </w:r>
      <w:r>
        <w:rPr>
          <w:rFonts w:ascii="Arial" w:eastAsia="Arial" w:hAnsi="Arial" w:cs="Arial"/>
          <w:vertAlign w:val="superscript"/>
        </w:rPr>
        <w:t>7</w:t>
      </w:r>
      <w:r>
        <w:rPr>
          <w:rFonts w:ascii="Arial" w:eastAsia="Arial" w:hAnsi="Arial" w:cs="Arial"/>
        </w:rPr>
        <w:t>. Subsequently, sporadic cases occurred in Israel (2018), the United Kingdom (2018-2022), Singapore (2019), and the United States (2021), involving travelers returning from endemic areas</w:t>
      </w:r>
      <w:r>
        <w:rPr>
          <w:rFonts w:ascii="Arial" w:eastAsia="Arial" w:hAnsi="Arial" w:cs="Arial"/>
          <w:vertAlign w:val="superscript"/>
        </w:rPr>
        <w:t>7,8</w:t>
      </w:r>
      <w:r>
        <w:rPr>
          <w:rFonts w:ascii="Arial" w:eastAsia="Arial" w:hAnsi="Arial" w:cs="Arial"/>
        </w:rPr>
        <w:t xml:space="preserve">. In May 2022, a cluster of </w:t>
      </w:r>
      <w:proofErr w:type="spellStart"/>
      <w:r>
        <w:rPr>
          <w:rFonts w:ascii="Arial" w:eastAsia="Arial" w:hAnsi="Arial" w:cs="Arial"/>
        </w:rPr>
        <w:t>mpox</w:t>
      </w:r>
      <w:proofErr w:type="spellEnd"/>
      <w:r>
        <w:rPr>
          <w:rFonts w:ascii="Arial" w:eastAsia="Arial" w:hAnsi="Arial" w:cs="Arial"/>
        </w:rPr>
        <w:t xml:space="preserve"> cases not associated with travelers was identified in the United Kingdom. This outbreak quickly spread to Europe, the Americas, the Eastern Mediterranean, and the Western Pacific regions, evolving into a public health emergency</w:t>
      </w:r>
      <w:r>
        <w:rPr>
          <w:rFonts w:ascii="Arial" w:eastAsia="Arial" w:hAnsi="Arial" w:cs="Arial"/>
          <w:vertAlign w:val="superscript"/>
        </w:rPr>
        <w:t>9</w:t>
      </w:r>
      <w:r>
        <w:rPr>
          <w:rFonts w:ascii="Arial" w:eastAsia="Arial" w:hAnsi="Arial" w:cs="Arial"/>
        </w:rPr>
        <w:t>.</w:t>
      </w:r>
    </w:p>
    <w:p w14:paraId="7C9C1996" w14:textId="77777777" w:rsidR="003136B9" w:rsidRDefault="00000000">
      <w:pPr>
        <w:ind w:firstLine="720"/>
        <w:jc w:val="both"/>
        <w:rPr>
          <w:rFonts w:ascii="Arial" w:eastAsia="Arial" w:hAnsi="Arial" w:cs="Arial"/>
        </w:rPr>
      </w:pPr>
      <w:r>
        <w:rPr>
          <w:rFonts w:ascii="Arial" w:eastAsia="Arial" w:hAnsi="Arial" w:cs="Arial"/>
        </w:rPr>
        <w:t>The classical presentation of the disease is described as generalized skin eruptions, beginning on the face, preceded by systemic symptoms such as fever and lymphadenopathy. Incubation period can be as short as five days or as long as three weeks. Lesions progress through maculopapular, vesicular, pustular, and crust stages, each lasting 1-3 days and progressing simultaneously</w:t>
      </w:r>
      <w:r>
        <w:rPr>
          <w:rFonts w:ascii="Arial" w:eastAsia="Arial" w:hAnsi="Arial" w:cs="Arial"/>
          <w:vertAlign w:val="superscript"/>
        </w:rPr>
        <w:t>10</w:t>
      </w:r>
      <w:r>
        <w:rPr>
          <w:rFonts w:ascii="Arial" w:eastAsia="Arial" w:hAnsi="Arial" w:cs="Arial"/>
        </w:rPr>
        <w:t>. However, the 2022 outbreak has been characterized by atypical presentations with a few asynchronous lesions (simultaneous lesions at various stages), frequent involvement of the anogenital region, minimal systemic symptoms, and a concentration of cases among men who have sex with men (MSM) in a sustained chain of interhuman transmission</w:t>
      </w:r>
      <w:r>
        <w:rPr>
          <w:rFonts w:ascii="Arial" w:eastAsia="Arial" w:hAnsi="Arial" w:cs="Arial"/>
          <w:vertAlign w:val="superscript"/>
        </w:rPr>
        <w:t>11,12</w:t>
      </w:r>
      <w:r>
        <w:rPr>
          <w:rFonts w:ascii="Arial" w:eastAsia="Arial" w:hAnsi="Arial" w:cs="Arial"/>
        </w:rPr>
        <w:t>.</w:t>
      </w:r>
    </w:p>
    <w:p w14:paraId="0B8E879B" w14:textId="77777777" w:rsidR="003136B9" w:rsidRDefault="00000000">
      <w:pPr>
        <w:ind w:firstLine="720"/>
        <w:jc w:val="both"/>
        <w:rPr>
          <w:rFonts w:ascii="Arial" w:eastAsia="Arial" w:hAnsi="Arial" w:cs="Arial"/>
        </w:rPr>
      </w:pPr>
      <w:proofErr w:type="spellStart"/>
      <w:r>
        <w:rPr>
          <w:rFonts w:ascii="Arial" w:eastAsia="Arial" w:hAnsi="Arial" w:cs="Arial"/>
        </w:rPr>
        <w:t>Mpox</w:t>
      </w:r>
      <w:proofErr w:type="spellEnd"/>
      <w:r>
        <w:rPr>
          <w:rFonts w:ascii="Arial" w:eastAsia="Arial" w:hAnsi="Arial" w:cs="Arial"/>
        </w:rPr>
        <w:t xml:space="preserve"> has several differential diagnoses among acute skin eruption diseases, mainly those of infectious etiologies</w:t>
      </w:r>
      <w:r>
        <w:rPr>
          <w:rFonts w:ascii="Arial" w:eastAsia="Arial" w:hAnsi="Arial" w:cs="Arial"/>
          <w:vertAlign w:val="superscript"/>
        </w:rPr>
        <w:t>13,14</w:t>
      </w:r>
      <w:r>
        <w:rPr>
          <w:rFonts w:ascii="Arial" w:eastAsia="Arial" w:hAnsi="Arial" w:cs="Arial"/>
        </w:rPr>
        <w:t>, including varicella, herpes simplex, syphilis, gonorrhea, and vaccinia</w:t>
      </w:r>
      <w:r>
        <w:rPr>
          <w:rFonts w:ascii="Arial" w:eastAsia="Arial" w:hAnsi="Arial" w:cs="Arial"/>
          <w:vertAlign w:val="superscript"/>
        </w:rPr>
        <w:t>15</w:t>
      </w:r>
      <w:r>
        <w:rPr>
          <w:rFonts w:ascii="Arial" w:eastAsia="Arial" w:hAnsi="Arial" w:cs="Arial"/>
        </w:rPr>
        <w:t xml:space="preserve">. The presumptive </w:t>
      </w:r>
      <w:proofErr w:type="spellStart"/>
      <w:r>
        <w:rPr>
          <w:rFonts w:ascii="Arial" w:eastAsia="Arial" w:hAnsi="Arial" w:cs="Arial"/>
        </w:rPr>
        <w:t>mpox</w:t>
      </w:r>
      <w:proofErr w:type="spellEnd"/>
      <w:r>
        <w:rPr>
          <w:rFonts w:ascii="Arial" w:eastAsia="Arial" w:hAnsi="Arial" w:cs="Arial"/>
        </w:rPr>
        <w:t xml:space="preserve"> diagnosis based solely on clinical features demonstrates low accuracy</w:t>
      </w:r>
      <w:r>
        <w:rPr>
          <w:rFonts w:ascii="Arial" w:eastAsia="Arial" w:hAnsi="Arial" w:cs="Arial"/>
          <w:vertAlign w:val="superscript"/>
        </w:rPr>
        <w:t>16</w:t>
      </w:r>
      <w:r>
        <w:rPr>
          <w:rFonts w:ascii="Arial" w:eastAsia="Arial" w:hAnsi="Arial" w:cs="Arial"/>
        </w:rPr>
        <w:t xml:space="preserve">, underscoring the importance of laboratory confirmation. The gold standard methods for diagnosing </w:t>
      </w:r>
      <w:proofErr w:type="spellStart"/>
      <w:r>
        <w:rPr>
          <w:rFonts w:ascii="Arial" w:eastAsia="Arial" w:hAnsi="Arial" w:cs="Arial"/>
        </w:rPr>
        <w:t>mpox</w:t>
      </w:r>
      <w:proofErr w:type="spellEnd"/>
      <w:r>
        <w:rPr>
          <w:rFonts w:ascii="Arial" w:eastAsia="Arial" w:hAnsi="Arial" w:cs="Arial"/>
        </w:rPr>
        <w:t xml:space="preserve"> are viral isolation, electron microscopy, and real-time PCR</w:t>
      </w:r>
      <w:r>
        <w:rPr>
          <w:rFonts w:ascii="Arial" w:eastAsia="Arial" w:hAnsi="Arial" w:cs="Arial"/>
          <w:vertAlign w:val="superscript"/>
        </w:rPr>
        <w:t>5</w:t>
      </w:r>
      <w:r>
        <w:rPr>
          <w:rFonts w:ascii="Arial" w:eastAsia="Arial" w:hAnsi="Arial" w:cs="Arial"/>
        </w:rPr>
        <w:t>, the latter being extensively used during the 2022 outbreak. Preliminary CDC case definitions rely on these methods to determine probable and confirmed cases, including the detection of anti-</w:t>
      </w:r>
      <w:proofErr w:type="spellStart"/>
      <w:r>
        <w:rPr>
          <w:rFonts w:ascii="Arial" w:eastAsia="Arial" w:hAnsi="Arial" w:cs="Arial"/>
        </w:rPr>
        <w:t>orthopoxvirus</w:t>
      </w:r>
      <w:proofErr w:type="spellEnd"/>
      <w:r>
        <w:rPr>
          <w:rFonts w:ascii="Arial" w:eastAsia="Arial" w:hAnsi="Arial" w:cs="Arial"/>
        </w:rPr>
        <w:t xml:space="preserve"> IgM antibodies up to 56 days after the onset of skin eruptions</w:t>
      </w:r>
      <w:r>
        <w:rPr>
          <w:rFonts w:ascii="Arial" w:eastAsia="Arial" w:hAnsi="Arial" w:cs="Arial"/>
          <w:vertAlign w:val="superscript"/>
        </w:rPr>
        <w:t>17</w:t>
      </w:r>
      <w:r>
        <w:rPr>
          <w:rFonts w:ascii="Arial" w:eastAsia="Arial" w:hAnsi="Arial" w:cs="Arial"/>
        </w:rPr>
        <w:t>. However, serological methods were not commonly employed for diagnosis during this outbreak.</w:t>
      </w:r>
    </w:p>
    <w:p w14:paraId="75F4FF60" w14:textId="77777777" w:rsidR="003136B9" w:rsidRDefault="00000000">
      <w:pPr>
        <w:ind w:firstLine="720"/>
        <w:jc w:val="both"/>
        <w:rPr>
          <w:rFonts w:ascii="Arial" w:eastAsia="Arial" w:hAnsi="Arial" w:cs="Arial"/>
        </w:rPr>
      </w:pPr>
      <w:r>
        <w:rPr>
          <w:rFonts w:ascii="Arial" w:eastAsia="Arial" w:hAnsi="Arial" w:cs="Arial"/>
        </w:rPr>
        <w:t xml:space="preserve">The first reported case of </w:t>
      </w:r>
      <w:proofErr w:type="spellStart"/>
      <w:r>
        <w:rPr>
          <w:rFonts w:ascii="Arial" w:eastAsia="Arial" w:hAnsi="Arial" w:cs="Arial"/>
        </w:rPr>
        <w:t>mpox</w:t>
      </w:r>
      <w:proofErr w:type="spellEnd"/>
      <w:r>
        <w:rPr>
          <w:rFonts w:ascii="Arial" w:eastAsia="Arial" w:hAnsi="Arial" w:cs="Arial"/>
        </w:rPr>
        <w:t xml:space="preserve"> in Brazil occurred on June 9th, 2022, in São Paulo</w:t>
      </w:r>
      <w:r>
        <w:rPr>
          <w:rFonts w:ascii="Arial" w:eastAsia="Arial" w:hAnsi="Arial" w:cs="Arial"/>
          <w:vertAlign w:val="superscript"/>
        </w:rPr>
        <w:t>18</w:t>
      </w:r>
      <w:r>
        <w:rPr>
          <w:rFonts w:ascii="Arial" w:eastAsia="Arial" w:hAnsi="Arial" w:cs="Arial"/>
        </w:rPr>
        <w:t>. Until July 2023, 10,950 confirmed cases and 16 deaths had been reported</w:t>
      </w:r>
      <w:r>
        <w:rPr>
          <w:rFonts w:ascii="Arial" w:eastAsia="Arial" w:hAnsi="Arial" w:cs="Arial"/>
          <w:vertAlign w:val="superscript"/>
        </w:rPr>
        <w:t>19</w:t>
      </w:r>
      <w:r>
        <w:rPr>
          <w:rFonts w:ascii="Arial" w:eastAsia="Arial" w:hAnsi="Arial" w:cs="Arial"/>
        </w:rPr>
        <w:t xml:space="preserve">. Rio de Janeiro (RJ) represented the second state in absolute number of confirmed cases and the first in deaths. </w:t>
      </w:r>
      <w:r w:rsidRPr="00011EB4">
        <w:rPr>
          <w:rFonts w:ascii="Arial" w:eastAsia="Arial" w:hAnsi="Arial" w:cs="Arial"/>
          <w:lang w:val="pt-BR"/>
        </w:rPr>
        <w:t xml:space="preserve">The Universidade Federal do Rio de Janeiro (UFRJ), through its Núcleo de Enfrentamento e Estudo de Doenças </w:t>
      </w:r>
      <w:r w:rsidRPr="00011EB4">
        <w:rPr>
          <w:rFonts w:ascii="Arial" w:eastAsia="Arial" w:hAnsi="Arial" w:cs="Arial"/>
          <w:lang w:val="pt-BR"/>
        </w:rPr>
        <w:lastRenderedPageBreak/>
        <w:t xml:space="preserve">Infecciosas Emergentes e Reemergentes (NEEDIER), played a significant role in the public health response in Brazil. </w:t>
      </w:r>
      <w:r>
        <w:rPr>
          <w:rFonts w:ascii="Arial" w:eastAsia="Arial" w:hAnsi="Arial" w:cs="Arial"/>
        </w:rPr>
        <w:t xml:space="preserve">NEEDIER-UFRJ received samples to confirm the </w:t>
      </w:r>
      <w:proofErr w:type="spellStart"/>
      <w:r>
        <w:rPr>
          <w:rFonts w:ascii="Arial" w:eastAsia="Arial" w:hAnsi="Arial" w:cs="Arial"/>
        </w:rPr>
        <w:t>mpox</w:t>
      </w:r>
      <w:proofErr w:type="spellEnd"/>
      <w:r>
        <w:rPr>
          <w:rFonts w:ascii="Arial" w:eastAsia="Arial" w:hAnsi="Arial" w:cs="Arial"/>
        </w:rPr>
        <w:t xml:space="preserve"> diagnosis from eight states, including RJ, and provided on-site support to patients suspected of </w:t>
      </w:r>
      <w:proofErr w:type="spellStart"/>
      <w:r>
        <w:rPr>
          <w:rFonts w:ascii="Arial" w:eastAsia="Arial" w:hAnsi="Arial" w:cs="Arial"/>
        </w:rPr>
        <w:t>mpox</w:t>
      </w:r>
      <w:proofErr w:type="spellEnd"/>
      <w:r>
        <w:rPr>
          <w:rFonts w:ascii="Arial" w:eastAsia="Arial" w:hAnsi="Arial" w:cs="Arial"/>
        </w:rPr>
        <w:t xml:space="preserve">. This study presents clinical, epidemiological, serological, and molecular findings from </w:t>
      </w:r>
      <w:proofErr w:type="spellStart"/>
      <w:r>
        <w:rPr>
          <w:rFonts w:ascii="Arial" w:eastAsia="Arial" w:hAnsi="Arial" w:cs="Arial"/>
        </w:rPr>
        <w:t>mpox</w:t>
      </w:r>
      <w:proofErr w:type="spellEnd"/>
      <w:r>
        <w:rPr>
          <w:rFonts w:ascii="Arial" w:eastAsia="Arial" w:hAnsi="Arial" w:cs="Arial"/>
        </w:rPr>
        <w:t xml:space="preserve">-suspected patients from RJ diagnosed at our reference center in Brazil, expanding the understanding of the MPXV infection and contributing to delineating a rational strategy for disease control. </w:t>
      </w:r>
    </w:p>
    <w:p w14:paraId="52F5FD4F" w14:textId="77777777" w:rsidR="003136B9" w:rsidRDefault="00000000">
      <w:pPr>
        <w:pStyle w:val="Ttulo1"/>
      </w:pPr>
      <w:bookmarkStart w:id="4" w:name="_gqzh7k7cmibg" w:colFirst="0" w:colLast="0"/>
      <w:bookmarkEnd w:id="4"/>
      <w:r>
        <w:br w:type="page"/>
      </w:r>
    </w:p>
    <w:p w14:paraId="4203AE12" w14:textId="77777777" w:rsidR="003136B9" w:rsidRDefault="00000000">
      <w:pPr>
        <w:pStyle w:val="Ttulo1"/>
      </w:pPr>
      <w:bookmarkStart w:id="5" w:name="_2et92p0" w:colFirst="0" w:colLast="0"/>
      <w:bookmarkEnd w:id="5"/>
      <w:r>
        <w:lastRenderedPageBreak/>
        <w:t>2. MATERIALS AND METHODS</w:t>
      </w:r>
    </w:p>
    <w:p w14:paraId="2239B15F" w14:textId="77777777" w:rsidR="003136B9" w:rsidRDefault="00000000">
      <w:pPr>
        <w:pStyle w:val="Ttulo2"/>
      </w:pPr>
      <w:bookmarkStart w:id="6" w:name="_tyjcwt" w:colFirst="0" w:colLast="0"/>
      <w:bookmarkEnd w:id="6"/>
      <w:r>
        <w:t xml:space="preserve">2.1. Study design and </w:t>
      </w:r>
      <w:proofErr w:type="gramStart"/>
      <w:r>
        <w:t>population</w:t>
      </w:r>
      <w:proofErr w:type="gramEnd"/>
    </w:p>
    <w:p w14:paraId="1A565245" w14:textId="77777777" w:rsidR="003136B9" w:rsidRDefault="00000000">
      <w:pPr>
        <w:pBdr>
          <w:top w:val="nil"/>
          <w:left w:val="nil"/>
          <w:bottom w:val="nil"/>
          <w:right w:val="nil"/>
          <w:between w:val="nil"/>
        </w:pBdr>
        <w:ind w:firstLine="720"/>
        <w:jc w:val="both"/>
      </w:pPr>
      <w:bookmarkStart w:id="7" w:name="_3dy6vkm" w:colFirst="0" w:colLast="0"/>
      <w:bookmarkEnd w:id="7"/>
      <w:r>
        <w:rPr>
          <w:rFonts w:ascii="Arial" w:eastAsia="Arial" w:hAnsi="Arial" w:cs="Arial"/>
        </w:rPr>
        <w:t xml:space="preserve">We conducted an observational study including suspected cases of </w:t>
      </w:r>
      <w:proofErr w:type="spellStart"/>
      <w:r>
        <w:rPr>
          <w:rFonts w:ascii="Arial" w:eastAsia="Arial" w:hAnsi="Arial" w:cs="Arial"/>
        </w:rPr>
        <w:t>mpox</w:t>
      </w:r>
      <w:proofErr w:type="spellEnd"/>
      <w:r>
        <w:rPr>
          <w:rFonts w:ascii="Arial" w:eastAsia="Arial" w:hAnsi="Arial" w:cs="Arial"/>
        </w:rPr>
        <w:t xml:space="preserve"> from the RJ state, tested at UFRJ between June 4th, 2022, and December 31st, 2022, with available clinical data. A subset of patients received on-site evaluation at NEEDIER. Probable cases included individuals of any age who, after March 15th, 2022, presented single or multiple acute skin lesions suggestive of </w:t>
      </w:r>
      <w:proofErr w:type="spellStart"/>
      <w:r>
        <w:rPr>
          <w:rFonts w:ascii="Arial" w:eastAsia="Arial" w:hAnsi="Arial" w:cs="Arial"/>
        </w:rPr>
        <w:t>mpox</w:t>
      </w:r>
      <w:proofErr w:type="spellEnd"/>
      <w:r>
        <w:rPr>
          <w:rFonts w:ascii="Arial" w:eastAsia="Arial" w:hAnsi="Arial" w:cs="Arial"/>
        </w:rPr>
        <w:t xml:space="preserve"> (deep and well-defined lesions, usually with central umbilication, at maculopapular, vesicular, pustular, or crust stages) in any body region, with or without fever or adenomegaly</w:t>
      </w:r>
      <w:r>
        <w:rPr>
          <w:rFonts w:ascii="Arial" w:eastAsia="Arial" w:hAnsi="Arial" w:cs="Arial"/>
          <w:vertAlign w:val="superscript"/>
        </w:rPr>
        <w:t>20</w:t>
      </w:r>
      <w:r>
        <w:rPr>
          <w:rFonts w:ascii="Arial" w:eastAsia="Arial" w:hAnsi="Arial" w:cs="Arial"/>
        </w:rPr>
        <w:t>. </w:t>
      </w:r>
    </w:p>
    <w:p w14:paraId="7C9EE2DA" w14:textId="77777777" w:rsidR="003136B9" w:rsidRDefault="00000000">
      <w:pPr>
        <w:pStyle w:val="Ttulo2"/>
      </w:pPr>
      <w:r>
        <w:t>2.2. Data collection and laboratory procedures</w:t>
      </w:r>
    </w:p>
    <w:p w14:paraId="7671B177" w14:textId="77777777" w:rsidR="003136B9" w:rsidRDefault="00000000">
      <w:pPr>
        <w:ind w:firstLine="720"/>
        <w:jc w:val="both"/>
        <w:rPr>
          <w:rFonts w:ascii="Arial" w:eastAsia="Arial" w:hAnsi="Arial" w:cs="Arial"/>
        </w:rPr>
      </w:pPr>
      <w:r>
        <w:rPr>
          <w:rFonts w:ascii="Arial" w:eastAsia="Arial" w:hAnsi="Arial" w:cs="Arial"/>
        </w:rPr>
        <w:t xml:space="preserve">Age, sex, gender, clinical presentation, sexual exposure, travel history, HIV status, non-HIV immunosuppression, and the simultaneous presence of sexually transmitted infection other than HIV (STI) of suspected </w:t>
      </w:r>
      <w:proofErr w:type="spellStart"/>
      <w:r>
        <w:rPr>
          <w:rFonts w:ascii="Arial" w:eastAsia="Arial" w:hAnsi="Arial" w:cs="Arial"/>
        </w:rPr>
        <w:t>mpox</w:t>
      </w:r>
      <w:proofErr w:type="spellEnd"/>
      <w:r>
        <w:rPr>
          <w:rFonts w:ascii="Arial" w:eastAsia="Arial" w:hAnsi="Arial" w:cs="Arial"/>
        </w:rPr>
        <w:t xml:space="preserve"> cases were collected using a public healthcare notification form (the </w:t>
      </w:r>
      <w:proofErr w:type="spellStart"/>
      <w:r>
        <w:rPr>
          <w:rFonts w:ascii="Arial" w:eastAsia="Arial" w:hAnsi="Arial" w:cs="Arial"/>
        </w:rPr>
        <w:t>REDCap</w:t>
      </w:r>
      <w:proofErr w:type="spellEnd"/>
      <w:r>
        <w:rPr>
          <w:rFonts w:ascii="Arial" w:eastAsia="Arial" w:hAnsi="Arial" w:cs="Arial"/>
        </w:rPr>
        <w:t xml:space="preserve">® electronic data). Additional clinical and epidemiological information was available for a subgroup of patients who were assessed at our reference center. In this subgroup, confirmed </w:t>
      </w:r>
      <w:proofErr w:type="spellStart"/>
      <w:r>
        <w:rPr>
          <w:rFonts w:ascii="Arial" w:eastAsia="Arial" w:hAnsi="Arial" w:cs="Arial"/>
        </w:rPr>
        <w:t>mpox</w:t>
      </w:r>
      <w:proofErr w:type="spellEnd"/>
      <w:r>
        <w:rPr>
          <w:rFonts w:ascii="Arial" w:eastAsia="Arial" w:hAnsi="Arial" w:cs="Arial"/>
        </w:rPr>
        <w:t xml:space="preserve"> cases were monitored weekly and discharged based on clinical criteria. </w:t>
      </w:r>
    </w:p>
    <w:p w14:paraId="02B20E35" w14:textId="77777777" w:rsidR="003136B9" w:rsidRDefault="00000000">
      <w:pPr>
        <w:ind w:firstLine="720"/>
        <w:jc w:val="both"/>
        <w:rPr>
          <w:rFonts w:ascii="Arial" w:eastAsia="Arial" w:hAnsi="Arial" w:cs="Arial"/>
        </w:rPr>
      </w:pPr>
      <w:proofErr w:type="spellStart"/>
      <w:r>
        <w:rPr>
          <w:rFonts w:ascii="Arial" w:eastAsia="Arial" w:hAnsi="Arial" w:cs="Arial"/>
        </w:rPr>
        <w:t>Mpox</w:t>
      </w:r>
      <w:proofErr w:type="spellEnd"/>
      <w:r>
        <w:rPr>
          <w:rFonts w:ascii="Arial" w:eastAsia="Arial" w:hAnsi="Arial" w:cs="Arial"/>
        </w:rPr>
        <w:t xml:space="preserve"> diagnosis was established by analyzing swabs from skin lesions (content or fragments), oropharynx, and/or anal region. A triplex real-time PCR assay was employed to detect monkeypox virus DNA (7500 Thermal Cycler, Applied Biosystems, USA), targeting the F4L gene for </w:t>
      </w:r>
      <w:proofErr w:type="spellStart"/>
      <w:r>
        <w:rPr>
          <w:rFonts w:ascii="Arial" w:eastAsia="Arial" w:hAnsi="Arial" w:cs="Arial"/>
        </w:rPr>
        <w:t>orthopoxvirus</w:t>
      </w:r>
      <w:proofErr w:type="spellEnd"/>
      <w:r>
        <w:rPr>
          <w:rFonts w:ascii="Arial" w:eastAsia="Arial" w:hAnsi="Arial" w:cs="Arial"/>
        </w:rPr>
        <w:t xml:space="preserve"> (OPXV), the G2R for both MPXV clade I and II, and the human RNase P (RP) as an endogenous control. Alternatively, a 4-plex real-time PCR assay that also targets varicella-zoster virus (VZV) (Kit Molecular 4Plex OPXV/MPXV/VZV/RP, Bio-</w:t>
      </w:r>
      <w:proofErr w:type="spellStart"/>
      <w:r>
        <w:rPr>
          <w:rFonts w:ascii="Arial" w:eastAsia="Arial" w:hAnsi="Arial" w:cs="Arial"/>
        </w:rPr>
        <w:t>Manguinhos</w:t>
      </w:r>
      <w:proofErr w:type="spellEnd"/>
      <w:r>
        <w:rPr>
          <w:rFonts w:ascii="Arial" w:eastAsia="Arial" w:hAnsi="Arial" w:cs="Arial"/>
        </w:rPr>
        <w:t>/</w:t>
      </w:r>
      <w:proofErr w:type="spellStart"/>
      <w:r>
        <w:rPr>
          <w:rFonts w:ascii="Arial" w:eastAsia="Arial" w:hAnsi="Arial" w:cs="Arial"/>
        </w:rPr>
        <w:t>Fiocruz</w:t>
      </w:r>
      <w:proofErr w:type="spellEnd"/>
      <w:r>
        <w:rPr>
          <w:rFonts w:ascii="Arial" w:eastAsia="Arial" w:hAnsi="Arial" w:cs="Arial"/>
        </w:rPr>
        <w:t>, 2022) was utilized following the manufacturer's instructions</w:t>
      </w:r>
      <w:r>
        <w:rPr>
          <w:rFonts w:ascii="Arial" w:eastAsia="Arial" w:hAnsi="Arial" w:cs="Arial"/>
          <w:vertAlign w:val="superscript"/>
        </w:rPr>
        <w:t>21</w:t>
      </w:r>
      <w:r>
        <w:rPr>
          <w:rFonts w:ascii="Arial" w:eastAsia="Arial" w:hAnsi="Arial" w:cs="Arial"/>
        </w:rPr>
        <w:t>. Samples were considered positive when PCR cycle threshold (Ct) values were below or equal to 37 and inconclusive between 37 and 40</w:t>
      </w:r>
      <w:r>
        <w:rPr>
          <w:rFonts w:ascii="Arial" w:eastAsia="Arial" w:hAnsi="Arial" w:cs="Arial"/>
          <w:vertAlign w:val="superscript"/>
        </w:rPr>
        <w:t>22</w:t>
      </w:r>
      <w:r>
        <w:rPr>
          <w:rFonts w:ascii="Arial" w:eastAsia="Arial" w:hAnsi="Arial" w:cs="Arial"/>
        </w:rPr>
        <w:t>.</w:t>
      </w:r>
    </w:p>
    <w:p w14:paraId="03D7B0FE" w14:textId="77777777" w:rsidR="003136B9" w:rsidRDefault="00000000">
      <w:pPr>
        <w:ind w:firstLine="720"/>
        <w:jc w:val="both"/>
        <w:rPr>
          <w:rFonts w:ascii="Arial" w:eastAsia="Arial" w:hAnsi="Arial" w:cs="Arial"/>
        </w:rPr>
      </w:pPr>
      <w:r>
        <w:rPr>
          <w:rFonts w:ascii="Arial" w:eastAsia="Arial" w:hAnsi="Arial" w:cs="Arial"/>
        </w:rPr>
        <w:t>In the subset of patients who were attended at our reference center, anti-VZV IgM and IgG (</w:t>
      </w:r>
      <w:proofErr w:type="spellStart"/>
      <w:r>
        <w:rPr>
          <w:rFonts w:ascii="Arial" w:eastAsia="Arial" w:hAnsi="Arial" w:cs="Arial"/>
        </w:rPr>
        <w:t>Euroimmun</w:t>
      </w:r>
      <w:proofErr w:type="spellEnd"/>
      <w:r>
        <w:rPr>
          <w:rFonts w:ascii="Arial" w:eastAsia="Arial" w:hAnsi="Arial" w:cs="Arial"/>
        </w:rPr>
        <w:t>, Germany) and anti-VACV IgG (vaccinia virus Wyeth clone A111) titers were determined by semi-quantitative ELISA from serum</w:t>
      </w:r>
      <w:r>
        <w:rPr>
          <w:rFonts w:ascii="Arial" w:eastAsia="Arial" w:hAnsi="Arial" w:cs="Arial"/>
          <w:vertAlign w:val="superscript"/>
        </w:rPr>
        <w:t>23</w:t>
      </w:r>
      <w:r>
        <w:rPr>
          <w:rFonts w:ascii="Arial" w:eastAsia="Arial" w:hAnsi="Arial" w:cs="Arial"/>
        </w:rPr>
        <w:t>. Additionally, MPXV isolation in cell culture was performed from swab samples as previously described</w:t>
      </w:r>
      <w:r>
        <w:rPr>
          <w:rFonts w:ascii="Arial" w:eastAsia="Arial" w:hAnsi="Arial" w:cs="Arial"/>
          <w:vertAlign w:val="superscript"/>
        </w:rPr>
        <w:t>24</w:t>
      </w:r>
      <w:r>
        <w:rPr>
          <w:rFonts w:ascii="Arial" w:eastAsia="Arial" w:hAnsi="Arial" w:cs="Arial"/>
        </w:rPr>
        <w:t>. MPXV isolate was fixed in 2.5% glutaraldehyde and analyzed by scanning electron microscopy (SEM)</w:t>
      </w:r>
      <w:r>
        <w:rPr>
          <w:rFonts w:ascii="Arial" w:eastAsia="Arial" w:hAnsi="Arial" w:cs="Arial"/>
          <w:vertAlign w:val="superscript"/>
        </w:rPr>
        <w:t>25</w:t>
      </w:r>
      <w:r>
        <w:rPr>
          <w:rFonts w:ascii="Arial" w:eastAsia="Arial" w:hAnsi="Arial" w:cs="Arial"/>
        </w:rPr>
        <w:t xml:space="preserve">. For MPXV genome sequencing, samples were selected (Ct&lt;28) and PCR amplified using the </w:t>
      </w:r>
      <w:proofErr w:type="spellStart"/>
      <w:r>
        <w:rPr>
          <w:rFonts w:ascii="Arial" w:eastAsia="Arial" w:hAnsi="Arial" w:cs="Arial"/>
        </w:rPr>
        <w:t>COVIDSeq</w:t>
      </w:r>
      <w:proofErr w:type="spellEnd"/>
      <w:r>
        <w:rPr>
          <w:rFonts w:ascii="Arial" w:eastAsia="Arial" w:hAnsi="Arial" w:cs="Arial"/>
        </w:rPr>
        <w:t xml:space="preserve"> kit (Illumina, USA), with modifications as previously described</w:t>
      </w:r>
      <w:r>
        <w:rPr>
          <w:rFonts w:ascii="Arial" w:eastAsia="Arial" w:hAnsi="Arial" w:cs="Arial"/>
          <w:vertAlign w:val="superscript"/>
        </w:rPr>
        <w:t>26</w:t>
      </w:r>
      <w:r>
        <w:rPr>
          <w:rFonts w:ascii="Arial" w:eastAsia="Arial" w:hAnsi="Arial" w:cs="Arial"/>
        </w:rPr>
        <w:t xml:space="preserve">. Pooled libraries were sequenced using 2x100 bp pair-end Illumina flow cell kits for NextSeq2000. The raw data were base-called and trimmed using Illumina’s </w:t>
      </w:r>
      <w:proofErr w:type="spellStart"/>
      <w:r>
        <w:rPr>
          <w:rFonts w:ascii="Arial" w:eastAsia="Arial" w:hAnsi="Arial" w:cs="Arial"/>
        </w:rPr>
        <w:t>Basespace</w:t>
      </w:r>
      <w:proofErr w:type="spellEnd"/>
      <w:r>
        <w:rPr>
          <w:rFonts w:ascii="Arial" w:eastAsia="Arial" w:hAnsi="Arial" w:cs="Arial"/>
        </w:rPr>
        <w:t xml:space="preserve"> data cloud. Reads were mapped to a reference genome (NC_063383.1) using the </w:t>
      </w:r>
      <w:proofErr w:type="spellStart"/>
      <w:r>
        <w:rPr>
          <w:rFonts w:ascii="Arial" w:eastAsia="Arial" w:hAnsi="Arial" w:cs="Arial"/>
        </w:rPr>
        <w:t>Geneious</w:t>
      </w:r>
      <w:proofErr w:type="spellEnd"/>
      <w:r>
        <w:rPr>
          <w:rFonts w:ascii="Arial" w:eastAsia="Arial" w:hAnsi="Arial" w:cs="Arial"/>
        </w:rPr>
        <w:t xml:space="preserve"> Prime software. Consensus sequences were generated with a minimum coverage of 10x. For clade assignment, mutation </w:t>
      </w:r>
      <w:r>
        <w:rPr>
          <w:rFonts w:ascii="Arial" w:eastAsia="Arial" w:hAnsi="Arial" w:cs="Arial"/>
        </w:rPr>
        <w:lastRenderedPageBreak/>
        <w:t xml:space="preserve">calling, and quality checks, consensus sequences were submitted to </w:t>
      </w:r>
      <w:proofErr w:type="spellStart"/>
      <w:r>
        <w:rPr>
          <w:rFonts w:ascii="Arial" w:eastAsia="Arial" w:hAnsi="Arial" w:cs="Arial"/>
        </w:rPr>
        <w:t>Nextclade</w:t>
      </w:r>
      <w:proofErr w:type="spellEnd"/>
      <w:r>
        <w:rPr>
          <w:rFonts w:ascii="Arial" w:eastAsia="Arial" w:hAnsi="Arial" w:cs="Arial"/>
        </w:rPr>
        <w:t xml:space="preserve"> (accessed on September 11th, 2023) using the </w:t>
      </w:r>
      <w:proofErr w:type="spellStart"/>
      <w:r>
        <w:rPr>
          <w:rFonts w:ascii="Arial" w:eastAsia="Arial" w:hAnsi="Arial" w:cs="Arial"/>
        </w:rPr>
        <w:t>hMPXV</w:t>
      </w:r>
      <w:proofErr w:type="spellEnd"/>
      <w:r>
        <w:rPr>
          <w:rFonts w:ascii="Arial" w:eastAsia="Arial" w:hAnsi="Arial" w:cs="Arial"/>
        </w:rPr>
        <w:t xml:space="preserve"> dataset. </w:t>
      </w:r>
    </w:p>
    <w:p w14:paraId="04ADBA6D" w14:textId="77777777" w:rsidR="003136B9" w:rsidRDefault="00000000">
      <w:pPr>
        <w:ind w:firstLine="720"/>
        <w:jc w:val="both"/>
        <w:rPr>
          <w:rFonts w:ascii="Arial" w:eastAsia="Arial" w:hAnsi="Arial" w:cs="Arial"/>
        </w:rPr>
      </w:pPr>
      <w:r>
        <w:rPr>
          <w:rFonts w:ascii="Arial" w:eastAsia="Arial" w:hAnsi="Arial" w:cs="Arial"/>
        </w:rPr>
        <w:t>This study received approval from the Research Ethics Committee of the HU-UFRJ (Reg_62281722.5.0000.5257). Participants who were assessed on-site provided written informed consent for study participation and additional consent for their anonymized images use. Informed consent of external participants was waived because of the deidentified nature of the database.</w:t>
      </w:r>
    </w:p>
    <w:p w14:paraId="17D589EA" w14:textId="77777777" w:rsidR="003136B9" w:rsidRDefault="00000000">
      <w:pPr>
        <w:pStyle w:val="Ttulo2"/>
      </w:pPr>
      <w:bookmarkStart w:id="8" w:name="_1t3h5sf" w:colFirst="0" w:colLast="0"/>
      <w:bookmarkEnd w:id="8"/>
      <w:r>
        <w:t>2.3. Statistical analysis</w:t>
      </w:r>
    </w:p>
    <w:p w14:paraId="76188932" w14:textId="77777777" w:rsidR="003136B9" w:rsidRDefault="00000000">
      <w:pPr>
        <w:ind w:firstLine="720"/>
        <w:jc w:val="both"/>
        <w:rPr>
          <w:rFonts w:ascii="Arial" w:eastAsia="Arial" w:hAnsi="Arial" w:cs="Arial"/>
        </w:rPr>
      </w:pPr>
      <w:r>
        <w:rPr>
          <w:rFonts w:ascii="Arial" w:eastAsia="Arial" w:hAnsi="Arial" w:cs="Arial"/>
        </w:rPr>
        <w:t xml:space="preserve">We provided descriptive statistics for demographic variables. We used logistic regression to estimate the probability of </w:t>
      </w:r>
      <w:proofErr w:type="spellStart"/>
      <w:r>
        <w:rPr>
          <w:rFonts w:ascii="Arial" w:eastAsia="Arial" w:hAnsi="Arial" w:cs="Arial"/>
        </w:rPr>
        <w:t>mpox</w:t>
      </w:r>
      <w:proofErr w:type="spellEnd"/>
      <w:r>
        <w:rPr>
          <w:rFonts w:ascii="Arial" w:eastAsia="Arial" w:hAnsi="Arial" w:cs="Arial"/>
        </w:rPr>
        <w:t xml:space="preserve"> diagnosis based on the independent symptoms in the whole cohort and individual odds ratios (ORs) among females, excluding patients with an inconclusive MPXV-PCR test. We performed Silverman’s bandwidth test to evaluate multimodality of MPXV-PCR Ct values. In the subset of patients with serum samples, we calculated a Kendall correlation between their lowest MPXV-PCR Ct values and their highest anti-VACV IgG titers. We used the Wilcoxon rank-sum test to compare Ct values in subsets of patients. A </w:t>
      </w:r>
      <w:r>
        <w:rPr>
          <w:rFonts w:ascii="Arial" w:eastAsia="Arial" w:hAnsi="Arial" w:cs="Arial"/>
          <w:i/>
        </w:rPr>
        <w:t>p</w:t>
      </w:r>
      <w:r>
        <w:rPr>
          <w:rFonts w:ascii="Arial" w:eastAsia="Arial" w:hAnsi="Arial" w:cs="Arial"/>
        </w:rPr>
        <w:t>-value &lt; 0.05 was considered significant. Statistical analyses and data visualization were performed using R software version 4.3.0.</w:t>
      </w:r>
    </w:p>
    <w:p w14:paraId="26543638" w14:textId="77777777" w:rsidR="003136B9" w:rsidRDefault="00000000">
      <w:pPr>
        <w:pStyle w:val="Ttulo1"/>
      </w:pPr>
      <w:bookmarkStart w:id="9" w:name="_lmrsh8fokhh9" w:colFirst="0" w:colLast="0"/>
      <w:bookmarkEnd w:id="9"/>
      <w:r>
        <w:br w:type="page"/>
      </w:r>
    </w:p>
    <w:p w14:paraId="07B0C58F" w14:textId="77777777" w:rsidR="003136B9" w:rsidRDefault="00000000">
      <w:pPr>
        <w:pStyle w:val="Ttulo1"/>
      </w:pPr>
      <w:bookmarkStart w:id="10" w:name="_4d34og8" w:colFirst="0" w:colLast="0"/>
      <w:bookmarkEnd w:id="10"/>
      <w:r>
        <w:lastRenderedPageBreak/>
        <w:t>3. RESULTS</w:t>
      </w:r>
    </w:p>
    <w:p w14:paraId="2397AFCE" w14:textId="77777777" w:rsidR="003136B9" w:rsidRDefault="00000000">
      <w:pPr>
        <w:pStyle w:val="Ttulo2"/>
      </w:pPr>
      <w:bookmarkStart w:id="11" w:name="_2s8eyo1" w:colFirst="0" w:colLast="0"/>
      <w:bookmarkEnd w:id="11"/>
      <w:r>
        <w:t xml:space="preserve">3.1. Spatial, temporal, and demographic description </w:t>
      </w:r>
    </w:p>
    <w:p w14:paraId="0D4035CD" w14:textId="77777777" w:rsidR="003136B9" w:rsidRDefault="00000000">
      <w:pPr>
        <w:ind w:firstLine="720"/>
        <w:jc w:val="both"/>
        <w:rPr>
          <w:rFonts w:ascii="Arial" w:eastAsia="Arial" w:hAnsi="Arial" w:cs="Arial"/>
        </w:rPr>
      </w:pPr>
      <w:r>
        <w:rPr>
          <w:rFonts w:ascii="Arial" w:eastAsia="Arial" w:hAnsi="Arial" w:cs="Arial"/>
        </w:rPr>
        <w:t xml:space="preserve">A total of 3,571 individuals with suspected </w:t>
      </w:r>
      <w:proofErr w:type="spellStart"/>
      <w:r>
        <w:rPr>
          <w:rFonts w:ascii="Arial" w:eastAsia="Arial" w:hAnsi="Arial" w:cs="Arial"/>
        </w:rPr>
        <w:t>mpox</w:t>
      </w:r>
      <w:proofErr w:type="spellEnd"/>
      <w:r>
        <w:rPr>
          <w:rFonts w:ascii="Arial" w:eastAsia="Arial" w:hAnsi="Arial" w:cs="Arial"/>
        </w:rPr>
        <w:t xml:space="preserve"> were tested, resulting in 931 (26.0%) confirmed cases through MPXV-PCR. The majority of suspected and confirmed </w:t>
      </w:r>
      <w:proofErr w:type="spellStart"/>
      <w:r>
        <w:rPr>
          <w:rFonts w:ascii="Arial" w:eastAsia="Arial" w:hAnsi="Arial" w:cs="Arial"/>
        </w:rPr>
        <w:t>mpox</w:t>
      </w:r>
      <w:proofErr w:type="spellEnd"/>
      <w:r>
        <w:rPr>
          <w:rFonts w:ascii="Arial" w:eastAsia="Arial" w:hAnsi="Arial" w:cs="Arial"/>
        </w:rPr>
        <w:t xml:space="preserve"> cases were concentrated in the city of Rio de Janeiro, including the tourist district of Copacabana and city center neighborhoods (Figures 1A-B). The rolling average of cases peaked in August, decreased during September, with only a few remaining individuals diagnosed in November and December (Figure 1C).</w:t>
      </w:r>
    </w:p>
    <w:p w14:paraId="735CA348" w14:textId="77777777" w:rsidR="003136B9" w:rsidRDefault="00000000">
      <w:pPr>
        <w:pBdr>
          <w:top w:val="nil"/>
          <w:left w:val="nil"/>
          <w:bottom w:val="nil"/>
          <w:right w:val="nil"/>
          <w:between w:val="nil"/>
        </w:pBdr>
        <w:ind w:firstLine="720"/>
        <w:jc w:val="both"/>
      </w:pPr>
      <w:r>
        <w:rPr>
          <w:rFonts w:ascii="Arial" w:eastAsia="Arial" w:hAnsi="Arial" w:cs="Arial"/>
        </w:rPr>
        <w:t xml:space="preserve">Among the 3,571 suspected </w:t>
      </w:r>
      <w:proofErr w:type="spellStart"/>
      <w:r>
        <w:rPr>
          <w:rFonts w:ascii="Arial" w:eastAsia="Arial" w:hAnsi="Arial" w:cs="Arial"/>
        </w:rPr>
        <w:t>mpox</w:t>
      </w:r>
      <w:proofErr w:type="spellEnd"/>
      <w:r>
        <w:rPr>
          <w:rFonts w:ascii="Arial" w:eastAsia="Arial" w:hAnsi="Arial" w:cs="Arial"/>
        </w:rPr>
        <w:t xml:space="preserve"> cases from RJ, 3,095 had available clinical information for further analysis (Table 1). Most of them were male (1,965; 63.5%) with a median age of 30 years (IQR 19-42). Five hundred eighty-one (52.0%) men reported having sex with men, and 369 (26.1%) reported having multiple or unknown sexual partners. Three hundred and seventy suspected cases (12.0%) reported living with HIV, 26 (7.0%) of them with CD4 count under 200 cells/mm³. Other active STIs affected 105 patients (3.5%), syphilis being the most common.</w:t>
      </w:r>
    </w:p>
    <w:p w14:paraId="43F0E8A2" w14:textId="77777777" w:rsidR="003136B9" w:rsidRDefault="00000000">
      <w:pPr>
        <w:ind w:firstLine="720"/>
        <w:jc w:val="both"/>
        <w:rPr>
          <w:rFonts w:ascii="Arial" w:eastAsia="Arial" w:hAnsi="Arial" w:cs="Arial"/>
        </w:rPr>
      </w:pPr>
      <w:r>
        <w:rPr>
          <w:rFonts w:ascii="Arial" w:eastAsia="Arial" w:hAnsi="Arial" w:cs="Arial"/>
        </w:rPr>
        <w:t>Females represented 1,130 (36.5%) of all suspected cases, with a median age of 29 years (IQR 17-45). Only 28 females reported sex with multiple or unknown partners (2.5%). Individuals under 18 years accounted for 675 (21.8%) of the cases, with a median age of 10 (IQR 5-14); 57% were males.</w:t>
      </w:r>
    </w:p>
    <w:p w14:paraId="0C1962DA" w14:textId="77777777" w:rsidR="003136B9" w:rsidRDefault="00000000">
      <w:pPr>
        <w:ind w:firstLine="720"/>
        <w:jc w:val="both"/>
        <w:rPr>
          <w:rFonts w:ascii="Arial" w:eastAsia="Arial" w:hAnsi="Arial" w:cs="Arial"/>
        </w:rPr>
      </w:pPr>
      <w:r>
        <w:rPr>
          <w:rFonts w:ascii="Arial" w:eastAsia="Arial" w:hAnsi="Arial" w:cs="Arial"/>
        </w:rPr>
        <w:t xml:space="preserve">Among the 3,095 suspected cases from RJ with clinical data, 816 (26.4%) had a positive PCR result (confirmed cases), including 44 (5.3%) individuals under 18 years. Females comprised 9.4% of confirmed cases (77/816) and 38.6% of individuals under 18 years (17/44). Of the 77 females with confirmed </w:t>
      </w:r>
      <w:proofErr w:type="spellStart"/>
      <w:r>
        <w:rPr>
          <w:rFonts w:ascii="Arial" w:eastAsia="Arial" w:hAnsi="Arial" w:cs="Arial"/>
        </w:rPr>
        <w:t>mpox</w:t>
      </w:r>
      <w:proofErr w:type="spellEnd"/>
      <w:r>
        <w:rPr>
          <w:rFonts w:ascii="Arial" w:eastAsia="Arial" w:hAnsi="Arial" w:cs="Arial"/>
        </w:rPr>
        <w:t>, all but one were cis women. Two MPXV-PCR+ females were pregnant, one in the first and one in the second trimester. A total of 119 patients had inconclusive MPXV-PCR results (3.8%).</w:t>
      </w:r>
    </w:p>
    <w:p w14:paraId="44F1EA0F" w14:textId="77777777" w:rsidR="003136B9" w:rsidRDefault="00000000">
      <w:pPr>
        <w:pBdr>
          <w:top w:val="nil"/>
          <w:left w:val="nil"/>
          <w:bottom w:val="nil"/>
          <w:right w:val="nil"/>
          <w:between w:val="nil"/>
        </w:pBdr>
        <w:ind w:firstLine="720"/>
        <w:jc w:val="both"/>
      </w:pPr>
      <w:r>
        <w:rPr>
          <w:rFonts w:ascii="Arial" w:eastAsia="Arial" w:hAnsi="Arial" w:cs="Arial"/>
        </w:rPr>
        <w:t>Of the 816 confirmed cases, 702 (86.0%) had no information about the probable source of infection. Five patients, diagnosed in the first weeks of the RJ outbreak, reported international travel within the three weeks preceding symptom onset, primarily from Spain, Europe's epicenter</w:t>
      </w:r>
      <w:r>
        <w:rPr>
          <w:rFonts w:ascii="Arial" w:eastAsia="Arial" w:hAnsi="Arial" w:cs="Arial"/>
          <w:vertAlign w:val="superscript"/>
        </w:rPr>
        <w:t>27</w:t>
      </w:r>
      <w:r>
        <w:rPr>
          <w:rFonts w:ascii="Arial" w:eastAsia="Arial" w:hAnsi="Arial" w:cs="Arial"/>
        </w:rPr>
        <w:t xml:space="preserve">. Table 1 displays the individual characteristics, behavioral traits, and STI diagnoses in patients confirmed and non-confirmed for </w:t>
      </w:r>
      <w:proofErr w:type="spellStart"/>
      <w:r>
        <w:rPr>
          <w:rFonts w:ascii="Arial" w:eastAsia="Arial" w:hAnsi="Arial" w:cs="Arial"/>
        </w:rPr>
        <w:t>mpox</w:t>
      </w:r>
      <w:proofErr w:type="spellEnd"/>
      <w:r>
        <w:rPr>
          <w:rFonts w:ascii="Arial" w:eastAsia="Arial" w:hAnsi="Arial" w:cs="Arial"/>
        </w:rPr>
        <w:t>.</w:t>
      </w:r>
    </w:p>
    <w:p w14:paraId="0FAD2961" w14:textId="77777777" w:rsidR="003136B9" w:rsidRDefault="00000000">
      <w:pPr>
        <w:pBdr>
          <w:top w:val="nil"/>
          <w:left w:val="nil"/>
          <w:bottom w:val="nil"/>
          <w:right w:val="nil"/>
          <w:between w:val="nil"/>
        </w:pBdr>
        <w:ind w:firstLine="720"/>
        <w:jc w:val="both"/>
      </w:pPr>
      <w:r>
        <w:rPr>
          <w:rFonts w:ascii="Arial" w:eastAsia="Arial" w:hAnsi="Arial" w:cs="Arial"/>
        </w:rPr>
        <w:t>The subset of patients seen at NEEDIER (n = 193) were predominantly male (128; 66.3%) with a median age of 31 years (IQR 21-40). In this group, 68 patients had MPXV-PCR+ (35.2%), a positivity rate slightly higher than that observed for the entire RJ state. </w:t>
      </w:r>
    </w:p>
    <w:p w14:paraId="01191F3F" w14:textId="77777777" w:rsidR="003136B9" w:rsidRDefault="00000000">
      <w:pPr>
        <w:pStyle w:val="Ttulo2"/>
      </w:pPr>
      <w:r>
        <w:t xml:space="preserve">3.2. Clinical presentation of RJ confirmed </w:t>
      </w:r>
      <w:proofErr w:type="gramStart"/>
      <w:r>
        <w:t>cases</w:t>
      </w:r>
      <w:proofErr w:type="gramEnd"/>
    </w:p>
    <w:p w14:paraId="3BD05F6C" w14:textId="77777777" w:rsidR="003136B9" w:rsidRDefault="00000000">
      <w:pPr>
        <w:ind w:firstLine="720"/>
        <w:jc w:val="both"/>
        <w:rPr>
          <w:rFonts w:ascii="Arial" w:eastAsia="Arial" w:hAnsi="Arial" w:cs="Arial"/>
        </w:rPr>
      </w:pPr>
      <w:r>
        <w:rPr>
          <w:rFonts w:ascii="Arial" w:eastAsia="Arial" w:hAnsi="Arial" w:cs="Arial"/>
        </w:rPr>
        <w:t xml:space="preserve">The median time from the onset of symptoms to the first sample collection was five days (IQR 3-8) in confirmed cases. Most cases were mild to moderate and managed on an outpatient basis. Thirty-seven confirmed cases required </w:t>
      </w:r>
      <w:r>
        <w:rPr>
          <w:rFonts w:ascii="Arial" w:eastAsia="Arial" w:hAnsi="Arial" w:cs="Arial"/>
        </w:rPr>
        <w:lastRenderedPageBreak/>
        <w:t>hospitalization, six in intensive care: 30 for pain and secondary infection management, and 7 for isolation (Table 1). Four deaths occurred in our cohort  (three males and one female), all of them had comorbidities: two men had HIV and CD4 counts &lt; 50 cells/mm³ (33 and 31 years old), one man had tuberculosis and was on corticosteroids (27 years old), and one bedridden woman (69 years old), who had been on dialysis since 2022 due to chronic kidney disease, had diabetes, hypertension, and uterine cervix neoplasm with a vaginal fistula.</w:t>
      </w:r>
    </w:p>
    <w:p w14:paraId="43E97A2B" w14:textId="77777777" w:rsidR="003136B9" w:rsidRDefault="00000000">
      <w:pPr>
        <w:ind w:firstLine="720"/>
        <w:jc w:val="both"/>
        <w:rPr>
          <w:rFonts w:ascii="Arial" w:eastAsia="Arial" w:hAnsi="Arial" w:cs="Arial"/>
        </w:rPr>
      </w:pPr>
      <w:r>
        <w:rPr>
          <w:rFonts w:ascii="Arial" w:eastAsia="Arial" w:hAnsi="Arial" w:cs="Arial"/>
        </w:rPr>
        <w:t xml:space="preserve">Six hundred and ninety-five (85.2%) individuals with confirmed diagnosis presented skin eruptions. Systemic symptoms were also prevalent, including fever (473; 58.0%), lymphadenopathy (370; 45.3%), headache (347; 42.5%), asthenia (261; 32.0%), and myalgia (254; 31.1%). The symptoms most strongly associated with the </w:t>
      </w:r>
      <w:proofErr w:type="spellStart"/>
      <w:r>
        <w:rPr>
          <w:rFonts w:ascii="Arial" w:eastAsia="Arial" w:hAnsi="Arial" w:cs="Arial"/>
        </w:rPr>
        <w:t>mpox</w:t>
      </w:r>
      <w:proofErr w:type="spellEnd"/>
      <w:r>
        <w:rPr>
          <w:rFonts w:ascii="Arial" w:eastAsia="Arial" w:hAnsi="Arial" w:cs="Arial"/>
        </w:rPr>
        <w:t xml:space="preserve"> diagnosis were anogenital lesions (OR = 2.79; 95% CI 2.26-3.45), lymphadenopathy (OR = 2.72; 95% CI 2.19-3.38), and fever (OR = 1.95; 95% CI 1.57-2.43) (Figure 2A).</w:t>
      </w:r>
    </w:p>
    <w:p w14:paraId="6F0090F2" w14:textId="77777777" w:rsidR="003136B9" w:rsidRDefault="00000000">
      <w:pPr>
        <w:ind w:firstLine="720"/>
        <w:jc w:val="both"/>
        <w:rPr>
          <w:rFonts w:ascii="Arial" w:eastAsia="Arial" w:hAnsi="Arial" w:cs="Arial"/>
        </w:rPr>
      </w:pPr>
      <w:r>
        <w:rPr>
          <w:rFonts w:ascii="Arial" w:eastAsia="Arial" w:hAnsi="Arial" w:cs="Arial"/>
        </w:rPr>
        <w:t xml:space="preserve">Among female patients (n = 77), skin eruption was also the most frequently reported symptom (65; 84.4%), followed by fever (36; 46.8%), headache (33; 42.9%), myalgia (22; 28.6%), and asthenia (19; 24.7%). In this group, almost half of the patients had lesions on the upper or lower limbs (42.8% and 46.7%, respectively) and trunk (37.6%), followed by anogenital lesions (24.6%). Anogenital lesions were the sign most strongly suggestive of </w:t>
      </w:r>
      <w:proofErr w:type="spellStart"/>
      <w:r>
        <w:rPr>
          <w:rFonts w:ascii="Arial" w:eastAsia="Arial" w:hAnsi="Arial" w:cs="Arial"/>
        </w:rPr>
        <w:t>mpox</w:t>
      </w:r>
      <w:proofErr w:type="spellEnd"/>
      <w:r>
        <w:rPr>
          <w:rFonts w:ascii="Arial" w:eastAsia="Arial" w:hAnsi="Arial" w:cs="Arial"/>
        </w:rPr>
        <w:t xml:space="preserve"> diagnosis (OR 2.18; 95% CI 1.24-3.69) (Figure 2B). Young patients, under 18 years (n = 44), presented a similar clinical picture, with skin eruption (39; 88.6%), fever (23; 52.2%), headache (14; 31.8%), sore throat (11; 25%), and myalgia (9; 20.4%) as the main symptoms. Lesions were also more frequent on the upper and lower limbs (54.5% each), trunk (50.0%), and face (47.7%). Anogenital lesions were observed in 9 subjects (20.4%), five between 14 and 17 years old.</w:t>
      </w:r>
    </w:p>
    <w:p w14:paraId="03C57F24" w14:textId="77777777" w:rsidR="003136B9" w:rsidRDefault="00000000">
      <w:pPr>
        <w:ind w:firstLine="720"/>
        <w:jc w:val="both"/>
        <w:rPr>
          <w:rFonts w:ascii="Arial" w:eastAsia="Arial" w:hAnsi="Arial" w:cs="Arial"/>
        </w:rPr>
      </w:pPr>
      <w:r>
        <w:rPr>
          <w:rFonts w:ascii="Arial" w:eastAsia="Arial" w:hAnsi="Arial" w:cs="Arial"/>
        </w:rPr>
        <w:t>Among patients with inconclusive MPXV-PCR results (n = 119), the most reported symptom was skin eruption (102; 85.7%), followed by fever (36; 30.2%), headache (32; 26.8%), and lymphadenopathy (22; 18.4%). Most patients with inconclusive MPXV-PCR results were male (65; 54.6%). As in female patients, the anogenital region was only the fourth most common location of lesions in patients with inconclusive results (23.5%), after the upper limbs (42.8%), trunk (36.9%), and lower limbs (35.2%) (data not shown).</w:t>
      </w:r>
    </w:p>
    <w:p w14:paraId="4AAB38DB" w14:textId="77777777" w:rsidR="003136B9" w:rsidRDefault="00000000">
      <w:pPr>
        <w:ind w:firstLine="720"/>
        <w:jc w:val="both"/>
      </w:pPr>
      <w:r>
        <w:rPr>
          <w:rFonts w:ascii="Arial" w:eastAsia="Arial" w:hAnsi="Arial" w:cs="Arial"/>
        </w:rPr>
        <w:t>In the subset of confirmed patients who were seen in our reference center (68/193), we could discriminate and analyze lesion morphology in detail (Figures 3A-F). Most patients (59/68; 86.7%) had multiple lesions, and only 20.5% (14/68) showed lesions at the same stage of development. Skin eruptions occurred before other symptoms in 22 patients (32.3%). The lesions were painful and pruritic in about half of the cases (44.1% and 51.4%, respectively). Crusts were the most common lesion type, present in 38 patients (55.8%), followed by pustules (30; 44.1%) and ulcers (27; 40%). Among females (10/68) and young patients (7/68), lesions were less characteristic regarding location but were mainly crusts. Both groups reported pruritic lesions, painful in females and painless in young patients.</w:t>
      </w:r>
    </w:p>
    <w:p w14:paraId="25B10CEA" w14:textId="77777777" w:rsidR="003136B9" w:rsidRDefault="003136B9">
      <w:pPr>
        <w:ind w:firstLine="720"/>
        <w:jc w:val="both"/>
        <w:rPr>
          <w:rFonts w:ascii="Arial" w:eastAsia="Arial" w:hAnsi="Arial" w:cs="Arial"/>
        </w:rPr>
      </w:pPr>
    </w:p>
    <w:p w14:paraId="1449414E" w14:textId="77777777" w:rsidR="003136B9" w:rsidRDefault="00000000">
      <w:pPr>
        <w:pStyle w:val="Ttulo2"/>
      </w:pPr>
      <w:bookmarkStart w:id="12" w:name="_3rdcrjn" w:colFirst="0" w:colLast="0"/>
      <w:bookmarkEnd w:id="12"/>
      <w:r>
        <w:lastRenderedPageBreak/>
        <w:t xml:space="preserve">3.3. Laboratory results </w:t>
      </w:r>
    </w:p>
    <w:p w14:paraId="595B0E13" w14:textId="77777777" w:rsidR="003136B9" w:rsidRDefault="00000000">
      <w:pPr>
        <w:pStyle w:val="Ttulo2"/>
        <w:spacing w:before="0" w:after="0" w:line="240" w:lineRule="auto"/>
        <w:ind w:firstLine="720"/>
        <w:rPr>
          <w:sz w:val="24"/>
          <w:szCs w:val="24"/>
        </w:rPr>
      </w:pPr>
      <w:bookmarkStart w:id="13" w:name="_l96r26wkzyv" w:colFirst="0" w:colLast="0"/>
      <w:bookmarkEnd w:id="13"/>
      <w:r>
        <w:rPr>
          <w:sz w:val="24"/>
          <w:szCs w:val="24"/>
        </w:rPr>
        <w:t>In RJ state, the median Ct value of MPXV-PCR tests for confirmed patients was 19.2 (IQR 16.8-23.8). Females exhibited significantly higher and more dispersed Ct values (34.4; IQR 23.0-35.9) than males (18.8; IQR 16.6-22.1), showing a bimodal distribution (Figures 4A-B).</w:t>
      </w:r>
    </w:p>
    <w:p w14:paraId="1537C659" w14:textId="77777777" w:rsidR="003136B9" w:rsidRDefault="00000000">
      <w:pPr>
        <w:ind w:firstLine="720"/>
        <w:jc w:val="both"/>
        <w:rPr>
          <w:rFonts w:ascii="Arial" w:eastAsia="Arial" w:hAnsi="Arial" w:cs="Arial"/>
        </w:rPr>
      </w:pPr>
      <w:r>
        <w:rPr>
          <w:rFonts w:ascii="Arial" w:eastAsia="Arial" w:hAnsi="Arial" w:cs="Arial"/>
        </w:rPr>
        <w:t>When considering a positive cutoff value of 34 instead of 37</w:t>
      </w:r>
      <w:r>
        <w:rPr>
          <w:rFonts w:ascii="Arial" w:eastAsia="Arial" w:hAnsi="Arial" w:cs="Arial"/>
          <w:vertAlign w:val="superscript"/>
        </w:rPr>
        <w:t>28</w:t>
      </w:r>
      <w:r>
        <w:rPr>
          <w:rFonts w:ascii="Arial" w:eastAsia="Arial" w:hAnsi="Arial" w:cs="Arial"/>
        </w:rPr>
        <w:t xml:space="preserve">, the median Ct values for females were still higher than for males, although a reduced difference and dispersion were observed (Figures 4C-D). Patients under 18 years had Ct value characteristics </w:t>
      </w:r>
      <w:proofErr w:type="gramStart"/>
      <w:r>
        <w:rPr>
          <w:rFonts w:ascii="Arial" w:eastAsia="Arial" w:hAnsi="Arial" w:cs="Arial"/>
        </w:rPr>
        <w:t>similar to</w:t>
      </w:r>
      <w:proofErr w:type="gramEnd"/>
      <w:r>
        <w:rPr>
          <w:rFonts w:ascii="Arial" w:eastAsia="Arial" w:hAnsi="Arial" w:cs="Arial"/>
        </w:rPr>
        <w:t xml:space="preserve"> those observed among females (Figures 3E-F).</w:t>
      </w:r>
    </w:p>
    <w:p w14:paraId="17C0F6D6" w14:textId="77777777" w:rsidR="003136B9" w:rsidRDefault="00000000">
      <w:pPr>
        <w:ind w:firstLine="720"/>
        <w:jc w:val="both"/>
        <w:rPr>
          <w:rFonts w:ascii="Arial" w:eastAsia="Arial" w:hAnsi="Arial" w:cs="Arial"/>
        </w:rPr>
      </w:pPr>
      <w:r>
        <w:rPr>
          <w:rFonts w:ascii="Arial" w:eastAsia="Arial" w:hAnsi="Arial" w:cs="Arial"/>
        </w:rPr>
        <w:t xml:space="preserve">We also compared Ct values distribution among lesion types and anatomical sites: vesicles displayed the lowest Ct values, followed by umbilicated lesions and pustules (Figure 5A). Skin samples collected from the scalp, perineum, and penis had the lowest Ct values, followed by those from the face or neck, and beard or mustache (Figure 5B). In our experience, darkened crusts surrounded by slightly raised, purulent rings in regions of facial hair strongly suggested a diagnosis of </w:t>
      </w:r>
      <w:proofErr w:type="spellStart"/>
      <w:r>
        <w:rPr>
          <w:rFonts w:ascii="Arial" w:eastAsia="Arial" w:hAnsi="Arial" w:cs="Arial"/>
        </w:rPr>
        <w:t>mpox</w:t>
      </w:r>
      <w:proofErr w:type="spellEnd"/>
      <w:r>
        <w:rPr>
          <w:rFonts w:ascii="Arial" w:eastAsia="Arial" w:hAnsi="Arial" w:cs="Arial"/>
        </w:rPr>
        <w:t xml:space="preserve"> (“</w:t>
      </w:r>
      <w:r>
        <w:rPr>
          <w:rFonts w:ascii="Arial" w:eastAsia="Arial" w:hAnsi="Arial" w:cs="Arial"/>
          <w:i/>
        </w:rPr>
        <w:t>pastel de nata</w:t>
      </w:r>
      <w:r>
        <w:rPr>
          <w:rFonts w:ascii="Arial" w:eastAsia="Arial" w:hAnsi="Arial" w:cs="Arial"/>
        </w:rPr>
        <w:t>" lesions) (Figure 3B).</w:t>
      </w:r>
    </w:p>
    <w:p w14:paraId="60CA338D" w14:textId="77777777" w:rsidR="003136B9" w:rsidRDefault="00000000">
      <w:pPr>
        <w:ind w:firstLine="720"/>
        <w:jc w:val="both"/>
        <w:rPr>
          <w:rFonts w:ascii="Arial" w:eastAsia="Arial" w:hAnsi="Arial" w:cs="Arial"/>
        </w:rPr>
      </w:pPr>
      <w:r>
        <w:rPr>
          <w:rFonts w:ascii="Arial" w:eastAsia="Arial" w:hAnsi="Arial" w:cs="Arial"/>
        </w:rPr>
        <w:t xml:space="preserve">As an important differential diagnosis for </w:t>
      </w:r>
      <w:proofErr w:type="spellStart"/>
      <w:r>
        <w:rPr>
          <w:rFonts w:ascii="Arial" w:eastAsia="Arial" w:hAnsi="Arial" w:cs="Arial"/>
        </w:rPr>
        <w:t>mpox</w:t>
      </w:r>
      <w:proofErr w:type="spellEnd"/>
      <w:r>
        <w:rPr>
          <w:rFonts w:ascii="Arial" w:eastAsia="Arial" w:hAnsi="Arial" w:cs="Arial"/>
        </w:rPr>
        <w:t xml:space="preserve">, varicella was investigated by PCR and/or serology. One hundred and eighty-nine patients received a diagnosis of varicella: 178 by PCR (Ct value &lt; 37) and 12 by serology (IgM titer &gt; 1.5), with one patient diagnosed by both VZV-PCR+ and IgM+. Among patients with confirmed varicella, eight also had confirmed </w:t>
      </w:r>
      <w:proofErr w:type="spellStart"/>
      <w:r>
        <w:rPr>
          <w:rFonts w:ascii="Arial" w:eastAsia="Arial" w:hAnsi="Arial" w:cs="Arial"/>
        </w:rPr>
        <w:t>mpox</w:t>
      </w:r>
      <w:proofErr w:type="spellEnd"/>
      <w:r>
        <w:rPr>
          <w:rFonts w:ascii="Arial" w:eastAsia="Arial" w:hAnsi="Arial" w:cs="Arial"/>
        </w:rPr>
        <w:t>, indicating active co-infections (four VZV-PCR+ and five IgM+, one patient had both VZV-PCR+ and IgM+). Our first case of co-infection was diagnosed in mid-July 2022, a month earlier than similar cases currently reported as the first in the global outbreak</w:t>
      </w:r>
      <w:r>
        <w:rPr>
          <w:rFonts w:ascii="Arial" w:eastAsia="Arial" w:hAnsi="Arial" w:cs="Arial"/>
          <w:vertAlign w:val="superscript"/>
        </w:rPr>
        <w:t>29</w:t>
      </w:r>
      <w:r>
        <w:rPr>
          <w:rFonts w:ascii="Arial" w:eastAsia="Arial" w:hAnsi="Arial" w:cs="Arial"/>
        </w:rPr>
        <w:t xml:space="preserve">. Eight patients with confirmed VZV (one by IgM and seven by PCR) had an inconclusive MPXV-PCR result, while nine patients with confirmed </w:t>
      </w:r>
      <w:proofErr w:type="spellStart"/>
      <w:r>
        <w:rPr>
          <w:rFonts w:ascii="Arial" w:eastAsia="Arial" w:hAnsi="Arial" w:cs="Arial"/>
        </w:rPr>
        <w:t>mpox</w:t>
      </w:r>
      <w:proofErr w:type="spellEnd"/>
      <w:r>
        <w:rPr>
          <w:rFonts w:ascii="Arial" w:eastAsia="Arial" w:hAnsi="Arial" w:cs="Arial"/>
        </w:rPr>
        <w:t xml:space="preserve"> had an inconclusive diagnosis of VZV (two by PCR and seven by IgM).</w:t>
      </w:r>
    </w:p>
    <w:p w14:paraId="482890D3" w14:textId="77777777" w:rsidR="003136B9" w:rsidRDefault="00000000">
      <w:pPr>
        <w:ind w:firstLine="720"/>
        <w:jc w:val="both"/>
        <w:rPr>
          <w:rFonts w:ascii="Arial" w:eastAsia="Arial" w:hAnsi="Arial" w:cs="Arial"/>
        </w:rPr>
      </w:pPr>
      <w:r>
        <w:rPr>
          <w:rFonts w:ascii="Arial" w:eastAsia="Arial" w:hAnsi="Arial" w:cs="Arial"/>
        </w:rPr>
        <w:t xml:space="preserve">Forty-six patients with confirmed </w:t>
      </w:r>
      <w:proofErr w:type="spellStart"/>
      <w:r>
        <w:rPr>
          <w:rFonts w:ascii="Arial" w:eastAsia="Arial" w:hAnsi="Arial" w:cs="Arial"/>
        </w:rPr>
        <w:t>mpox</w:t>
      </w:r>
      <w:proofErr w:type="spellEnd"/>
      <w:r>
        <w:rPr>
          <w:rFonts w:ascii="Arial" w:eastAsia="Arial" w:hAnsi="Arial" w:cs="Arial"/>
        </w:rPr>
        <w:t xml:space="preserve"> who attended NEEDIER provided serum samples for anti-VACV IgG analysis. Seventeen patients (36.9%) were seropositive at the first appointment and maintained detectable IgG titers throughout follow-up. Twelve patients seroconverted during follow-up (26.1%), five showed IgG+ within the first seven days of the disease. Seventeen patients had no detectable IgG during follow-up (Figure 5C). Only one female seroconverted and no patients under 18 years showed seroconversion, correlating with low viral load as inferred from Ct values (R = -0.49; p &lt; 0.01) (Figures 5D-E).</w:t>
      </w:r>
    </w:p>
    <w:p w14:paraId="5748B802" w14:textId="77777777" w:rsidR="003136B9" w:rsidRDefault="00000000">
      <w:pPr>
        <w:ind w:firstLine="720"/>
        <w:jc w:val="both"/>
        <w:rPr>
          <w:rFonts w:ascii="Arial" w:eastAsia="Arial" w:hAnsi="Arial" w:cs="Arial"/>
        </w:rPr>
      </w:pPr>
      <w:r>
        <w:rPr>
          <w:rFonts w:ascii="Arial" w:eastAsia="Arial" w:hAnsi="Arial" w:cs="Arial"/>
        </w:rPr>
        <w:t xml:space="preserve">We isolated MPXV in cell cultures from swab samples </w:t>
      </w:r>
      <w:r>
        <w:rPr>
          <w:rFonts w:ascii="Arial Unicode MS" w:eastAsia="Arial Unicode MS" w:hAnsi="Arial Unicode MS" w:cs="Arial Unicode MS"/>
        </w:rPr>
        <w:t>collected from 7 patients who attended NEEDIER. SEM of isolates demonstrated virus-like particles compatible with MPXV (≃ 225 nm size and brick-shaped morphology, Figure 6).</w:t>
      </w:r>
      <w:r>
        <w:rPr>
          <w:rFonts w:ascii="Arial" w:eastAsia="Arial" w:hAnsi="Arial" w:cs="Arial"/>
        </w:rPr>
        <w:t xml:space="preserve"> We sequenced seven MPXV genomes (10%). The seven genomes had good overall quality according to </w:t>
      </w:r>
      <w:proofErr w:type="spellStart"/>
      <w:r>
        <w:rPr>
          <w:rFonts w:ascii="Arial" w:eastAsia="Arial" w:hAnsi="Arial" w:cs="Arial"/>
        </w:rPr>
        <w:t>Nextclade</w:t>
      </w:r>
      <w:proofErr w:type="spellEnd"/>
      <w:r>
        <w:rPr>
          <w:rFonts w:ascii="Arial" w:eastAsia="Arial" w:hAnsi="Arial" w:cs="Arial"/>
        </w:rPr>
        <w:t xml:space="preserve"> (https://clades.nextstrain.org/), and all belonged to clade IIb, including lineages B.1 (n = 3), B.1.9 (n = 3), and B.1.1 (n = 1). The genome sequences are publicly available on GISAID (EPI-numbers 18241786 to 18241792).</w:t>
      </w:r>
    </w:p>
    <w:p w14:paraId="1BC7F7E6" w14:textId="77777777" w:rsidR="003136B9" w:rsidRDefault="00000000">
      <w:pPr>
        <w:pStyle w:val="Ttulo1"/>
      </w:pPr>
      <w:r>
        <w:lastRenderedPageBreak/>
        <w:t>4. DISCUSSION</w:t>
      </w:r>
    </w:p>
    <w:p w14:paraId="617DFDDB" w14:textId="77777777" w:rsidR="003136B9" w:rsidRDefault="00000000">
      <w:pPr>
        <w:pBdr>
          <w:top w:val="nil"/>
          <w:left w:val="nil"/>
          <w:bottom w:val="nil"/>
          <w:right w:val="nil"/>
          <w:between w:val="nil"/>
        </w:pBdr>
        <w:ind w:firstLine="720"/>
        <w:jc w:val="both"/>
      </w:pPr>
      <w:r>
        <w:rPr>
          <w:rFonts w:ascii="Arial" w:eastAsia="Arial" w:hAnsi="Arial" w:cs="Arial"/>
        </w:rPr>
        <w:t xml:space="preserve">We diagnosed 816 cases of </w:t>
      </w:r>
      <w:proofErr w:type="spellStart"/>
      <w:r>
        <w:rPr>
          <w:rFonts w:ascii="Arial" w:eastAsia="Arial" w:hAnsi="Arial" w:cs="Arial"/>
        </w:rPr>
        <w:t>mpox</w:t>
      </w:r>
      <w:proofErr w:type="spellEnd"/>
      <w:r>
        <w:rPr>
          <w:rFonts w:ascii="Arial" w:eastAsia="Arial" w:hAnsi="Arial" w:cs="Arial"/>
        </w:rPr>
        <w:t xml:space="preserve"> among 3,095 individuals enrolled in our Rio de Janeiro cohort from June to December 2022, peaking in August. The cases occurred predominantly among men, mostly men who have sex with men (MSM), in their third and fourth decades of life. The number of </w:t>
      </w:r>
      <w:proofErr w:type="spellStart"/>
      <w:r>
        <w:rPr>
          <w:rFonts w:ascii="Arial" w:eastAsia="Arial" w:hAnsi="Arial" w:cs="Arial"/>
        </w:rPr>
        <w:t>mpox</w:t>
      </w:r>
      <w:proofErr w:type="spellEnd"/>
      <w:r>
        <w:rPr>
          <w:rFonts w:ascii="Arial" w:eastAsia="Arial" w:hAnsi="Arial" w:cs="Arial"/>
        </w:rPr>
        <w:t xml:space="preserve"> cases among females and individuals under 18 years was higher in our cohort than typically reported (9.4% and 5%, respectively). We observed a diverse clinical picture, ranging from asymptomatic cases or isolated skin lesions to generalized skin eruptions with systemic symptoms and infrequent complications. Skin lesions were the most frequent symptom, while anogenital lesions were the sign most strongly suggestive of </w:t>
      </w:r>
      <w:proofErr w:type="spellStart"/>
      <w:r>
        <w:rPr>
          <w:rFonts w:ascii="Arial" w:eastAsia="Arial" w:hAnsi="Arial" w:cs="Arial"/>
        </w:rPr>
        <w:t>mpox</w:t>
      </w:r>
      <w:proofErr w:type="spellEnd"/>
      <w:r>
        <w:rPr>
          <w:rFonts w:ascii="Arial" w:eastAsia="Arial" w:hAnsi="Arial" w:cs="Arial"/>
        </w:rPr>
        <w:t xml:space="preserve"> diagnosis in adults. We also documented seroconversion in a subgroup of patients, and co-infection of </w:t>
      </w:r>
      <w:proofErr w:type="spellStart"/>
      <w:r>
        <w:rPr>
          <w:rFonts w:ascii="Arial" w:eastAsia="Arial" w:hAnsi="Arial" w:cs="Arial"/>
        </w:rPr>
        <w:t>mpox</w:t>
      </w:r>
      <w:proofErr w:type="spellEnd"/>
      <w:r>
        <w:rPr>
          <w:rFonts w:ascii="Arial" w:eastAsia="Arial" w:hAnsi="Arial" w:cs="Arial"/>
        </w:rPr>
        <w:t xml:space="preserve"> and varicella, both findings less commonly reported in the 2022 outbreak.</w:t>
      </w:r>
    </w:p>
    <w:p w14:paraId="3980A974" w14:textId="77777777" w:rsidR="003136B9" w:rsidRDefault="00000000">
      <w:pPr>
        <w:pBdr>
          <w:top w:val="nil"/>
          <w:left w:val="nil"/>
          <w:bottom w:val="nil"/>
          <w:right w:val="nil"/>
          <w:between w:val="nil"/>
        </w:pBdr>
        <w:ind w:firstLine="720"/>
        <w:jc w:val="both"/>
      </w:pPr>
      <w:r>
        <w:rPr>
          <w:rFonts w:ascii="Arial" w:eastAsia="Arial" w:hAnsi="Arial" w:cs="Arial"/>
        </w:rPr>
        <w:t xml:space="preserve">Our findings align with those documented in the 2022 </w:t>
      </w:r>
      <w:proofErr w:type="spellStart"/>
      <w:r>
        <w:rPr>
          <w:rFonts w:ascii="Arial" w:eastAsia="Arial" w:hAnsi="Arial" w:cs="Arial"/>
        </w:rPr>
        <w:t>mpox</w:t>
      </w:r>
      <w:proofErr w:type="spellEnd"/>
      <w:r>
        <w:rPr>
          <w:rFonts w:ascii="Arial" w:eastAsia="Arial" w:hAnsi="Arial" w:cs="Arial"/>
        </w:rPr>
        <w:t xml:space="preserve"> outbreak in other countries and corroborate observations such as frequent uncertainty about the infection source</w:t>
      </w:r>
      <w:r>
        <w:rPr>
          <w:rFonts w:ascii="Arial" w:eastAsia="Arial" w:hAnsi="Arial" w:cs="Arial"/>
          <w:vertAlign w:val="superscript"/>
        </w:rPr>
        <w:t>11,12,30,</w:t>
      </w:r>
      <w:proofErr w:type="gramStart"/>
      <w:r>
        <w:rPr>
          <w:rFonts w:ascii="Arial" w:eastAsia="Arial" w:hAnsi="Arial" w:cs="Arial"/>
          <w:vertAlign w:val="superscript"/>
        </w:rPr>
        <w:t>31</w:t>
      </w:r>
      <w:proofErr w:type="gramEnd"/>
      <w:r>
        <w:rPr>
          <w:rFonts w:ascii="Arial" w:eastAsia="Arial" w:hAnsi="Arial" w:cs="Arial"/>
        </w:rPr>
        <w:t xml:space="preserve"> and a small proportion of confirmed cases with international travel history</w:t>
      </w:r>
      <w:r>
        <w:rPr>
          <w:rFonts w:ascii="Arial" w:eastAsia="Arial" w:hAnsi="Arial" w:cs="Arial"/>
          <w:vertAlign w:val="superscript"/>
        </w:rPr>
        <w:t>30,32</w:t>
      </w:r>
      <w:r>
        <w:rPr>
          <w:rFonts w:ascii="Arial" w:eastAsia="Arial" w:hAnsi="Arial" w:cs="Arial"/>
        </w:rPr>
        <w:t>. This suggests that a few cases are sufficient to establish regional and local transmission and highlights the need to maintain global surveillance.</w:t>
      </w:r>
    </w:p>
    <w:p w14:paraId="17F19A64" w14:textId="77777777" w:rsidR="003136B9" w:rsidRDefault="00000000">
      <w:pPr>
        <w:pBdr>
          <w:top w:val="nil"/>
          <w:left w:val="nil"/>
          <w:bottom w:val="nil"/>
          <w:right w:val="nil"/>
          <w:between w:val="nil"/>
        </w:pBdr>
        <w:ind w:firstLine="720"/>
        <w:jc w:val="both"/>
      </w:pPr>
      <w:r>
        <w:rPr>
          <w:rFonts w:ascii="Arial" w:eastAsia="Arial" w:hAnsi="Arial" w:cs="Arial"/>
        </w:rPr>
        <w:t>In accordance with other studies</w:t>
      </w:r>
      <w:r>
        <w:rPr>
          <w:rFonts w:ascii="Arial" w:eastAsia="Arial" w:hAnsi="Arial" w:cs="Arial"/>
          <w:vertAlign w:val="superscript"/>
        </w:rPr>
        <w:t>12,33</w:t>
      </w:r>
      <w:r>
        <w:rPr>
          <w:rFonts w:ascii="Arial" w:eastAsia="Arial" w:hAnsi="Arial" w:cs="Arial"/>
        </w:rPr>
        <w:t xml:space="preserve">, no substantial clinical differences were found between people living with HIV and HIV-seronegative patients, except for more disseminated and exuberant lesions, as well as more frequent complications and hospitalization among patients with low CD4 counts. In fact, some authors have proposed severe </w:t>
      </w:r>
      <w:proofErr w:type="spellStart"/>
      <w:r>
        <w:rPr>
          <w:rFonts w:ascii="Arial" w:eastAsia="Arial" w:hAnsi="Arial" w:cs="Arial"/>
        </w:rPr>
        <w:t>mpox</w:t>
      </w:r>
      <w:proofErr w:type="spellEnd"/>
      <w:r>
        <w:rPr>
          <w:rFonts w:ascii="Arial" w:eastAsia="Arial" w:hAnsi="Arial" w:cs="Arial"/>
        </w:rPr>
        <w:t xml:space="preserve"> as an AIDS-defining condition</w:t>
      </w:r>
      <w:r>
        <w:rPr>
          <w:rFonts w:ascii="Arial" w:eastAsia="Arial" w:hAnsi="Arial" w:cs="Arial"/>
          <w:vertAlign w:val="superscript"/>
        </w:rPr>
        <w:t>34,35</w:t>
      </w:r>
      <w:r>
        <w:rPr>
          <w:rFonts w:ascii="Arial" w:eastAsia="Arial" w:hAnsi="Arial" w:cs="Arial"/>
        </w:rPr>
        <w:t>. Several studies on this outbreak have been designed around sexual health facilities or HIV clinics</w:t>
      </w:r>
      <w:r>
        <w:rPr>
          <w:rFonts w:ascii="Arial" w:eastAsia="Arial" w:hAnsi="Arial" w:cs="Arial"/>
          <w:vertAlign w:val="superscript"/>
        </w:rPr>
        <w:t>33,36,37</w:t>
      </w:r>
      <w:r>
        <w:rPr>
          <w:rFonts w:ascii="Arial" w:eastAsia="Arial" w:hAnsi="Arial" w:cs="Arial"/>
        </w:rPr>
        <w:t xml:space="preserve">, allowing </w:t>
      </w:r>
      <w:proofErr w:type="gramStart"/>
      <w:r>
        <w:rPr>
          <w:rFonts w:ascii="Arial" w:eastAsia="Arial" w:hAnsi="Arial" w:cs="Arial"/>
        </w:rPr>
        <w:t>the  focus</w:t>
      </w:r>
      <w:proofErr w:type="gramEnd"/>
      <w:r>
        <w:rPr>
          <w:rFonts w:ascii="Arial" w:eastAsia="Arial" w:hAnsi="Arial" w:cs="Arial"/>
        </w:rPr>
        <w:t xml:space="preserve"> on  patient sexual history and concurrent STI diagnosis. Many reports show a prevalence of STIs in up to a third </w:t>
      </w:r>
      <w:proofErr w:type="gramStart"/>
      <w:r>
        <w:rPr>
          <w:rFonts w:ascii="Arial" w:eastAsia="Arial" w:hAnsi="Arial" w:cs="Arial"/>
        </w:rPr>
        <w:t xml:space="preserve">of  </w:t>
      </w:r>
      <w:proofErr w:type="spellStart"/>
      <w:r>
        <w:rPr>
          <w:rFonts w:ascii="Arial" w:eastAsia="Arial" w:hAnsi="Arial" w:cs="Arial"/>
        </w:rPr>
        <w:t>mpox</w:t>
      </w:r>
      <w:proofErr w:type="spellEnd"/>
      <w:proofErr w:type="gramEnd"/>
      <w:r>
        <w:rPr>
          <w:rFonts w:ascii="Arial" w:eastAsia="Arial" w:hAnsi="Arial" w:cs="Arial"/>
        </w:rPr>
        <w:t xml:space="preserve"> confirmed cases</w:t>
      </w:r>
      <w:r>
        <w:rPr>
          <w:rFonts w:ascii="Arial" w:eastAsia="Arial" w:hAnsi="Arial" w:cs="Arial"/>
          <w:vertAlign w:val="superscript"/>
        </w:rPr>
        <w:t>12,32,33</w:t>
      </w:r>
      <w:r>
        <w:rPr>
          <w:rFonts w:ascii="Arial" w:eastAsia="Arial" w:hAnsi="Arial" w:cs="Arial"/>
        </w:rPr>
        <w:t>. We reported a low rate of coinfection with STIs other than HIV, which can be explained by limited screening and underdiagnosis.</w:t>
      </w:r>
    </w:p>
    <w:p w14:paraId="2ABC9A3D" w14:textId="77777777" w:rsidR="003136B9" w:rsidRDefault="00000000">
      <w:pPr>
        <w:ind w:firstLine="720"/>
        <w:jc w:val="both"/>
        <w:rPr>
          <w:rFonts w:ascii="Arial" w:eastAsia="Arial" w:hAnsi="Arial" w:cs="Arial"/>
        </w:rPr>
      </w:pPr>
      <w:r>
        <w:rPr>
          <w:rFonts w:ascii="Arial" w:eastAsia="Arial" w:hAnsi="Arial" w:cs="Arial"/>
        </w:rPr>
        <w:t xml:space="preserve">Cisgender women are infrequently reported as cases of </w:t>
      </w:r>
      <w:proofErr w:type="spellStart"/>
      <w:r>
        <w:rPr>
          <w:rFonts w:ascii="Arial" w:eastAsia="Arial" w:hAnsi="Arial" w:cs="Arial"/>
        </w:rPr>
        <w:t>mpox</w:t>
      </w:r>
      <w:proofErr w:type="spellEnd"/>
      <w:r>
        <w:rPr>
          <w:rFonts w:ascii="Arial" w:eastAsia="Arial" w:hAnsi="Arial" w:cs="Arial"/>
        </w:rPr>
        <w:t xml:space="preserve"> in the 2022 outbreak. In many cohorts and case series, no patients were identified as women. In the few studies that did describe infections in women, they represented less than 5% of the study population</w:t>
      </w:r>
      <w:r>
        <w:rPr>
          <w:rFonts w:ascii="Arial" w:eastAsia="Arial" w:hAnsi="Arial" w:cs="Arial"/>
          <w:vertAlign w:val="superscript"/>
        </w:rPr>
        <w:t>32,33,38,39</w:t>
      </w:r>
      <w:r>
        <w:rPr>
          <w:rFonts w:ascii="Arial" w:eastAsia="Arial" w:hAnsi="Arial" w:cs="Arial"/>
        </w:rPr>
        <w:t>. Of note, studies focusing on females show a common misdiagnosis and delayed diagnosis in cis women</w:t>
      </w:r>
      <w:r>
        <w:rPr>
          <w:rFonts w:ascii="Arial" w:eastAsia="Arial" w:hAnsi="Arial" w:cs="Arial"/>
          <w:vertAlign w:val="superscript"/>
        </w:rPr>
        <w:t>40</w:t>
      </w:r>
      <w:r>
        <w:rPr>
          <w:rFonts w:ascii="Arial" w:eastAsia="Arial" w:hAnsi="Arial" w:cs="Arial"/>
        </w:rPr>
        <w:t>, suggesting a slightly different clinical picture</w:t>
      </w:r>
      <w:r>
        <w:rPr>
          <w:rFonts w:ascii="Arial" w:eastAsia="Arial" w:hAnsi="Arial" w:cs="Arial"/>
          <w:vertAlign w:val="superscript"/>
        </w:rPr>
        <w:t>41</w:t>
      </w:r>
      <w:r>
        <w:rPr>
          <w:rFonts w:ascii="Arial" w:eastAsia="Arial" w:hAnsi="Arial" w:cs="Arial"/>
        </w:rPr>
        <w:t>. Our study, however, found that females represented 9% of all confirmed cases, allowing for further characterization of clinical findings in this group. Females had less lymphadenopathy and anogenital lesions, with more lesions on the extremities and notably less sexual exposure reported than males.</w:t>
      </w:r>
    </w:p>
    <w:p w14:paraId="2075DA92" w14:textId="77777777" w:rsidR="003136B9" w:rsidRDefault="00000000">
      <w:pPr>
        <w:ind w:firstLine="720"/>
        <w:jc w:val="both"/>
        <w:rPr>
          <w:rFonts w:ascii="Arial" w:eastAsia="Arial" w:hAnsi="Arial" w:cs="Arial"/>
        </w:rPr>
      </w:pPr>
      <w:r>
        <w:rPr>
          <w:rFonts w:ascii="Arial" w:eastAsia="Arial" w:hAnsi="Arial" w:cs="Arial"/>
        </w:rPr>
        <w:t xml:space="preserve">Similarly, individuals under 18 years were overlooked in the 2022 outbreak. However, the first human </w:t>
      </w:r>
      <w:proofErr w:type="spellStart"/>
      <w:r>
        <w:rPr>
          <w:rFonts w:ascii="Arial" w:eastAsia="Arial" w:hAnsi="Arial" w:cs="Arial"/>
        </w:rPr>
        <w:t>mpox</w:t>
      </w:r>
      <w:proofErr w:type="spellEnd"/>
      <w:r>
        <w:rPr>
          <w:rFonts w:ascii="Arial" w:eastAsia="Arial" w:hAnsi="Arial" w:cs="Arial"/>
        </w:rPr>
        <w:t xml:space="preserve"> case ever reported was a 9-month-old infant</w:t>
      </w:r>
      <w:r>
        <w:rPr>
          <w:rFonts w:ascii="Arial" w:eastAsia="Arial" w:hAnsi="Arial" w:cs="Arial"/>
          <w:vertAlign w:val="superscript"/>
        </w:rPr>
        <w:t>2,3</w:t>
      </w:r>
      <w:r>
        <w:rPr>
          <w:rFonts w:ascii="Arial" w:eastAsia="Arial" w:hAnsi="Arial" w:cs="Arial"/>
        </w:rPr>
        <w:t>, and minors are frequently infected with monkeypox virus in endemic countries</w:t>
      </w:r>
      <w:r>
        <w:rPr>
          <w:rFonts w:ascii="Arial" w:eastAsia="Arial" w:hAnsi="Arial" w:cs="Arial"/>
          <w:vertAlign w:val="superscript"/>
        </w:rPr>
        <w:t>5,42–44</w:t>
      </w:r>
      <w:r>
        <w:rPr>
          <w:rFonts w:ascii="Arial" w:eastAsia="Arial" w:hAnsi="Arial" w:cs="Arial"/>
        </w:rPr>
        <w:t xml:space="preserve">. Additionally, minors represented a third of confirmed cases during the first outbreak of </w:t>
      </w:r>
      <w:proofErr w:type="spellStart"/>
      <w:r>
        <w:rPr>
          <w:rFonts w:ascii="Arial" w:eastAsia="Arial" w:hAnsi="Arial" w:cs="Arial"/>
        </w:rPr>
        <w:t>mpox</w:t>
      </w:r>
      <w:proofErr w:type="spellEnd"/>
      <w:r>
        <w:rPr>
          <w:rFonts w:ascii="Arial" w:eastAsia="Arial" w:hAnsi="Arial" w:cs="Arial"/>
        </w:rPr>
        <w:t xml:space="preserve"> outside Africa in 2003</w:t>
      </w:r>
      <w:r>
        <w:rPr>
          <w:rFonts w:ascii="Arial" w:eastAsia="Arial" w:hAnsi="Arial" w:cs="Arial"/>
          <w:vertAlign w:val="superscript"/>
        </w:rPr>
        <w:t>45</w:t>
      </w:r>
      <w:r>
        <w:rPr>
          <w:rFonts w:ascii="Arial" w:eastAsia="Arial" w:hAnsi="Arial" w:cs="Arial"/>
        </w:rPr>
        <w:t>. Few studies from the 2022 outbreak specified patients under 18 years</w:t>
      </w:r>
      <w:r>
        <w:rPr>
          <w:rFonts w:ascii="Arial" w:eastAsia="Arial" w:hAnsi="Arial" w:cs="Arial"/>
          <w:vertAlign w:val="superscript"/>
        </w:rPr>
        <w:t>32,41</w:t>
      </w:r>
      <w:r>
        <w:rPr>
          <w:rFonts w:ascii="Arial" w:eastAsia="Arial" w:hAnsi="Arial" w:cs="Arial"/>
        </w:rPr>
        <w:t>, and some actively excluded them from analyses. A CDC case series from the 2022 outbreak outlines minors representing less than 0.5% of total cases in the United States</w:t>
      </w:r>
      <w:r>
        <w:rPr>
          <w:rFonts w:ascii="Arial" w:eastAsia="Arial" w:hAnsi="Arial" w:cs="Arial"/>
          <w:vertAlign w:val="superscript"/>
        </w:rPr>
        <w:t>46</w:t>
      </w:r>
      <w:r>
        <w:rPr>
          <w:rFonts w:ascii="Arial" w:eastAsia="Arial" w:hAnsi="Arial" w:cs="Arial"/>
        </w:rPr>
        <w:t xml:space="preserve">, which can be an effect of structuring </w:t>
      </w:r>
      <w:r>
        <w:rPr>
          <w:rFonts w:ascii="Arial" w:eastAsia="Arial" w:hAnsi="Arial" w:cs="Arial"/>
        </w:rPr>
        <w:lastRenderedPageBreak/>
        <w:t>study designs around sexual health facilities rather than broader surveillance scenarios.</w:t>
      </w:r>
    </w:p>
    <w:p w14:paraId="644EE6A8" w14:textId="77777777" w:rsidR="003136B9" w:rsidRDefault="00000000">
      <w:pPr>
        <w:ind w:firstLine="720"/>
        <w:jc w:val="both"/>
        <w:rPr>
          <w:rFonts w:ascii="Arial" w:eastAsia="Arial" w:hAnsi="Arial" w:cs="Arial"/>
        </w:rPr>
      </w:pPr>
      <w:r>
        <w:rPr>
          <w:rFonts w:ascii="Arial" w:eastAsia="Arial" w:hAnsi="Arial" w:cs="Arial"/>
        </w:rPr>
        <w:t xml:space="preserve">Detailing the findings in the young population is important considering numerous </w:t>
      </w:r>
      <w:proofErr w:type="spellStart"/>
      <w:r>
        <w:rPr>
          <w:rFonts w:ascii="Arial" w:eastAsia="Arial" w:hAnsi="Arial" w:cs="Arial"/>
        </w:rPr>
        <w:t>exanthematous</w:t>
      </w:r>
      <w:proofErr w:type="spellEnd"/>
      <w:r>
        <w:rPr>
          <w:rFonts w:ascii="Arial" w:eastAsia="Arial" w:hAnsi="Arial" w:cs="Arial"/>
        </w:rPr>
        <w:t xml:space="preserve"> diseases primarily affecting infants and minors, such as varicella, molluscum contagiosum, and hand-foot-and-mouth disease. Lesion characteristics could improve the distinction between </w:t>
      </w:r>
      <w:proofErr w:type="spellStart"/>
      <w:proofErr w:type="gramStart"/>
      <w:r>
        <w:rPr>
          <w:rFonts w:ascii="Arial" w:eastAsia="Arial" w:hAnsi="Arial" w:cs="Arial"/>
        </w:rPr>
        <w:t>mpox</w:t>
      </w:r>
      <w:proofErr w:type="spellEnd"/>
      <w:proofErr w:type="gramEnd"/>
      <w:r>
        <w:rPr>
          <w:rFonts w:ascii="Arial" w:eastAsia="Arial" w:hAnsi="Arial" w:cs="Arial"/>
        </w:rPr>
        <w:t xml:space="preserve"> and other disorders characterized by skin lesions</w:t>
      </w:r>
      <w:r>
        <w:rPr>
          <w:rFonts w:ascii="Arial" w:eastAsia="Arial" w:hAnsi="Arial" w:cs="Arial"/>
          <w:vertAlign w:val="superscript"/>
        </w:rPr>
        <w:t>14</w:t>
      </w:r>
      <w:r>
        <w:rPr>
          <w:rFonts w:ascii="Arial" w:eastAsia="Arial" w:hAnsi="Arial" w:cs="Arial"/>
        </w:rPr>
        <w:t xml:space="preserve">. However, an overlapping spectrum of these diseases precludes certainty in differential diagnosis on a clinical basis alone. Co-infection of monkeypox virus and another infectious agent is also a possibility. Indeed, cases of co-infection of MPXV and VZV have been documented in </w:t>
      </w:r>
      <w:proofErr w:type="spellStart"/>
      <w:r>
        <w:rPr>
          <w:rFonts w:ascii="Arial" w:eastAsia="Arial" w:hAnsi="Arial" w:cs="Arial"/>
        </w:rPr>
        <w:t>mpox</w:t>
      </w:r>
      <w:proofErr w:type="spellEnd"/>
      <w:r>
        <w:rPr>
          <w:rFonts w:ascii="Arial" w:eastAsia="Arial" w:hAnsi="Arial" w:cs="Arial"/>
        </w:rPr>
        <w:t>-endemic countries</w:t>
      </w:r>
      <w:r>
        <w:rPr>
          <w:rFonts w:ascii="Arial" w:eastAsia="Arial" w:hAnsi="Arial" w:cs="Arial"/>
          <w:vertAlign w:val="superscript"/>
        </w:rPr>
        <w:t>42,47–49</w:t>
      </w:r>
      <w:r>
        <w:rPr>
          <w:rFonts w:ascii="Arial" w:eastAsia="Arial" w:hAnsi="Arial" w:cs="Arial"/>
        </w:rPr>
        <w:t xml:space="preserve"> and recently in an adolescent girl during the 2022 </w:t>
      </w:r>
      <w:proofErr w:type="spellStart"/>
      <w:r>
        <w:rPr>
          <w:rFonts w:ascii="Arial" w:eastAsia="Arial" w:hAnsi="Arial" w:cs="Arial"/>
        </w:rPr>
        <w:t>mpox</w:t>
      </w:r>
      <w:proofErr w:type="spellEnd"/>
      <w:r>
        <w:rPr>
          <w:rFonts w:ascii="Arial" w:eastAsia="Arial" w:hAnsi="Arial" w:cs="Arial"/>
        </w:rPr>
        <w:t xml:space="preserve"> outbreak</w:t>
      </w:r>
      <w:r>
        <w:rPr>
          <w:rFonts w:ascii="Arial" w:eastAsia="Arial" w:hAnsi="Arial" w:cs="Arial"/>
          <w:vertAlign w:val="superscript"/>
        </w:rPr>
        <w:t>29</w:t>
      </w:r>
      <w:r>
        <w:rPr>
          <w:rFonts w:ascii="Arial" w:eastAsia="Arial" w:hAnsi="Arial" w:cs="Arial"/>
        </w:rPr>
        <w:t>. Our findings expand observations of MPXV and VZV co-infection outside Africa.</w:t>
      </w:r>
    </w:p>
    <w:p w14:paraId="41F3B025" w14:textId="77777777" w:rsidR="003136B9" w:rsidRDefault="00000000">
      <w:pPr>
        <w:ind w:firstLine="708"/>
        <w:jc w:val="both"/>
        <w:rPr>
          <w:rFonts w:ascii="Arial" w:eastAsia="Arial" w:hAnsi="Arial" w:cs="Arial"/>
        </w:rPr>
      </w:pPr>
      <w:r>
        <w:rPr>
          <w:rFonts w:ascii="Arial" w:eastAsia="Arial" w:hAnsi="Arial" w:cs="Arial"/>
        </w:rPr>
        <w:t xml:space="preserve">In addition to clinical and epidemiological perspectives, this work also sheds light on molecular diagnostic findings among females and minors. Samples from these groups displayed significantly higher and more dispersed Ct values in MPXV-PCR, which inversely correlates with low viral load. </w:t>
      </w:r>
      <w:r>
        <w:rPr>
          <w:rFonts w:ascii="Arial" w:eastAsia="Arial" w:hAnsi="Arial" w:cs="Arial"/>
          <w:highlight w:val="white"/>
        </w:rPr>
        <w:t>However, reducing cutoff values for positivity brings median Ct values obtained for females and minors closer to those observed in adult men. This strategy could reduce the chances of false positive results and has been used previously</w:t>
      </w:r>
      <w:r>
        <w:rPr>
          <w:rFonts w:ascii="Arial" w:eastAsia="Arial" w:hAnsi="Arial" w:cs="Arial"/>
          <w:vertAlign w:val="superscript"/>
        </w:rPr>
        <w:t>46</w:t>
      </w:r>
      <w:r>
        <w:rPr>
          <w:rFonts w:ascii="Arial" w:eastAsia="Arial" w:hAnsi="Arial" w:cs="Arial"/>
        </w:rPr>
        <w:t xml:space="preserve">. We underscore the need to carefully interpret these results in low pretest probability settings and suggest revising the standards for laboratory diagnosis in these groups. Our data support and expand previous findings on the </w:t>
      </w:r>
      <w:proofErr w:type="spellStart"/>
      <w:r>
        <w:rPr>
          <w:rFonts w:ascii="Arial" w:eastAsia="Arial" w:hAnsi="Arial" w:cs="Arial"/>
        </w:rPr>
        <w:t>mpox</w:t>
      </w:r>
      <w:proofErr w:type="spellEnd"/>
      <w:r>
        <w:rPr>
          <w:rFonts w:ascii="Arial" w:eastAsia="Arial" w:hAnsi="Arial" w:cs="Arial"/>
        </w:rPr>
        <w:t xml:space="preserve"> outbreak in RJ</w:t>
      </w:r>
      <w:r>
        <w:rPr>
          <w:rFonts w:ascii="Arial" w:eastAsia="Arial" w:hAnsi="Arial" w:cs="Arial"/>
          <w:vertAlign w:val="superscript"/>
        </w:rPr>
        <w:t>32</w:t>
      </w:r>
      <w:r>
        <w:rPr>
          <w:rFonts w:ascii="Arial" w:eastAsia="Arial" w:hAnsi="Arial" w:cs="Arial"/>
        </w:rPr>
        <w:t xml:space="preserve">, suggesting that although sexual contact shows a relevant role in </w:t>
      </w:r>
      <w:proofErr w:type="spellStart"/>
      <w:r>
        <w:rPr>
          <w:rFonts w:ascii="Arial" w:eastAsia="Arial" w:hAnsi="Arial" w:cs="Arial"/>
        </w:rPr>
        <w:t>mpox</w:t>
      </w:r>
      <w:proofErr w:type="spellEnd"/>
      <w:r>
        <w:rPr>
          <w:rFonts w:ascii="Arial" w:eastAsia="Arial" w:hAnsi="Arial" w:cs="Arial"/>
        </w:rPr>
        <w:t xml:space="preserve"> transmission dynamics, the relatively high number of observed cases among females and minors </w:t>
      </w:r>
      <w:proofErr w:type="spellStart"/>
      <w:r>
        <w:rPr>
          <w:rFonts w:ascii="Arial" w:eastAsia="Arial" w:hAnsi="Arial" w:cs="Arial"/>
        </w:rPr>
        <w:t>undelies</w:t>
      </w:r>
      <w:proofErr w:type="spellEnd"/>
      <w:r>
        <w:rPr>
          <w:rFonts w:ascii="Arial" w:eastAsia="Arial" w:hAnsi="Arial" w:cs="Arial"/>
        </w:rPr>
        <w:t xml:space="preserve"> the need to consider the diagnosis in other populations as well.</w:t>
      </w:r>
    </w:p>
    <w:p w14:paraId="3CB9519C" w14:textId="77777777" w:rsidR="003136B9" w:rsidRDefault="00000000">
      <w:pPr>
        <w:ind w:firstLine="708"/>
        <w:jc w:val="both"/>
        <w:rPr>
          <w:rFonts w:ascii="Arial" w:eastAsia="Arial" w:hAnsi="Arial" w:cs="Arial"/>
        </w:rPr>
      </w:pPr>
      <w:r>
        <w:rPr>
          <w:rFonts w:ascii="Arial" w:eastAsia="Arial" w:hAnsi="Arial" w:cs="Arial"/>
        </w:rPr>
        <w:t xml:space="preserve">The cross-immunity among </w:t>
      </w:r>
      <w:proofErr w:type="spellStart"/>
      <w:r>
        <w:rPr>
          <w:rFonts w:ascii="Arial" w:eastAsia="Arial" w:hAnsi="Arial" w:cs="Arial"/>
        </w:rPr>
        <w:t>orthopoxvirus</w:t>
      </w:r>
      <w:proofErr w:type="spellEnd"/>
      <w:r>
        <w:rPr>
          <w:rFonts w:ascii="Arial" w:eastAsia="Arial" w:hAnsi="Arial" w:cs="Arial"/>
        </w:rPr>
        <w:t xml:space="preserve"> species allows the use of vaccinia virus (VACV) strains as antigen in ELISA tests for </w:t>
      </w:r>
      <w:proofErr w:type="spellStart"/>
      <w:r>
        <w:rPr>
          <w:rFonts w:ascii="Arial" w:eastAsia="Arial" w:hAnsi="Arial" w:cs="Arial"/>
        </w:rPr>
        <w:t>mpox</w:t>
      </w:r>
      <w:proofErr w:type="spellEnd"/>
      <w:r>
        <w:rPr>
          <w:rFonts w:ascii="Arial" w:eastAsia="Arial" w:hAnsi="Arial" w:cs="Arial"/>
        </w:rPr>
        <w:t xml:space="preserve"> investigation</w:t>
      </w:r>
      <w:r>
        <w:rPr>
          <w:rFonts w:ascii="Arial" w:eastAsia="Arial" w:hAnsi="Arial" w:cs="Arial"/>
          <w:vertAlign w:val="superscript"/>
        </w:rPr>
        <w:t>23</w:t>
      </w:r>
      <w:r>
        <w:rPr>
          <w:rFonts w:ascii="Arial" w:eastAsia="Arial" w:hAnsi="Arial" w:cs="Arial"/>
        </w:rPr>
        <w:t xml:space="preserve">.  Previous work reported anti-VACV IgM and IgG determination </w:t>
      </w:r>
      <w:proofErr w:type="gramStart"/>
      <w:r>
        <w:rPr>
          <w:rFonts w:ascii="Arial" w:eastAsia="Arial" w:hAnsi="Arial" w:cs="Arial"/>
        </w:rPr>
        <w:t>to  support</w:t>
      </w:r>
      <w:proofErr w:type="gramEnd"/>
      <w:r>
        <w:rPr>
          <w:rFonts w:ascii="Arial" w:eastAsia="Arial" w:hAnsi="Arial" w:cs="Arial"/>
        </w:rPr>
        <w:t xml:space="preserve"> a retrospective differential diagnosis between </w:t>
      </w:r>
      <w:proofErr w:type="spellStart"/>
      <w:r>
        <w:rPr>
          <w:rFonts w:ascii="Arial" w:eastAsia="Arial" w:hAnsi="Arial" w:cs="Arial"/>
        </w:rPr>
        <w:t>mpox</w:t>
      </w:r>
      <w:proofErr w:type="spellEnd"/>
      <w:r>
        <w:rPr>
          <w:rFonts w:ascii="Arial" w:eastAsia="Arial" w:hAnsi="Arial" w:cs="Arial"/>
        </w:rPr>
        <w:t xml:space="preserve"> and varicella within a family cluster</w:t>
      </w:r>
      <w:r>
        <w:rPr>
          <w:rFonts w:ascii="Arial" w:eastAsia="Arial" w:hAnsi="Arial" w:cs="Arial"/>
          <w:vertAlign w:val="superscript"/>
        </w:rPr>
        <w:t>50</w:t>
      </w:r>
      <w:r>
        <w:rPr>
          <w:rFonts w:ascii="Arial" w:eastAsia="Arial" w:hAnsi="Arial" w:cs="Arial"/>
        </w:rPr>
        <w:t xml:space="preserve">. In this context, our cohort provides relevant information on seroconversion dynamics after </w:t>
      </w:r>
      <w:proofErr w:type="spellStart"/>
      <w:r>
        <w:rPr>
          <w:rFonts w:ascii="Arial" w:eastAsia="Arial" w:hAnsi="Arial" w:cs="Arial"/>
        </w:rPr>
        <w:t>mpox</w:t>
      </w:r>
      <w:proofErr w:type="spellEnd"/>
      <w:r>
        <w:rPr>
          <w:rFonts w:ascii="Arial" w:eastAsia="Arial" w:hAnsi="Arial" w:cs="Arial"/>
        </w:rPr>
        <w:t xml:space="preserve"> infection. The early detection of anti-VACV IgG in our cohort could be explained by previous smallpox vaccination and imprecise symptom reporting in oligosymptomatic individuals.</w:t>
      </w:r>
    </w:p>
    <w:p w14:paraId="2C7CA32B" w14:textId="77777777" w:rsidR="003136B9" w:rsidRDefault="00000000">
      <w:pPr>
        <w:ind w:firstLine="720"/>
        <w:jc w:val="both"/>
        <w:rPr>
          <w:rFonts w:ascii="Arial" w:eastAsia="Arial" w:hAnsi="Arial" w:cs="Arial"/>
        </w:rPr>
      </w:pPr>
      <w:r>
        <w:rPr>
          <w:rFonts w:ascii="Arial" w:eastAsia="Arial" w:hAnsi="Arial" w:cs="Arial"/>
        </w:rPr>
        <w:t xml:space="preserve">Our findings support that females and minors with </w:t>
      </w:r>
      <w:proofErr w:type="spellStart"/>
      <w:r>
        <w:rPr>
          <w:rFonts w:ascii="Arial" w:eastAsia="Arial" w:hAnsi="Arial" w:cs="Arial"/>
        </w:rPr>
        <w:t>mpox</w:t>
      </w:r>
      <w:proofErr w:type="spellEnd"/>
      <w:r>
        <w:rPr>
          <w:rFonts w:ascii="Arial" w:eastAsia="Arial" w:hAnsi="Arial" w:cs="Arial"/>
        </w:rPr>
        <w:t xml:space="preserve"> develop a less pronounced disease form, without a clear epidemiologic link and likely acquired as in other contact diseases such as varicella (without sexual exposure). Diverse clinical presentations and higher MPXV-PCR Ct values could be associated with a lower viral load inoculum than observed in patients with sexual exposure. Accordingly, serological evaluation of anti-VACV IgG showed reduced sensitivity in mild disease. Indeed, we detected anti-VACV IgG mainly in males with classical </w:t>
      </w:r>
      <w:proofErr w:type="spellStart"/>
      <w:r>
        <w:rPr>
          <w:rFonts w:ascii="Arial" w:eastAsia="Arial" w:hAnsi="Arial" w:cs="Arial"/>
        </w:rPr>
        <w:t>mpox</w:t>
      </w:r>
      <w:proofErr w:type="spellEnd"/>
      <w:r>
        <w:rPr>
          <w:rFonts w:ascii="Arial" w:eastAsia="Arial" w:hAnsi="Arial" w:cs="Arial"/>
        </w:rPr>
        <w:t xml:space="preserve"> lesions and clear epidemiologic links, while females and minors had undetectable anti-VACV IgG.</w:t>
      </w:r>
    </w:p>
    <w:p w14:paraId="448C65C3" w14:textId="77777777" w:rsidR="003136B9" w:rsidRDefault="00000000">
      <w:pPr>
        <w:pBdr>
          <w:top w:val="nil"/>
          <w:left w:val="nil"/>
          <w:bottom w:val="nil"/>
          <w:right w:val="nil"/>
          <w:between w:val="nil"/>
        </w:pBdr>
        <w:ind w:firstLine="708"/>
        <w:jc w:val="both"/>
      </w:pPr>
      <w:r>
        <w:rPr>
          <w:rFonts w:ascii="Arial" w:eastAsia="Arial" w:hAnsi="Arial" w:cs="Arial"/>
        </w:rPr>
        <w:t xml:space="preserve">Our study has some limitations. First, clinical data collected using the </w:t>
      </w:r>
      <w:proofErr w:type="spellStart"/>
      <w:r>
        <w:rPr>
          <w:rFonts w:ascii="Arial" w:eastAsia="Arial" w:hAnsi="Arial" w:cs="Arial"/>
        </w:rPr>
        <w:t>REDCap</w:t>
      </w:r>
      <w:proofErr w:type="spellEnd"/>
      <w:r>
        <w:rPr>
          <w:rFonts w:ascii="Arial" w:eastAsia="Arial" w:hAnsi="Arial" w:cs="Arial"/>
        </w:rPr>
        <w:t xml:space="preserve">® tool is restricted to pre-structured questions, which may hinder detailed lesion characterization and specific analyses. Second, some health-care institutions do not notify cases systematically, preventing broader analysis of all tested cases. Third, patient samples were eventually pooled, potentially affecting </w:t>
      </w:r>
      <w:r>
        <w:rPr>
          <w:rFonts w:ascii="Arial" w:eastAsia="Arial" w:hAnsi="Arial" w:cs="Arial"/>
        </w:rPr>
        <w:lastRenderedPageBreak/>
        <w:t>final Ct values. Lastly, serum samples were only available for patients attended at our reference center, which may limit the generalizability of our findings regarding anti-VACV IgG results.</w:t>
      </w:r>
    </w:p>
    <w:p w14:paraId="5928CC12" w14:textId="77777777" w:rsidR="003136B9" w:rsidRDefault="00000000">
      <w:pPr>
        <w:pBdr>
          <w:top w:val="nil"/>
          <w:left w:val="nil"/>
          <w:bottom w:val="nil"/>
          <w:right w:val="nil"/>
          <w:between w:val="nil"/>
        </w:pBdr>
        <w:ind w:firstLine="708"/>
        <w:jc w:val="both"/>
      </w:pPr>
      <w:r>
        <w:rPr>
          <w:rFonts w:ascii="Arial" w:eastAsia="Arial" w:hAnsi="Arial" w:cs="Arial"/>
        </w:rPr>
        <w:t>Our cohort represents an extensive single-center case series, yielding broadly informative and detailed analysis of confirmed patients. We reported a significant number of cases in females and children that, aligned with a multidisciplinary approach, allowed the identification of specific virological and serological dynamics, expanding the MPVX infection understanding.</w:t>
      </w:r>
    </w:p>
    <w:p w14:paraId="0D29AD67" w14:textId="77777777" w:rsidR="003136B9" w:rsidRDefault="00000000">
      <w:pPr>
        <w:ind w:firstLine="708"/>
        <w:jc w:val="both"/>
        <w:rPr>
          <w:rFonts w:ascii="Arial" w:eastAsia="Arial" w:hAnsi="Arial" w:cs="Arial"/>
        </w:rPr>
      </w:pPr>
      <w:bookmarkStart w:id="14" w:name="_lnxbz9" w:colFirst="0" w:colLast="0"/>
      <w:bookmarkEnd w:id="14"/>
      <w:r>
        <w:rPr>
          <w:rFonts w:ascii="Arial" w:eastAsia="Arial" w:hAnsi="Arial" w:cs="Arial"/>
        </w:rPr>
        <w:t xml:space="preserve">As documented in the current outbreak, there is high clinical diversity in how </w:t>
      </w:r>
      <w:proofErr w:type="spellStart"/>
      <w:r>
        <w:rPr>
          <w:rFonts w:ascii="Arial" w:eastAsia="Arial" w:hAnsi="Arial" w:cs="Arial"/>
        </w:rPr>
        <w:t>mpox</w:t>
      </w:r>
      <w:proofErr w:type="spellEnd"/>
      <w:r>
        <w:rPr>
          <w:rFonts w:ascii="Arial" w:eastAsia="Arial" w:hAnsi="Arial" w:cs="Arial"/>
        </w:rPr>
        <w:t xml:space="preserve"> may manifest, reinforcing the importance of laboratory confirmation. Globally, healthcare professionals must become familiar with the diverse features of </w:t>
      </w:r>
      <w:proofErr w:type="spellStart"/>
      <w:r>
        <w:rPr>
          <w:rFonts w:ascii="Arial" w:eastAsia="Arial" w:hAnsi="Arial" w:cs="Arial"/>
        </w:rPr>
        <w:t>mpox</w:t>
      </w:r>
      <w:proofErr w:type="spellEnd"/>
      <w:r>
        <w:rPr>
          <w:rFonts w:ascii="Arial" w:eastAsia="Arial" w:hAnsi="Arial" w:cs="Arial"/>
        </w:rPr>
        <w:t xml:space="preserve"> and be aware that, despite MSM having been disproportionately affected in the current outbreak, the disease may spread to other populations, as our results have highlighted for females and children. </w:t>
      </w:r>
      <w:proofErr w:type="spellStart"/>
      <w:r>
        <w:rPr>
          <w:rFonts w:ascii="Arial" w:eastAsia="Arial" w:hAnsi="Arial" w:cs="Arial"/>
        </w:rPr>
        <w:t>Mpox</w:t>
      </w:r>
      <w:proofErr w:type="spellEnd"/>
      <w:r>
        <w:rPr>
          <w:rFonts w:ascii="Arial" w:eastAsia="Arial" w:hAnsi="Arial" w:cs="Arial"/>
        </w:rPr>
        <w:t xml:space="preserve"> is not gone, and there are still knowledge gaps. The disease persists and expands in Africa. In parallel, </w:t>
      </w:r>
      <w:proofErr w:type="gramStart"/>
      <w:r>
        <w:rPr>
          <w:rFonts w:ascii="Arial" w:eastAsia="Arial" w:hAnsi="Arial" w:cs="Arial"/>
        </w:rPr>
        <w:t>regional</w:t>
      </w:r>
      <w:proofErr w:type="gramEnd"/>
      <w:r>
        <w:rPr>
          <w:rFonts w:ascii="Arial" w:eastAsia="Arial" w:hAnsi="Arial" w:cs="Arial"/>
        </w:rPr>
        <w:t xml:space="preserve"> and international movement of people increases exponentially. Consequently, there are no borders for MPXV dissemination and non-endemic outbreaks may recur, potentially spreading more virulent strains.</w:t>
      </w:r>
    </w:p>
    <w:p w14:paraId="12EDFA40" w14:textId="77777777" w:rsidR="003136B9" w:rsidRDefault="00000000">
      <w:pPr>
        <w:pStyle w:val="Ttulo1"/>
      </w:pPr>
      <w:r>
        <w:br w:type="page"/>
      </w:r>
    </w:p>
    <w:p w14:paraId="4EA614B5" w14:textId="77777777" w:rsidR="003136B9" w:rsidRDefault="00000000">
      <w:pPr>
        <w:pStyle w:val="Ttulo1"/>
      </w:pPr>
      <w:r>
        <w:lastRenderedPageBreak/>
        <w:t>5. ACKNOWLEDGEMENTS</w:t>
      </w:r>
    </w:p>
    <w:p w14:paraId="54754B14" w14:textId="77777777" w:rsidR="003136B9" w:rsidRDefault="00000000">
      <w:pPr>
        <w:jc w:val="both"/>
        <w:rPr>
          <w:rFonts w:ascii="Arial" w:eastAsia="Arial" w:hAnsi="Arial" w:cs="Arial"/>
        </w:rPr>
      </w:pPr>
      <w:r>
        <w:rPr>
          <w:rFonts w:ascii="Arial" w:eastAsia="Arial" w:hAnsi="Arial" w:cs="Arial"/>
        </w:rPr>
        <w:t xml:space="preserve">First and foremost, we thank the patients for their collaborations to science. </w:t>
      </w:r>
    </w:p>
    <w:p w14:paraId="32CE2A9D" w14:textId="77777777" w:rsidR="003136B9" w:rsidRDefault="00000000">
      <w:pPr>
        <w:jc w:val="both"/>
        <w:rPr>
          <w:rFonts w:ascii="Arial" w:eastAsia="Arial" w:hAnsi="Arial" w:cs="Arial"/>
        </w:rPr>
      </w:pPr>
      <w:r>
        <w:rPr>
          <w:rFonts w:ascii="Arial" w:eastAsia="Arial" w:hAnsi="Arial" w:cs="Arial"/>
        </w:rPr>
        <w:t xml:space="preserve">We thank the entire technical and administrative staff from CTD-NEEDIER, LVM, LMDV, LBMV, LACEN-RJ, and Instituto </w:t>
      </w:r>
      <w:proofErr w:type="spellStart"/>
      <w:r>
        <w:rPr>
          <w:rFonts w:ascii="Arial" w:eastAsia="Arial" w:hAnsi="Arial" w:cs="Arial"/>
        </w:rPr>
        <w:t>Butantã</w:t>
      </w:r>
      <w:proofErr w:type="spellEnd"/>
      <w:r>
        <w:rPr>
          <w:rFonts w:ascii="Arial" w:eastAsia="Arial" w:hAnsi="Arial" w:cs="Arial"/>
        </w:rPr>
        <w:t xml:space="preserve"> for their invaluable support, making this and other studies feasible. We also thank the staff from HUCFF, IPPMG and IEISS involved in the assistance of </w:t>
      </w:r>
      <w:proofErr w:type="spellStart"/>
      <w:r>
        <w:rPr>
          <w:rFonts w:ascii="Arial" w:eastAsia="Arial" w:hAnsi="Arial" w:cs="Arial"/>
        </w:rPr>
        <w:t>mpox</w:t>
      </w:r>
      <w:proofErr w:type="spellEnd"/>
      <w:r>
        <w:rPr>
          <w:rFonts w:ascii="Arial" w:eastAsia="Arial" w:hAnsi="Arial" w:cs="Arial"/>
        </w:rPr>
        <w:t xml:space="preserve"> patients. </w:t>
      </w:r>
    </w:p>
    <w:p w14:paraId="2A45958A" w14:textId="77777777" w:rsidR="003136B9" w:rsidRDefault="00000000">
      <w:pPr>
        <w:jc w:val="both"/>
        <w:rPr>
          <w:rFonts w:ascii="Arial" w:eastAsia="Arial" w:hAnsi="Arial" w:cs="Arial"/>
        </w:rPr>
      </w:pPr>
      <w:r w:rsidRPr="00011EB4">
        <w:rPr>
          <w:rFonts w:ascii="Arial Unicode MS" w:eastAsia="Arial Unicode MS" w:hAnsi="Arial Unicode MS" w:cs="Arial Unicode MS"/>
          <w:lang w:val="pt-BR"/>
        </w:rPr>
        <w:t xml:space="preserve">This work was supported by grants from Fundação Carlos Chagas Filho de Amparo à Pesquisa do Estado do Rio de Janeiro/FAPERJ (reference </w:t>
      </w:r>
      <w:proofErr w:type="gramStart"/>
      <w:r w:rsidRPr="00011EB4">
        <w:rPr>
          <w:rFonts w:ascii="Arial Unicode MS" w:eastAsia="Arial Unicode MS" w:hAnsi="Arial Unicode MS" w:cs="Arial Unicode MS"/>
          <w:lang w:val="pt-BR"/>
        </w:rPr>
        <w:t>numbers  E</w:t>
      </w:r>
      <w:proofErr w:type="gramEnd"/>
      <w:r w:rsidRPr="00011EB4">
        <w:rPr>
          <w:rFonts w:ascii="Arial Unicode MS" w:eastAsia="Arial Unicode MS" w:hAnsi="Arial Unicode MS" w:cs="Arial Unicode MS"/>
          <w:lang w:val="pt-BR"/>
        </w:rPr>
        <w:t xml:space="preserve">−26/210.785/2021; E−26/200.949/2021; E−26/110.111/2013) and by grants from UFRJ (CIP: 24864/2022). </w:t>
      </w:r>
      <w:r>
        <w:rPr>
          <w:rFonts w:ascii="Arial Unicode MS" w:eastAsia="Arial Unicode MS" w:hAnsi="Arial Unicode MS" w:cs="Arial Unicode MS"/>
        </w:rPr>
        <w:t>G.S.L and V.A.O are recipients of scholarships from CAPES. These sponsors had no role in the study design, execution, analysis, interpretation of data, or decision to present the results.</w:t>
      </w:r>
    </w:p>
    <w:p w14:paraId="4A869411" w14:textId="77777777" w:rsidR="003136B9" w:rsidRDefault="003136B9">
      <w:pPr>
        <w:jc w:val="both"/>
        <w:rPr>
          <w:rFonts w:ascii="Arial" w:eastAsia="Arial" w:hAnsi="Arial" w:cs="Arial"/>
        </w:rPr>
      </w:pPr>
    </w:p>
    <w:p w14:paraId="27EB2E36" w14:textId="77777777" w:rsidR="003136B9" w:rsidRDefault="00000000">
      <w:pPr>
        <w:jc w:val="both"/>
        <w:rPr>
          <w:rFonts w:ascii="Arial" w:eastAsia="Arial" w:hAnsi="Arial" w:cs="Arial"/>
          <w:b/>
        </w:rPr>
      </w:pPr>
      <w:r>
        <w:rPr>
          <w:rFonts w:ascii="Arial" w:eastAsia="Arial" w:hAnsi="Arial" w:cs="Arial"/>
        </w:rPr>
        <w:t>AUTHORS CONTRIBUTION</w:t>
      </w:r>
    </w:p>
    <w:p w14:paraId="0458A5E3" w14:textId="77777777" w:rsidR="003136B9" w:rsidRDefault="00000000">
      <w:pPr>
        <w:jc w:val="both"/>
        <w:rPr>
          <w:rFonts w:ascii="Arial" w:eastAsia="Arial" w:hAnsi="Arial" w:cs="Arial"/>
        </w:rPr>
      </w:pPr>
      <w:r>
        <w:rPr>
          <w:rFonts w:ascii="Arial" w:eastAsia="Arial" w:hAnsi="Arial" w:cs="Arial"/>
        </w:rPr>
        <w:t>Conceptualization: GSL, VAO, MQSM, RMG, DSF, AT, TMPPC. Methodology: GSL, VAO, DM, OCFJ, CRD, RMG, DSF, AT, TMPPC. Data collection: GSL, VAO, MQSM, ACPC, ICL, MH, TA, LAVS, DGMR, ACC, SC. Data curation: GSL, VAO, CMV, OCFJ, CRD, RMG, DSF, TMPPC. Performance of PCR tests: DM, CCAG. Performance of serological tests: NVCC, LJR, OCFJ, CRD. Scanning electron microscopy: FAC, LAC, WS. Genomic sequencing: LPOL, VLV, CMV, Formal analysis: GSL, VAO, RMG, DSF. Validation: OCFJ, CRD, RMG, DSF, AT, TMPPC. Visualization: GSL, VAO, MQSM, ACPC, RMG, DSF, TMPPC. Supervision: ACPC, BOS, RMG, TMPPC, OCFJ. Project administration: AT, TMPPC. Funding acquisition: CRD, AT, TMPPC. Writing-original draft: GSL, VAO, MQSM, ICL, DSF, TMPPC. Writing-reviewing and editing: GSL, VAO, MQSM, ACPC, BOS, LMH, CRD, RMG, DSF, AT, TMPPC. All authors reviewed and approved the submitted manuscript.</w:t>
      </w:r>
    </w:p>
    <w:p w14:paraId="57E0A7E4" w14:textId="77777777" w:rsidR="003136B9" w:rsidRDefault="003136B9">
      <w:pPr>
        <w:jc w:val="both"/>
        <w:rPr>
          <w:rFonts w:ascii="Arial" w:eastAsia="Arial" w:hAnsi="Arial" w:cs="Arial"/>
        </w:rPr>
      </w:pPr>
    </w:p>
    <w:p w14:paraId="6095B908" w14:textId="77777777" w:rsidR="003136B9" w:rsidRDefault="00000000">
      <w:pPr>
        <w:jc w:val="both"/>
        <w:rPr>
          <w:rFonts w:ascii="Arial" w:eastAsia="Arial" w:hAnsi="Arial" w:cs="Arial"/>
        </w:rPr>
      </w:pPr>
      <w:r>
        <w:rPr>
          <w:rFonts w:ascii="Arial" w:eastAsia="Arial" w:hAnsi="Arial" w:cs="Arial"/>
        </w:rPr>
        <w:t>CONFLICT OF INTEREST STATEMENT</w:t>
      </w:r>
    </w:p>
    <w:p w14:paraId="6AE854A0" w14:textId="77777777" w:rsidR="003136B9" w:rsidRDefault="00000000">
      <w:pPr>
        <w:ind w:firstLine="708"/>
        <w:jc w:val="both"/>
      </w:pPr>
      <w:r>
        <w:rPr>
          <w:rFonts w:ascii="Arial" w:eastAsia="Arial" w:hAnsi="Arial" w:cs="Arial"/>
        </w:rPr>
        <w:t>The authors declare no conflict of interest.</w:t>
      </w:r>
    </w:p>
    <w:p w14:paraId="6E036D77" w14:textId="77777777" w:rsidR="003136B9" w:rsidRDefault="00000000">
      <w:pPr>
        <w:pStyle w:val="Ttulo1"/>
        <w:widowControl w:val="0"/>
        <w:spacing w:line="240" w:lineRule="auto"/>
      </w:pPr>
      <w:bookmarkStart w:id="15" w:name="_1fcsx91dp4xa" w:colFirst="0" w:colLast="0"/>
      <w:bookmarkEnd w:id="15"/>
      <w:r>
        <w:br w:type="page"/>
      </w:r>
    </w:p>
    <w:p w14:paraId="148B6B4A" w14:textId="77777777" w:rsidR="003136B9" w:rsidRDefault="00000000">
      <w:pPr>
        <w:pStyle w:val="Ttulo1"/>
        <w:widowControl w:val="0"/>
        <w:spacing w:line="240" w:lineRule="auto"/>
        <w:sectPr w:rsidR="003136B9" w:rsidSect="00C47A3D">
          <w:headerReference w:type="default" r:id="rId16"/>
          <w:footerReference w:type="even" r:id="rId17"/>
          <w:footerReference w:type="default" r:id="rId18"/>
          <w:pgSz w:w="11909" w:h="16834"/>
          <w:pgMar w:top="1440" w:right="1440" w:bottom="1440" w:left="1769" w:header="720" w:footer="720" w:gutter="0"/>
          <w:pgNumType w:start="1"/>
          <w:cols w:space="720"/>
        </w:sectPr>
      </w:pPr>
      <w:bookmarkStart w:id="16" w:name="_35nkun2" w:colFirst="0" w:colLast="0"/>
      <w:bookmarkEnd w:id="16"/>
      <w:r>
        <w:lastRenderedPageBreak/>
        <w:t>6. REFERENCES</w:t>
      </w:r>
    </w:p>
    <w:p w14:paraId="439FAF81"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1. </w:t>
      </w:r>
      <w:proofErr w:type="spellStart"/>
      <w:r>
        <w:rPr>
          <w:rFonts w:ascii="Arial" w:eastAsia="Arial" w:hAnsi="Arial" w:cs="Arial"/>
          <w:sz w:val="20"/>
          <w:szCs w:val="20"/>
        </w:rPr>
        <w:t>Damaso</w:t>
      </w:r>
      <w:proofErr w:type="spellEnd"/>
      <w:r>
        <w:rPr>
          <w:rFonts w:ascii="Arial" w:eastAsia="Arial" w:hAnsi="Arial" w:cs="Arial"/>
          <w:sz w:val="20"/>
          <w:szCs w:val="20"/>
        </w:rPr>
        <w:t xml:space="preserve"> CR. Phasing out monkeypox: </w:t>
      </w:r>
      <w:proofErr w:type="spellStart"/>
      <w:r>
        <w:rPr>
          <w:rFonts w:ascii="Arial" w:eastAsia="Arial" w:hAnsi="Arial" w:cs="Arial"/>
          <w:sz w:val="20"/>
          <w:szCs w:val="20"/>
        </w:rPr>
        <w:t>mpox</w:t>
      </w:r>
      <w:proofErr w:type="spellEnd"/>
      <w:r>
        <w:rPr>
          <w:rFonts w:ascii="Arial" w:eastAsia="Arial" w:hAnsi="Arial" w:cs="Arial"/>
          <w:sz w:val="20"/>
          <w:szCs w:val="20"/>
        </w:rPr>
        <w:t xml:space="preserve"> is the new name for an old disease. </w:t>
      </w:r>
      <w:r>
        <w:rPr>
          <w:rFonts w:ascii="Arial" w:eastAsia="Arial" w:hAnsi="Arial" w:cs="Arial"/>
          <w:i/>
          <w:sz w:val="20"/>
          <w:szCs w:val="20"/>
        </w:rPr>
        <w:t>The Lancet Regional Health – Americas</w:t>
      </w:r>
      <w:r>
        <w:rPr>
          <w:rFonts w:ascii="Arial" w:eastAsia="Arial" w:hAnsi="Arial" w:cs="Arial"/>
          <w:sz w:val="20"/>
          <w:szCs w:val="20"/>
        </w:rPr>
        <w:t xml:space="preserve">. 2023;17. </w:t>
      </w:r>
      <w:proofErr w:type="gramStart"/>
      <w:r>
        <w:rPr>
          <w:rFonts w:ascii="Arial" w:eastAsia="Arial" w:hAnsi="Arial" w:cs="Arial"/>
          <w:sz w:val="20"/>
          <w:szCs w:val="20"/>
        </w:rPr>
        <w:t>doi:10.1016/j.lana</w:t>
      </w:r>
      <w:proofErr w:type="gramEnd"/>
      <w:r>
        <w:rPr>
          <w:rFonts w:ascii="Arial" w:eastAsia="Arial" w:hAnsi="Arial" w:cs="Arial"/>
          <w:sz w:val="20"/>
          <w:szCs w:val="20"/>
        </w:rPr>
        <w:t>.2022.100424</w:t>
      </w:r>
    </w:p>
    <w:p w14:paraId="601CB57D"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2. </w:t>
      </w:r>
      <w:proofErr w:type="spellStart"/>
      <w:r>
        <w:rPr>
          <w:rFonts w:ascii="Arial" w:eastAsia="Arial" w:hAnsi="Arial" w:cs="Arial"/>
          <w:sz w:val="20"/>
          <w:szCs w:val="20"/>
        </w:rPr>
        <w:t>Marennikova</w:t>
      </w:r>
      <w:proofErr w:type="spellEnd"/>
      <w:r>
        <w:rPr>
          <w:rFonts w:ascii="Arial" w:eastAsia="Arial" w:hAnsi="Arial" w:cs="Arial"/>
          <w:sz w:val="20"/>
          <w:szCs w:val="20"/>
        </w:rPr>
        <w:t xml:space="preserve"> SS, </w:t>
      </w:r>
      <w:proofErr w:type="spellStart"/>
      <w:r>
        <w:rPr>
          <w:rFonts w:ascii="Arial" w:eastAsia="Arial" w:hAnsi="Arial" w:cs="Arial"/>
          <w:sz w:val="20"/>
          <w:szCs w:val="20"/>
        </w:rPr>
        <w:t>Šeluhina</w:t>
      </w:r>
      <w:proofErr w:type="spellEnd"/>
      <w:r>
        <w:rPr>
          <w:rFonts w:ascii="Arial" w:eastAsia="Arial" w:hAnsi="Arial" w:cs="Arial"/>
          <w:sz w:val="20"/>
          <w:szCs w:val="20"/>
        </w:rPr>
        <w:t xml:space="preserve"> EM, </w:t>
      </w:r>
      <w:proofErr w:type="spellStart"/>
      <w:r>
        <w:rPr>
          <w:rFonts w:ascii="Arial" w:eastAsia="Arial" w:hAnsi="Arial" w:cs="Arial"/>
          <w:sz w:val="20"/>
          <w:szCs w:val="20"/>
        </w:rPr>
        <w:t>Mal’ceva</w:t>
      </w:r>
      <w:proofErr w:type="spellEnd"/>
      <w:r>
        <w:rPr>
          <w:rFonts w:ascii="Arial" w:eastAsia="Arial" w:hAnsi="Arial" w:cs="Arial"/>
          <w:sz w:val="20"/>
          <w:szCs w:val="20"/>
        </w:rPr>
        <w:t xml:space="preserve"> NN, </w:t>
      </w:r>
      <w:proofErr w:type="spellStart"/>
      <w:r>
        <w:rPr>
          <w:rFonts w:ascii="Arial" w:eastAsia="Arial" w:hAnsi="Arial" w:cs="Arial"/>
          <w:sz w:val="20"/>
          <w:szCs w:val="20"/>
        </w:rPr>
        <w:t>Čimiškjan</w:t>
      </w:r>
      <w:proofErr w:type="spellEnd"/>
      <w:r>
        <w:rPr>
          <w:rFonts w:ascii="Arial" w:eastAsia="Arial" w:hAnsi="Arial" w:cs="Arial"/>
          <w:sz w:val="20"/>
          <w:szCs w:val="20"/>
        </w:rPr>
        <w:t xml:space="preserve"> KL, </w:t>
      </w:r>
      <w:proofErr w:type="spellStart"/>
      <w:r>
        <w:rPr>
          <w:rFonts w:ascii="Arial" w:eastAsia="Arial" w:hAnsi="Arial" w:cs="Arial"/>
          <w:sz w:val="20"/>
          <w:szCs w:val="20"/>
        </w:rPr>
        <w:t>Macevič</w:t>
      </w:r>
      <w:proofErr w:type="spellEnd"/>
      <w:r>
        <w:rPr>
          <w:rFonts w:ascii="Arial" w:eastAsia="Arial" w:hAnsi="Arial" w:cs="Arial"/>
          <w:sz w:val="20"/>
          <w:szCs w:val="20"/>
        </w:rPr>
        <w:t xml:space="preserve"> GR. </w:t>
      </w:r>
      <w:proofErr w:type="gramStart"/>
      <w:r>
        <w:rPr>
          <w:rFonts w:ascii="Arial" w:eastAsia="Arial" w:hAnsi="Arial" w:cs="Arial"/>
          <w:sz w:val="20"/>
          <w:szCs w:val="20"/>
        </w:rPr>
        <w:t>Isolation</w:t>
      </w:r>
      <w:proofErr w:type="gramEnd"/>
      <w:r>
        <w:rPr>
          <w:rFonts w:ascii="Arial" w:eastAsia="Arial" w:hAnsi="Arial" w:cs="Arial"/>
          <w:sz w:val="20"/>
          <w:szCs w:val="20"/>
        </w:rPr>
        <w:t xml:space="preserve"> and properties of the causal agent of a new variola-like disease (monkeypox) in man. </w:t>
      </w:r>
      <w:r>
        <w:rPr>
          <w:rFonts w:ascii="Arial" w:eastAsia="Arial" w:hAnsi="Arial" w:cs="Arial"/>
          <w:i/>
          <w:sz w:val="20"/>
          <w:szCs w:val="20"/>
        </w:rPr>
        <w:t>Bull World Health Organ</w:t>
      </w:r>
      <w:r>
        <w:rPr>
          <w:rFonts w:ascii="Arial" w:eastAsia="Arial" w:hAnsi="Arial" w:cs="Arial"/>
          <w:sz w:val="20"/>
          <w:szCs w:val="20"/>
        </w:rPr>
        <w:t>. 1972;46(5):599-611.</w:t>
      </w:r>
    </w:p>
    <w:p w14:paraId="486B5D24"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 </w:t>
      </w:r>
      <w:proofErr w:type="spellStart"/>
      <w:r>
        <w:rPr>
          <w:rFonts w:ascii="Arial" w:eastAsia="Arial" w:hAnsi="Arial" w:cs="Arial"/>
          <w:sz w:val="20"/>
          <w:szCs w:val="20"/>
        </w:rPr>
        <w:t>Fenner</w:t>
      </w:r>
      <w:proofErr w:type="spellEnd"/>
      <w:r>
        <w:rPr>
          <w:rFonts w:ascii="Arial" w:eastAsia="Arial" w:hAnsi="Arial" w:cs="Arial"/>
          <w:sz w:val="20"/>
          <w:szCs w:val="20"/>
        </w:rPr>
        <w:t xml:space="preserve"> F, Henderson DA, </w:t>
      </w:r>
      <w:proofErr w:type="spellStart"/>
      <w:r>
        <w:rPr>
          <w:rFonts w:ascii="Arial" w:eastAsia="Arial" w:hAnsi="Arial" w:cs="Arial"/>
          <w:sz w:val="20"/>
          <w:szCs w:val="20"/>
        </w:rPr>
        <w:t>Arita</w:t>
      </w:r>
      <w:proofErr w:type="spellEnd"/>
      <w:r>
        <w:rPr>
          <w:rFonts w:ascii="Arial" w:eastAsia="Arial" w:hAnsi="Arial" w:cs="Arial"/>
          <w:sz w:val="20"/>
          <w:szCs w:val="20"/>
        </w:rPr>
        <w:t xml:space="preserve"> I, </w:t>
      </w:r>
      <w:proofErr w:type="spellStart"/>
      <w:r>
        <w:rPr>
          <w:rFonts w:ascii="Arial" w:eastAsia="Arial" w:hAnsi="Arial" w:cs="Arial"/>
          <w:sz w:val="20"/>
          <w:szCs w:val="20"/>
        </w:rPr>
        <w:t>Jezek</w:t>
      </w:r>
      <w:proofErr w:type="spellEnd"/>
      <w:r>
        <w:rPr>
          <w:rFonts w:ascii="Arial" w:eastAsia="Arial" w:hAnsi="Arial" w:cs="Arial"/>
          <w:sz w:val="20"/>
          <w:szCs w:val="20"/>
        </w:rPr>
        <w:t xml:space="preserve"> Z, </w:t>
      </w:r>
      <w:proofErr w:type="spellStart"/>
      <w:r>
        <w:rPr>
          <w:rFonts w:ascii="Arial" w:eastAsia="Arial" w:hAnsi="Arial" w:cs="Arial"/>
          <w:sz w:val="20"/>
          <w:szCs w:val="20"/>
        </w:rPr>
        <w:t>Ladnyi</w:t>
      </w:r>
      <w:proofErr w:type="spellEnd"/>
      <w:r>
        <w:rPr>
          <w:rFonts w:ascii="Arial" w:eastAsia="Arial" w:hAnsi="Arial" w:cs="Arial"/>
          <w:sz w:val="20"/>
          <w:szCs w:val="20"/>
        </w:rPr>
        <w:t xml:space="preserve"> ID, Organization WH. </w:t>
      </w:r>
      <w:r>
        <w:rPr>
          <w:rFonts w:ascii="Arial" w:eastAsia="Arial" w:hAnsi="Arial" w:cs="Arial"/>
          <w:i/>
          <w:sz w:val="20"/>
          <w:szCs w:val="20"/>
        </w:rPr>
        <w:t>Smallpox and Its Eradication</w:t>
      </w:r>
      <w:r>
        <w:rPr>
          <w:rFonts w:ascii="Arial" w:eastAsia="Arial" w:hAnsi="Arial" w:cs="Arial"/>
          <w:sz w:val="20"/>
          <w:szCs w:val="20"/>
        </w:rPr>
        <w:t>. World Health Organization; 1988. Accessed May 30, 2023. https://apps.who.int/iris/handle/10665/39485</w:t>
      </w:r>
    </w:p>
    <w:p w14:paraId="59E11B06" w14:textId="77777777" w:rsidR="003136B9" w:rsidRPr="00011EB4" w:rsidRDefault="00000000">
      <w:pPr>
        <w:widowControl w:val="0"/>
        <w:pBdr>
          <w:top w:val="nil"/>
          <w:left w:val="nil"/>
          <w:bottom w:val="nil"/>
          <w:right w:val="nil"/>
          <w:between w:val="nil"/>
        </w:pBdr>
        <w:rPr>
          <w:rFonts w:ascii="Arial" w:eastAsia="Arial" w:hAnsi="Arial" w:cs="Arial"/>
          <w:sz w:val="20"/>
          <w:szCs w:val="20"/>
          <w:lang w:val="pt-BR"/>
        </w:rPr>
      </w:pPr>
      <w:r>
        <w:rPr>
          <w:rFonts w:ascii="Arial" w:eastAsia="Arial" w:hAnsi="Arial" w:cs="Arial"/>
          <w:sz w:val="20"/>
          <w:szCs w:val="20"/>
        </w:rPr>
        <w:t xml:space="preserve">4. </w:t>
      </w:r>
      <w:proofErr w:type="spellStart"/>
      <w:r>
        <w:rPr>
          <w:rFonts w:ascii="Arial" w:eastAsia="Arial" w:hAnsi="Arial" w:cs="Arial"/>
          <w:sz w:val="20"/>
          <w:szCs w:val="20"/>
        </w:rPr>
        <w:t>Likos</w:t>
      </w:r>
      <w:proofErr w:type="spellEnd"/>
      <w:r>
        <w:rPr>
          <w:rFonts w:ascii="Arial" w:eastAsia="Arial" w:hAnsi="Arial" w:cs="Arial"/>
          <w:sz w:val="20"/>
          <w:szCs w:val="20"/>
        </w:rPr>
        <w:t xml:space="preserve"> AM, Sammons SA, Olson VA, et al. A tale of two clades: monkeypox viruses. </w:t>
      </w:r>
      <w:r w:rsidRPr="00011EB4">
        <w:rPr>
          <w:rFonts w:ascii="Arial" w:eastAsia="Arial" w:hAnsi="Arial" w:cs="Arial"/>
          <w:i/>
          <w:sz w:val="20"/>
          <w:szCs w:val="20"/>
          <w:lang w:val="pt-BR"/>
        </w:rPr>
        <w:t>J Gen Virol</w:t>
      </w:r>
      <w:r w:rsidRPr="00011EB4">
        <w:rPr>
          <w:rFonts w:ascii="Arial" w:eastAsia="Arial" w:hAnsi="Arial" w:cs="Arial"/>
          <w:sz w:val="20"/>
          <w:szCs w:val="20"/>
          <w:lang w:val="pt-BR"/>
        </w:rPr>
        <w:t>. 2005;86(Pt 10):2661-2672. doi:10.1099/vir.0.81215-0</w:t>
      </w:r>
    </w:p>
    <w:p w14:paraId="2BD69311"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5. Beer EM, Rao VB. </w:t>
      </w:r>
      <w:r>
        <w:rPr>
          <w:rFonts w:ascii="Arial" w:eastAsia="Arial" w:hAnsi="Arial" w:cs="Arial"/>
          <w:sz w:val="20"/>
          <w:szCs w:val="20"/>
        </w:rPr>
        <w:t xml:space="preserve">A systematic review of the epidemiology of human monkeypox outbreaks and implications for outbreak strategy. </w:t>
      </w:r>
      <w:proofErr w:type="spellStart"/>
      <w:r>
        <w:rPr>
          <w:rFonts w:ascii="Arial" w:eastAsia="Arial" w:hAnsi="Arial" w:cs="Arial"/>
          <w:i/>
          <w:sz w:val="20"/>
          <w:szCs w:val="20"/>
        </w:rPr>
        <w:t>PLoS</w:t>
      </w:r>
      <w:proofErr w:type="spellEnd"/>
      <w:r>
        <w:rPr>
          <w:rFonts w:ascii="Arial" w:eastAsia="Arial" w:hAnsi="Arial" w:cs="Arial"/>
          <w:i/>
          <w:sz w:val="20"/>
          <w:szCs w:val="20"/>
        </w:rPr>
        <w:t xml:space="preserve"> </w:t>
      </w:r>
      <w:proofErr w:type="spellStart"/>
      <w:r>
        <w:rPr>
          <w:rFonts w:ascii="Arial" w:eastAsia="Arial" w:hAnsi="Arial" w:cs="Arial"/>
          <w:i/>
          <w:sz w:val="20"/>
          <w:szCs w:val="20"/>
        </w:rPr>
        <w:t>Negl</w:t>
      </w:r>
      <w:proofErr w:type="spellEnd"/>
      <w:r>
        <w:rPr>
          <w:rFonts w:ascii="Arial" w:eastAsia="Arial" w:hAnsi="Arial" w:cs="Arial"/>
          <w:i/>
          <w:sz w:val="20"/>
          <w:szCs w:val="20"/>
        </w:rPr>
        <w:t xml:space="preserve"> Trop Dis</w:t>
      </w:r>
      <w:r>
        <w:rPr>
          <w:rFonts w:ascii="Arial" w:eastAsia="Arial" w:hAnsi="Arial" w:cs="Arial"/>
          <w:sz w:val="20"/>
          <w:szCs w:val="20"/>
        </w:rPr>
        <w:t>. 2019;13(10</w:t>
      </w:r>
      <w:proofErr w:type="gramStart"/>
      <w:r>
        <w:rPr>
          <w:rFonts w:ascii="Arial" w:eastAsia="Arial" w:hAnsi="Arial" w:cs="Arial"/>
          <w:sz w:val="20"/>
          <w:szCs w:val="20"/>
        </w:rPr>
        <w:t>):e</w:t>
      </w:r>
      <w:proofErr w:type="gramEnd"/>
      <w:r>
        <w:rPr>
          <w:rFonts w:ascii="Arial" w:eastAsia="Arial" w:hAnsi="Arial" w:cs="Arial"/>
          <w:sz w:val="20"/>
          <w:szCs w:val="20"/>
        </w:rPr>
        <w:t xml:space="preserve">0007791. </w:t>
      </w:r>
      <w:proofErr w:type="gramStart"/>
      <w:r>
        <w:rPr>
          <w:rFonts w:ascii="Arial" w:eastAsia="Arial" w:hAnsi="Arial" w:cs="Arial"/>
          <w:sz w:val="20"/>
          <w:szCs w:val="20"/>
        </w:rPr>
        <w:t>doi:10.1371/journal.pntd</w:t>
      </w:r>
      <w:proofErr w:type="gramEnd"/>
      <w:r>
        <w:rPr>
          <w:rFonts w:ascii="Arial" w:eastAsia="Arial" w:hAnsi="Arial" w:cs="Arial"/>
          <w:sz w:val="20"/>
          <w:szCs w:val="20"/>
        </w:rPr>
        <w:t>.0007791</w:t>
      </w:r>
    </w:p>
    <w:p w14:paraId="61D4BD81"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6. Petersen E, Kantele A, Koopmans M, et al. Human Monkeypox: Epidemiologic and Clinical Characteristics, Diagnosis, and Prevention. </w:t>
      </w:r>
      <w:r>
        <w:rPr>
          <w:rFonts w:ascii="Arial" w:eastAsia="Arial" w:hAnsi="Arial" w:cs="Arial"/>
          <w:i/>
          <w:sz w:val="20"/>
          <w:szCs w:val="20"/>
        </w:rPr>
        <w:t>Infect Dis Clin North Am</w:t>
      </w:r>
      <w:r>
        <w:rPr>
          <w:rFonts w:ascii="Arial" w:eastAsia="Arial" w:hAnsi="Arial" w:cs="Arial"/>
          <w:sz w:val="20"/>
          <w:szCs w:val="20"/>
        </w:rPr>
        <w:t xml:space="preserve">. 2019;33(4):1027-1043. </w:t>
      </w:r>
      <w:proofErr w:type="gramStart"/>
      <w:r>
        <w:rPr>
          <w:rFonts w:ascii="Arial" w:eastAsia="Arial" w:hAnsi="Arial" w:cs="Arial"/>
          <w:sz w:val="20"/>
          <w:szCs w:val="20"/>
        </w:rPr>
        <w:t>doi:10.1016/j.idc</w:t>
      </w:r>
      <w:proofErr w:type="gramEnd"/>
      <w:r>
        <w:rPr>
          <w:rFonts w:ascii="Arial" w:eastAsia="Arial" w:hAnsi="Arial" w:cs="Arial"/>
          <w:sz w:val="20"/>
          <w:szCs w:val="20"/>
        </w:rPr>
        <w:t>.2019.03.001</w:t>
      </w:r>
    </w:p>
    <w:p w14:paraId="3976DEE5"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7. </w:t>
      </w:r>
      <w:proofErr w:type="spellStart"/>
      <w:r>
        <w:rPr>
          <w:rFonts w:ascii="Arial" w:eastAsia="Arial" w:hAnsi="Arial" w:cs="Arial"/>
          <w:sz w:val="20"/>
          <w:szCs w:val="20"/>
        </w:rPr>
        <w:t>Durski</w:t>
      </w:r>
      <w:proofErr w:type="spellEnd"/>
      <w:r>
        <w:rPr>
          <w:rFonts w:ascii="Arial" w:eastAsia="Arial" w:hAnsi="Arial" w:cs="Arial"/>
          <w:sz w:val="20"/>
          <w:szCs w:val="20"/>
        </w:rPr>
        <w:t xml:space="preserve"> KN. Emergence of Monkeypox — West and Central Africa, 1970–2017. </w:t>
      </w:r>
      <w:r>
        <w:rPr>
          <w:rFonts w:ascii="Arial" w:eastAsia="Arial" w:hAnsi="Arial" w:cs="Arial"/>
          <w:i/>
          <w:sz w:val="20"/>
          <w:szCs w:val="20"/>
        </w:rPr>
        <w:t xml:space="preserve">MMWR </w:t>
      </w:r>
      <w:proofErr w:type="spellStart"/>
      <w:r>
        <w:rPr>
          <w:rFonts w:ascii="Arial" w:eastAsia="Arial" w:hAnsi="Arial" w:cs="Arial"/>
          <w:i/>
          <w:sz w:val="20"/>
          <w:szCs w:val="20"/>
        </w:rPr>
        <w:t>Morb</w:t>
      </w:r>
      <w:proofErr w:type="spellEnd"/>
      <w:r>
        <w:rPr>
          <w:rFonts w:ascii="Arial" w:eastAsia="Arial" w:hAnsi="Arial" w:cs="Arial"/>
          <w:i/>
          <w:sz w:val="20"/>
          <w:szCs w:val="20"/>
        </w:rPr>
        <w:t xml:space="preserve"> Mortal </w:t>
      </w:r>
      <w:proofErr w:type="spellStart"/>
      <w:r>
        <w:rPr>
          <w:rFonts w:ascii="Arial" w:eastAsia="Arial" w:hAnsi="Arial" w:cs="Arial"/>
          <w:i/>
          <w:sz w:val="20"/>
          <w:szCs w:val="20"/>
        </w:rPr>
        <w:t>Wkly</w:t>
      </w:r>
      <w:proofErr w:type="spellEnd"/>
      <w:r>
        <w:rPr>
          <w:rFonts w:ascii="Arial" w:eastAsia="Arial" w:hAnsi="Arial" w:cs="Arial"/>
          <w:i/>
          <w:sz w:val="20"/>
          <w:szCs w:val="20"/>
        </w:rPr>
        <w:t xml:space="preserve"> Rep</w:t>
      </w:r>
      <w:r>
        <w:rPr>
          <w:rFonts w:ascii="Arial" w:eastAsia="Arial" w:hAnsi="Arial" w:cs="Arial"/>
          <w:sz w:val="20"/>
          <w:szCs w:val="20"/>
        </w:rPr>
        <w:t>. 2018;67. doi:10.15585/mmwr.mm6710a5</w:t>
      </w:r>
    </w:p>
    <w:p w14:paraId="2051D9A6"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8. Petersen BW, Damon IK. </w:t>
      </w:r>
      <w:proofErr w:type="spellStart"/>
      <w:r>
        <w:rPr>
          <w:rFonts w:ascii="Arial" w:eastAsia="Arial" w:hAnsi="Arial" w:cs="Arial"/>
          <w:sz w:val="20"/>
          <w:szCs w:val="20"/>
        </w:rPr>
        <w:t>Orthopoxviruses</w:t>
      </w:r>
      <w:proofErr w:type="spellEnd"/>
      <w:r>
        <w:rPr>
          <w:rFonts w:ascii="Arial" w:eastAsia="Arial" w:hAnsi="Arial" w:cs="Arial"/>
          <w:sz w:val="20"/>
          <w:szCs w:val="20"/>
        </w:rPr>
        <w:t xml:space="preserve"> Vaccinia (Smallpox Vaccine), Variola (Smallpox), Monkeypox, and Cowpox. In: </w:t>
      </w:r>
      <w:r>
        <w:rPr>
          <w:rFonts w:ascii="Arial" w:eastAsia="Arial" w:hAnsi="Arial" w:cs="Arial"/>
          <w:i/>
          <w:sz w:val="20"/>
          <w:szCs w:val="20"/>
        </w:rPr>
        <w:t>Mandell, Douglas, and Bennett’s Principles and Practice of Infectious Diseases</w:t>
      </w:r>
      <w:r>
        <w:rPr>
          <w:rFonts w:ascii="Arial" w:eastAsia="Arial" w:hAnsi="Arial" w:cs="Arial"/>
          <w:sz w:val="20"/>
          <w:szCs w:val="20"/>
        </w:rPr>
        <w:t>. 9th ed. Elsevier; 2020.</w:t>
      </w:r>
    </w:p>
    <w:p w14:paraId="7F1782B4"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9. World Health Organization. Multi-country monkeypox outbreak: situation update. Published June 27, 2022. Accessed April 26, 2023. https://www.who.int/emergencies/disease-outbreak-news/item/2022-DON396</w:t>
      </w:r>
    </w:p>
    <w:p w14:paraId="43FE2595"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10. </w:t>
      </w:r>
      <w:proofErr w:type="spellStart"/>
      <w:r>
        <w:rPr>
          <w:rFonts w:ascii="Arial" w:eastAsia="Arial" w:hAnsi="Arial" w:cs="Arial"/>
          <w:sz w:val="20"/>
          <w:szCs w:val="20"/>
        </w:rPr>
        <w:t>eCDC</w:t>
      </w:r>
      <w:proofErr w:type="spellEnd"/>
      <w:r>
        <w:rPr>
          <w:rFonts w:ascii="Arial" w:eastAsia="Arial" w:hAnsi="Arial" w:cs="Arial"/>
          <w:sz w:val="20"/>
          <w:szCs w:val="20"/>
        </w:rPr>
        <w:t xml:space="preserve">. Factsheet for health professionals on </w:t>
      </w:r>
      <w:proofErr w:type="spellStart"/>
      <w:r>
        <w:rPr>
          <w:rFonts w:ascii="Arial" w:eastAsia="Arial" w:hAnsi="Arial" w:cs="Arial"/>
          <w:sz w:val="20"/>
          <w:szCs w:val="20"/>
        </w:rPr>
        <w:t>mpox</w:t>
      </w:r>
      <w:proofErr w:type="spellEnd"/>
      <w:r>
        <w:rPr>
          <w:rFonts w:ascii="Arial" w:eastAsia="Arial" w:hAnsi="Arial" w:cs="Arial"/>
          <w:sz w:val="20"/>
          <w:szCs w:val="20"/>
        </w:rPr>
        <w:t xml:space="preserve"> (monkeypox). Published December 9, 2019. Accessed April 26, 2023. https://www.ecdc.europa.eu/en/all-topics-z/monkeypox/factsheet-health-professionals</w:t>
      </w:r>
    </w:p>
    <w:p w14:paraId="07F49814"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11. Català A, Clavo-Escribano P, Riera-Monroig J, et al. </w:t>
      </w:r>
      <w:r>
        <w:rPr>
          <w:rFonts w:ascii="Arial" w:eastAsia="Arial" w:hAnsi="Arial" w:cs="Arial"/>
          <w:sz w:val="20"/>
          <w:szCs w:val="20"/>
        </w:rPr>
        <w:t xml:space="preserve">Monkeypox outbreak in Spain: clinical and epidemiological findings in a prospective cross-sectional study of 185 cases*. </w:t>
      </w:r>
      <w:r>
        <w:rPr>
          <w:rFonts w:ascii="Arial" w:eastAsia="Arial" w:hAnsi="Arial" w:cs="Arial"/>
          <w:i/>
          <w:sz w:val="20"/>
          <w:szCs w:val="20"/>
        </w:rPr>
        <w:t>British Journal of Dermatology</w:t>
      </w:r>
      <w:r>
        <w:rPr>
          <w:rFonts w:ascii="Arial" w:eastAsia="Arial" w:hAnsi="Arial" w:cs="Arial"/>
          <w:sz w:val="20"/>
          <w:szCs w:val="20"/>
        </w:rPr>
        <w:t>. 2022;187(5):765-772. doi:10.1111/bjd.21790</w:t>
      </w:r>
    </w:p>
    <w:p w14:paraId="4D7AEDAA"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12. Thornhill JP, </w:t>
      </w:r>
      <w:proofErr w:type="spellStart"/>
      <w:r>
        <w:rPr>
          <w:rFonts w:ascii="Arial" w:eastAsia="Arial" w:hAnsi="Arial" w:cs="Arial"/>
          <w:sz w:val="20"/>
          <w:szCs w:val="20"/>
        </w:rPr>
        <w:t>Barkati</w:t>
      </w:r>
      <w:proofErr w:type="spellEnd"/>
      <w:r>
        <w:rPr>
          <w:rFonts w:ascii="Arial" w:eastAsia="Arial" w:hAnsi="Arial" w:cs="Arial"/>
          <w:sz w:val="20"/>
          <w:szCs w:val="20"/>
        </w:rPr>
        <w:t xml:space="preserve"> S, Walmsley S, et al. Monkeypox Virus Infection in Humans across 16 Countries — April–June 2022. </w:t>
      </w:r>
      <w:r>
        <w:rPr>
          <w:rFonts w:ascii="Arial" w:eastAsia="Arial" w:hAnsi="Arial" w:cs="Arial"/>
          <w:i/>
          <w:sz w:val="20"/>
          <w:szCs w:val="20"/>
        </w:rPr>
        <w:t>New England Journal of Medicine</w:t>
      </w:r>
      <w:r>
        <w:rPr>
          <w:rFonts w:ascii="Arial" w:eastAsia="Arial" w:hAnsi="Arial" w:cs="Arial"/>
          <w:sz w:val="20"/>
          <w:szCs w:val="20"/>
        </w:rPr>
        <w:t>. 2022;387(8):679-691. doi:10.1056/NEJMoa2207323</w:t>
      </w:r>
    </w:p>
    <w:p w14:paraId="7FFC67A6"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13. Mortier C, Tissot-Dupont H, Cardona F, et al. How to distinguish </w:t>
      </w:r>
      <w:proofErr w:type="spellStart"/>
      <w:r>
        <w:rPr>
          <w:rFonts w:ascii="Arial" w:eastAsia="Arial" w:hAnsi="Arial" w:cs="Arial"/>
          <w:sz w:val="20"/>
          <w:szCs w:val="20"/>
        </w:rPr>
        <w:t>mpox</w:t>
      </w:r>
      <w:proofErr w:type="spellEnd"/>
      <w:r>
        <w:rPr>
          <w:rFonts w:ascii="Arial" w:eastAsia="Arial" w:hAnsi="Arial" w:cs="Arial"/>
          <w:sz w:val="20"/>
          <w:szCs w:val="20"/>
        </w:rPr>
        <w:t xml:space="preserve"> from its mimickers: An observational retrospective cohort study. </w:t>
      </w:r>
      <w:r>
        <w:rPr>
          <w:rFonts w:ascii="Arial" w:eastAsia="Arial" w:hAnsi="Arial" w:cs="Arial"/>
          <w:i/>
          <w:sz w:val="20"/>
          <w:szCs w:val="20"/>
        </w:rPr>
        <w:t xml:space="preserve">J Med </w:t>
      </w:r>
      <w:proofErr w:type="spellStart"/>
      <w:r>
        <w:rPr>
          <w:rFonts w:ascii="Arial" w:eastAsia="Arial" w:hAnsi="Arial" w:cs="Arial"/>
          <w:i/>
          <w:sz w:val="20"/>
          <w:szCs w:val="20"/>
        </w:rPr>
        <w:t>Virol</w:t>
      </w:r>
      <w:proofErr w:type="spellEnd"/>
      <w:r>
        <w:rPr>
          <w:rFonts w:ascii="Arial" w:eastAsia="Arial" w:hAnsi="Arial" w:cs="Arial"/>
          <w:sz w:val="20"/>
          <w:szCs w:val="20"/>
        </w:rPr>
        <w:t>. 2023;95(10</w:t>
      </w:r>
      <w:proofErr w:type="gramStart"/>
      <w:r>
        <w:rPr>
          <w:rFonts w:ascii="Arial" w:eastAsia="Arial" w:hAnsi="Arial" w:cs="Arial"/>
          <w:sz w:val="20"/>
          <w:szCs w:val="20"/>
        </w:rPr>
        <w:t>):e</w:t>
      </w:r>
      <w:proofErr w:type="gramEnd"/>
      <w:r>
        <w:rPr>
          <w:rFonts w:ascii="Arial" w:eastAsia="Arial" w:hAnsi="Arial" w:cs="Arial"/>
          <w:sz w:val="20"/>
          <w:szCs w:val="20"/>
        </w:rPr>
        <w:t>29147. doi:10.1002/jmv.29147</w:t>
      </w:r>
    </w:p>
    <w:p w14:paraId="112143CB" w14:textId="77777777" w:rsidR="003136B9" w:rsidRPr="00011EB4" w:rsidRDefault="00000000">
      <w:pPr>
        <w:widowControl w:val="0"/>
        <w:pBdr>
          <w:top w:val="nil"/>
          <w:left w:val="nil"/>
          <w:bottom w:val="nil"/>
          <w:right w:val="nil"/>
          <w:between w:val="nil"/>
        </w:pBdr>
        <w:rPr>
          <w:rFonts w:ascii="Arial" w:eastAsia="Arial" w:hAnsi="Arial" w:cs="Arial"/>
          <w:sz w:val="20"/>
          <w:szCs w:val="20"/>
          <w:lang w:val="pt-BR"/>
        </w:rPr>
      </w:pPr>
      <w:r>
        <w:rPr>
          <w:rFonts w:ascii="Arial" w:eastAsia="Arial" w:hAnsi="Arial" w:cs="Arial"/>
          <w:sz w:val="20"/>
          <w:szCs w:val="20"/>
        </w:rPr>
        <w:t xml:space="preserve">14. Beeson AM, Haston J, McCormick DW, et al. </w:t>
      </w:r>
      <w:proofErr w:type="spellStart"/>
      <w:r>
        <w:rPr>
          <w:rFonts w:ascii="Arial" w:eastAsia="Arial" w:hAnsi="Arial" w:cs="Arial"/>
          <w:sz w:val="20"/>
          <w:szCs w:val="20"/>
        </w:rPr>
        <w:t>Mpox</w:t>
      </w:r>
      <w:proofErr w:type="spellEnd"/>
      <w:r>
        <w:rPr>
          <w:rFonts w:ascii="Arial" w:eastAsia="Arial" w:hAnsi="Arial" w:cs="Arial"/>
          <w:sz w:val="20"/>
          <w:szCs w:val="20"/>
        </w:rPr>
        <w:t xml:space="preserve"> in Children and Adolescents: Epidemiology, Clinical Features, Diagnosis, and Management. </w:t>
      </w:r>
      <w:r w:rsidRPr="00011EB4">
        <w:rPr>
          <w:rFonts w:ascii="Arial" w:eastAsia="Arial" w:hAnsi="Arial" w:cs="Arial"/>
          <w:i/>
          <w:sz w:val="20"/>
          <w:szCs w:val="20"/>
          <w:lang w:val="pt-BR"/>
        </w:rPr>
        <w:t>Pediatrics</w:t>
      </w:r>
      <w:r w:rsidRPr="00011EB4">
        <w:rPr>
          <w:rFonts w:ascii="Arial" w:eastAsia="Arial" w:hAnsi="Arial" w:cs="Arial"/>
          <w:sz w:val="20"/>
          <w:szCs w:val="20"/>
          <w:lang w:val="pt-BR"/>
        </w:rPr>
        <w:t>. 2023;151(2):e2022060179. doi:10.1542/peds.2022-060179</w:t>
      </w:r>
    </w:p>
    <w:p w14:paraId="44327938"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15. Luques MN, Oliveira RL, Hir S, et al. </w:t>
      </w:r>
      <w:r>
        <w:rPr>
          <w:rFonts w:ascii="Arial" w:eastAsia="Arial" w:hAnsi="Arial" w:cs="Arial"/>
          <w:sz w:val="20"/>
          <w:szCs w:val="20"/>
        </w:rPr>
        <w:t xml:space="preserve">Co-circulation of vaccinia and monkeypox viruses in rural areas of Brazil: Importance of differential molecular diagnosis. </w:t>
      </w:r>
      <w:r>
        <w:rPr>
          <w:rFonts w:ascii="Arial" w:eastAsia="Arial" w:hAnsi="Arial" w:cs="Arial"/>
          <w:i/>
          <w:sz w:val="20"/>
          <w:szCs w:val="20"/>
        </w:rPr>
        <w:t>Travel Med Infect Dis</w:t>
      </w:r>
      <w:r>
        <w:rPr>
          <w:rFonts w:ascii="Arial" w:eastAsia="Arial" w:hAnsi="Arial" w:cs="Arial"/>
          <w:sz w:val="20"/>
          <w:szCs w:val="20"/>
        </w:rPr>
        <w:t xml:space="preserve">. </w:t>
      </w:r>
      <w:proofErr w:type="gramStart"/>
      <w:r>
        <w:rPr>
          <w:rFonts w:ascii="Arial" w:eastAsia="Arial" w:hAnsi="Arial" w:cs="Arial"/>
          <w:sz w:val="20"/>
          <w:szCs w:val="20"/>
        </w:rPr>
        <w:t>2023;53:102578</w:t>
      </w:r>
      <w:proofErr w:type="gramEnd"/>
      <w:r>
        <w:rPr>
          <w:rFonts w:ascii="Arial" w:eastAsia="Arial" w:hAnsi="Arial" w:cs="Arial"/>
          <w:sz w:val="20"/>
          <w:szCs w:val="20"/>
        </w:rPr>
        <w:t xml:space="preserve">. </w:t>
      </w:r>
      <w:proofErr w:type="gramStart"/>
      <w:r>
        <w:rPr>
          <w:rFonts w:ascii="Arial" w:eastAsia="Arial" w:hAnsi="Arial" w:cs="Arial"/>
          <w:sz w:val="20"/>
          <w:szCs w:val="20"/>
        </w:rPr>
        <w:t>doi:10.1016/j.tmaid</w:t>
      </w:r>
      <w:proofErr w:type="gramEnd"/>
      <w:r>
        <w:rPr>
          <w:rFonts w:ascii="Arial" w:eastAsia="Arial" w:hAnsi="Arial" w:cs="Arial"/>
          <w:sz w:val="20"/>
          <w:szCs w:val="20"/>
        </w:rPr>
        <w:t>.2023.102578</w:t>
      </w:r>
    </w:p>
    <w:p w14:paraId="5F613534" w14:textId="77777777" w:rsidR="003136B9" w:rsidRPr="00011EB4" w:rsidRDefault="00000000">
      <w:pPr>
        <w:widowControl w:val="0"/>
        <w:pBdr>
          <w:top w:val="nil"/>
          <w:left w:val="nil"/>
          <w:bottom w:val="nil"/>
          <w:right w:val="nil"/>
          <w:between w:val="nil"/>
        </w:pBdr>
        <w:rPr>
          <w:rFonts w:ascii="Arial" w:eastAsia="Arial" w:hAnsi="Arial" w:cs="Arial"/>
          <w:sz w:val="20"/>
          <w:szCs w:val="20"/>
          <w:lang w:val="pt-BR"/>
        </w:rPr>
      </w:pPr>
      <w:r>
        <w:rPr>
          <w:rFonts w:ascii="Arial" w:eastAsia="Arial" w:hAnsi="Arial" w:cs="Arial"/>
          <w:sz w:val="20"/>
          <w:szCs w:val="20"/>
        </w:rPr>
        <w:t xml:space="preserve">16. </w:t>
      </w:r>
      <w:proofErr w:type="spellStart"/>
      <w:r>
        <w:rPr>
          <w:rFonts w:ascii="Arial" w:eastAsia="Arial" w:hAnsi="Arial" w:cs="Arial"/>
          <w:sz w:val="20"/>
          <w:szCs w:val="20"/>
        </w:rPr>
        <w:t>Osadebe</w:t>
      </w:r>
      <w:proofErr w:type="spellEnd"/>
      <w:r>
        <w:rPr>
          <w:rFonts w:ascii="Arial" w:eastAsia="Arial" w:hAnsi="Arial" w:cs="Arial"/>
          <w:sz w:val="20"/>
          <w:szCs w:val="20"/>
        </w:rPr>
        <w:t xml:space="preserve"> L, Hughes CM, </w:t>
      </w:r>
      <w:proofErr w:type="spellStart"/>
      <w:r>
        <w:rPr>
          <w:rFonts w:ascii="Arial" w:eastAsia="Arial" w:hAnsi="Arial" w:cs="Arial"/>
          <w:sz w:val="20"/>
          <w:szCs w:val="20"/>
        </w:rPr>
        <w:t>Shongo</w:t>
      </w:r>
      <w:proofErr w:type="spellEnd"/>
      <w:r>
        <w:rPr>
          <w:rFonts w:ascii="Arial" w:eastAsia="Arial" w:hAnsi="Arial" w:cs="Arial"/>
          <w:sz w:val="20"/>
          <w:szCs w:val="20"/>
        </w:rPr>
        <w:t xml:space="preserve"> </w:t>
      </w:r>
      <w:proofErr w:type="spellStart"/>
      <w:r>
        <w:rPr>
          <w:rFonts w:ascii="Arial" w:eastAsia="Arial" w:hAnsi="Arial" w:cs="Arial"/>
          <w:sz w:val="20"/>
          <w:szCs w:val="20"/>
        </w:rPr>
        <w:t>Lushima</w:t>
      </w:r>
      <w:proofErr w:type="spellEnd"/>
      <w:r>
        <w:rPr>
          <w:rFonts w:ascii="Arial" w:eastAsia="Arial" w:hAnsi="Arial" w:cs="Arial"/>
          <w:sz w:val="20"/>
          <w:szCs w:val="20"/>
        </w:rPr>
        <w:t xml:space="preserve"> R, et al. Enhancing case definitions for surveillance of human monkeypox in the Democratic Republic of Congo. </w:t>
      </w:r>
      <w:r w:rsidRPr="00011EB4">
        <w:rPr>
          <w:rFonts w:ascii="Arial" w:eastAsia="Arial" w:hAnsi="Arial" w:cs="Arial"/>
          <w:i/>
          <w:sz w:val="20"/>
          <w:szCs w:val="20"/>
          <w:lang w:val="pt-BR"/>
        </w:rPr>
        <w:t>PLoS Negl Trop Dis</w:t>
      </w:r>
      <w:r w:rsidRPr="00011EB4">
        <w:rPr>
          <w:rFonts w:ascii="Arial" w:eastAsia="Arial" w:hAnsi="Arial" w:cs="Arial"/>
          <w:sz w:val="20"/>
          <w:szCs w:val="20"/>
          <w:lang w:val="pt-BR"/>
        </w:rPr>
        <w:t>. 2017;11(9):e0005857. doi:10.1371/journal.pntd.0005857</w:t>
      </w:r>
    </w:p>
    <w:p w14:paraId="2F430041"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17. Minhaj FS. </w:t>
      </w:r>
      <w:r>
        <w:rPr>
          <w:rFonts w:ascii="Arial" w:eastAsia="Arial" w:hAnsi="Arial" w:cs="Arial"/>
          <w:sz w:val="20"/>
          <w:szCs w:val="20"/>
        </w:rPr>
        <w:t xml:space="preserve">Monkeypox Outbreak — Nine States, May 2022. </w:t>
      </w:r>
      <w:r>
        <w:rPr>
          <w:rFonts w:ascii="Arial" w:eastAsia="Arial" w:hAnsi="Arial" w:cs="Arial"/>
          <w:i/>
          <w:sz w:val="20"/>
          <w:szCs w:val="20"/>
        </w:rPr>
        <w:t xml:space="preserve">MMWR </w:t>
      </w:r>
      <w:proofErr w:type="spellStart"/>
      <w:r>
        <w:rPr>
          <w:rFonts w:ascii="Arial" w:eastAsia="Arial" w:hAnsi="Arial" w:cs="Arial"/>
          <w:i/>
          <w:sz w:val="20"/>
          <w:szCs w:val="20"/>
        </w:rPr>
        <w:t>Morb</w:t>
      </w:r>
      <w:proofErr w:type="spellEnd"/>
      <w:r>
        <w:rPr>
          <w:rFonts w:ascii="Arial" w:eastAsia="Arial" w:hAnsi="Arial" w:cs="Arial"/>
          <w:i/>
          <w:sz w:val="20"/>
          <w:szCs w:val="20"/>
        </w:rPr>
        <w:t xml:space="preserve"> Mortal </w:t>
      </w:r>
      <w:proofErr w:type="spellStart"/>
      <w:r>
        <w:rPr>
          <w:rFonts w:ascii="Arial" w:eastAsia="Arial" w:hAnsi="Arial" w:cs="Arial"/>
          <w:i/>
          <w:sz w:val="20"/>
          <w:szCs w:val="20"/>
        </w:rPr>
        <w:t>Wkly</w:t>
      </w:r>
      <w:proofErr w:type="spellEnd"/>
      <w:r>
        <w:rPr>
          <w:rFonts w:ascii="Arial" w:eastAsia="Arial" w:hAnsi="Arial" w:cs="Arial"/>
          <w:i/>
          <w:sz w:val="20"/>
          <w:szCs w:val="20"/>
        </w:rPr>
        <w:t xml:space="preserve"> Rep</w:t>
      </w:r>
      <w:r>
        <w:rPr>
          <w:rFonts w:ascii="Arial" w:eastAsia="Arial" w:hAnsi="Arial" w:cs="Arial"/>
          <w:sz w:val="20"/>
          <w:szCs w:val="20"/>
        </w:rPr>
        <w:t>. 2022;71. doi:10.15585/mmwr.mm7123e1</w:t>
      </w:r>
    </w:p>
    <w:p w14:paraId="386D9AD3" w14:textId="77777777" w:rsidR="003136B9" w:rsidRPr="00011EB4" w:rsidRDefault="00000000">
      <w:pPr>
        <w:widowControl w:val="0"/>
        <w:pBdr>
          <w:top w:val="nil"/>
          <w:left w:val="nil"/>
          <w:bottom w:val="nil"/>
          <w:right w:val="nil"/>
          <w:between w:val="nil"/>
        </w:pBdr>
        <w:rPr>
          <w:rFonts w:ascii="Arial" w:eastAsia="Arial" w:hAnsi="Arial" w:cs="Arial"/>
          <w:sz w:val="20"/>
          <w:szCs w:val="20"/>
          <w:lang w:val="pt-BR"/>
        </w:rPr>
      </w:pPr>
      <w:r w:rsidRPr="00011EB4">
        <w:rPr>
          <w:rFonts w:ascii="Arial" w:eastAsia="Arial" w:hAnsi="Arial" w:cs="Arial"/>
          <w:sz w:val="20"/>
          <w:szCs w:val="20"/>
          <w:lang w:val="pt-BR"/>
        </w:rPr>
        <w:t xml:space="preserve">18. Claro IM, Romano CM, Candido D da S, et al. </w:t>
      </w:r>
      <w:r>
        <w:rPr>
          <w:rFonts w:ascii="Arial" w:eastAsia="Arial" w:hAnsi="Arial" w:cs="Arial"/>
          <w:sz w:val="20"/>
          <w:szCs w:val="20"/>
        </w:rPr>
        <w:t xml:space="preserve">Shotgun metagenomic sequencing of the first case of monkeypox virus in Brazil, 2022. </w:t>
      </w:r>
      <w:r w:rsidRPr="00011EB4">
        <w:rPr>
          <w:rFonts w:ascii="Arial" w:eastAsia="Arial" w:hAnsi="Arial" w:cs="Arial"/>
          <w:i/>
          <w:sz w:val="20"/>
          <w:szCs w:val="20"/>
          <w:lang w:val="pt-BR"/>
        </w:rPr>
        <w:t>Rev Inst Med Trop Sao Paulo</w:t>
      </w:r>
      <w:r w:rsidRPr="00011EB4">
        <w:rPr>
          <w:rFonts w:ascii="Arial" w:eastAsia="Arial" w:hAnsi="Arial" w:cs="Arial"/>
          <w:sz w:val="20"/>
          <w:szCs w:val="20"/>
          <w:lang w:val="pt-BR"/>
        </w:rPr>
        <w:t>. 64:e48. doi:10.1590/S1678-9946202264048</w:t>
      </w:r>
    </w:p>
    <w:p w14:paraId="5FD968FE"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19. Brasil. Ministério da Saúde. Boletim Epidemiológico Especial: Mpox n</w:t>
      </w:r>
      <w:r w:rsidRPr="00011EB4">
        <w:rPr>
          <w:rFonts w:ascii="Arial" w:eastAsia="Arial" w:hAnsi="Arial" w:cs="Arial"/>
          <w:sz w:val="20"/>
          <w:szCs w:val="20"/>
          <w:vertAlign w:val="superscript"/>
          <w:lang w:val="pt-BR"/>
        </w:rPr>
        <w:t>o</w:t>
      </w:r>
      <w:r w:rsidRPr="00011EB4">
        <w:rPr>
          <w:rFonts w:ascii="Arial" w:eastAsia="Arial" w:hAnsi="Arial" w:cs="Arial"/>
          <w:sz w:val="20"/>
          <w:szCs w:val="20"/>
          <w:lang w:val="pt-BR"/>
        </w:rPr>
        <w:t xml:space="preserve"> 24. </w:t>
      </w:r>
      <w:r>
        <w:rPr>
          <w:rFonts w:ascii="Arial" w:eastAsia="Arial" w:hAnsi="Arial" w:cs="Arial"/>
          <w:sz w:val="20"/>
          <w:szCs w:val="20"/>
        </w:rPr>
        <w:t>Published online August 1, 2023. Accessed October 16, 2023. https://www.gov.br/saude/pt-br/centrais-de-conteudo/publicacoes/boletins/epidemiologicos/variola-dos-macacos/boletim-epidemiologico-de-monkeypox-no-24-coe-1/view</w:t>
      </w:r>
    </w:p>
    <w:p w14:paraId="329DB808"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20. Brasil. Definição de caso. Ministério da Saúde. </w:t>
      </w:r>
      <w:r>
        <w:rPr>
          <w:rFonts w:ascii="Arial" w:eastAsia="Arial" w:hAnsi="Arial" w:cs="Arial"/>
          <w:sz w:val="20"/>
          <w:szCs w:val="20"/>
        </w:rPr>
        <w:t>Published May 26, 2022. Accessed April 24, 2023. https://www.gov.br/saude/pt-br/composicao/svsa/resposta-a-emergencias/sala-de-situacao-</w:t>
      </w:r>
      <w:r>
        <w:rPr>
          <w:rFonts w:ascii="Arial" w:eastAsia="Arial" w:hAnsi="Arial" w:cs="Arial"/>
          <w:sz w:val="20"/>
          <w:szCs w:val="20"/>
        </w:rPr>
        <w:lastRenderedPageBreak/>
        <w:t>de-saude/sala-de-situacao-de-monkeypox/definicao-de-caso</w:t>
      </w:r>
    </w:p>
    <w:p w14:paraId="67A9E9FD"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21. Bio-Manguinhos. Manual do Kit Molecular multiplex OPXV/MPXV/VZV/RP. </w:t>
      </w:r>
      <w:r>
        <w:rPr>
          <w:rFonts w:ascii="Arial" w:eastAsia="Arial" w:hAnsi="Arial" w:cs="Arial"/>
          <w:sz w:val="20"/>
          <w:szCs w:val="20"/>
        </w:rPr>
        <w:t>Published online September 2022. Accessed October 19, 2023. https://www.bio.fiocruz.br/images/bm-bul-174-01-r-sn---multiplex--.pdf</w:t>
      </w:r>
    </w:p>
    <w:p w14:paraId="7C827C01"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22. Centers for Disease Control and Prevention. </w:t>
      </w:r>
      <w:proofErr w:type="spellStart"/>
      <w:r>
        <w:rPr>
          <w:rFonts w:ascii="Arial" w:eastAsia="Arial" w:hAnsi="Arial" w:cs="Arial"/>
          <w:sz w:val="20"/>
          <w:szCs w:val="20"/>
        </w:rPr>
        <w:t>Mpox</w:t>
      </w:r>
      <w:proofErr w:type="spellEnd"/>
      <w:r>
        <w:rPr>
          <w:rFonts w:ascii="Arial" w:eastAsia="Arial" w:hAnsi="Arial" w:cs="Arial"/>
          <w:sz w:val="20"/>
          <w:szCs w:val="20"/>
        </w:rPr>
        <w:t xml:space="preserve"> Generic PCR Protocol. Published online June 6, 2022. Accessed May 4, 2023. https://www.cdc.gov/poxvirus/mpox/pdf/PCR-Diagnostic-Protocol-508.pdf</w:t>
      </w:r>
    </w:p>
    <w:p w14:paraId="34DC1E30" w14:textId="77777777" w:rsidR="003136B9" w:rsidRPr="00011EB4" w:rsidRDefault="00000000">
      <w:pPr>
        <w:widowControl w:val="0"/>
        <w:pBdr>
          <w:top w:val="nil"/>
          <w:left w:val="nil"/>
          <w:bottom w:val="nil"/>
          <w:right w:val="nil"/>
          <w:between w:val="nil"/>
        </w:pBdr>
        <w:rPr>
          <w:rFonts w:ascii="Arial" w:eastAsia="Arial" w:hAnsi="Arial" w:cs="Arial"/>
          <w:sz w:val="20"/>
          <w:szCs w:val="20"/>
          <w:lang w:val="pt-BR"/>
        </w:rPr>
      </w:pPr>
      <w:r w:rsidRPr="00011EB4">
        <w:rPr>
          <w:rFonts w:ascii="Arial" w:eastAsia="Arial" w:hAnsi="Arial" w:cs="Arial"/>
          <w:sz w:val="20"/>
          <w:szCs w:val="20"/>
          <w:lang w:val="pt-BR"/>
        </w:rPr>
        <w:t xml:space="preserve">23. Cruz NVG, Luques MN, Castiñeiras TMPP, et al. </w:t>
      </w:r>
      <w:r>
        <w:rPr>
          <w:rFonts w:ascii="Arial" w:eastAsia="Arial" w:hAnsi="Arial" w:cs="Arial"/>
          <w:sz w:val="20"/>
          <w:szCs w:val="20"/>
        </w:rPr>
        <w:t xml:space="preserve">Genomic Characterization of the Historical Smallpox Vaccine Strain Wyeth Isolated from a 1971 Seed Vial. </w:t>
      </w:r>
      <w:r w:rsidRPr="00011EB4">
        <w:rPr>
          <w:rFonts w:ascii="Arial" w:eastAsia="Arial" w:hAnsi="Arial" w:cs="Arial"/>
          <w:i/>
          <w:sz w:val="20"/>
          <w:szCs w:val="20"/>
          <w:lang w:val="pt-BR"/>
        </w:rPr>
        <w:t>Viruses</w:t>
      </w:r>
      <w:r w:rsidRPr="00011EB4">
        <w:rPr>
          <w:rFonts w:ascii="Arial" w:eastAsia="Arial" w:hAnsi="Arial" w:cs="Arial"/>
          <w:sz w:val="20"/>
          <w:szCs w:val="20"/>
          <w:lang w:val="pt-BR"/>
        </w:rPr>
        <w:t>. 2023;15(1):83. doi:10.3390/v15010083</w:t>
      </w:r>
    </w:p>
    <w:p w14:paraId="7B7ED999" w14:textId="77777777" w:rsidR="003136B9" w:rsidRPr="00011EB4" w:rsidRDefault="00000000">
      <w:pPr>
        <w:widowControl w:val="0"/>
        <w:pBdr>
          <w:top w:val="nil"/>
          <w:left w:val="nil"/>
          <w:bottom w:val="nil"/>
          <w:right w:val="nil"/>
          <w:between w:val="nil"/>
        </w:pBdr>
        <w:rPr>
          <w:rFonts w:ascii="Arial" w:eastAsia="Arial" w:hAnsi="Arial" w:cs="Arial"/>
          <w:sz w:val="20"/>
          <w:szCs w:val="20"/>
          <w:lang w:val="pt-BR"/>
        </w:rPr>
      </w:pPr>
      <w:r w:rsidRPr="00011EB4">
        <w:rPr>
          <w:rFonts w:ascii="Arial" w:eastAsia="Arial" w:hAnsi="Arial" w:cs="Arial"/>
          <w:sz w:val="20"/>
          <w:szCs w:val="20"/>
          <w:lang w:val="pt-BR"/>
        </w:rPr>
        <w:t xml:space="preserve">24. Nunes D dos S, Higa LM, Oliveira RL, et al. </w:t>
      </w:r>
      <w:r>
        <w:rPr>
          <w:rFonts w:ascii="Arial" w:eastAsia="Arial" w:hAnsi="Arial" w:cs="Arial"/>
          <w:sz w:val="20"/>
          <w:szCs w:val="20"/>
        </w:rPr>
        <w:t xml:space="preserve">In vitro susceptibility of eighteen clinical isolates of human monkeypox virus to tecovirimat. </w:t>
      </w:r>
      <w:r w:rsidRPr="00011EB4">
        <w:rPr>
          <w:rFonts w:ascii="Arial" w:eastAsia="Arial" w:hAnsi="Arial" w:cs="Arial"/>
          <w:i/>
          <w:sz w:val="20"/>
          <w:szCs w:val="20"/>
          <w:lang w:val="pt-BR"/>
        </w:rPr>
        <w:t>Mem Inst Oswaldo Cruz</w:t>
      </w:r>
      <w:r w:rsidRPr="00011EB4">
        <w:rPr>
          <w:rFonts w:ascii="Arial" w:eastAsia="Arial" w:hAnsi="Arial" w:cs="Arial"/>
          <w:sz w:val="20"/>
          <w:szCs w:val="20"/>
          <w:lang w:val="pt-BR"/>
        </w:rPr>
        <w:t>. 118:e230056. doi:10.1590/0074-02760230056</w:t>
      </w:r>
    </w:p>
    <w:p w14:paraId="4C6EAB55"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25. Caldas LA, Carneiro FA, Monteiro FL, et al. </w:t>
      </w:r>
      <w:r>
        <w:rPr>
          <w:rFonts w:ascii="Arial" w:eastAsia="Arial" w:hAnsi="Arial" w:cs="Arial"/>
          <w:sz w:val="20"/>
          <w:szCs w:val="20"/>
        </w:rPr>
        <w:t xml:space="preserve">Intracellular host cell membrane </w:t>
      </w:r>
      <w:proofErr w:type="spellStart"/>
      <w:r>
        <w:rPr>
          <w:rFonts w:ascii="Arial" w:eastAsia="Arial" w:hAnsi="Arial" w:cs="Arial"/>
          <w:sz w:val="20"/>
          <w:szCs w:val="20"/>
        </w:rPr>
        <w:t>remodelling</w:t>
      </w:r>
      <w:proofErr w:type="spellEnd"/>
      <w:r>
        <w:rPr>
          <w:rFonts w:ascii="Arial" w:eastAsia="Arial" w:hAnsi="Arial" w:cs="Arial"/>
          <w:sz w:val="20"/>
          <w:szCs w:val="20"/>
        </w:rPr>
        <w:t xml:space="preserve"> induced by SARS‐CoV‐2 infection </w:t>
      </w:r>
      <w:r>
        <w:rPr>
          <w:rFonts w:ascii="Arial" w:eastAsia="Arial" w:hAnsi="Arial" w:cs="Arial"/>
          <w:i/>
          <w:sz w:val="20"/>
          <w:szCs w:val="20"/>
        </w:rPr>
        <w:t>in vitro</w:t>
      </w:r>
      <w:r>
        <w:rPr>
          <w:rFonts w:ascii="Arial" w:eastAsia="Arial" w:hAnsi="Arial" w:cs="Arial"/>
          <w:sz w:val="20"/>
          <w:szCs w:val="20"/>
        </w:rPr>
        <w:t xml:space="preserve">. </w:t>
      </w:r>
      <w:r>
        <w:rPr>
          <w:rFonts w:ascii="Arial" w:eastAsia="Arial" w:hAnsi="Arial" w:cs="Arial"/>
          <w:i/>
          <w:sz w:val="20"/>
          <w:szCs w:val="20"/>
        </w:rPr>
        <w:t>Biology of the Cell</w:t>
      </w:r>
      <w:r>
        <w:rPr>
          <w:rFonts w:ascii="Arial" w:eastAsia="Arial" w:hAnsi="Arial" w:cs="Arial"/>
          <w:sz w:val="20"/>
          <w:szCs w:val="20"/>
        </w:rPr>
        <w:t>. 2021;113(6):281-293. doi:10.1111/boc.202000146</w:t>
      </w:r>
    </w:p>
    <w:p w14:paraId="4CAFB32B"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26. Chen* NFG, Gagne* L, Doucette M, et al. Monkeypox virus multiplexed PCR amplicon sequencing (</w:t>
      </w:r>
      <w:proofErr w:type="spellStart"/>
      <w:r>
        <w:rPr>
          <w:rFonts w:ascii="Arial" w:eastAsia="Arial" w:hAnsi="Arial" w:cs="Arial"/>
          <w:sz w:val="20"/>
          <w:szCs w:val="20"/>
        </w:rPr>
        <w:t>PrimalSeq</w:t>
      </w:r>
      <w:proofErr w:type="spellEnd"/>
      <w:r>
        <w:rPr>
          <w:rFonts w:ascii="Arial" w:eastAsia="Arial" w:hAnsi="Arial" w:cs="Arial"/>
          <w:sz w:val="20"/>
          <w:szCs w:val="20"/>
        </w:rPr>
        <w:t>) V.2. Published online July 26, 2022. Accessed October 5, 2023. https://www.protocols.io/view/monkeypox-virus-multiplexed-pcr-amplicon-sequencin-cd8ds9s6</w:t>
      </w:r>
    </w:p>
    <w:p w14:paraId="0B7969EB"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27. </w:t>
      </w:r>
      <w:proofErr w:type="spellStart"/>
      <w:r>
        <w:rPr>
          <w:rFonts w:ascii="Arial" w:eastAsia="Arial" w:hAnsi="Arial" w:cs="Arial"/>
          <w:sz w:val="20"/>
          <w:szCs w:val="20"/>
        </w:rPr>
        <w:t>eCDC</w:t>
      </w:r>
      <w:proofErr w:type="spellEnd"/>
      <w:r>
        <w:rPr>
          <w:rFonts w:ascii="Arial" w:eastAsia="Arial" w:hAnsi="Arial" w:cs="Arial"/>
          <w:sz w:val="20"/>
          <w:szCs w:val="20"/>
        </w:rPr>
        <w:t>. Communicable disease threats report, 2-8 July 2023, week 27. Published July 7, 2023. Accessed July 21, 2023. https://www.ecdc.europa.eu/en/publications-data/communicable-disease-threats-report-2-8-july-2023-week-27</w:t>
      </w:r>
    </w:p>
    <w:p w14:paraId="4BE1020F" w14:textId="77777777" w:rsidR="003136B9" w:rsidRPr="00011EB4" w:rsidRDefault="00000000">
      <w:pPr>
        <w:widowControl w:val="0"/>
        <w:pBdr>
          <w:top w:val="nil"/>
          <w:left w:val="nil"/>
          <w:bottom w:val="nil"/>
          <w:right w:val="nil"/>
          <w:between w:val="nil"/>
        </w:pBdr>
        <w:rPr>
          <w:rFonts w:ascii="Arial" w:eastAsia="Arial" w:hAnsi="Arial" w:cs="Arial"/>
          <w:sz w:val="20"/>
          <w:szCs w:val="20"/>
          <w:lang w:val="pt-BR"/>
        </w:rPr>
      </w:pPr>
      <w:r w:rsidRPr="00011EB4">
        <w:rPr>
          <w:rFonts w:ascii="Arial" w:eastAsia="Arial" w:hAnsi="Arial" w:cs="Arial"/>
          <w:sz w:val="20"/>
          <w:szCs w:val="20"/>
          <w:lang w:val="pt-BR"/>
        </w:rPr>
        <w:t xml:space="preserve">28. Minhaj FS, Petras JK, Brown JA, et al. </w:t>
      </w:r>
      <w:proofErr w:type="spellStart"/>
      <w:r>
        <w:rPr>
          <w:rFonts w:ascii="Arial" w:eastAsia="Arial" w:hAnsi="Arial" w:cs="Arial"/>
          <w:sz w:val="20"/>
          <w:szCs w:val="20"/>
        </w:rPr>
        <w:t>Orthopoxvirus</w:t>
      </w:r>
      <w:proofErr w:type="spellEnd"/>
      <w:r>
        <w:rPr>
          <w:rFonts w:ascii="Arial" w:eastAsia="Arial" w:hAnsi="Arial" w:cs="Arial"/>
          <w:sz w:val="20"/>
          <w:szCs w:val="20"/>
        </w:rPr>
        <w:t xml:space="preserve"> Testing Challenges for Persons in Populations at Low Risk or Without Known Epidemiologic Link to Monkeypox - United States, 2022. </w:t>
      </w:r>
      <w:r w:rsidRPr="00011EB4">
        <w:rPr>
          <w:rFonts w:ascii="Arial" w:eastAsia="Arial" w:hAnsi="Arial" w:cs="Arial"/>
          <w:i/>
          <w:sz w:val="20"/>
          <w:szCs w:val="20"/>
          <w:lang w:val="pt-BR"/>
        </w:rPr>
        <w:t>MMWR Morb Mortal Wkly Rep</w:t>
      </w:r>
      <w:r w:rsidRPr="00011EB4">
        <w:rPr>
          <w:rFonts w:ascii="Arial" w:eastAsia="Arial" w:hAnsi="Arial" w:cs="Arial"/>
          <w:sz w:val="20"/>
          <w:szCs w:val="20"/>
          <w:lang w:val="pt-BR"/>
        </w:rPr>
        <w:t>. 2022;71(36):1155-1158. doi:10.15585/mmwr.mm7136e1</w:t>
      </w:r>
    </w:p>
    <w:p w14:paraId="1218E14E"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29. Martins-Filho PR, Dorea FCM, Sena LOC, et al. </w:t>
      </w:r>
      <w:r>
        <w:rPr>
          <w:rFonts w:ascii="Arial" w:eastAsia="Arial" w:hAnsi="Arial" w:cs="Arial"/>
          <w:sz w:val="20"/>
          <w:szCs w:val="20"/>
        </w:rPr>
        <w:t xml:space="preserve">First reports of monkeypox and varicella-zoster virus coinfection in the global human monkeypox outbreak in 2022. </w:t>
      </w:r>
      <w:r>
        <w:rPr>
          <w:rFonts w:ascii="Arial" w:eastAsia="Arial" w:hAnsi="Arial" w:cs="Arial"/>
          <w:i/>
          <w:sz w:val="20"/>
          <w:szCs w:val="20"/>
        </w:rPr>
        <w:t>Travel Med Infect Dis</w:t>
      </w:r>
      <w:r>
        <w:rPr>
          <w:rFonts w:ascii="Arial" w:eastAsia="Arial" w:hAnsi="Arial" w:cs="Arial"/>
          <w:sz w:val="20"/>
          <w:szCs w:val="20"/>
        </w:rPr>
        <w:t xml:space="preserve">. </w:t>
      </w:r>
      <w:proofErr w:type="gramStart"/>
      <w:r>
        <w:rPr>
          <w:rFonts w:ascii="Arial" w:eastAsia="Arial" w:hAnsi="Arial" w:cs="Arial"/>
          <w:sz w:val="20"/>
          <w:szCs w:val="20"/>
        </w:rPr>
        <w:t>2023;51:102510</w:t>
      </w:r>
      <w:proofErr w:type="gramEnd"/>
      <w:r>
        <w:rPr>
          <w:rFonts w:ascii="Arial" w:eastAsia="Arial" w:hAnsi="Arial" w:cs="Arial"/>
          <w:sz w:val="20"/>
          <w:szCs w:val="20"/>
        </w:rPr>
        <w:t xml:space="preserve">. </w:t>
      </w:r>
      <w:proofErr w:type="gramStart"/>
      <w:r>
        <w:rPr>
          <w:rFonts w:ascii="Arial" w:eastAsia="Arial" w:hAnsi="Arial" w:cs="Arial"/>
          <w:sz w:val="20"/>
          <w:szCs w:val="20"/>
        </w:rPr>
        <w:t>doi:10.1016/j.tmaid</w:t>
      </w:r>
      <w:proofErr w:type="gramEnd"/>
      <w:r>
        <w:rPr>
          <w:rFonts w:ascii="Arial" w:eastAsia="Arial" w:hAnsi="Arial" w:cs="Arial"/>
          <w:sz w:val="20"/>
          <w:szCs w:val="20"/>
        </w:rPr>
        <w:t>.2022.102510</w:t>
      </w:r>
    </w:p>
    <w:p w14:paraId="5F88175E"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30. Maldonado MS, </w:t>
      </w:r>
      <w:proofErr w:type="spellStart"/>
      <w:r>
        <w:rPr>
          <w:rFonts w:ascii="Arial" w:eastAsia="Arial" w:hAnsi="Arial" w:cs="Arial"/>
          <w:sz w:val="20"/>
          <w:szCs w:val="20"/>
        </w:rPr>
        <w:t>Lucchetti</w:t>
      </w:r>
      <w:proofErr w:type="spellEnd"/>
      <w:r>
        <w:rPr>
          <w:rFonts w:ascii="Arial" w:eastAsia="Arial" w:hAnsi="Arial" w:cs="Arial"/>
          <w:sz w:val="20"/>
          <w:szCs w:val="20"/>
        </w:rPr>
        <w:t xml:space="preserve"> AJ, Pacheco RAP, et al. Epidemiologic </w:t>
      </w:r>
      <w:proofErr w:type="gramStart"/>
      <w:r>
        <w:rPr>
          <w:rFonts w:ascii="Arial" w:eastAsia="Arial" w:hAnsi="Arial" w:cs="Arial"/>
          <w:sz w:val="20"/>
          <w:szCs w:val="20"/>
        </w:rPr>
        <w:t>characteristics</w:t>
      </w:r>
      <w:proofErr w:type="gramEnd"/>
      <w:r>
        <w:rPr>
          <w:rFonts w:ascii="Arial" w:eastAsia="Arial" w:hAnsi="Arial" w:cs="Arial"/>
          <w:sz w:val="20"/>
          <w:szCs w:val="20"/>
        </w:rPr>
        <w:t xml:space="preserve"> and clinical features of patients with monkeypox virus infection from a hospital in Peru between July and September 2022. </w:t>
      </w:r>
      <w:r>
        <w:rPr>
          <w:rFonts w:ascii="Arial" w:eastAsia="Arial" w:hAnsi="Arial" w:cs="Arial"/>
          <w:i/>
          <w:sz w:val="20"/>
          <w:szCs w:val="20"/>
        </w:rPr>
        <w:t>International Journal of Infectious Diseases</w:t>
      </w:r>
      <w:r>
        <w:rPr>
          <w:rFonts w:ascii="Arial" w:eastAsia="Arial" w:hAnsi="Arial" w:cs="Arial"/>
          <w:sz w:val="20"/>
          <w:szCs w:val="20"/>
        </w:rPr>
        <w:t xml:space="preserve">. </w:t>
      </w:r>
      <w:proofErr w:type="gramStart"/>
      <w:r>
        <w:rPr>
          <w:rFonts w:ascii="Arial" w:eastAsia="Arial" w:hAnsi="Arial" w:cs="Arial"/>
          <w:sz w:val="20"/>
          <w:szCs w:val="20"/>
        </w:rPr>
        <w:t>2023;129:175</w:t>
      </w:r>
      <w:proofErr w:type="gramEnd"/>
      <w:r>
        <w:rPr>
          <w:rFonts w:ascii="Arial" w:eastAsia="Arial" w:hAnsi="Arial" w:cs="Arial"/>
          <w:sz w:val="20"/>
          <w:szCs w:val="20"/>
        </w:rPr>
        <w:t xml:space="preserve">-180. </w:t>
      </w:r>
      <w:proofErr w:type="gramStart"/>
      <w:r>
        <w:rPr>
          <w:rFonts w:ascii="Arial" w:eastAsia="Arial" w:hAnsi="Arial" w:cs="Arial"/>
          <w:sz w:val="20"/>
          <w:szCs w:val="20"/>
        </w:rPr>
        <w:t>doi:10.1016/j.ijid</w:t>
      </w:r>
      <w:proofErr w:type="gramEnd"/>
      <w:r>
        <w:rPr>
          <w:rFonts w:ascii="Arial" w:eastAsia="Arial" w:hAnsi="Arial" w:cs="Arial"/>
          <w:sz w:val="20"/>
          <w:szCs w:val="20"/>
        </w:rPr>
        <w:t>.2023.01.045</w:t>
      </w:r>
    </w:p>
    <w:p w14:paraId="02F56D89"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31. </w:t>
      </w:r>
      <w:proofErr w:type="spellStart"/>
      <w:r>
        <w:rPr>
          <w:rFonts w:ascii="Arial" w:eastAsia="Arial" w:hAnsi="Arial" w:cs="Arial"/>
          <w:sz w:val="20"/>
          <w:szCs w:val="20"/>
        </w:rPr>
        <w:t>Núñez</w:t>
      </w:r>
      <w:proofErr w:type="spellEnd"/>
      <w:r>
        <w:rPr>
          <w:rFonts w:ascii="Arial" w:eastAsia="Arial" w:hAnsi="Arial" w:cs="Arial"/>
          <w:sz w:val="20"/>
          <w:szCs w:val="20"/>
        </w:rPr>
        <w:t xml:space="preserve"> I, García-Grimshaw M, Ceballos-</w:t>
      </w:r>
      <w:proofErr w:type="spellStart"/>
      <w:r>
        <w:rPr>
          <w:rFonts w:ascii="Arial" w:eastAsia="Arial" w:hAnsi="Arial" w:cs="Arial"/>
          <w:sz w:val="20"/>
          <w:szCs w:val="20"/>
        </w:rPr>
        <w:t>Liceaga</w:t>
      </w:r>
      <w:proofErr w:type="spellEnd"/>
      <w:r>
        <w:rPr>
          <w:rFonts w:ascii="Arial" w:eastAsia="Arial" w:hAnsi="Arial" w:cs="Arial"/>
          <w:sz w:val="20"/>
          <w:szCs w:val="20"/>
        </w:rPr>
        <w:t xml:space="preserve"> SE, et al. Epidemiological and clinical characteristics of patients with human monkeypox infection in Mexico: a nationwide observational study. </w:t>
      </w:r>
      <w:r>
        <w:rPr>
          <w:rFonts w:ascii="Arial" w:eastAsia="Arial" w:hAnsi="Arial" w:cs="Arial"/>
          <w:i/>
          <w:sz w:val="20"/>
          <w:szCs w:val="20"/>
        </w:rPr>
        <w:t>Lancet Reg Health Am</w:t>
      </w:r>
      <w:r>
        <w:rPr>
          <w:rFonts w:ascii="Arial" w:eastAsia="Arial" w:hAnsi="Arial" w:cs="Arial"/>
          <w:sz w:val="20"/>
          <w:szCs w:val="20"/>
        </w:rPr>
        <w:t xml:space="preserve">. </w:t>
      </w:r>
      <w:proofErr w:type="gramStart"/>
      <w:r>
        <w:rPr>
          <w:rFonts w:ascii="Arial" w:eastAsia="Arial" w:hAnsi="Arial" w:cs="Arial"/>
          <w:sz w:val="20"/>
          <w:szCs w:val="20"/>
        </w:rPr>
        <w:t>2022;17:100392</w:t>
      </w:r>
      <w:proofErr w:type="gramEnd"/>
      <w:r>
        <w:rPr>
          <w:rFonts w:ascii="Arial" w:eastAsia="Arial" w:hAnsi="Arial" w:cs="Arial"/>
          <w:sz w:val="20"/>
          <w:szCs w:val="20"/>
        </w:rPr>
        <w:t xml:space="preserve">. </w:t>
      </w:r>
      <w:proofErr w:type="gramStart"/>
      <w:r>
        <w:rPr>
          <w:rFonts w:ascii="Arial" w:eastAsia="Arial" w:hAnsi="Arial" w:cs="Arial"/>
          <w:sz w:val="20"/>
          <w:szCs w:val="20"/>
        </w:rPr>
        <w:t>doi:10.1016/j.lana</w:t>
      </w:r>
      <w:proofErr w:type="gramEnd"/>
      <w:r>
        <w:rPr>
          <w:rFonts w:ascii="Arial" w:eastAsia="Arial" w:hAnsi="Arial" w:cs="Arial"/>
          <w:sz w:val="20"/>
          <w:szCs w:val="20"/>
        </w:rPr>
        <w:t>.2022.100392</w:t>
      </w:r>
    </w:p>
    <w:p w14:paraId="1C77C1F7"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32. Silva MST, Coutinho C, Torres TS, et al. Ambulatory and hospitalized patients with suspected and confirmed </w:t>
      </w:r>
      <w:proofErr w:type="spellStart"/>
      <w:r>
        <w:rPr>
          <w:rFonts w:ascii="Arial" w:eastAsia="Arial" w:hAnsi="Arial" w:cs="Arial"/>
          <w:sz w:val="20"/>
          <w:szCs w:val="20"/>
        </w:rPr>
        <w:t>mpox</w:t>
      </w:r>
      <w:proofErr w:type="spellEnd"/>
      <w:r>
        <w:rPr>
          <w:rFonts w:ascii="Arial" w:eastAsia="Arial" w:hAnsi="Arial" w:cs="Arial"/>
          <w:sz w:val="20"/>
          <w:szCs w:val="20"/>
        </w:rPr>
        <w:t xml:space="preserve">: An observational cohort study from Brazil. </w:t>
      </w:r>
      <w:r>
        <w:rPr>
          <w:rFonts w:ascii="Arial" w:eastAsia="Arial" w:hAnsi="Arial" w:cs="Arial"/>
          <w:i/>
          <w:sz w:val="20"/>
          <w:szCs w:val="20"/>
        </w:rPr>
        <w:t>The Lancet Regional Health - Americas</w:t>
      </w:r>
      <w:r>
        <w:rPr>
          <w:rFonts w:ascii="Arial" w:eastAsia="Arial" w:hAnsi="Arial" w:cs="Arial"/>
          <w:sz w:val="20"/>
          <w:szCs w:val="20"/>
        </w:rPr>
        <w:t xml:space="preserve">. Published online December 13, 2022:100406. </w:t>
      </w:r>
      <w:proofErr w:type="gramStart"/>
      <w:r>
        <w:rPr>
          <w:rFonts w:ascii="Arial" w:eastAsia="Arial" w:hAnsi="Arial" w:cs="Arial"/>
          <w:sz w:val="20"/>
          <w:szCs w:val="20"/>
        </w:rPr>
        <w:t>doi:10.1016/j.lana</w:t>
      </w:r>
      <w:proofErr w:type="gramEnd"/>
      <w:r>
        <w:rPr>
          <w:rFonts w:ascii="Arial" w:eastAsia="Arial" w:hAnsi="Arial" w:cs="Arial"/>
          <w:sz w:val="20"/>
          <w:szCs w:val="20"/>
        </w:rPr>
        <w:t>.2022.100406</w:t>
      </w:r>
    </w:p>
    <w:p w14:paraId="3958E61E" w14:textId="77777777" w:rsidR="003136B9" w:rsidRDefault="00000000">
      <w:pPr>
        <w:widowControl w:val="0"/>
        <w:pBdr>
          <w:top w:val="nil"/>
          <w:left w:val="nil"/>
          <w:bottom w:val="nil"/>
          <w:right w:val="nil"/>
          <w:between w:val="nil"/>
        </w:pBdr>
        <w:rPr>
          <w:rFonts w:ascii="Arial" w:eastAsia="Arial" w:hAnsi="Arial" w:cs="Arial"/>
          <w:sz w:val="20"/>
          <w:szCs w:val="20"/>
        </w:rPr>
      </w:pPr>
      <w:r w:rsidRPr="00011EB4">
        <w:rPr>
          <w:rFonts w:ascii="Arial" w:eastAsia="Arial" w:hAnsi="Arial" w:cs="Arial"/>
          <w:sz w:val="20"/>
          <w:szCs w:val="20"/>
          <w:lang w:val="pt-BR"/>
        </w:rPr>
        <w:t xml:space="preserve">33. Tarín-Vicente EJ, Alemany A, Agud-Dios M, et al. </w:t>
      </w:r>
      <w:r>
        <w:rPr>
          <w:rFonts w:ascii="Arial" w:eastAsia="Arial" w:hAnsi="Arial" w:cs="Arial"/>
          <w:sz w:val="20"/>
          <w:szCs w:val="20"/>
        </w:rPr>
        <w:t xml:space="preserve">Clinical presentation and virological assessment of confirmed human monkeypox virus cases in Spain: a prospective observational cohort study. </w:t>
      </w:r>
      <w:r>
        <w:rPr>
          <w:rFonts w:ascii="Arial" w:eastAsia="Arial" w:hAnsi="Arial" w:cs="Arial"/>
          <w:i/>
          <w:sz w:val="20"/>
          <w:szCs w:val="20"/>
        </w:rPr>
        <w:t>The Lancet</w:t>
      </w:r>
      <w:r>
        <w:rPr>
          <w:rFonts w:ascii="Arial" w:eastAsia="Arial" w:hAnsi="Arial" w:cs="Arial"/>
          <w:sz w:val="20"/>
          <w:szCs w:val="20"/>
        </w:rPr>
        <w:t>. 2022;400(10353):661-669. doi:10.1016/S0140-6736(22)01436-2</w:t>
      </w:r>
    </w:p>
    <w:p w14:paraId="2280DF06"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34. </w:t>
      </w:r>
      <w:proofErr w:type="spellStart"/>
      <w:r>
        <w:rPr>
          <w:rFonts w:ascii="Arial" w:eastAsia="Arial" w:hAnsi="Arial" w:cs="Arial"/>
          <w:sz w:val="20"/>
          <w:szCs w:val="20"/>
        </w:rPr>
        <w:t>Mitjà</w:t>
      </w:r>
      <w:proofErr w:type="spellEnd"/>
      <w:r>
        <w:rPr>
          <w:rFonts w:ascii="Arial" w:eastAsia="Arial" w:hAnsi="Arial" w:cs="Arial"/>
          <w:sz w:val="20"/>
          <w:szCs w:val="20"/>
        </w:rPr>
        <w:t xml:space="preserve"> O, </w:t>
      </w:r>
      <w:proofErr w:type="spellStart"/>
      <w:r>
        <w:rPr>
          <w:rFonts w:ascii="Arial" w:eastAsia="Arial" w:hAnsi="Arial" w:cs="Arial"/>
          <w:sz w:val="20"/>
          <w:szCs w:val="20"/>
        </w:rPr>
        <w:t>Alemany</w:t>
      </w:r>
      <w:proofErr w:type="spellEnd"/>
      <w:r>
        <w:rPr>
          <w:rFonts w:ascii="Arial" w:eastAsia="Arial" w:hAnsi="Arial" w:cs="Arial"/>
          <w:sz w:val="20"/>
          <w:szCs w:val="20"/>
        </w:rPr>
        <w:t xml:space="preserve"> A, Marks M, et al. </w:t>
      </w:r>
      <w:proofErr w:type="spellStart"/>
      <w:r>
        <w:rPr>
          <w:rFonts w:ascii="Arial" w:eastAsia="Arial" w:hAnsi="Arial" w:cs="Arial"/>
          <w:sz w:val="20"/>
          <w:szCs w:val="20"/>
        </w:rPr>
        <w:t>Mpox</w:t>
      </w:r>
      <w:proofErr w:type="spellEnd"/>
      <w:r>
        <w:rPr>
          <w:rFonts w:ascii="Arial" w:eastAsia="Arial" w:hAnsi="Arial" w:cs="Arial"/>
          <w:sz w:val="20"/>
          <w:szCs w:val="20"/>
        </w:rPr>
        <w:t xml:space="preserve"> in people with advanced HIV infection: a global case series. </w:t>
      </w:r>
      <w:r>
        <w:rPr>
          <w:rFonts w:ascii="Arial" w:eastAsia="Arial" w:hAnsi="Arial" w:cs="Arial"/>
          <w:i/>
          <w:sz w:val="20"/>
          <w:szCs w:val="20"/>
        </w:rPr>
        <w:t>Lancet</w:t>
      </w:r>
      <w:r>
        <w:rPr>
          <w:rFonts w:ascii="Arial" w:eastAsia="Arial" w:hAnsi="Arial" w:cs="Arial"/>
          <w:sz w:val="20"/>
          <w:szCs w:val="20"/>
        </w:rPr>
        <w:t>. 2023;401(10380):939-949. doi:10.1016/S0140-6736(23)00273-8</w:t>
      </w:r>
    </w:p>
    <w:p w14:paraId="44F89FA7"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35. </w:t>
      </w:r>
      <w:proofErr w:type="spellStart"/>
      <w:r>
        <w:rPr>
          <w:rFonts w:ascii="Arial" w:eastAsia="Arial" w:hAnsi="Arial" w:cs="Arial"/>
          <w:sz w:val="20"/>
          <w:szCs w:val="20"/>
        </w:rPr>
        <w:t>Núñez</w:t>
      </w:r>
      <w:proofErr w:type="spellEnd"/>
      <w:r>
        <w:rPr>
          <w:rFonts w:ascii="Arial" w:eastAsia="Arial" w:hAnsi="Arial" w:cs="Arial"/>
          <w:sz w:val="20"/>
          <w:szCs w:val="20"/>
        </w:rPr>
        <w:t xml:space="preserve"> I, Valdés-Ferrer SI. Fulminant </w:t>
      </w:r>
      <w:proofErr w:type="spellStart"/>
      <w:r>
        <w:rPr>
          <w:rFonts w:ascii="Arial" w:eastAsia="Arial" w:hAnsi="Arial" w:cs="Arial"/>
          <w:sz w:val="20"/>
          <w:szCs w:val="20"/>
        </w:rPr>
        <w:t>mpox</w:t>
      </w:r>
      <w:proofErr w:type="spellEnd"/>
      <w:r>
        <w:rPr>
          <w:rFonts w:ascii="Arial" w:eastAsia="Arial" w:hAnsi="Arial" w:cs="Arial"/>
          <w:sz w:val="20"/>
          <w:szCs w:val="20"/>
        </w:rPr>
        <w:t xml:space="preserve"> as an AIDS-defining condition: useful or </w:t>
      </w:r>
      <w:proofErr w:type="spellStart"/>
      <w:r>
        <w:rPr>
          <w:rFonts w:ascii="Arial" w:eastAsia="Arial" w:hAnsi="Arial" w:cs="Arial"/>
          <w:sz w:val="20"/>
          <w:szCs w:val="20"/>
        </w:rPr>
        <w:t>stigmatising</w:t>
      </w:r>
      <w:proofErr w:type="spellEnd"/>
      <w:r>
        <w:rPr>
          <w:rFonts w:ascii="Arial" w:eastAsia="Arial" w:hAnsi="Arial" w:cs="Arial"/>
          <w:sz w:val="20"/>
          <w:szCs w:val="20"/>
        </w:rPr>
        <w:t xml:space="preserve">? </w:t>
      </w:r>
      <w:r>
        <w:rPr>
          <w:rFonts w:ascii="Arial" w:eastAsia="Arial" w:hAnsi="Arial" w:cs="Arial"/>
          <w:i/>
          <w:sz w:val="20"/>
          <w:szCs w:val="20"/>
        </w:rPr>
        <w:t>The Lancet</w:t>
      </w:r>
      <w:r>
        <w:rPr>
          <w:rFonts w:ascii="Arial" w:eastAsia="Arial" w:hAnsi="Arial" w:cs="Arial"/>
          <w:sz w:val="20"/>
          <w:szCs w:val="20"/>
        </w:rPr>
        <w:t>. 2023;401(10380):881-884. doi:10.1016/S0140-6736(23)00333-1</w:t>
      </w:r>
    </w:p>
    <w:p w14:paraId="1111A589"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36. De </w:t>
      </w:r>
      <w:proofErr w:type="spellStart"/>
      <w:r>
        <w:rPr>
          <w:rFonts w:ascii="Arial" w:eastAsia="Arial" w:hAnsi="Arial" w:cs="Arial"/>
          <w:sz w:val="20"/>
          <w:szCs w:val="20"/>
        </w:rPr>
        <w:t>Baetselier</w:t>
      </w:r>
      <w:proofErr w:type="spellEnd"/>
      <w:r>
        <w:rPr>
          <w:rFonts w:ascii="Arial" w:eastAsia="Arial" w:hAnsi="Arial" w:cs="Arial"/>
          <w:sz w:val="20"/>
          <w:szCs w:val="20"/>
        </w:rPr>
        <w:t xml:space="preserve"> I, Van Dijck C, Kenyon C, et al. Retrospective detection of asymptomatic monkeypox virus infections among male sexual health clinic attendees in Belgium. </w:t>
      </w:r>
      <w:r>
        <w:rPr>
          <w:rFonts w:ascii="Arial" w:eastAsia="Arial" w:hAnsi="Arial" w:cs="Arial"/>
          <w:i/>
          <w:sz w:val="20"/>
          <w:szCs w:val="20"/>
        </w:rPr>
        <w:t>Nat Med</w:t>
      </w:r>
      <w:r>
        <w:rPr>
          <w:rFonts w:ascii="Arial" w:eastAsia="Arial" w:hAnsi="Arial" w:cs="Arial"/>
          <w:sz w:val="20"/>
          <w:szCs w:val="20"/>
        </w:rPr>
        <w:t>. 2022;28(11):2288-2292. doi:10.1038/s41591-022-02004-w</w:t>
      </w:r>
    </w:p>
    <w:p w14:paraId="6D082067"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37. </w:t>
      </w:r>
      <w:proofErr w:type="spellStart"/>
      <w:r>
        <w:rPr>
          <w:rFonts w:ascii="Arial" w:eastAsia="Arial" w:hAnsi="Arial" w:cs="Arial"/>
          <w:sz w:val="20"/>
          <w:szCs w:val="20"/>
        </w:rPr>
        <w:t>Girometti</w:t>
      </w:r>
      <w:proofErr w:type="spellEnd"/>
      <w:r>
        <w:rPr>
          <w:rFonts w:ascii="Arial" w:eastAsia="Arial" w:hAnsi="Arial" w:cs="Arial"/>
          <w:sz w:val="20"/>
          <w:szCs w:val="20"/>
        </w:rPr>
        <w:t xml:space="preserve"> N, Byrne R, </w:t>
      </w:r>
      <w:proofErr w:type="spellStart"/>
      <w:r>
        <w:rPr>
          <w:rFonts w:ascii="Arial" w:eastAsia="Arial" w:hAnsi="Arial" w:cs="Arial"/>
          <w:sz w:val="20"/>
          <w:szCs w:val="20"/>
        </w:rPr>
        <w:t>Bracchi</w:t>
      </w:r>
      <w:proofErr w:type="spellEnd"/>
      <w:r>
        <w:rPr>
          <w:rFonts w:ascii="Arial" w:eastAsia="Arial" w:hAnsi="Arial" w:cs="Arial"/>
          <w:sz w:val="20"/>
          <w:szCs w:val="20"/>
        </w:rPr>
        <w:t xml:space="preserve"> M, et al. Demographic and clinical characteristics of confirmed human monkeypox virus cases in individuals attending a sexual health </w:t>
      </w:r>
      <w:proofErr w:type="spellStart"/>
      <w:r>
        <w:rPr>
          <w:rFonts w:ascii="Arial" w:eastAsia="Arial" w:hAnsi="Arial" w:cs="Arial"/>
          <w:sz w:val="20"/>
          <w:szCs w:val="20"/>
        </w:rPr>
        <w:t>centre</w:t>
      </w:r>
      <w:proofErr w:type="spellEnd"/>
      <w:r>
        <w:rPr>
          <w:rFonts w:ascii="Arial" w:eastAsia="Arial" w:hAnsi="Arial" w:cs="Arial"/>
          <w:sz w:val="20"/>
          <w:szCs w:val="20"/>
        </w:rPr>
        <w:t xml:space="preserve"> in London, UK: an observational analysis. </w:t>
      </w:r>
      <w:r>
        <w:rPr>
          <w:rFonts w:ascii="Arial" w:eastAsia="Arial" w:hAnsi="Arial" w:cs="Arial"/>
          <w:i/>
          <w:sz w:val="20"/>
          <w:szCs w:val="20"/>
        </w:rPr>
        <w:t>The Lancet Infectious Diseases</w:t>
      </w:r>
      <w:r>
        <w:rPr>
          <w:rFonts w:ascii="Arial" w:eastAsia="Arial" w:hAnsi="Arial" w:cs="Arial"/>
          <w:sz w:val="20"/>
          <w:szCs w:val="20"/>
        </w:rPr>
        <w:t>. 2022;22(9):1321-1328. doi:10.1016/S1473-3099(22)00411-X</w:t>
      </w:r>
    </w:p>
    <w:p w14:paraId="6BD012FD"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38. </w:t>
      </w:r>
      <w:proofErr w:type="spellStart"/>
      <w:r>
        <w:rPr>
          <w:rFonts w:ascii="Arial" w:eastAsia="Arial" w:hAnsi="Arial" w:cs="Arial"/>
          <w:sz w:val="20"/>
          <w:szCs w:val="20"/>
        </w:rPr>
        <w:t>Cassir</w:t>
      </w:r>
      <w:proofErr w:type="spellEnd"/>
      <w:r>
        <w:rPr>
          <w:rFonts w:ascii="Arial" w:eastAsia="Arial" w:hAnsi="Arial" w:cs="Arial"/>
          <w:sz w:val="20"/>
          <w:szCs w:val="20"/>
        </w:rPr>
        <w:t xml:space="preserve"> N, Cardona F, Tissot-Dupont H, et al. Observational Cohort Study of Evolving Epidemiologic, Clinical, and Virologic Features of Monkeypox in Southern France - Volume 28, Number 12—December 2022 - Emerging Infectious Diseases journal - CDC. 2022;28. doi:10.3201/eid2812.221440</w:t>
      </w:r>
    </w:p>
    <w:p w14:paraId="2875729E"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39. </w:t>
      </w:r>
      <w:proofErr w:type="spellStart"/>
      <w:r>
        <w:rPr>
          <w:rFonts w:ascii="Arial" w:eastAsia="Arial" w:hAnsi="Arial" w:cs="Arial"/>
          <w:sz w:val="20"/>
          <w:szCs w:val="20"/>
        </w:rPr>
        <w:t>Mailhe</w:t>
      </w:r>
      <w:proofErr w:type="spellEnd"/>
      <w:r>
        <w:rPr>
          <w:rFonts w:ascii="Arial" w:eastAsia="Arial" w:hAnsi="Arial" w:cs="Arial"/>
          <w:sz w:val="20"/>
          <w:szCs w:val="20"/>
        </w:rPr>
        <w:t xml:space="preserve"> M, Beaumont AL, Thy M, et al. Clinical characteristics of ambulatory and hospitalized </w:t>
      </w:r>
      <w:r>
        <w:rPr>
          <w:rFonts w:ascii="Arial" w:eastAsia="Arial" w:hAnsi="Arial" w:cs="Arial"/>
          <w:sz w:val="20"/>
          <w:szCs w:val="20"/>
        </w:rPr>
        <w:lastRenderedPageBreak/>
        <w:t xml:space="preserve">patients with monkeypox virus infection: an observational cohort study. </w:t>
      </w:r>
      <w:r>
        <w:rPr>
          <w:rFonts w:ascii="Arial" w:eastAsia="Arial" w:hAnsi="Arial" w:cs="Arial"/>
          <w:i/>
          <w:sz w:val="20"/>
          <w:szCs w:val="20"/>
        </w:rPr>
        <w:t>Clinical Microbiology and Infection</w:t>
      </w:r>
      <w:r>
        <w:rPr>
          <w:rFonts w:ascii="Arial" w:eastAsia="Arial" w:hAnsi="Arial" w:cs="Arial"/>
          <w:sz w:val="20"/>
          <w:szCs w:val="20"/>
        </w:rPr>
        <w:t xml:space="preserve">. 2023;29(2):233-239. </w:t>
      </w:r>
      <w:proofErr w:type="gramStart"/>
      <w:r>
        <w:rPr>
          <w:rFonts w:ascii="Arial" w:eastAsia="Arial" w:hAnsi="Arial" w:cs="Arial"/>
          <w:sz w:val="20"/>
          <w:szCs w:val="20"/>
        </w:rPr>
        <w:t>doi:10.1016/j.cmi</w:t>
      </w:r>
      <w:proofErr w:type="gramEnd"/>
      <w:r>
        <w:rPr>
          <w:rFonts w:ascii="Arial" w:eastAsia="Arial" w:hAnsi="Arial" w:cs="Arial"/>
          <w:sz w:val="20"/>
          <w:szCs w:val="20"/>
        </w:rPr>
        <w:t>.2022.08.012</w:t>
      </w:r>
    </w:p>
    <w:p w14:paraId="3CBAD0DE"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40. Thornhill JP, </w:t>
      </w:r>
      <w:proofErr w:type="spellStart"/>
      <w:r>
        <w:rPr>
          <w:rFonts w:ascii="Arial" w:eastAsia="Arial" w:hAnsi="Arial" w:cs="Arial"/>
          <w:sz w:val="20"/>
          <w:szCs w:val="20"/>
        </w:rPr>
        <w:t>Palich</w:t>
      </w:r>
      <w:proofErr w:type="spellEnd"/>
      <w:r>
        <w:rPr>
          <w:rFonts w:ascii="Arial" w:eastAsia="Arial" w:hAnsi="Arial" w:cs="Arial"/>
          <w:sz w:val="20"/>
          <w:szCs w:val="20"/>
        </w:rPr>
        <w:t xml:space="preserve"> R, Ghosn J, et al. Human monkeypox virus infection in women and non-binary individuals during the 2022 outbreaks: a global case series. </w:t>
      </w:r>
      <w:r>
        <w:rPr>
          <w:rFonts w:ascii="Arial" w:eastAsia="Arial" w:hAnsi="Arial" w:cs="Arial"/>
          <w:i/>
          <w:sz w:val="20"/>
          <w:szCs w:val="20"/>
        </w:rPr>
        <w:t>The Lancet</w:t>
      </w:r>
      <w:r>
        <w:rPr>
          <w:rFonts w:ascii="Arial" w:eastAsia="Arial" w:hAnsi="Arial" w:cs="Arial"/>
          <w:sz w:val="20"/>
          <w:szCs w:val="20"/>
        </w:rPr>
        <w:t xml:space="preserve">. Published online November </w:t>
      </w:r>
      <w:proofErr w:type="gramStart"/>
      <w:r>
        <w:rPr>
          <w:rFonts w:ascii="Arial" w:eastAsia="Arial" w:hAnsi="Arial" w:cs="Arial"/>
          <w:sz w:val="20"/>
          <w:szCs w:val="20"/>
        </w:rPr>
        <w:t>2022:S</w:t>
      </w:r>
      <w:proofErr w:type="gramEnd"/>
      <w:r>
        <w:rPr>
          <w:rFonts w:ascii="Arial" w:eastAsia="Arial" w:hAnsi="Arial" w:cs="Arial"/>
          <w:sz w:val="20"/>
          <w:szCs w:val="20"/>
        </w:rPr>
        <w:t>0140673622021870. doi:10.1016/S0140-6736(22)02187-0</w:t>
      </w:r>
    </w:p>
    <w:p w14:paraId="65EBBAB3"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41. Vallejo-Plaza A, Rodríguez-Cabrera F, Hernando Sebastián V, et al. </w:t>
      </w:r>
      <w:proofErr w:type="spellStart"/>
      <w:r>
        <w:rPr>
          <w:rFonts w:ascii="Arial" w:eastAsia="Arial" w:hAnsi="Arial" w:cs="Arial"/>
          <w:sz w:val="20"/>
          <w:szCs w:val="20"/>
        </w:rPr>
        <w:t>Mpox</w:t>
      </w:r>
      <w:proofErr w:type="spellEnd"/>
      <w:r>
        <w:rPr>
          <w:rFonts w:ascii="Arial" w:eastAsia="Arial" w:hAnsi="Arial" w:cs="Arial"/>
          <w:sz w:val="20"/>
          <w:szCs w:val="20"/>
        </w:rPr>
        <w:t xml:space="preserve"> (formerly monkeypox) in women: epidemiological features and clinical characteristics of </w:t>
      </w:r>
      <w:proofErr w:type="spellStart"/>
      <w:r>
        <w:rPr>
          <w:rFonts w:ascii="Arial" w:eastAsia="Arial" w:hAnsi="Arial" w:cs="Arial"/>
          <w:sz w:val="20"/>
          <w:szCs w:val="20"/>
        </w:rPr>
        <w:t>mpox</w:t>
      </w:r>
      <w:proofErr w:type="spellEnd"/>
      <w:r>
        <w:rPr>
          <w:rFonts w:ascii="Arial" w:eastAsia="Arial" w:hAnsi="Arial" w:cs="Arial"/>
          <w:sz w:val="20"/>
          <w:szCs w:val="20"/>
        </w:rPr>
        <w:t xml:space="preserve"> cases in Spain, April to November 2022. </w:t>
      </w:r>
      <w:r>
        <w:rPr>
          <w:rFonts w:ascii="Arial" w:eastAsia="Arial" w:hAnsi="Arial" w:cs="Arial"/>
          <w:i/>
          <w:sz w:val="20"/>
          <w:szCs w:val="20"/>
        </w:rPr>
        <w:t xml:space="preserve">Euro </w:t>
      </w:r>
      <w:proofErr w:type="spellStart"/>
      <w:r>
        <w:rPr>
          <w:rFonts w:ascii="Arial" w:eastAsia="Arial" w:hAnsi="Arial" w:cs="Arial"/>
          <w:i/>
          <w:sz w:val="20"/>
          <w:szCs w:val="20"/>
        </w:rPr>
        <w:t>Surveill</w:t>
      </w:r>
      <w:proofErr w:type="spellEnd"/>
      <w:r>
        <w:rPr>
          <w:rFonts w:ascii="Arial" w:eastAsia="Arial" w:hAnsi="Arial" w:cs="Arial"/>
          <w:sz w:val="20"/>
          <w:szCs w:val="20"/>
        </w:rPr>
        <w:t>. 2022;27(48):2200867. doi:10.2807/1560-7917.ES.2022.27.48.2200867</w:t>
      </w:r>
    </w:p>
    <w:p w14:paraId="1F664E01"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42. Hoff NA, Morier DS, </w:t>
      </w:r>
      <w:proofErr w:type="spellStart"/>
      <w:r>
        <w:rPr>
          <w:rFonts w:ascii="Arial" w:eastAsia="Arial" w:hAnsi="Arial" w:cs="Arial"/>
          <w:sz w:val="20"/>
          <w:szCs w:val="20"/>
        </w:rPr>
        <w:t>Kisalu</w:t>
      </w:r>
      <w:proofErr w:type="spellEnd"/>
      <w:r>
        <w:rPr>
          <w:rFonts w:ascii="Arial" w:eastAsia="Arial" w:hAnsi="Arial" w:cs="Arial"/>
          <w:sz w:val="20"/>
          <w:szCs w:val="20"/>
        </w:rPr>
        <w:t xml:space="preserve"> NK, et al. Varicella Coinfection in Patients with Active Monkeypox in the Democratic Republic of the Congo. </w:t>
      </w:r>
      <w:proofErr w:type="spellStart"/>
      <w:r>
        <w:rPr>
          <w:rFonts w:ascii="Arial" w:eastAsia="Arial" w:hAnsi="Arial" w:cs="Arial"/>
          <w:i/>
          <w:sz w:val="20"/>
          <w:szCs w:val="20"/>
        </w:rPr>
        <w:t>EcoHealth</w:t>
      </w:r>
      <w:proofErr w:type="spellEnd"/>
      <w:r>
        <w:rPr>
          <w:rFonts w:ascii="Arial" w:eastAsia="Arial" w:hAnsi="Arial" w:cs="Arial"/>
          <w:sz w:val="20"/>
          <w:szCs w:val="20"/>
        </w:rPr>
        <w:t>. 2017;14(3):564-574. doi:10.1007/s10393-017-1266-5</w:t>
      </w:r>
    </w:p>
    <w:p w14:paraId="32CB4233"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43. </w:t>
      </w:r>
      <w:proofErr w:type="spellStart"/>
      <w:r>
        <w:rPr>
          <w:rFonts w:ascii="Arial" w:eastAsia="Arial" w:hAnsi="Arial" w:cs="Arial"/>
          <w:sz w:val="20"/>
          <w:szCs w:val="20"/>
        </w:rPr>
        <w:t>Jezek</w:t>
      </w:r>
      <w:proofErr w:type="spellEnd"/>
      <w:r>
        <w:rPr>
          <w:rFonts w:ascii="Arial" w:eastAsia="Arial" w:hAnsi="Arial" w:cs="Arial"/>
          <w:sz w:val="20"/>
          <w:szCs w:val="20"/>
        </w:rPr>
        <w:t xml:space="preserve"> Z, </w:t>
      </w:r>
      <w:proofErr w:type="spellStart"/>
      <w:r>
        <w:rPr>
          <w:rFonts w:ascii="Arial" w:eastAsia="Arial" w:hAnsi="Arial" w:cs="Arial"/>
          <w:sz w:val="20"/>
          <w:szCs w:val="20"/>
        </w:rPr>
        <w:t>Szczeniowski</w:t>
      </w:r>
      <w:proofErr w:type="spellEnd"/>
      <w:r>
        <w:rPr>
          <w:rFonts w:ascii="Arial" w:eastAsia="Arial" w:hAnsi="Arial" w:cs="Arial"/>
          <w:sz w:val="20"/>
          <w:szCs w:val="20"/>
        </w:rPr>
        <w:t xml:space="preserve"> M, </w:t>
      </w:r>
      <w:proofErr w:type="spellStart"/>
      <w:r>
        <w:rPr>
          <w:rFonts w:ascii="Arial" w:eastAsia="Arial" w:hAnsi="Arial" w:cs="Arial"/>
          <w:sz w:val="20"/>
          <w:szCs w:val="20"/>
        </w:rPr>
        <w:t>Paluku</w:t>
      </w:r>
      <w:proofErr w:type="spellEnd"/>
      <w:r>
        <w:rPr>
          <w:rFonts w:ascii="Arial" w:eastAsia="Arial" w:hAnsi="Arial" w:cs="Arial"/>
          <w:sz w:val="20"/>
          <w:szCs w:val="20"/>
        </w:rPr>
        <w:t xml:space="preserve"> KM, Mutombo M. Human monkeypox: clinical features of 282 patients. </w:t>
      </w:r>
      <w:r>
        <w:rPr>
          <w:rFonts w:ascii="Arial" w:eastAsia="Arial" w:hAnsi="Arial" w:cs="Arial"/>
          <w:i/>
          <w:sz w:val="20"/>
          <w:szCs w:val="20"/>
        </w:rPr>
        <w:t>J Infect Dis</w:t>
      </w:r>
      <w:r>
        <w:rPr>
          <w:rFonts w:ascii="Arial" w:eastAsia="Arial" w:hAnsi="Arial" w:cs="Arial"/>
          <w:sz w:val="20"/>
          <w:szCs w:val="20"/>
        </w:rPr>
        <w:t>. 1987;156(2):293-298. doi:10.1093/</w:t>
      </w:r>
      <w:proofErr w:type="spellStart"/>
      <w:r>
        <w:rPr>
          <w:rFonts w:ascii="Arial" w:eastAsia="Arial" w:hAnsi="Arial" w:cs="Arial"/>
          <w:sz w:val="20"/>
          <w:szCs w:val="20"/>
        </w:rPr>
        <w:t>infdis</w:t>
      </w:r>
      <w:proofErr w:type="spellEnd"/>
      <w:r>
        <w:rPr>
          <w:rFonts w:ascii="Arial" w:eastAsia="Arial" w:hAnsi="Arial" w:cs="Arial"/>
          <w:sz w:val="20"/>
          <w:szCs w:val="20"/>
        </w:rPr>
        <w:t>/156.2.293</w:t>
      </w:r>
    </w:p>
    <w:p w14:paraId="3AB75D18"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44. </w:t>
      </w:r>
      <w:proofErr w:type="spellStart"/>
      <w:r>
        <w:rPr>
          <w:rFonts w:ascii="Arial" w:eastAsia="Arial" w:hAnsi="Arial" w:cs="Arial"/>
          <w:sz w:val="20"/>
          <w:szCs w:val="20"/>
        </w:rPr>
        <w:t>Rimoin</w:t>
      </w:r>
      <w:proofErr w:type="spellEnd"/>
      <w:r>
        <w:rPr>
          <w:rFonts w:ascii="Arial" w:eastAsia="Arial" w:hAnsi="Arial" w:cs="Arial"/>
          <w:sz w:val="20"/>
          <w:szCs w:val="20"/>
        </w:rPr>
        <w:t xml:space="preserve"> AW, </w:t>
      </w:r>
      <w:proofErr w:type="spellStart"/>
      <w:r>
        <w:rPr>
          <w:rFonts w:ascii="Arial" w:eastAsia="Arial" w:hAnsi="Arial" w:cs="Arial"/>
          <w:sz w:val="20"/>
          <w:szCs w:val="20"/>
        </w:rPr>
        <w:t>Mulembakani</w:t>
      </w:r>
      <w:proofErr w:type="spellEnd"/>
      <w:r>
        <w:rPr>
          <w:rFonts w:ascii="Arial" w:eastAsia="Arial" w:hAnsi="Arial" w:cs="Arial"/>
          <w:sz w:val="20"/>
          <w:szCs w:val="20"/>
        </w:rPr>
        <w:t xml:space="preserve"> PM, Johnston SC, et al. Major increase in human monkeypox incidence 30 years after smallpox vaccination campaigns cease in the Democratic Republic of Congo. </w:t>
      </w:r>
      <w:r>
        <w:rPr>
          <w:rFonts w:ascii="Arial" w:eastAsia="Arial" w:hAnsi="Arial" w:cs="Arial"/>
          <w:i/>
          <w:sz w:val="20"/>
          <w:szCs w:val="20"/>
        </w:rPr>
        <w:t xml:space="preserve">Proc Natl </w:t>
      </w:r>
      <w:proofErr w:type="spellStart"/>
      <w:r>
        <w:rPr>
          <w:rFonts w:ascii="Arial" w:eastAsia="Arial" w:hAnsi="Arial" w:cs="Arial"/>
          <w:i/>
          <w:sz w:val="20"/>
          <w:szCs w:val="20"/>
        </w:rPr>
        <w:t>Acad</w:t>
      </w:r>
      <w:proofErr w:type="spellEnd"/>
      <w:r>
        <w:rPr>
          <w:rFonts w:ascii="Arial" w:eastAsia="Arial" w:hAnsi="Arial" w:cs="Arial"/>
          <w:i/>
          <w:sz w:val="20"/>
          <w:szCs w:val="20"/>
        </w:rPr>
        <w:t xml:space="preserve"> Sci USA</w:t>
      </w:r>
      <w:r>
        <w:rPr>
          <w:rFonts w:ascii="Arial" w:eastAsia="Arial" w:hAnsi="Arial" w:cs="Arial"/>
          <w:sz w:val="20"/>
          <w:szCs w:val="20"/>
        </w:rPr>
        <w:t>. 2010;107(37):16262-16267. doi:10.1073/pnas.1005769107</w:t>
      </w:r>
    </w:p>
    <w:p w14:paraId="277B2EE6"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45. Reynolds MG, Davidson WB, </w:t>
      </w:r>
      <w:proofErr w:type="spellStart"/>
      <w:r>
        <w:rPr>
          <w:rFonts w:ascii="Arial" w:eastAsia="Arial" w:hAnsi="Arial" w:cs="Arial"/>
          <w:sz w:val="20"/>
          <w:szCs w:val="20"/>
        </w:rPr>
        <w:t>Curns</w:t>
      </w:r>
      <w:proofErr w:type="spellEnd"/>
      <w:r>
        <w:rPr>
          <w:rFonts w:ascii="Arial" w:eastAsia="Arial" w:hAnsi="Arial" w:cs="Arial"/>
          <w:sz w:val="20"/>
          <w:szCs w:val="20"/>
        </w:rPr>
        <w:t xml:space="preserve"> AT, et al. Spectrum of Infection and Risk Factors for Human Monkeypox, United States, 2003. </w:t>
      </w:r>
      <w:proofErr w:type="spellStart"/>
      <w:r>
        <w:rPr>
          <w:rFonts w:ascii="Arial" w:eastAsia="Arial" w:hAnsi="Arial" w:cs="Arial"/>
          <w:i/>
          <w:sz w:val="20"/>
          <w:szCs w:val="20"/>
        </w:rPr>
        <w:t>Emerg</w:t>
      </w:r>
      <w:proofErr w:type="spellEnd"/>
      <w:r>
        <w:rPr>
          <w:rFonts w:ascii="Arial" w:eastAsia="Arial" w:hAnsi="Arial" w:cs="Arial"/>
          <w:i/>
          <w:sz w:val="20"/>
          <w:szCs w:val="20"/>
        </w:rPr>
        <w:t xml:space="preserve"> Infect Dis</w:t>
      </w:r>
      <w:r>
        <w:rPr>
          <w:rFonts w:ascii="Arial" w:eastAsia="Arial" w:hAnsi="Arial" w:cs="Arial"/>
          <w:sz w:val="20"/>
          <w:szCs w:val="20"/>
        </w:rPr>
        <w:t>. 2007;13(9):1332-1339. doi:10.3201/eid1309.070175</w:t>
      </w:r>
    </w:p>
    <w:p w14:paraId="3BC2E47A"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46. </w:t>
      </w:r>
      <w:proofErr w:type="spellStart"/>
      <w:r>
        <w:rPr>
          <w:rFonts w:ascii="Arial" w:eastAsia="Arial" w:hAnsi="Arial" w:cs="Arial"/>
          <w:sz w:val="20"/>
          <w:szCs w:val="20"/>
        </w:rPr>
        <w:t>Hennessee</w:t>
      </w:r>
      <w:proofErr w:type="spellEnd"/>
      <w:r>
        <w:rPr>
          <w:rFonts w:ascii="Arial" w:eastAsia="Arial" w:hAnsi="Arial" w:cs="Arial"/>
          <w:sz w:val="20"/>
          <w:szCs w:val="20"/>
        </w:rPr>
        <w:t xml:space="preserve"> I. Epidemiologic and Clinical Features of Children and Adolescents Aged 18 Years with Monkeypox — United States, May 17–September 24, 2022. </w:t>
      </w:r>
      <w:r>
        <w:rPr>
          <w:rFonts w:ascii="Arial" w:eastAsia="Arial" w:hAnsi="Arial" w:cs="Arial"/>
          <w:i/>
          <w:sz w:val="20"/>
          <w:szCs w:val="20"/>
        </w:rPr>
        <w:t xml:space="preserve">MMWR </w:t>
      </w:r>
      <w:proofErr w:type="spellStart"/>
      <w:r>
        <w:rPr>
          <w:rFonts w:ascii="Arial" w:eastAsia="Arial" w:hAnsi="Arial" w:cs="Arial"/>
          <w:i/>
          <w:sz w:val="20"/>
          <w:szCs w:val="20"/>
        </w:rPr>
        <w:t>Morb</w:t>
      </w:r>
      <w:proofErr w:type="spellEnd"/>
      <w:r>
        <w:rPr>
          <w:rFonts w:ascii="Arial" w:eastAsia="Arial" w:hAnsi="Arial" w:cs="Arial"/>
          <w:i/>
          <w:sz w:val="20"/>
          <w:szCs w:val="20"/>
        </w:rPr>
        <w:t xml:space="preserve"> Mortal </w:t>
      </w:r>
      <w:proofErr w:type="spellStart"/>
      <w:r>
        <w:rPr>
          <w:rFonts w:ascii="Arial" w:eastAsia="Arial" w:hAnsi="Arial" w:cs="Arial"/>
          <w:i/>
          <w:sz w:val="20"/>
          <w:szCs w:val="20"/>
        </w:rPr>
        <w:t>Wkly</w:t>
      </w:r>
      <w:proofErr w:type="spellEnd"/>
      <w:r>
        <w:rPr>
          <w:rFonts w:ascii="Arial" w:eastAsia="Arial" w:hAnsi="Arial" w:cs="Arial"/>
          <w:i/>
          <w:sz w:val="20"/>
          <w:szCs w:val="20"/>
        </w:rPr>
        <w:t xml:space="preserve"> Rep</w:t>
      </w:r>
      <w:r>
        <w:rPr>
          <w:rFonts w:ascii="Arial" w:eastAsia="Arial" w:hAnsi="Arial" w:cs="Arial"/>
          <w:sz w:val="20"/>
          <w:szCs w:val="20"/>
        </w:rPr>
        <w:t>. 2022;71. doi:10.15585/mmwr.mm7144a4</w:t>
      </w:r>
    </w:p>
    <w:p w14:paraId="3EC3FBA1"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47. Hughes CM, Liu L, Davidson WB, et al. A Tale of Two Viruses: Coinfections of Monkeypox and Varicella Zoster Virus in the Democratic Republic of Congo. </w:t>
      </w:r>
      <w:r>
        <w:rPr>
          <w:rFonts w:ascii="Arial" w:eastAsia="Arial" w:hAnsi="Arial" w:cs="Arial"/>
          <w:i/>
          <w:sz w:val="20"/>
          <w:szCs w:val="20"/>
        </w:rPr>
        <w:t xml:space="preserve">Am J Trop Med </w:t>
      </w:r>
      <w:proofErr w:type="spellStart"/>
      <w:r>
        <w:rPr>
          <w:rFonts w:ascii="Arial" w:eastAsia="Arial" w:hAnsi="Arial" w:cs="Arial"/>
          <w:i/>
          <w:sz w:val="20"/>
          <w:szCs w:val="20"/>
        </w:rPr>
        <w:t>Hyg</w:t>
      </w:r>
      <w:proofErr w:type="spellEnd"/>
      <w:r>
        <w:rPr>
          <w:rFonts w:ascii="Arial" w:eastAsia="Arial" w:hAnsi="Arial" w:cs="Arial"/>
          <w:sz w:val="20"/>
          <w:szCs w:val="20"/>
        </w:rPr>
        <w:t>. 2020;104(2):604-611. doi:10.4269/ajtmh.20-0589</w:t>
      </w:r>
    </w:p>
    <w:p w14:paraId="7F992B1F"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48. </w:t>
      </w:r>
      <w:proofErr w:type="spellStart"/>
      <w:r>
        <w:rPr>
          <w:rFonts w:ascii="Arial" w:eastAsia="Arial" w:hAnsi="Arial" w:cs="Arial"/>
          <w:sz w:val="20"/>
          <w:szCs w:val="20"/>
        </w:rPr>
        <w:t>Khallafallah</w:t>
      </w:r>
      <w:proofErr w:type="spellEnd"/>
      <w:r>
        <w:rPr>
          <w:rFonts w:ascii="Arial" w:eastAsia="Arial" w:hAnsi="Arial" w:cs="Arial"/>
          <w:sz w:val="20"/>
          <w:szCs w:val="20"/>
        </w:rPr>
        <w:t xml:space="preserve"> O, Grose C. Reassessment of Evidence about Coinfection of Chickenpox and Monkeypox (</w:t>
      </w:r>
      <w:proofErr w:type="spellStart"/>
      <w:r>
        <w:rPr>
          <w:rFonts w:ascii="Arial" w:eastAsia="Arial" w:hAnsi="Arial" w:cs="Arial"/>
          <w:sz w:val="20"/>
          <w:szCs w:val="20"/>
        </w:rPr>
        <w:t>Mpox</w:t>
      </w:r>
      <w:proofErr w:type="spellEnd"/>
      <w:r>
        <w:rPr>
          <w:rFonts w:ascii="Arial" w:eastAsia="Arial" w:hAnsi="Arial" w:cs="Arial"/>
          <w:sz w:val="20"/>
          <w:szCs w:val="20"/>
        </w:rPr>
        <w:t xml:space="preserve">) in African Children. </w:t>
      </w:r>
      <w:r>
        <w:rPr>
          <w:rFonts w:ascii="Arial" w:eastAsia="Arial" w:hAnsi="Arial" w:cs="Arial"/>
          <w:i/>
          <w:sz w:val="20"/>
          <w:szCs w:val="20"/>
        </w:rPr>
        <w:t>Viruses</w:t>
      </w:r>
      <w:r>
        <w:rPr>
          <w:rFonts w:ascii="Arial" w:eastAsia="Arial" w:hAnsi="Arial" w:cs="Arial"/>
          <w:sz w:val="20"/>
          <w:szCs w:val="20"/>
        </w:rPr>
        <w:t>. 2022;14(12):2800. doi:10.3390/v14122800</w:t>
      </w:r>
    </w:p>
    <w:p w14:paraId="32184A16"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49. Leung J, McCollum AM, Radford K, et al. Varicella in </w:t>
      </w:r>
      <w:proofErr w:type="spellStart"/>
      <w:r>
        <w:rPr>
          <w:rFonts w:ascii="Arial" w:eastAsia="Arial" w:hAnsi="Arial" w:cs="Arial"/>
          <w:sz w:val="20"/>
          <w:szCs w:val="20"/>
        </w:rPr>
        <w:t>Tshuapa</w:t>
      </w:r>
      <w:proofErr w:type="spellEnd"/>
      <w:r>
        <w:rPr>
          <w:rFonts w:ascii="Arial" w:eastAsia="Arial" w:hAnsi="Arial" w:cs="Arial"/>
          <w:sz w:val="20"/>
          <w:szCs w:val="20"/>
        </w:rPr>
        <w:t xml:space="preserve"> Province, Democratic Republic of Congo, 2009–2014. </w:t>
      </w:r>
      <w:r>
        <w:rPr>
          <w:rFonts w:ascii="Arial" w:eastAsia="Arial" w:hAnsi="Arial" w:cs="Arial"/>
          <w:i/>
          <w:sz w:val="20"/>
          <w:szCs w:val="20"/>
        </w:rPr>
        <w:t>Tropical Medicine &amp; International Health</w:t>
      </w:r>
      <w:r>
        <w:rPr>
          <w:rFonts w:ascii="Arial" w:eastAsia="Arial" w:hAnsi="Arial" w:cs="Arial"/>
          <w:sz w:val="20"/>
          <w:szCs w:val="20"/>
        </w:rPr>
        <w:t>. 2019;24(7):839-848. doi:10.1111/tmi.13243</w:t>
      </w:r>
    </w:p>
    <w:p w14:paraId="68DEF133" w14:textId="77777777" w:rsidR="003136B9" w:rsidRDefault="00000000">
      <w:pPr>
        <w:widowControl w:val="0"/>
        <w:pBdr>
          <w:top w:val="nil"/>
          <w:left w:val="nil"/>
          <w:bottom w:val="nil"/>
          <w:right w:val="nil"/>
          <w:between w:val="nil"/>
        </w:pBdr>
        <w:rPr>
          <w:rFonts w:ascii="Arial" w:eastAsia="Arial" w:hAnsi="Arial" w:cs="Arial"/>
          <w:sz w:val="20"/>
          <w:szCs w:val="20"/>
        </w:rPr>
      </w:pPr>
      <w:r>
        <w:rPr>
          <w:rFonts w:ascii="Arial" w:eastAsia="Arial" w:hAnsi="Arial" w:cs="Arial"/>
          <w:sz w:val="20"/>
          <w:szCs w:val="20"/>
        </w:rPr>
        <w:t xml:space="preserve">50. Adler H, Gould S, Hine P, et al. Clinical </w:t>
      </w:r>
      <w:proofErr w:type="gramStart"/>
      <w:r>
        <w:rPr>
          <w:rFonts w:ascii="Arial" w:eastAsia="Arial" w:hAnsi="Arial" w:cs="Arial"/>
          <w:sz w:val="20"/>
          <w:szCs w:val="20"/>
        </w:rPr>
        <w:t>features</w:t>
      </w:r>
      <w:proofErr w:type="gramEnd"/>
      <w:r>
        <w:rPr>
          <w:rFonts w:ascii="Arial" w:eastAsia="Arial" w:hAnsi="Arial" w:cs="Arial"/>
          <w:sz w:val="20"/>
          <w:szCs w:val="20"/>
        </w:rPr>
        <w:t xml:space="preserve"> and management of human monkeypox: a retrospective observational study in the UK. </w:t>
      </w:r>
      <w:r>
        <w:rPr>
          <w:rFonts w:ascii="Arial" w:eastAsia="Arial" w:hAnsi="Arial" w:cs="Arial"/>
          <w:i/>
          <w:sz w:val="20"/>
          <w:szCs w:val="20"/>
        </w:rPr>
        <w:t>The Lancet Infectious Diseases</w:t>
      </w:r>
      <w:r>
        <w:rPr>
          <w:rFonts w:ascii="Arial" w:eastAsia="Arial" w:hAnsi="Arial" w:cs="Arial"/>
          <w:sz w:val="20"/>
          <w:szCs w:val="20"/>
        </w:rPr>
        <w:t>. 2022;22(8):1153-1162. doi:10.1016/S1473-3099(22)00228-6</w:t>
      </w:r>
    </w:p>
    <w:p w14:paraId="4BD82F1B" w14:textId="77777777" w:rsidR="003136B9" w:rsidRDefault="003136B9">
      <w:pPr>
        <w:widowControl w:val="0"/>
        <w:pBdr>
          <w:top w:val="nil"/>
          <w:left w:val="nil"/>
          <w:bottom w:val="nil"/>
          <w:right w:val="nil"/>
          <w:between w:val="nil"/>
        </w:pBdr>
        <w:rPr>
          <w:rFonts w:ascii="Arial" w:eastAsia="Arial" w:hAnsi="Arial" w:cs="Arial"/>
          <w:sz w:val="20"/>
          <w:szCs w:val="20"/>
        </w:rPr>
        <w:sectPr w:rsidR="003136B9" w:rsidSect="00C47A3D">
          <w:type w:val="continuous"/>
          <w:pgSz w:w="11909" w:h="16834"/>
          <w:pgMar w:top="1440" w:right="1440" w:bottom="1440" w:left="1771" w:header="720" w:footer="720" w:gutter="0"/>
          <w:cols w:space="720"/>
        </w:sectPr>
      </w:pPr>
    </w:p>
    <w:p w14:paraId="3F940922" w14:textId="77777777" w:rsidR="003136B9" w:rsidRDefault="00000000">
      <w:pPr>
        <w:rPr>
          <w:rFonts w:ascii="Arial" w:eastAsia="Arial" w:hAnsi="Arial" w:cs="Arial"/>
          <w:b/>
          <w:color w:val="000000"/>
          <w:sz w:val="40"/>
          <w:szCs w:val="40"/>
        </w:rPr>
      </w:pPr>
      <w:r>
        <w:br w:type="page"/>
      </w:r>
    </w:p>
    <w:p w14:paraId="2D2F2D87" w14:textId="77777777" w:rsidR="003136B9" w:rsidRDefault="00000000">
      <w:pPr>
        <w:pStyle w:val="Ttulo1"/>
      </w:pPr>
      <w:r>
        <w:rPr>
          <w:b/>
          <w:color w:val="000000"/>
        </w:rPr>
        <w:lastRenderedPageBreak/>
        <w:t>7. FIGURES AND DATA</w:t>
      </w:r>
    </w:p>
    <w:p w14:paraId="05F25529" w14:textId="77777777" w:rsidR="003136B9" w:rsidRDefault="00000000">
      <w:pPr>
        <w:pStyle w:val="Ttulo2"/>
        <w:spacing w:before="220" w:after="460"/>
      </w:pPr>
      <w:bookmarkStart w:id="17" w:name="_1ksv4uv" w:colFirst="0" w:colLast="0"/>
      <w:bookmarkEnd w:id="17"/>
      <w:r>
        <w:t>Figure 1</w:t>
      </w:r>
    </w:p>
    <w:p w14:paraId="3CB9B374" w14:textId="77777777" w:rsidR="003136B9" w:rsidRDefault="00000000">
      <w:pPr>
        <w:spacing w:before="220" w:after="460"/>
        <w:jc w:val="both"/>
        <w:rPr>
          <w:rFonts w:ascii="Arial" w:eastAsia="Arial" w:hAnsi="Arial" w:cs="Arial"/>
        </w:rPr>
      </w:pPr>
      <w:r>
        <w:rPr>
          <w:rFonts w:ascii="Arial" w:eastAsia="Arial" w:hAnsi="Arial" w:cs="Arial"/>
          <w:b/>
        </w:rPr>
        <w:t>Figure 1.</w:t>
      </w:r>
      <w:r>
        <w:rPr>
          <w:rFonts w:ascii="Arial" w:eastAsia="Arial" w:hAnsi="Arial" w:cs="Arial"/>
        </w:rPr>
        <w:t xml:space="preserve"> Demographic and temporal distribution of </w:t>
      </w:r>
      <w:proofErr w:type="spellStart"/>
      <w:r>
        <w:rPr>
          <w:rFonts w:ascii="Arial" w:eastAsia="Arial" w:hAnsi="Arial" w:cs="Arial"/>
        </w:rPr>
        <w:t>mpox</w:t>
      </w:r>
      <w:proofErr w:type="spellEnd"/>
      <w:r>
        <w:rPr>
          <w:rFonts w:ascii="Arial" w:eastAsia="Arial" w:hAnsi="Arial" w:cs="Arial"/>
        </w:rPr>
        <w:t xml:space="preserve">-confirmed cases by MPXV-PCR in Rio de Janeiro (RJ), Brazil, diagnosed at NEEDIER from June 04th, 2022, to December 31st, 2022. </w:t>
      </w:r>
      <w:proofErr w:type="gramStart"/>
      <w:r>
        <w:rPr>
          <w:rFonts w:ascii="Arial" w:eastAsia="Arial" w:hAnsi="Arial" w:cs="Arial"/>
          <w:b/>
        </w:rPr>
        <w:t>A</w:t>
      </w:r>
      <w:r>
        <w:rPr>
          <w:rFonts w:ascii="Arial" w:eastAsia="Arial" w:hAnsi="Arial" w:cs="Arial"/>
        </w:rPr>
        <w:t>,</w:t>
      </w:r>
      <w:proofErr w:type="gramEnd"/>
      <w:r>
        <w:rPr>
          <w:rFonts w:ascii="Arial" w:eastAsia="Arial" w:hAnsi="Arial" w:cs="Arial"/>
        </w:rPr>
        <w:t xml:space="preserve"> </w:t>
      </w:r>
      <w:proofErr w:type="spellStart"/>
      <w:r>
        <w:rPr>
          <w:rFonts w:ascii="Arial" w:eastAsia="Arial" w:hAnsi="Arial" w:cs="Arial"/>
        </w:rPr>
        <w:t>mpox</w:t>
      </w:r>
      <w:proofErr w:type="spellEnd"/>
      <w:r>
        <w:rPr>
          <w:rFonts w:ascii="Arial" w:eastAsia="Arial" w:hAnsi="Arial" w:cs="Arial"/>
        </w:rPr>
        <w:t xml:space="preserve">-confirmed cases (log scale) in RJ State, showing the highest incidence in Rio de Janeiro City. </w:t>
      </w:r>
      <w:r>
        <w:rPr>
          <w:rFonts w:ascii="Arial" w:eastAsia="Arial" w:hAnsi="Arial" w:cs="Arial"/>
          <w:b/>
        </w:rPr>
        <w:t>B</w:t>
      </w:r>
      <w:r>
        <w:rPr>
          <w:rFonts w:ascii="Arial" w:eastAsia="Arial" w:hAnsi="Arial" w:cs="Arial"/>
        </w:rPr>
        <w:t xml:space="preserve">, </w:t>
      </w:r>
      <w:proofErr w:type="spellStart"/>
      <w:r>
        <w:rPr>
          <w:rFonts w:ascii="Arial" w:eastAsia="Arial" w:hAnsi="Arial" w:cs="Arial"/>
        </w:rPr>
        <w:t>mpox</w:t>
      </w:r>
      <w:proofErr w:type="spellEnd"/>
      <w:r>
        <w:rPr>
          <w:rFonts w:ascii="Arial" w:eastAsia="Arial" w:hAnsi="Arial" w:cs="Arial"/>
        </w:rPr>
        <w:t xml:space="preserve">-confirmed cases (log scale) within the city of Rio de Janeiro. </w:t>
      </w:r>
      <w:r>
        <w:rPr>
          <w:rFonts w:ascii="Arial" w:eastAsia="Arial" w:hAnsi="Arial" w:cs="Arial"/>
          <w:b/>
        </w:rPr>
        <w:t>C</w:t>
      </w:r>
      <w:r>
        <w:rPr>
          <w:rFonts w:ascii="Arial" w:eastAsia="Arial" w:hAnsi="Arial" w:cs="Arial"/>
        </w:rPr>
        <w:t>, number of positive MPXV-PCR in RJ State from June to December 2022, daily (blue bars) and seven-day rolling average (black line).</w:t>
      </w:r>
    </w:p>
    <w:p w14:paraId="3B262D67" w14:textId="77777777" w:rsidR="003136B9" w:rsidRDefault="00000000">
      <w:pPr>
        <w:spacing w:before="220" w:after="460"/>
        <w:ind w:hanging="708"/>
      </w:pPr>
      <w:r>
        <w:rPr>
          <w:noProof/>
        </w:rPr>
        <w:drawing>
          <wp:inline distT="114300" distB="114300" distL="114300" distR="114300" wp14:anchorId="7D7962A4" wp14:editId="34CA2205">
            <wp:extent cx="6217200" cy="3488946"/>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9"/>
                    <a:srcRect/>
                    <a:stretch>
                      <a:fillRect/>
                    </a:stretch>
                  </pic:blipFill>
                  <pic:spPr>
                    <a:xfrm>
                      <a:off x="0" y="0"/>
                      <a:ext cx="6217200" cy="3488946"/>
                    </a:xfrm>
                    <a:prstGeom prst="rect">
                      <a:avLst/>
                    </a:prstGeom>
                    <a:ln/>
                  </pic:spPr>
                </pic:pic>
              </a:graphicData>
            </a:graphic>
          </wp:inline>
        </w:drawing>
      </w:r>
    </w:p>
    <w:p w14:paraId="42A88E1A" w14:textId="77777777" w:rsidR="003136B9" w:rsidRDefault="00000000">
      <w:pPr>
        <w:pStyle w:val="Ttulo2"/>
        <w:spacing w:before="220"/>
      </w:pPr>
      <w:bookmarkStart w:id="18" w:name="_44sinio" w:colFirst="0" w:colLast="0"/>
      <w:bookmarkEnd w:id="18"/>
      <w:r>
        <w:br w:type="page"/>
      </w:r>
    </w:p>
    <w:p w14:paraId="57605270" w14:textId="77777777" w:rsidR="003136B9" w:rsidRDefault="00000000">
      <w:pPr>
        <w:pStyle w:val="Ttulo2"/>
        <w:spacing w:before="0"/>
      </w:pPr>
      <w:bookmarkStart w:id="19" w:name="_2jxsxqh" w:colFirst="0" w:colLast="0"/>
      <w:bookmarkEnd w:id="19"/>
      <w:r>
        <w:lastRenderedPageBreak/>
        <w:t>Table 1</w:t>
      </w:r>
    </w:p>
    <w:p w14:paraId="2547681C" w14:textId="77777777" w:rsidR="003136B9" w:rsidRDefault="00000000">
      <w:pPr>
        <w:spacing w:line="259" w:lineRule="auto"/>
        <w:rPr>
          <w:rFonts w:ascii="Arial" w:eastAsia="Arial" w:hAnsi="Arial" w:cs="Arial"/>
        </w:rPr>
      </w:pPr>
      <w:r>
        <w:rPr>
          <w:rFonts w:ascii="Arial" w:eastAsia="Arial" w:hAnsi="Arial" w:cs="Arial"/>
          <w:b/>
        </w:rPr>
        <w:t>Table 1.</w:t>
      </w:r>
      <w:r>
        <w:rPr>
          <w:rFonts w:ascii="Arial" w:eastAsia="Arial" w:hAnsi="Arial" w:cs="Arial"/>
        </w:rPr>
        <w:t xml:space="preserve"> Clinical and epidemiological characteristics of </w:t>
      </w:r>
      <w:proofErr w:type="spellStart"/>
      <w:r>
        <w:rPr>
          <w:rFonts w:ascii="Arial" w:eastAsia="Arial" w:hAnsi="Arial" w:cs="Arial"/>
        </w:rPr>
        <w:t>mpox</w:t>
      </w:r>
      <w:proofErr w:type="spellEnd"/>
      <w:r>
        <w:rPr>
          <w:rFonts w:ascii="Arial" w:eastAsia="Arial" w:hAnsi="Arial" w:cs="Arial"/>
        </w:rPr>
        <w:t xml:space="preserve">-suspected patients in Rio de Janeiro state from June to </w:t>
      </w:r>
      <w:proofErr w:type="gramStart"/>
      <w:r>
        <w:rPr>
          <w:rFonts w:ascii="Arial" w:eastAsia="Arial" w:hAnsi="Arial" w:cs="Arial"/>
        </w:rPr>
        <w:t>December,</w:t>
      </w:r>
      <w:proofErr w:type="gramEnd"/>
      <w:r>
        <w:rPr>
          <w:rFonts w:ascii="Arial" w:eastAsia="Arial" w:hAnsi="Arial" w:cs="Arial"/>
        </w:rPr>
        <w:t xml:space="preserve"> 2022.</w:t>
      </w:r>
    </w:p>
    <w:tbl>
      <w:tblPr>
        <w:tblStyle w:val="a"/>
        <w:tblW w:w="9053" w:type="dxa"/>
        <w:tblInd w:w="-120" w:type="dxa"/>
        <w:tblBorders>
          <w:top w:val="nil"/>
          <w:left w:val="nil"/>
          <w:bottom w:val="nil"/>
          <w:right w:val="nil"/>
          <w:insideH w:val="nil"/>
          <w:insideV w:val="nil"/>
        </w:tblBorders>
        <w:tblLayout w:type="fixed"/>
        <w:tblLook w:val="0400" w:firstRow="0" w:lastRow="0" w:firstColumn="0" w:lastColumn="0" w:noHBand="0" w:noVBand="1"/>
      </w:tblPr>
      <w:tblGrid>
        <w:gridCol w:w="3650"/>
        <w:gridCol w:w="2014"/>
        <w:gridCol w:w="1724"/>
        <w:gridCol w:w="1665"/>
      </w:tblGrid>
      <w:tr w:rsidR="003136B9" w14:paraId="419C9724" w14:textId="77777777">
        <w:tc>
          <w:tcPr>
            <w:tcW w:w="3650" w:type="dxa"/>
            <w:tcBorders>
              <w:top w:val="single" w:sz="4" w:space="0" w:color="000000"/>
            </w:tcBorders>
          </w:tcPr>
          <w:p w14:paraId="3F71B058" w14:textId="77777777" w:rsidR="003136B9" w:rsidRDefault="003136B9">
            <w:pPr>
              <w:rPr>
                <w:sz w:val="22"/>
                <w:szCs w:val="22"/>
              </w:rPr>
            </w:pPr>
          </w:p>
        </w:tc>
        <w:tc>
          <w:tcPr>
            <w:tcW w:w="2014" w:type="dxa"/>
            <w:tcBorders>
              <w:top w:val="single" w:sz="4" w:space="0" w:color="000000"/>
            </w:tcBorders>
          </w:tcPr>
          <w:p w14:paraId="07870653" w14:textId="77777777" w:rsidR="003136B9" w:rsidRDefault="003136B9">
            <w:pPr>
              <w:jc w:val="center"/>
              <w:rPr>
                <w:b/>
                <w:sz w:val="22"/>
                <w:szCs w:val="22"/>
              </w:rPr>
            </w:pPr>
          </w:p>
        </w:tc>
        <w:tc>
          <w:tcPr>
            <w:tcW w:w="3389" w:type="dxa"/>
            <w:gridSpan w:val="2"/>
            <w:tcBorders>
              <w:top w:val="single" w:sz="4" w:space="0" w:color="000000"/>
              <w:bottom w:val="single" w:sz="4" w:space="0" w:color="000000"/>
            </w:tcBorders>
          </w:tcPr>
          <w:p w14:paraId="620A5646" w14:textId="77777777" w:rsidR="003136B9" w:rsidRDefault="00000000">
            <w:pPr>
              <w:jc w:val="center"/>
              <w:rPr>
                <w:b/>
                <w:sz w:val="22"/>
                <w:szCs w:val="22"/>
              </w:rPr>
            </w:pPr>
            <w:r>
              <w:rPr>
                <w:b/>
                <w:sz w:val="22"/>
                <w:szCs w:val="22"/>
              </w:rPr>
              <w:t>MPXV-PCR*</w:t>
            </w:r>
          </w:p>
        </w:tc>
      </w:tr>
      <w:tr w:rsidR="003136B9" w14:paraId="77272521" w14:textId="77777777">
        <w:tc>
          <w:tcPr>
            <w:tcW w:w="3650" w:type="dxa"/>
            <w:tcBorders>
              <w:bottom w:val="single" w:sz="4" w:space="0" w:color="000000"/>
            </w:tcBorders>
          </w:tcPr>
          <w:p w14:paraId="2F5F2682" w14:textId="77777777" w:rsidR="003136B9" w:rsidRDefault="003136B9">
            <w:pPr>
              <w:rPr>
                <w:sz w:val="22"/>
                <w:szCs w:val="22"/>
              </w:rPr>
            </w:pPr>
          </w:p>
        </w:tc>
        <w:tc>
          <w:tcPr>
            <w:tcW w:w="2014" w:type="dxa"/>
            <w:tcBorders>
              <w:bottom w:val="single" w:sz="4" w:space="0" w:color="000000"/>
            </w:tcBorders>
          </w:tcPr>
          <w:p w14:paraId="70550850" w14:textId="77777777" w:rsidR="003136B9" w:rsidRDefault="00000000">
            <w:pPr>
              <w:jc w:val="center"/>
              <w:rPr>
                <w:b/>
                <w:sz w:val="22"/>
                <w:szCs w:val="22"/>
              </w:rPr>
            </w:pPr>
            <w:r>
              <w:rPr>
                <w:b/>
                <w:sz w:val="22"/>
                <w:szCs w:val="22"/>
              </w:rPr>
              <w:t>Suspected cases</w:t>
            </w:r>
          </w:p>
          <w:p w14:paraId="092CE305" w14:textId="77777777" w:rsidR="003136B9" w:rsidRDefault="00000000">
            <w:pPr>
              <w:jc w:val="center"/>
              <w:rPr>
                <w:b/>
                <w:sz w:val="22"/>
                <w:szCs w:val="22"/>
              </w:rPr>
            </w:pPr>
            <w:r>
              <w:rPr>
                <w:b/>
                <w:sz w:val="22"/>
                <w:szCs w:val="22"/>
              </w:rPr>
              <w:t>n (%)</w:t>
            </w:r>
          </w:p>
        </w:tc>
        <w:tc>
          <w:tcPr>
            <w:tcW w:w="1724" w:type="dxa"/>
            <w:tcBorders>
              <w:top w:val="single" w:sz="4" w:space="0" w:color="000000"/>
              <w:bottom w:val="single" w:sz="4" w:space="0" w:color="000000"/>
            </w:tcBorders>
          </w:tcPr>
          <w:p w14:paraId="1A0DF755" w14:textId="77777777" w:rsidR="003136B9" w:rsidRDefault="00000000">
            <w:pPr>
              <w:jc w:val="center"/>
              <w:rPr>
                <w:b/>
                <w:sz w:val="22"/>
                <w:szCs w:val="22"/>
              </w:rPr>
            </w:pPr>
            <w:r>
              <w:rPr>
                <w:b/>
                <w:sz w:val="22"/>
                <w:szCs w:val="22"/>
              </w:rPr>
              <w:t>Positive</w:t>
            </w:r>
          </w:p>
          <w:p w14:paraId="24D63A6B" w14:textId="77777777" w:rsidR="003136B9" w:rsidRDefault="00000000">
            <w:pPr>
              <w:jc w:val="center"/>
              <w:rPr>
                <w:sz w:val="22"/>
                <w:szCs w:val="22"/>
              </w:rPr>
            </w:pPr>
            <w:r>
              <w:rPr>
                <w:b/>
                <w:sz w:val="22"/>
                <w:szCs w:val="22"/>
              </w:rPr>
              <w:t>n (%)</w:t>
            </w:r>
          </w:p>
        </w:tc>
        <w:tc>
          <w:tcPr>
            <w:tcW w:w="1665" w:type="dxa"/>
            <w:tcBorders>
              <w:top w:val="single" w:sz="4" w:space="0" w:color="000000"/>
              <w:bottom w:val="single" w:sz="4" w:space="0" w:color="000000"/>
            </w:tcBorders>
          </w:tcPr>
          <w:p w14:paraId="498BD9BC" w14:textId="77777777" w:rsidR="003136B9" w:rsidRDefault="00000000">
            <w:pPr>
              <w:jc w:val="center"/>
              <w:rPr>
                <w:b/>
                <w:sz w:val="22"/>
                <w:szCs w:val="22"/>
              </w:rPr>
            </w:pPr>
            <w:r>
              <w:rPr>
                <w:b/>
                <w:sz w:val="22"/>
                <w:szCs w:val="22"/>
              </w:rPr>
              <w:t>Negative</w:t>
            </w:r>
          </w:p>
          <w:p w14:paraId="152CEA59" w14:textId="77777777" w:rsidR="003136B9" w:rsidRDefault="00000000">
            <w:pPr>
              <w:jc w:val="center"/>
              <w:rPr>
                <w:sz w:val="22"/>
                <w:szCs w:val="22"/>
              </w:rPr>
            </w:pPr>
            <w:r>
              <w:rPr>
                <w:b/>
                <w:sz w:val="22"/>
                <w:szCs w:val="22"/>
              </w:rPr>
              <w:t>n (%)</w:t>
            </w:r>
          </w:p>
        </w:tc>
      </w:tr>
      <w:tr w:rsidR="003136B9" w14:paraId="05E43E19" w14:textId="77777777">
        <w:tc>
          <w:tcPr>
            <w:tcW w:w="3650" w:type="dxa"/>
            <w:tcBorders>
              <w:top w:val="single" w:sz="4" w:space="0" w:color="000000"/>
            </w:tcBorders>
          </w:tcPr>
          <w:p w14:paraId="33C86A29" w14:textId="77777777" w:rsidR="003136B9" w:rsidRDefault="00000000">
            <w:pPr>
              <w:rPr>
                <w:b/>
                <w:sz w:val="22"/>
                <w:szCs w:val="22"/>
              </w:rPr>
            </w:pPr>
            <w:r>
              <w:rPr>
                <w:b/>
                <w:sz w:val="22"/>
                <w:szCs w:val="22"/>
              </w:rPr>
              <w:t>Total</w:t>
            </w:r>
          </w:p>
        </w:tc>
        <w:tc>
          <w:tcPr>
            <w:tcW w:w="2014" w:type="dxa"/>
            <w:tcBorders>
              <w:top w:val="single" w:sz="4" w:space="0" w:color="000000"/>
            </w:tcBorders>
          </w:tcPr>
          <w:p w14:paraId="2A9D7472" w14:textId="77777777" w:rsidR="003136B9" w:rsidRDefault="00000000">
            <w:pPr>
              <w:jc w:val="center"/>
              <w:rPr>
                <w:sz w:val="22"/>
                <w:szCs w:val="22"/>
              </w:rPr>
            </w:pPr>
            <w:r>
              <w:rPr>
                <w:sz w:val="22"/>
                <w:szCs w:val="22"/>
              </w:rPr>
              <w:t>3095</w:t>
            </w:r>
          </w:p>
        </w:tc>
        <w:tc>
          <w:tcPr>
            <w:tcW w:w="1724" w:type="dxa"/>
            <w:tcBorders>
              <w:top w:val="single" w:sz="4" w:space="0" w:color="000000"/>
            </w:tcBorders>
          </w:tcPr>
          <w:p w14:paraId="7589132D" w14:textId="77777777" w:rsidR="003136B9" w:rsidRDefault="00000000">
            <w:pPr>
              <w:jc w:val="center"/>
              <w:rPr>
                <w:sz w:val="22"/>
                <w:szCs w:val="22"/>
              </w:rPr>
            </w:pPr>
            <w:r>
              <w:rPr>
                <w:sz w:val="22"/>
                <w:szCs w:val="22"/>
              </w:rPr>
              <w:t>816</w:t>
            </w:r>
          </w:p>
        </w:tc>
        <w:tc>
          <w:tcPr>
            <w:tcW w:w="1665" w:type="dxa"/>
            <w:tcBorders>
              <w:top w:val="single" w:sz="4" w:space="0" w:color="000000"/>
            </w:tcBorders>
          </w:tcPr>
          <w:p w14:paraId="26B1966B" w14:textId="77777777" w:rsidR="003136B9" w:rsidRDefault="00000000">
            <w:pPr>
              <w:ind w:right="-109"/>
              <w:jc w:val="center"/>
              <w:rPr>
                <w:sz w:val="22"/>
                <w:szCs w:val="22"/>
              </w:rPr>
            </w:pPr>
            <w:r>
              <w:rPr>
                <w:sz w:val="22"/>
                <w:szCs w:val="22"/>
              </w:rPr>
              <w:t>2160</w:t>
            </w:r>
          </w:p>
        </w:tc>
      </w:tr>
      <w:tr w:rsidR="003136B9" w14:paraId="51F666B8" w14:textId="77777777">
        <w:tc>
          <w:tcPr>
            <w:tcW w:w="3650" w:type="dxa"/>
          </w:tcPr>
          <w:p w14:paraId="202EF38A" w14:textId="77777777" w:rsidR="003136B9" w:rsidRDefault="00000000">
            <w:pPr>
              <w:spacing w:before="120"/>
              <w:rPr>
                <w:b/>
                <w:sz w:val="22"/>
                <w:szCs w:val="22"/>
              </w:rPr>
            </w:pPr>
            <w:r>
              <w:rPr>
                <w:b/>
                <w:sz w:val="22"/>
                <w:szCs w:val="22"/>
              </w:rPr>
              <w:t>Sex</w:t>
            </w:r>
          </w:p>
        </w:tc>
        <w:tc>
          <w:tcPr>
            <w:tcW w:w="2014" w:type="dxa"/>
          </w:tcPr>
          <w:p w14:paraId="4441C049" w14:textId="77777777" w:rsidR="003136B9" w:rsidRDefault="003136B9">
            <w:pPr>
              <w:spacing w:before="120"/>
              <w:jc w:val="center"/>
              <w:rPr>
                <w:sz w:val="22"/>
                <w:szCs w:val="22"/>
              </w:rPr>
            </w:pPr>
          </w:p>
        </w:tc>
        <w:tc>
          <w:tcPr>
            <w:tcW w:w="1724" w:type="dxa"/>
          </w:tcPr>
          <w:p w14:paraId="297A917A" w14:textId="77777777" w:rsidR="003136B9" w:rsidRDefault="003136B9">
            <w:pPr>
              <w:spacing w:before="120"/>
              <w:jc w:val="center"/>
              <w:rPr>
                <w:sz w:val="22"/>
                <w:szCs w:val="22"/>
              </w:rPr>
            </w:pPr>
          </w:p>
        </w:tc>
        <w:tc>
          <w:tcPr>
            <w:tcW w:w="1665" w:type="dxa"/>
          </w:tcPr>
          <w:p w14:paraId="5E2BD0CE" w14:textId="77777777" w:rsidR="003136B9" w:rsidRDefault="003136B9">
            <w:pPr>
              <w:spacing w:before="120"/>
              <w:ind w:right="-109"/>
              <w:jc w:val="center"/>
              <w:rPr>
                <w:sz w:val="22"/>
                <w:szCs w:val="22"/>
              </w:rPr>
            </w:pPr>
          </w:p>
        </w:tc>
      </w:tr>
      <w:tr w:rsidR="003136B9" w14:paraId="568116A5" w14:textId="77777777">
        <w:tc>
          <w:tcPr>
            <w:tcW w:w="3650" w:type="dxa"/>
          </w:tcPr>
          <w:p w14:paraId="74CF92A8" w14:textId="77777777" w:rsidR="003136B9" w:rsidRDefault="00000000">
            <w:pPr>
              <w:ind w:left="741" w:hanging="567"/>
              <w:rPr>
                <w:sz w:val="22"/>
                <w:szCs w:val="22"/>
              </w:rPr>
            </w:pPr>
            <w:r>
              <w:rPr>
                <w:sz w:val="22"/>
                <w:szCs w:val="22"/>
              </w:rPr>
              <w:t>Male</w:t>
            </w:r>
          </w:p>
        </w:tc>
        <w:tc>
          <w:tcPr>
            <w:tcW w:w="2014" w:type="dxa"/>
          </w:tcPr>
          <w:p w14:paraId="5A3A33DC" w14:textId="77777777" w:rsidR="003136B9" w:rsidRDefault="00000000">
            <w:pPr>
              <w:jc w:val="center"/>
              <w:rPr>
                <w:sz w:val="22"/>
                <w:szCs w:val="22"/>
              </w:rPr>
            </w:pPr>
            <w:r>
              <w:rPr>
                <w:sz w:val="22"/>
                <w:szCs w:val="22"/>
              </w:rPr>
              <w:t>1965 (63.5)</w:t>
            </w:r>
          </w:p>
        </w:tc>
        <w:tc>
          <w:tcPr>
            <w:tcW w:w="1724" w:type="dxa"/>
          </w:tcPr>
          <w:p w14:paraId="05E4704B" w14:textId="77777777" w:rsidR="003136B9" w:rsidRDefault="00000000">
            <w:pPr>
              <w:jc w:val="center"/>
              <w:rPr>
                <w:sz w:val="22"/>
                <w:szCs w:val="22"/>
              </w:rPr>
            </w:pPr>
            <w:r>
              <w:rPr>
                <w:sz w:val="22"/>
                <w:szCs w:val="22"/>
              </w:rPr>
              <w:t>739 (90.6)</w:t>
            </w:r>
          </w:p>
        </w:tc>
        <w:tc>
          <w:tcPr>
            <w:tcW w:w="1665" w:type="dxa"/>
          </w:tcPr>
          <w:p w14:paraId="27B499E8" w14:textId="77777777" w:rsidR="003136B9" w:rsidRDefault="00000000">
            <w:pPr>
              <w:ind w:right="-109"/>
              <w:jc w:val="center"/>
              <w:rPr>
                <w:sz w:val="22"/>
                <w:szCs w:val="22"/>
              </w:rPr>
            </w:pPr>
            <w:r>
              <w:rPr>
                <w:sz w:val="22"/>
                <w:szCs w:val="22"/>
              </w:rPr>
              <w:t>1161 (53.8)</w:t>
            </w:r>
          </w:p>
        </w:tc>
      </w:tr>
      <w:tr w:rsidR="003136B9" w14:paraId="7AC9BC41" w14:textId="77777777">
        <w:tc>
          <w:tcPr>
            <w:tcW w:w="3650" w:type="dxa"/>
          </w:tcPr>
          <w:p w14:paraId="314EAF14" w14:textId="77777777" w:rsidR="003136B9" w:rsidRDefault="00000000">
            <w:pPr>
              <w:ind w:left="741" w:hanging="567"/>
              <w:rPr>
                <w:sz w:val="22"/>
                <w:szCs w:val="22"/>
              </w:rPr>
            </w:pPr>
            <w:r>
              <w:rPr>
                <w:sz w:val="22"/>
                <w:szCs w:val="22"/>
              </w:rPr>
              <w:t>Female</w:t>
            </w:r>
          </w:p>
        </w:tc>
        <w:tc>
          <w:tcPr>
            <w:tcW w:w="2014" w:type="dxa"/>
          </w:tcPr>
          <w:p w14:paraId="329F64C3" w14:textId="77777777" w:rsidR="003136B9" w:rsidRDefault="00000000">
            <w:pPr>
              <w:jc w:val="center"/>
              <w:rPr>
                <w:sz w:val="22"/>
                <w:szCs w:val="22"/>
              </w:rPr>
            </w:pPr>
            <w:r>
              <w:rPr>
                <w:sz w:val="22"/>
                <w:szCs w:val="22"/>
              </w:rPr>
              <w:t>1130 (36.5)</w:t>
            </w:r>
          </w:p>
        </w:tc>
        <w:tc>
          <w:tcPr>
            <w:tcW w:w="1724" w:type="dxa"/>
          </w:tcPr>
          <w:p w14:paraId="27E96628" w14:textId="77777777" w:rsidR="003136B9" w:rsidRDefault="00000000">
            <w:pPr>
              <w:jc w:val="center"/>
              <w:rPr>
                <w:sz w:val="22"/>
                <w:szCs w:val="22"/>
              </w:rPr>
            </w:pPr>
            <w:r>
              <w:rPr>
                <w:sz w:val="22"/>
                <w:szCs w:val="22"/>
              </w:rPr>
              <w:t>77 (9.4)</w:t>
            </w:r>
          </w:p>
        </w:tc>
        <w:tc>
          <w:tcPr>
            <w:tcW w:w="1665" w:type="dxa"/>
          </w:tcPr>
          <w:p w14:paraId="4000D3CA" w14:textId="77777777" w:rsidR="003136B9" w:rsidRDefault="00000000">
            <w:pPr>
              <w:ind w:right="-109"/>
              <w:jc w:val="center"/>
              <w:rPr>
                <w:sz w:val="22"/>
                <w:szCs w:val="22"/>
              </w:rPr>
            </w:pPr>
            <w:r>
              <w:rPr>
                <w:sz w:val="22"/>
                <w:szCs w:val="22"/>
              </w:rPr>
              <w:t>999 (46.3)</w:t>
            </w:r>
          </w:p>
        </w:tc>
      </w:tr>
      <w:tr w:rsidR="003136B9" w14:paraId="51A3E16B" w14:textId="77777777">
        <w:tc>
          <w:tcPr>
            <w:tcW w:w="3650" w:type="dxa"/>
          </w:tcPr>
          <w:p w14:paraId="2847FB95" w14:textId="77777777" w:rsidR="003136B9" w:rsidRDefault="00000000">
            <w:pPr>
              <w:spacing w:before="120"/>
              <w:rPr>
                <w:b/>
                <w:sz w:val="22"/>
                <w:szCs w:val="22"/>
              </w:rPr>
            </w:pPr>
            <w:r>
              <w:rPr>
                <w:b/>
                <w:sz w:val="22"/>
                <w:szCs w:val="22"/>
              </w:rPr>
              <w:t>Age</w:t>
            </w:r>
          </w:p>
        </w:tc>
        <w:tc>
          <w:tcPr>
            <w:tcW w:w="2014" w:type="dxa"/>
          </w:tcPr>
          <w:p w14:paraId="6C8B413E" w14:textId="77777777" w:rsidR="003136B9" w:rsidRDefault="003136B9">
            <w:pPr>
              <w:spacing w:before="120"/>
              <w:jc w:val="center"/>
              <w:rPr>
                <w:sz w:val="22"/>
                <w:szCs w:val="22"/>
              </w:rPr>
            </w:pPr>
          </w:p>
        </w:tc>
        <w:tc>
          <w:tcPr>
            <w:tcW w:w="1724" w:type="dxa"/>
          </w:tcPr>
          <w:p w14:paraId="3552D79E" w14:textId="77777777" w:rsidR="003136B9" w:rsidRDefault="003136B9">
            <w:pPr>
              <w:spacing w:before="120"/>
              <w:jc w:val="center"/>
              <w:rPr>
                <w:sz w:val="22"/>
                <w:szCs w:val="22"/>
              </w:rPr>
            </w:pPr>
          </w:p>
        </w:tc>
        <w:tc>
          <w:tcPr>
            <w:tcW w:w="1665" w:type="dxa"/>
          </w:tcPr>
          <w:p w14:paraId="4626980C" w14:textId="77777777" w:rsidR="003136B9" w:rsidRDefault="003136B9">
            <w:pPr>
              <w:spacing w:before="120"/>
              <w:ind w:right="-109"/>
              <w:jc w:val="center"/>
              <w:rPr>
                <w:sz w:val="22"/>
                <w:szCs w:val="22"/>
              </w:rPr>
            </w:pPr>
          </w:p>
        </w:tc>
      </w:tr>
      <w:tr w:rsidR="003136B9" w14:paraId="6C155B32" w14:textId="77777777">
        <w:tc>
          <w:tcPr>
            <w:tcW w:w="3650" w:type="dxa"/>
          </w:tcPr>
          <w:p w14:paraId="170BB6A4" w14:textId="77777777" w:rsidR="003136B9" w:rsidRDefault="00000000">
            <w:pPr>
              <w:ind w:left="457" w:hanging="283"/>
              <w:rPr>
                <w:sz w:val="22"/>
                <w:szCs w:val="22"/>
              </w:rPr>
            </w:pPr>
            <w:r>
              <w:rPr>
                <w:sz w:val="22"/>
                <w:szCs w:val="22"/>
              </w:rPr>
              <w:t>Under 18</w:t>
            </w:r>
          </w:p>
        </w:tc>
        <w:tc>
          <w:tcPr>
            <w:tcW w:w="2014" w:type="dxa"/>
          </w:tcPr>
          <w:p w14:paraId="376A7337" w14:textId="77777777" w:rsidR="003136B9" w:rsidRDefault="00000000">
            <w:pPr>
              <w:jc w:val="center"/>
              <w:rPr>
                <w:sz w:val="22"/>
                <w:szCs w:val="22"/>
              </w:rPr>
            </w:pPr>
            <w:r>
              <w:rPr>
                <w:sz w:val="22"/>
                <w:szCs w:val="22"/>
              </w:rPr>
              <w:t>675 (22.0)</w:t>
            </w:r>
          </w:p>
        </w:tc>
        <w:tc>
          <w:tcPr>
            <w:tcW w:w="1724" w:type="dxa"/>
          </w:tcPr>
          <w:p w14:paraId="09D2E352" w14:textId="77777777" w:rsidR="003136B9" w:rsidRDefault="00000000">
            <w:pPr>
              <w:jc w:val="center"/>
              <w:rPr>
                <w:sz w:val="22"/>
                <w:szCs w:val="22"/>
              </w:rPr>
            </w:pPr>
            <w:r>
              <w:rPr>
                <w:sz w:val="22"/>
                <w:szCs w:val="22"/>
              </w:rPr>
              <w:t>44 (5.4)</w:t>
            </w:r>
          </w:p>
        </w:tc>
        <w:tc>
          <w:tcPr>
            <w:tcW w:w="1665" w:type="dxa"/>
          </w:tcPr>
          <w:p w14:paraId="7A676833" w14:textId="77777777" w:rsidR="003136B9" w:rsidRDefault="00000000">
            <w:pPr>
              <w:ind w:right="-109"/>
              <w:jc w:val="center"/>
              <w:rPr>
                <w:sz w:val="22"/>
                <w:szCs w:val="22"/>
              </w:rPr>
            </w:pPr>
            <w:r>
              <w:rPr>
                <w:sz w:val="22"/>
                <w:szCs w:val="22"/>
              </w:rPr>
              <w:t>607 (28.1)</w:t>
            </w:r>
          </w:p>
        </w:tc>
      </w:tr>
      <w:tr w:rsidR="003136B9" w14:paraId="6798F1AA" w14:textId="77777777">
        <w:tc>
          <w:tcPr>
            <w:tcW w:w="3650" w:type="dxa"/>
          </w:tcPr>
          <w:p w14:paraId="0A5871F2" w14:textId="77777777" w:rsidR="003136B9" w:rsidRDefault="00000000">
            <w:pPr>
              <w:ind w:left="457" w:hanging="283"/>
              <w:rPr>
                <w:sz w:val="22"/>
                <w:szCs w:val="22"/>
              </w:rPr>
            </w:pPr>
            <w:r>
              <w:rPr>
                <w:sz w:val="22"/>
                <w:szCs w:val="22"/>
              </w:rPr>
              <w:t>18 to 39</w:t>
            </w:r>
          </w:p>
        </w:tc>
        <w:tc>
          <w:tcPr>
            <w:tcW w:w="2014" w:type="dxa"/>
          </w:tcPr>
          <w:p w14:paraId="7E18103A" w14:textId="77777777" w:rsidR="003136B9" w:rsidRDefault="00000000">
            <w:pPr>
              <w:jc w:val="center"/>
              <w:rPr>
                <w:sz w:val="22"/>
                <w:szCs w:val="22"/>
              </w:rPr>
            </w:pPr>
            <w:r>
              <w:rPr>
                <w:sz w:val="22"/>
                <w:szCs w:val="22"/>
              </w:rPr>
              <w:t>1505 (48.6)</w:t>
            </w:r>
          </w:p>
        </w:tc>
        <w:tc>
          <w:tcPr>
            <w:tcW w:w="1724" w:type="dxa"/>
          </w:tcPr>
          <w:p w14:paraId="7C336D90" w14:textId="77777777" w:rsidR="003136B9" w:rsidRDefault="00000000">
            <w:pPr>
              <w:jc w:val="center"/>
              <w:rPr>
                <w:sz w:val="22"/>
                <w:szCs w:val="22"/>
              </w:rPr>
            </w:pPr>
            <w:r>
              <w:rPr>
                <w:sz w:val="22"/>
                <w:szCs w:val="22"/>
              </w:rPr>
              <w:t>558 (68.4)</w:t>
            </w:r>
          </w:p>
        </w:tc>
        <w:tc>
          <w:tcPr>
            <w:tcW w:w="1665" w:type="dxa"/>
          </w:tcPr>
          <w:p w14:paraId="5BFF2E1D" w14:textId="77777777" w:rsidR="003136B9" w:rsidRDefault="00000000">
            <w:pPr>
              <w:ind w:right="-109"/>
              <w:jc w:val="center"/>
              <w:rPr>
                <w:sz w:val="22"/>
                <w:szCs w:val="22"/>
              </w:rPr>
            </w:pPr>
            <w:r>
              <w:rPr>
                <w:sz w:val="22"/>
                <w:szCs w:val="22"/>
              </w:rPr>
              <w:t>897 (41.5)</w:t>
            </w:r>
          </w:p>
        </w:tc>
      </w:tr>
      <w:tr w:rsidR="003136B9" w14:paraId="61A0682B" w14:textId="77777777">
        <w:tc>
          <w:tcPr>
            <w:tcW w:w="3650" w:type="dxa"/>
          </w:tcPr>
          <w:p w14:paraId="717BEC82" w14:textId="77777777" w:rsidR="003136B9" w:rsidRDefault="00000000">
            <w:pPr>
              <w:ind w:left="457" w:hanging="283"/>
              <w:rPr>
                <w:sz w:val="22"/>
                <w:szCs w:val="22"/>
              </w:rPr>
            </w:pPr>
            <w:r>
              <w:rPr>
                <w:rFonts w:ascii="Arial Unicode MS" w:eastAsia="Arial Unicode MS" w:hAnsi="Arial Unicode MS" w:cs="Arial Unicode MS"/>
                <w:sz w:val="22"/>
                <w:szCs w:val="22"/>
              </w:rPr>
              <w:t>≥ 40</w:t>
            </w:r>
          </w:p>
        </w:tc>
        <w:tc>
          <w:tcPr>
            <w:tcW w:w="2014" w:type="dxa"/>
          </w:tcPr>
          <w:p w14:paraId="3A2D2AB1" w14:textId="77777777" w:rsidR="003136B9" w:rsidRDefault="00000000">
            <w:pPr>
              <w:jc w:val="center"/>
              <w:rPr>
                <w:sz w:val="22"/>
                <w:szCs w:val="22"/>
              </w:rPr>
            </w:pPr>
            <w:r>
              <w:rPr>
                <w:sz w:val="22"/>
                <w:szCs w:val="22"/>
              </w:rPr>
              <w:t>915 (29.6)</w:t>
            </w:r>
          </w:p>
        </w:tc>
        <w:tc>
          <w:tcPr>
            <w:tcW w:w="1724" w:type="dxa"/>
          </w:tcPr>
          <w:p w14:paraId="71CB9EB1" w14:textId="77777777" w:rsidR="003136B9" w:rsidRDefault="00000000">
            <w:pPr>
              <w:jc w:val="center"/>
              <w:rPr>
                <w:sz w:val="22"/>
                <w:szCs w:val="22"/>
              </w:rPr>
            </w:pPr>
            <w:r>
              <w:rPr>
                <w:sz w:val="22"/>
                <w:szCs w:val="22"/>
              </w:rPr>
              <w:t>214 (26.2)</w:t>
            </w:r>
          </w:p>
        </w:tc>
        <w:tc>
          <w:tcPr>
            <w:tcW w:w="1665" w:type="dxa"/>
          </w:tcPr>
          <w:p w14:paraId="2B93D6B3" w14:textId="77777777" w:rsidR="003136B9" w:rsidRDefault="00000000">
            <w:pPr>
              <w:ind w:right="-109"/>
              <w:jc w:val="center"/>
              <w:rPr>
                <w:sz w:val="22"/>
                <w:szCs w:val="22"/>
              </w:rPr>
            </w:pPr>
            <w:r>
              <w:rPr>
                <w:sz w:val="22"/>
                <w:szCs w:val="22"/>
              </w:rPr>
              <w:t>656 (30.4)</w:t>
            </w:r>
          </w:p>
        </w:tc>
      </w:tr>
      <w:tr w:rsidR="003136B9" w14:paraId="5FDC83E5" w14:textId="77777777">
        <w:tc>
          <w:tcPr>
            <w:tcW w:w="3650" w:type="dxa"/>
          </w:tcPr>
          <w:p w14:paraId="61C91CF9" w14:textId="77777777" w:rsidR="003136B9" w:rsidRDefault="00000000">
            <w:pPr>
              <w:spacing w:before="120"/>
              <w:rPr>
                <w:b/>
                <w:sz w:val="22"/>
                <w:szCs w:val="22"/>
              </w:rPr>
            </w:pPr>
            <w:r>
              <w:rPr>
                <w:b/>
                <w:sz w:val="22"/>
                <w:szCs w:val="22"/>
              </w:rPr>
              <w:t xml:space="preserve">Skin </w:t>
            </w:r>
            <w:proofErr w:type="spellStart"/>
            <w:r>
              <w:rPr>
                <w:b/>
                <w:sz w:val="22"/>
                <w:szCs w:val="22"/>
              </w:rPr>
              <w:t>colour</w:t>
            </w:r>
            <w:proofErr w:type="spellEnd"/>
          </w:p>
        </w:tc>
        <w:tc>
          <w:tcPr>
            <w:tcW w:w="2014" w:type="dxa"/>
          </w:tcPr>
          <w:p w14:paraId="7B69771D" w14:textId="77777777" w:rsidR="003136B9" w:rsidRDefault="003136B9">
            <w:pPr>
              <w:spacing w:before="120"/>
              <w:jc w:val="center"/>
              <w:rPr>
                <w:sz w:val="22"/>
                <w:szCs w:val="22"/>
              </w:rPr>
            </w:pPr>
          </w:p>
        </w:tc>
        <w:tc>
          <w:tcPr>
            <w:tcW w:w="1724" w:type="dxa"/>
          </w:tcPr>
          <w:p w14:paraId="180B7AA4" w14:textId="77777777" w:rsidR="003136B9" w:rsidRDefault="003136B9">
            <w:pPr>
              <w:spacing w:before="120"/>
              <w:jc w:val="center"/>
              <w:rPr>
                <w:sz w:val="22"/>
                <w:szCs w:val="22"/>
              </w:rPr>
            </w:pPr>
          </w:p>
        </w:tc>
        <w:tc>
          <w:tcPr>
            <w:tcW w:w="1665" w:type="dxa"/>
          </w:tcPr>
          <w:p w14:paraId="0B6C96A9" w14:textId="77777777" w:rsidR="003136B9" w:rsidRDefault="003136B9">
            <w:pPr>
              <w:spacing w:before="120"/>
              <w:ind w:right="-109"/>
              <w:jc w:val="center"/>
              <w:rPr>
                <w:sz w:val="22"/>
                <w:szCs w:val="22"/>
              </w:rPr>
            </w:pPr>
          </w:p>
        </w:tc>
      </w:tr>
      <w:tr w:rsidR="003136B9" w14:paraId="4F7755AB" w14:textId="77777777">
        <w:tc>
          <w:tcPr>
            <w:tcW w:w="3650" w:type="dxa"/>
          </w:tcPr>
          <w:p w14:paraId="29BCD25E" w14:textId="77777777" w:rsidR="003136B9" w:rsidRDefault="00000000">
            <w:pPr>
              <w:ind w:left="457" w:hanging="283"/>
              <w:rPr>
                <w:sz w:val="22"/>
                <w:szCs w:val="22"/>
              </w:rPr>
            </w:pPr>
            <w:r>
              <w:rPr>
                <w:sz w:val="22"/>
                <w:szCs w:val="22"/>
              </w:rPr>
              <w:t>White</w:t>
            </w:r>
          </w:p>
        </w:tc>
        <w:tc>
          <w:tcPr>
            <w:tcW w:w="2014" w:type="dxa"/>
          </w:tcPr>
          <w:p w14:paraId="4BDF2262" w14:textId="77777777" w:rsidR="003136B9" w:rsidRDefault="00000000">
            <w:pPr>
              <w:jc w:val="center"/>
              <w:rPr>
                <w:sz w:val="22"/>
                <w:szCs w:val="22"/>
              </w:rPr>
            </w:pPr>
            <w:r>
              <w:rPr>
                <w:sz w:val="22"/>
                <w:szCs w:val="22"/>
              </w:rPr>
              <w:t>1127 (36.4)</w:t>
            </w:r>
          </w:p>
        </w:tc>
        <w:tc>
          <w:tcPr>
            <w:tcW w:w="1724" w:type="dxa"/>
          </w:tcPr>
          <w:p w14:paraId="4A36F952" w14:textId="77777777" w:rsidR="003136B9" w:rsidRDefault="00000000">
            <w:pPr>
              <w:jc w:val="center"/>
              <w:rPr>
                <w:sz w:val="22"/>
                <w:szCs w:val="22"/>
              </w:rPr>
            </w:pPr>
            <w:r>
              <w:rPr>
                <w:sz w:val="22"/>
                <w:szCs w:val="22"/>
              </w:rPr>
              <w:t>324 (39.7)</w:t>
            </w:r>
          </w:p>
        </w:tc>
        <w:tc>
          <w:tcPr>
            <w:tcW w:w="1665" w:type="dxa"/>
          </w:tcPr>
          <w:p w14:paraId="3A0791F6" w14:textId="77777777" w:rsidR="003136B9" w:rsidRDefault="00000000">
            <w:pPr>
              <w:ind w:right="-109"/>
              <w:jc w:val="center"/>
              <w:rPr>
                <w:sz w:val="22"/>
                <w:szCs w:val="22"/>
              </w:rPr>
            </w:pPr>
            <w:r>
              <w:rPr>
                <w:sz w:val="22"/>
                <w:szCs w:val="22"/>
              </w:rPr>
              <w:t>761 (35.2)</w:t>
            </w:r>
          </w:p>
        </w:tc>
      </w:tr>
      <w:tr w:rsidR="003136B9" w14:paraId="5001F239" w14:textId="77777777">
        <w:tc>
          <w:tcPr>
            <w:tcW w:w="3650" w:type="dxa"/>
          </w:tcPr>
          <w:p w14:paraId="301E7004" w14:textId="77777777" w:rsidR="003136B9" w:rsidRDefault="00000000">
            <w:pPr>
              <w:ind w:left="457" w:hanging="283"/>
              <w:rPr>
                <w:sz w:val="22"/>
                <w:szCs w:val="22"/>
              </w:rPr>
            </w:pPr>
            <w:r>
              <w:rPr>
                <w:sz w:val="22"/>
                <w:szCs w:val="22"/>
              </w:rPr>
              <w:t>Non-white</w:t>
            </w:r>
          </w:p>
        </w:tc>
        <w:tc>
          <w:tcPr>
            <w:tcW w:w="2014" w:type="dxa"/>
          </w:tcPr>
          <w:p w14:paraId="1ABC1CB3" w14:textId="77777777" w:rsidR="003136B9" w:rsidRDefault="00000000">
            <w:pPr>
              <w:jc w:val="center"/>
              <w:rPr>
                <w:sz w:val="22"/>
                <w:szCs w:val="22"/>
              </w:rPr>
            </w:pPr>
            <w:r>
              <w:rPr>
                <w:sz w:val="22"/>
                <w:szCs w:val="22"/>
              </w:rPr>
              <w:t>1464 (47.3)</w:t>
            </w:r>
          </w:p>
        </w:tc>
        <w:tc>
          <w:tcPr>
            <w:tcW w:w="1724" w:type="dxa"/>
          </w:tcPr>
          <w:p w14:paraId="3DA5D14D" w14:textId="77777777" w:rsidR="003136B9" w:rsidRDefault="00000000">
            <w:pPr>
              <w:jc w:val="center"/>
              <w:rPr>
                <w:sz w:val="22"/>
                <w:szCs w:val="22"/>
              </w:rPr>
            </w:pPr>
            <w:r>
              <w:rPr>
                <w:sz w:val="22"/>
                <w:szCs w:val="22"/>
              </w:rPr>
              <w:t>414 (50.7)</w:t>
            </w:r>
          </w:p>
        </w:tc>
        <w:tc>
          <w:tcPr>
            <w:tcW w:w="1665" w:type="dxa"/>
          </w:tcPr>
          <w:p w14:paraId="1D5B3B62" w14:textId="77777777" w:rsidR="003136B9" w:rsidRDefault="00000000">
            <w:pPr>
              <w:ind w:right="-109"/>
              <w:jc w:val="center"/>
              <w:rPr>
                <w:sz w:val="22"/>
                <w:szCs w:val="22"/>
              </w:rPr>
            </w:pPr>
            <w:r>
              <w:rPr>
                <w:sz w:val="22"/>
                <w:szCs w:val="22"/>
              </w:rPr>
              <w:t>987 (45.7)</w:t>
            </w:r>
          </w:p>
        </w:tc>
      </w:tr>
      <w:tr w:rsidR="003136B9" w14:paraId="764B2053" w14:textId="77777777">
        <w:tc>
          <w:tcPr>
            <w:tcW w:w="3650" w:type="dxa"/>
          </w:tcPr>
          <w:p w14:paraId="75B64374" w14:textId="77777777" w:rsidR="003136B9" w:rsidRDefault="00000000">
            <w:pPr>
              <w:spacing w:before="120"/>
              <w:rPr>
                <w:sz w:val="22"/>
                <w:szCs w:val="22"/>
                <w:vertAlign w:val="superscript"/>
              </w:rPr>
            </w:pPr>
            <w:r>
              <w:rPr>
                <w:b/>
                <w:sz w:val="22"/>
                <w:szCs w:val="22"/>
              </w:rPr>
              <w:t>MSM**</w:t>
            </w:r>
          </w:p>
        </w:tc>
        <w:tc>
          <w:tcPr>
            <w:tcW w:w="2014" w:type="dxa"/>
          </w:tcPr>
          <w:p w14:paraId="6C46B5AB" w14:textId="77777777" w:rsidR="003136B9" w:rsidRDefault="00000000">
            <w:pPr>
              <w:spacing w:before="120"/>
              <w:jc w:val="center"/>
              <w:rPr>
                <w:sz w:val="22"/>
                <w:szCs w:val="22"/>
              </w:rPr>
            </w:pPr>
            <w:r>
              <w:rPr>
                <w:sz w:val="22"/>
                <w:szCs w:val="22"/>
              </w:rPr>
              <w:t>581 (52.0)</w:t>
            </w:r>
          </w:p>
        </w:tc>
        <w:tc>
          <w:tcPr>
            <w:tcW w:w="1724" w:type="dxa"/>
          </w:tcPr>
          <w:p w14:paraId="6FB45CFA" w14:textId="77777777" w:rsidR="003136B9" w:rsidRDefault="00000000">
            <w:pPr>
              <w:spacing w:before="120"/>
              <w:jc w:val="center"/>
              <w:rPr>
                <w:sz w:val="22"/>
                <w:szCs w:val="22"/>
              </w:rPr>
            </w:pPr>
            <w:r>
              <w:rPr>
                <w:sz w:val="22"/>
                <w:szCs w:val="22"/>
              </w:rPr>
              <w:t>430 (85.0)</w:t>
            </w:r>
          </w:p>
        </w:tc>
        <w:tc>
          <w:tcPr>
            <w:tcW w:w="1665" w:type="dxa"/>
          </w:tcPr>
          <w:p w14:paraId="755FC666" w14:textId="77777777" w:rsidR="003136B9" w:rsidRDefault="00000000">
            <w:pPr>
              <w:spacing w:before="120"/>
              <w:ind w:right="-109"/>
              <w:jc w:val="center"/>
              <w:rPr>
                <w:sz w:val="22"/>
                <w:szCs w:val="22"/>
              </w:rPr>
            </w:pPr>
            <w:r>
              <w:rPr>
                <w:sz w:val="22"/>
                <w:szCs w:val="22"/>
              </w:rPr>
              <w:t>137 (24.1)</w:t>
            </w:r>
          </w:p>
        </w:tc>
      </w:tr>
      <w:tr w:rsidR="003136B9" w14:paraId="6E1FC34E" w14:textId="77777777">
        <w:tc>
          <w:tcPr>
            <w:tcW w:w="3650" w:type="dxa"/>
          </w:tcPr>
          <w:p w14:paraId="3B24184C" w14:textId="77777777" w:rsidR="003136B9" w:rsidRDefault="00000000">
            <w:pPr>
              <w:spacing w:before="120"/>
              <w:ind w:left="174"/>
              <w:rPr>
                <w:b/>
                <w:sz w:val="22"/>
                <w:szCs w:val="22"/>
              </w:rPr>
            </w:pPr>
            <w:r>
              <w:rPr>
                <w:b/>
                <w:sz w:val="22"/>
                <w:szCs w:val="22"/>
              </w:rPr>
              <w:t>Intimate contact with unknown and/or multiple partners**</w:t>
            </w:r>
          </w:p>
        </w:tc>
        <w:tc>
          <w:tcPr>
            <w:tcW w:w="2014" w:type="dxa"/>
          </w:tcPr>
          <w:p w14:paraId="72C4F718" w14:textId="77777777" w:rsidR="003136B9" w:rsidRDefault="00000000">
            <w:pPr>
              <w:spacing w:before="120"/>
              <w:jc w:val="center"/>
              <w:rPr>
                <w:sz w:val="22"/>
                <w:szCs w:val="22"/>
              </w:rPr>
            </w:pPr>
            <w:r>
              <w:rPr>
                <w:sz w:val="22"/>
                <w:szCs w:val="22"/>
              </w:rPr>
              <w:t>369 (26.1)</w:t>
            </w:r>
          </w:p>
        </w:tc>
        <w:tc>
          <w:tcPr>
            <w:tcW w:w="1724" w:type="dxa"/>
          </w:tcPr>
          <w:p w14:paraId="09484B9C" w14:textId="77777777" w:rsidR="003136B9" w:rsidRDefault="00000000">
            <w:pPr>
              <w:spacing w:before="120"/>
              <w:jc w:val="center"/>
              <w:rPr>
                <w:sz w:val="22"/>
                <w:szCs w:val="22"/>
              </w:rPr>
            </w:pPr>
            <w:r>
              <w:rPr>
                <w:sz w:val="22"/>
                <w:szCs w:val="22"/>
              </w:rPr>
              <w:t>244 (48.6)</w:t>
            </w:r>
          </w:p>
        </w:tc>
        <w:tc>
          <w:tcPr>
            <w:tcW w:w="1665" w:type="dxa"/>
          </w:tcPr>
          <w:p w14:paraId="358944C3" w14:textId="77777777" w:rsidR="003136B9" w:rsidRDefault="00000000">
            <w:pPr>
              <w:spacing w:before="120"/>
              <w:ind w:right="-109"/>
              <w:jc w:val="center"/>
              <w:rPr>
                <w:sz w:val="22"/>
                <w:szCs w:val="22"/>
              </w:rPr>
            </w:pPr>
            <w:r>
              <w:rPr>
                <w:sz w:val="22"/>
                <w:szCs w:val="22"/>
              </w:rPr>
              <w:t>112 (13.1)</w:t>
            </w:r>
          </w:p>
        </w:tc>
      </w:tr>
      <w:tr w:rsidR="003136B9" w14:paraId="28455082" w14:textId="77777777">
        <w:tc>
          <w:tcPr>
            <w:tcW w:w="3650" w:type="dxa"/>
          </w:tcPr>
          <w:p w14:paraId="539478B4" w14:textId="77777777" w:rsidR="003136B9" w:rsidRDefault="00000000">
            <w:pPr>
              <w:spacing w:before="120"/>
              <w:ind w:left="174" w:right="28"/>
              <w:rPr>
                <w:b/>
                <w:sz w:val="22"/>
                <w:szCs w:val="22"/>
              </w:rPr>
            </w:pPr>
            <w:r>
              <w:rPr>
                <w:b/>
                <w:sz w:val="22"/>
                <w:szCs w:val="22"/>
              </w:rPr>
              <w:t xml:space="preserve">Intimate contact with suspected or confirmed </w:t>
            </w:r>
            <w:proofErr w:type="spellStart"/>
            <w:r>
              <w:rPr>
                <w:b/>
                <w:sz w:val="22"/>
                <w:szCs w:val="22"/>
              </w:rPr>
              <w:t>mpox</w:t>
            </w:r>
            <w:proofErr w:type="spellEnd"/>
            <w:r>
              <w:rPr>
                <w:b/>
                <w:sz w:val="22"/>
                <w:szCs w:val="22"/>
              </w:rPr>
              <w:t xml:space="preserve"> case**</w:t>
            </w:r>
          </w:p>
        </w:tc>
        <w:tc>
          <w:tcPr>
            <w:tcW w:w="2014" w:type="dxa"/>
          </w:tcPr>
          <w:p w14:paraId="01E7647D" w14:textId="77777777" w:rsidR="003136B9" w:rsidRDefault="00000000">
            <w:pPr>
              <w:spacing w:before="120"/>
              <w:jc w:val="center"/>
              <w:rPr>
                <w:sz w:val="22"/>
                <w:szCs w:val="22"/>
              </w:rPr>
            </w:pPr>
            <w:r>
              <w:rPr>
                <w:sz w:val="22"/>
                <w:szCs w:val="22"/>
              </w:rPr>
              <w:t>280 (12.9)</w:t>
            </w:r>
          </w:p>
        </w:tc>
        <w:tc>
          <w:tcPr>
            <w:tcW w:w="1724" w:type="dxa"/>
          </w:tcPr>
          <w:p w14:paraId="2506D3BF" w14:textId="77777777" w:rsidR="003136B9" w:rsidRDefault="00000000">
            <w:pPr>
              <w:spacing w:before="120"/>
              <w:jc w:val="center"/>
              <w:rPr>
                <w:sz w:val="22"/>
                <w:szCs w:val="22"/>
              </w:rPr>
            </w:pPr>
            <w:r>
              <w:rPr>
                <w:sz w:val="22"/>
                <w:szCs w:val="22"/>
              </w:rPr>
              <w:t>115 (19.2)</w:t>
            </w:r>
          </w:p>
        </w:tc>
        <w:tc>
          <w:tcPr>
            <w:tcW w:w="1665" w:type="dxa"/>
          </w:tcPr>
          <w:p w14:paraId="11F6130B" w14:textId="77777777" w:rsidR="003136B9" w:rsidRDefault="00000000">
            <w:pPr>
              <w:spacing w:before="120"/>
              <w:ind w:right="-109"/>
              <w:jc w:val="center"/>
              <w:rPr>
                <w:sz w:val="22"/>
                <w:szCs w:val="22"/>
              </w:rPr>
            </w:pPr>
            <w:r>
              <w:rPr>
                <w:sz w:val="22"/>
                <w:szCs w:val="22"/>
              </w:rPr>
              <w:t>151 (10.2)</w:t>
            </w:r>
          </w:p>
        </w:tc>
      </w:tr>
      <w:tr w:rsidR="003136B9" w14:paraId="118B6F01" w14:textId="77777777">
        <w:tc>
          <w:tcPr>
            <w:tcW w:w="3650" w:type="dxa"/>
          </w:tcPr>
          <w:p w14:paraId="062E57F5" w14:textId="77777777" w:rsidR="003136B9" w:rsidRDefault="00000000">
            <w:pPr>
              <w:spacing w:before="120"/>
              <w:ind w:left="174" w:right="876" w:hanging="142"/>
              <w:rPr>
                <w:b/>
                <w:sz w:val="22"/>
                <w:szCs w:val="22"/>
              </w:rPr>
            </w:pPr>
            <w:r>
              <w:rPr>
                <w:b/>
                <w:sz w:val="22"/>
                <w:szCs w:val="22"/>
              </w:rPr>
              <w:t>International travel in the last 21 days</w:t>
            </w:r>
          </w:p>
        </w:tc>
        <w:tc>
          <w:tcPr>
            <w:tcW w:w="2014" w:type="dxa"/>
          </w:tcPr>
          <w:p w14:paraId="3AF1057B" w14:textId="77777777" w:rsidR="003136B9" w:rsidRDefault="00000000">
            <w:pPr>
              <w:spacing w:before="120"/>
              <w:jc w:val="center"/>
              <w:rPr>
                <w:sz w:val="22"/>
                <w:szCs w:val="22"/>
              </w:rPr>
            </w:pPr>
            <w:r>
              <w:rPr>
                <w:sz w:val="22"/>
                <w:szCs w:val="22"/>
              </w:rPr>
              <w:t>10 (0.3)</w:t>
            </w:r>
          </w:p>
        </w:tc>
        <w:tc>
          <w:tcPr>
            <w:tcW w:w="1724" w:type="dxa"/>
          </w:tcPr>
          <w:p w14:paraId="4B6C115B" w14:textId="77777777" w:rsidR="003136B9" w:rsidRDefault="00000000">
            <w:pPr>
              <w:spacing w:before="120"/>
              <w:jc w:val="center"/>
              <w:rPr>
                <w:sz w:val="22"/>
                <w:szCs w:val="22"/>
              </w:rPr>
            </w:pPr>
            <w:r>
              <w:rPr>
                <w:sz w:val="22"/>
                <w:szCs w:val="22"/>
              </w:rPr>
              <w:t>5 (0.6)</w:t>
            </w:r>
          </w:p>
        </w:tc>
        <w:tc>
          <w:tcPr>
            <w:tcW w:w="1665" w:type="dxa"/>
          </w:tcPr>
          <w:p w14:paraId="0BE2A974" w14:textId="77777777" w:rsidR="003136B9" w:rsidRDefault="00000000">
            <w:pPr>
              <w:spacing w:before="120"/>
              <w:ind w:right="-109"/>
              <w:jc w:val="center"/>
              <w:rPr>
                <w:sz w:val="22"/>
                <w:szCs w:val="22"/>
              </w:rPr>
            </w:pPr>
            <w:r>
              <w:rPr>
                <w:sz w:val="22"/>
                <w:szCs w:val="22"/>
              </w:rPr>
              <w:t>5 (0.2)</w:t>
            </w:r>
          </w:p>
        </w:tc>
      </w:tr>
      <w:tr w:rsidR="003136B9" w14:paraId="2901FEC8" w14:textId="77777777">
        <w:tc>
          <w:tcPr>
            <w:tcW w:w="3650" w:type="dxa"/>
          </w:tcPr>
          <w:p w14:paraId="2D2E451E" w14:textId="77777777" w:rsidR="003136B9" w:rsidRDefault="00000000">
            <w:pPr>
              <w:spacing w:before="120"/>
              <w:rPr>
                <w:b/>
                <w:sz w:val="22"/>
                <w:szCs w:val="22"/>
              </w:rPr>
            </w:pPr>
            <w:r>
              <w:rPr>
                <w:b/>
                <w:sz w:val="22"/>
                <w:szCs w:val="22"/>
              </w:rPr>
              <w:t>PLWH</w:t>
            </w:r>
          </w:p>
        </w:tc>
        <w:tc>
          <w:tcPr>
            <w:tcW w:w="2014" w:type="dxa"/>
          </w:tcPr>
          <w:p w14:paraId="631E5BE0" w14:textId="77777777" w:rsidR="003136B9" w:rsidRDefault="00000000">
            <w:pPr>
              <w:spacing w:before="120"/>
              <w:jc w:val="center"/>
              <w:rPr>
                <w:sz w:val="22"/>
                <w:szCs w:val="22"/>
              </w:rPr>
            </w:pPr>
            <w:r>
              <w:rPr>
                <w:sz w:val="22"/>
                <w:szCs w:val="22"/>
              </w:rPr>
              <w:t>370 (12.0)</w:t>
            </w:r>
          </w:p>
        </w:tc>
        <w:tc>
          <w:tcPr>
            <w:tcW w:w="1724" w:type="dxa"/>
          </w:tcPr>
          <w:p w14:paraId="1EB78142" w14:textId="77777777" w:rsidR="003136B9" w:rsidRDefault="00000000">
            <w:pPr>
              <w:spacing w:before="120"/>
              <w:jc w:val="center"/>
              <w:rPr>
                <w:sz w:val="22"/>
                <w:szCs w:val="22"/>
              </w:rPr>
            </w:pPr>
            <w:r>
              <w:rPr>
                <w:sz w:val="22"/>
                <w:szCs w:val="22"/>
              </w:rPr>
              <w:t>285 (34.9)</w:t>
            </w:r>
          </w:p>
        </w:tc>
        <w:tc>
          <w:tcPr>
            <w:tcW w:w="1665" w:type="dxa"/>
          </w:tcPr>
          <w:p w14:paraId="00E69580" w14:textId="77777777" w:rsidR="003136B9" w:rsidRDefault="00000000">
            <w:pPr>
              <w:spacing w:before="120"/>
              <w:ind w:right="-109"/>
              <w:jc w:val="center"/>
              <w:rPr>
                <w:sz w:val="22"/>
                <w:szCs w:val="22"/>
              </w:rPr>
            </w:pPr>
            <w:r>
              <w:rPr>
                <w:sz w:val="22"/>
                <w:szCs w:val="22"/>
              </w:rPr>
              <w:t>74 (3.4)</w:t>
            </w:r>
          </w:p>
        </w:tc>
      </w:tr>
      <w:tr w:rsidR="003136B9" w14:paraId="695AF7C2" w14:textId="77777777">
        <w:trPr>
          <w:trHeight w:val="225"/>
        </w:trPr>
        <w:tc>
          <w:tcPr>
            <w:tcW w:w="3650" w:type="dxa"/>
          </w:tcPr>
          <w:p w14:paraId="4C9809BC" w14:textId="77777777" w:rsidR="003136B9" w:rsidRDefault="00000000">
            <w:pPr>
              <w:ind w:left="457" w:hanging="283"/>
              <w:rPr>
                <w:sz w:val="22"/>
                <w:szCs w:val="22"/>
              </w:rPr>
            </w:pPr>
            <w:r>
              <w:rPr>
                <w:sz w:val="22"/>
                <w:szCs w:val="22"/>
              </w:rPr>
              <w:t>CD4 count &lt; 200</w:t>
            </w:r>
          </w:p>
        </w:tc>
        <w:tc>
          <w:tcPr>
            <w:tcW w:w="2014" w:type="dxa"/>
          </w:tcPr>
          <w:p w14:paraId="7FBA56C9" w14:textId="77777777" w:rsidR="003136B9" w:rsidRDefault="00000000">
            <w:pPr>
              <w:jc w:val="center"/>
              <w:rPr>
                <w:sz w:val="22"/>
                <w:szCs w:val="22"/>
              </w:rPr>
            </w:pPr>
            <w:r>
              <w:rPr>
                <w:sz w:val="22"/>
                <w:szCs w:val="22"/>
              </w:rPr>
              <w:t>26 (7.0)</w:t>
            </w:r>
          </w:p>
        </w:tc>
        <w:tc>
          <w:tcPr>
            <w:tcW w:w="1724" w:type="dxa"/>
          </w:tcPr>
          <w:p w14:paraId="2AA04B51" w14:textId="77777777" w:rsidR="003136B9" w:rsidRDefault="00000000">
            <w:pPr>
              <w:jc w:val="center"/>
              <w:rPr>
                <w:sz w:val="22"/>
                <w:szCs w:val="22"/>
              </w:rPr>
            </w:pPr>
            <w:r>
              <w:rPr>
                <w:sz w:val="22"/>
                <w:szCs w:val="22"/>
              </w:rPr>
              <w:t>20 (7.0)</w:t>
            </w:r>
          </w:p>
        </w:tc>
        <w:tc>
          <w:tcPr>
            <w:tcW w:w="1665" w:type="dxa"/>
          </w:tcPr>
          <w:p w14:paraId="62762449" w14:textId="77777777" w:rsidR="003136B9" w:rsidRDefault="00000000">
            <w:pPr>
              <w:ind w:right="-109"/>
              <w:jc w:val="center"/>
              <w:rPr>
                <w:sz w:val="22"/>
                <w:szCs w:val="22"/>
              </w:rPr>
            </w:pPr>
            <w:r>
              <w:rPr>
                <w:sz w:val="22"/>
                <w:szCs w:val="22"/>
              </w:rPr>
              <w:t>6 (8.1)</w:t>
            </w:r>
          </w:p>
        </w:tc>
      </w:tr>
      <w:tr w:rsidR="003136B9" w14:paraId="7FB9F975" w14:textId="77777777">
        <w:tc>
          <w:tcPr>
            <w:tcW w:w="3650" w:type="dxa"/>
          </w:tcPr>
          <w:p w14:paraId="61DFB540" w14:textId="77777777" w:rsidR="003136B9" w:rsidRDefault="00000000">
            <w:pPr>
              <w:ind w:left="457" w:hanging="283"/>
              <w:rPr>
                <w:sz w:val="22"/>
                <w:szCs w:val="22"/>
              </w:rPr>
            </w:pPr>
            <w:r>
              <w:rPr>
                <w:rFonts w:ascii="Arial Unicode MS" w:eastAsia="Arial Unicode MS" w:hAnsi="Arial Unicode MS" w:cs="Arial Unicode MS"/>
                <w:sz w:val="22"/>
                <w:szCs w:val="22"/>
              </w:rPr>
              <w:t>CD4 count ≥ 200</w:t>
            </w:r>
          </w:p>
        </w:tc>
        <w:tc>
          <w:tcPr>
            <w:tcW w:w="2014" w:type="dxa"/>
          </w:tcPr>
          <w:p w14:paraId="5E39480B" w14:textId="77777777" w:rsidR="003136B9" w:rsidRDefault="00000000">
            <w:pPr>
              <w:jc w:val="center"/>
              <w:rPr>
                <w:sz w:val="22"/>
                <w:szCs w:val="22"/>
              </w:rPr>
            </w:pPr>
            <w:r>
              <w:rPr>
                <w:sz w:val="22"/>
                <w:szCs w:val="22"/>
              </w:rPr>
              <w:t>231 (62.4)</w:t>
            </w:r>
          </w:p>
        </w:tc>
        <w:tc>
          <w:tcPr>
            <w:tcW w:w="1724" w:type="dxa"/>
          </w:tcPr>
          <w:p w14:paraId="568DA822" w14:textId="77777777" w:rsidR="003136B9" w:rsidRDefault="00000000">
            <w:pPr>
              <w:jc w:val="center"/>
              <w:rPr>
                <w:sz w:val="22"/>
                <w:szCs w:val="22"/>
              </w:rPr>
            </w:pPr>
            <w:r>
              <w:rPr>
                <w:sz w:val="22"/>
                <w:szCs w:val="22"/>
              </w:rPr>
              <w:t>183 (64.2)</w:t>
            </w:r>
          </w:p>
        </w:tc>
        <w:tc>
          <w:tcPr>
            <w:tcW w:w="1665" w:type="dxa"/>
          </w:tcPr>
          <w:p w14:paraId="13780DE6" w14:textId="77777777" w:rsidR="003136B9" w:rsidRDefault="00000000">
            <w:pPr>
              <w:ind w:right="-109"/>
              <w:jc w:val="center"/>
              <w:rPr>
                <w:sz w:val="22"/>
                <w:szCs w:val="22"/>
              </w:rPr>
            </w:pPr>
            <w:r>
              <w:rPr>
                <w:sz w:val="22"/>
                <w:szCs w:val="22"/>
              </w:rPr>
              <w:t>45 (60.8)</w:t>
            </w:r>
          </w:p>
        </w:tc>
      </w:tr>
      <w:tr w:rsidR="003136B9" w14:paraId="0798AFA8" w14:textId="77777777">
        <w:tc>
          <w:tcPr>
            <w:tcW w:w="3650" w:type="dxa"/>
          </w:tcPr>
          <w:p w14:paraId="1CA3F398" w14:textId="77777777" w:rsidR="003136B9" w:rsidRDefault="00000000">
            <w:pPr>
              <w:ind w:left="457" w:hanging="283"/>
              <w:rPr>
                <w:sz w:val="22"/>
                <w:szCs w:val="22"/>
              </w:rPr>
            </w:pPr>
            <w:r>
              <w:rPr>
                <w:sz w:val="22"/>
                <w:szCs w:val="22"/>
              </w:rPr>
              <w:t>Unknown</w:t>
            </w:r>
          </w:p>
        </w:tc>
        <w:tc>
          <w:tcPr>
            <w:tcW w:w="2014" w:type="dxa"/>
          </w:tcPr>
          <w:p w14:paraId="58C4CBE2" w14:textId="77777777" w:rsidR="003136B9" w:rsidRDefault="00000000">
            <w:pPr>
              <w:jc w:val="center"/>
              <w:rPr>
                <w:sz w:val="22"/>
                <w:szCs w:val="22"/>
              </w:rPr>
            </w:pPr>
            <w:r>
              <w:rPr>
                <w:sz w:val="22"/>
                <w:szCs w:val="22"/>
              </w:rPr>
              <w:t>113 (30.5)</w:t>
            </w:r>
          </w:p>
        </w:tc>
        <w:tc>
          <w:tcPr>
            <w:tcW w:w="1724" w:type="dxa"/>
          </w:tcPr>
          <w:p w14:paraId="10CE89C0" w14:textId="77777777" w:rsidR="003136B9" w:rsidRDefault="00000000">
            <w:pPr>
              <w:jc w:val="center"/>
              <w:rPr>
                <w:sz w:val="22"/>
                <w:szCs w:val="22"/>
              </w:rPr>
            </w:pPr>
            <w:r>
              <w:rPr>
                <w:sz w:val="22"/>
                <w:szCs w:val="22"/>
              </w:rPr>
              <w:t>82 (28.8)</w:t>
            </w:r>
          </w:p>
        </w:tc>
        <w:tc>
          <w:tcPr>
            <w:tcW w:w="1665" w:type="dxa"/>
          </w:tcPr>
          <w:p w14:paraId="5E874CC3" w14:textId="77777777" w:rsidR="003136B9" w:rsidRDefault="00000000">
            <w:pPr>
              <w:ind w:right="-109"/>
              <w:jc w:val="center"/>
              <w:rPr>
                <w:sz w:val="22"/>
                <w:szCs w:val="22"/>
              </w:rPr>
            </w:pPr>
            <w:r>
              <w:rPr>
                <w:sz w:val="22"/>
                <w:szCs w:val="22"/>
              </w:rPr>
              <w:t>23 (31.1)</w:t>
            </w:r>
          </w:p>
        </w:tc>
      </w:tr>
      <w:tr w:rsidR="003136B9" w14:paraId="1B72D9E0" w14:textId="77777777">
        <w:tc>
          <w:tcPr>
            <w:tcW w:w="3650" w:type="dxa"/>
          </w:tcPr>
          <w:p w14:paraId="07977935" w14:textId="77777777" w:rsidR="003136B9" w:rsidRDefault="00000000">
            <w:pPr>
              <w:spacing w:before="120"/>
              <w:rPr>
                <w:b/>
                <w:sz w:val="22"/>
                <w:szCs w:val="22"/>
              </w:rPr>
            </w:pPr>
            <w:r>
              <w:rPr>
                <w:b/>
                <w:sz w:val="22"/>
                <w:szCs w:val="22"/>
              </w:rPr>
              <w:t>Active STI other than HIV</w:t>
            </w:r>
          </w:p>
        </w:tc>
        <w:tc>
          <w:tcPr>
            <w:tcW w:w="2014" w:type="dxa"/>
          </w:tcPr>
          <w:p w14:paraId="59118A12" w14:textId="77777777" w:rsidR="003136B9" w:rsidRDefault="003136B9">
            <w:pPr>
              <w:spacing w:before="120"/>
              <w:jc w:val="center"/>
              <w:rPr>
                <w:sz w:val="22"/>
                <w:szCs w:val="22"/>
              </w:rPr>
            </w:pPr>
          </w:p>
        </w:tc>
        <w:tc>
          <w:tcPr>
            <w:tcW w:w="1724" w:type="dxa"/>
          </w:tcPr>
          <w:p w14:paraId="10EAA7A3" w14:textId="77777777" w:rsidR="003136B9" w:rsidRDefault="003136B9">
            <w:pPr>
              <w:spacing w:before="120"/>
              <w:jc w:val="center"/>
              <w:rPr>
                <w:sz w:val="22"/>
                <w:szCs w:val="22"/>
              </w:rPr>
            </w:pPr>
          </w:p>
        </w:tc>
        <w:tc>
          <w:tcPr>
            <w:tcW w:w="1665" w:type="dxa"/>
          </w:tcPr>
          <w:p w14:paraId="152DDC8D" w14:textId="77777777" w:rsidR="003136B9" w:rsidRDefault="003136B9">
            <w:pPr>
              <w:spacing w:before="120"/>
              <w:ind w:right="-109"/>
              <w:jc w:val="center"/>
              <w:rPr>
                <w:sz w:val="22"/>
                <w:szCs w:val="22"/>
              </w:rPr>
            </w:pPr>
          </w:p>
        </w:tc>
      </w:tr>
      <w:tr w:rsidR="003136B9" w14:paraId="7EFD9F48" w14:textId="77777777">
        <w:tc>
          <w:tcPr>
            <w:tcW w:w="3650" w:type="dxa"/>
          </w:tcPr>
          <w:p w14:paraId="201D393F" w14:textId="77777777" w:rsidR="003136B9" w:rsidRDefault="00000000">
            <w:pPr>
              <w:ind w:left="457" w:hanging="283"/>
              <w:rPr>
                <w:sz w:val="22"/>
                <w:szCs w:val="22"/>
              </w:rPr>
            </w:pPr>
            <w:r>
              <w:rPr>
                <w:sz w:val="22"/>
                <w:szCs w:val="22"/>
              </w:rPr>
              <w:t>Syphilis</w:t>
            </w:r>
          </w:p>
        </w:tc>
        <w:tc>
          <w:tcPr>
            <w:tcW w:w="2014" w:type="dxa"/>
          </w:tcPr>
          <w:p w14:paraId="1C29FBAF" w14:textId="77777777" w:rsidR="003136B9" w:rsidRDefault="00000000">
            <w:pPr>
              <w:jc w:val="center"/>
              <w:rPr>
                <w:sz w:val="22"/>
                <w:szCs w:val="22"/>
              </w:rPr>
            </w:pPr>
            <w:r>
              <w:rPr>
                <w:sz w:val="22"/>
                <w:szCs w:val="22"/>
              </w:rPr>
              <w:t>92 (3.0)</w:t>
            </w:r>
          </w:p>
        </w:tc>
        <w:tc>
          <w:tcPr>
            <w:tcW w:w="1724" w:type="dxa"/>
          </w:tcPr>
          <w:p w14:paraId="11A91B3B" w14:textId="77777777" w:rsidR="003136B9" w:rsidRDefault="00000000">
            <w:pPr>
              <w:jc w:val="center"/>
              <w:rPr>
                <w:sz w:val="22"/>
                <w:szCs w:val="22"/>
              </w:rPr>
            </w:pPr>
            <w:r>
              <w:rPr>
                <w:sz w:val="22"/>
                <w:szCs w:val="22"/>
              </w:rPr>
              <w:t>51 (6.3)</w:t>
            </w:r>
          </w:p>
        </w:tc>
        <w:tc>
          <w:tcPr>
            <w:tcW w:w="1665" w:type="dxa"/>
          </w:tcPr>
          <w:p w14:paraId="1F8651D2" w14:textId="77777777" w:rsidR="003136B9" w:rsidRDefault="00000000">
            <w:pPr>
              <w:ind w:right="-109"/>
              <w:jc w:val="center"/>
              <w:rPr>
                <w:sz w:val="22"/>
                <w:szCs w:val="22"/>
              </w:rPr>
            </w:pPr>
            <w:r>
              <w:rPr>
                <w:sz w:val="22"/>
                <w:szCs w:val="22"/>
              </w:rPr>
              <w:t>39 (1.8)</w:t>
            </w:r>
          </w:p>
        </w:tc>
      </w:tr>
      <w:tr w:rsidR="003136B9" w14:paraId="61975F85" w14:textId="77777777">
        <w:tc>
          <w:tcPr>
            <w:tcW w:w="3650" w:type="dxa"/>
          </w:tcPr>
          <w:p w14:paraId="62D47D9F" w14:textId="77777777" w:rsidR="003136B9" w:rsidRDefault="00000000">
            <w:pPr>
              <w:ind w:left="457" w:hanging="283"/>
              <w:rPr>
                <w:sz w:val="22"/>
                <w:szCs w:val="22"/>
              </w:rPr>
            </w:pPr>
            <w:r>
              <w:rPr>
                <w:sz w:val="22"/>
                <w:szCs w:val="22"/>
              </w:rPr>
              <w:t>Gonorrhea</w:t>
            </w:r>
          </w:p>
        </w:tc>
        <w:tc>
          <w:tcPr>
            <w:tcW w:w="2014" w:type="dxa"/>
          </w:tcPr>
          <w:p w14:paraId="0CE42F55" w14:textId="77777777" w:rsidR="003136B9" w:rsidRDefault="00000000">
            <w:pPr>
              <w:jc w:val="center"/>
              <w:rPr>
                <w:sz w:val="22"/>
                <w:szCs w:val="22"/>
              </w:rPr>
            </w:pPr>
            <w:r>
              <w:rPr>
                <w:sz w:val="22"/>
                <w:szCs w:val="22"/>
              </w:rPr>
              <w:t>5 (0.2)</w:t>
            </w:r>
          </w:p>
        </w:tc>
        <w:tc>
          <w:tcPr>
            <w:tcW w:w="1724" w:type="dxa"/>
          </w:tcPr>
          <w:p w14:paraId="28F878F1" w14:textId="77777777" w:rsidR="003136B9" w:rsidRDefault="00000000">
            <w:pPr>
              <w:jc w:val="center"/>
              <w:rPr>
                <w:sz w:val="22"/>
                <w:szCs w:val="22"/>
              </w:rPr>
            </w:pPr>
            <w:r>
              <w:rPr>
                <w:sz w:val="22"/>
                <w:szCs w:val="22"/>
              </w:rPr>
              <w:t>4 (0.5)</w:t>
            </w:r>
          </w:p>
        </w:tc>
        <w:tc>
          <w:tcPr>
            <w:tcW w:w="1665" w:type="dxa"/>
          </w:tcPr>
          <w:p w14:paraId="5F447DB5" w14:textId="77777777" w:rsidR="003136B9" w:rsidRDefault="00000000">
            <w:pPr>
              <w:ind w:right="-109"/>
              <w:jc w:val="center"/>
              <w:rPr>
                <w:sz w:val="22"/>
                <w:szCs w:val="22"/>
              </w:rPr>
            </w:pPr>
            <w:r>
              <w:rPr>
                <w:sz w:val="22"/>
                <w:szCs w:val="22"/>
              </w:rPr>
              <w:t>1 (0.05)</w:t>
            </w:r>
          </w:p>
        </w:tc>
      </w:tr>
      <w:tr w:rsidR="003136B9" w14:paraId="65D9248F" w14:textId="77777777">
        <w:tc>
          <w:tcPr>
            <w:tcW w:w="3650" w:type="dxa"/>
          </w:tcPr>
          <w:p w14:paraId="07385832" w14:textId="77777777" w:rsidR="003136B9" w:rsidRDefault="00000000">
            <w:pPr>
              <w:ind w:left="457" w:hanging="283"/>
              <w:rPr>
                <w:sz w:val="22"/>
                <w:szCs w:val="22"/>
              </w:rPr>
            </w:pPr>
            <w:r>
              <w:rPr>
                <w:sz w:val="22"/>
                <w:szCs w:val="22"/>
              </w:rPr>
              <w:t>Other</w:t>
            </w:r>
          </w:p>
        </w:tc>
        <w:tc>
          <w:tcPr>
            <w:tcW w:w="2014" w:type="dxa"/>
          </w:tcPr>
          <w:p w14:paraId="179C38B4" w14:textId="77777777" w:rsidR="003136B9" w:rsidRDefault="00000000">
            <w:pPr>
              <w:jc w:val="center"/>
              <w:rPr>
                <w:sz w:val="22"/>
                <w:szCs w:val="22"/>
              </w:rPr>
            </w:pPr>
            <w:r>
              <w:rPr>
                <w:sz w:val="22"/>
                <w:szCs w:val="22"/>
              </w:rPr>
              <w:t>8 (0.3)</w:t>
            </w:r>
          </w:p>
        </w:tc>
        <w:tc>
          <w:tcPr>
            <w:tcW w:w="1724" w:type="dxa"/>
          </w:tcPr>
          <w:p w14:paraId="5F381041" w14:textId="77777777" w:rsidR="003136B9" w:rsidRDefault="00000000">
            <w:pPr>
              <w:jc w:val="center"/>
              <w:rPr>
                <w:sz w:val="22"/>
                <w:szCs w:val="22"/>
              </w:rPr>
            </w:pPr>
            <w:r>
              <w:rPr>
                <w:sz w:val="22"/>
                <w:szCs w:val="22"/>
              </w:rPr>
              <w:t>1 (0.1)</w:t>
            </w:r>
          </w:p>
        </w:tc>
        <w:tc>
          <w:tcPr>
            <w:tcW w:w="1665" w:type="dxa"/>
          </w:tcPr>
          <w:p w14:paraId="04D476AB" w14:textId="77777777" w:rsidR="003136B9" w:rsidRDefault="00000000">
            <w:pPr>
              <w:ind w:right="-109"/>
              <w:jc w:val="center"/>
              <w:rPr>
                <w:sz w:val="22"/>
                <w:szCs w:val="22"/>
              </w:rPr>
            </w:pPr>
            <w:r>
              <w:rPr>
                <w:sz w:val="22"/>
                <w:szCs w:val="22"/>
              </w:rPr>
              <w:t>6 (0.3)</w:t>
            </w:r>
          </w:p>
        </w:tc>
      </w:tr>
      <w:tr w:rsidR="003136B9" w14:paraId="0157C1EF" w14:textId="77777777">
        <w:tc>
          <w:tcPr>
            <w:tcW w:w="3650" w:type="dxa"/>
          </w:tcPr>
          <w:p w14:paraId="565C62C1" w14:textId="77777777" w:rsidR="003136B9" w:rsidRDefault="00000000">
            <w:pPr>
              <w:spacing w:before="120"/>
              <w:rPr>
                <w:b/>
                <w:sz w:val="22"/>
                <w:szCs w:val="22"/>
              </w:rPr>
            </w:pPr>
            <w:r>
              <w:rPr>
                <w:b/>
                <w:sz w:val="22"/>
                <w:szCs w:val="22"/>
              </w:rPr>
              <w:t>Varicella zoster infection</w:t>
            </w:r>
          </w:p>
        </w:tc>
        <w:tc>
          <w:tcPr>
            <w:tcW w:w="2014" w:type="dxa"/>
          </w:tcPr>
          <w:p w14:paraId="31457A07" w14:textId="77777777" w:rsidR="003136B9" w:rsidRDefault="00000000">
            <w:pPr>
              <w:spacing w:before="120"/>
              <w:jc w:val="center"/>
              <w:rPr>
                <w:sz w:val="22"/>
                <w:szCs w:val="22"/>
              </w:rPr>
            </w:pPr>
            <w:r>
              <w:rPr>
                <w:sz w:val="22"/>
                <w:szCs w:val="22"/>
              </w:rPr>
              <w:t>189 (6.1)</w:t>
            </w:r>
          </w:p>
        </w:tc>
        <w:tc>
          <w:tcPr>
            <w:tcW w:w="1724" w:type="dxa"/>
          </w:tcPr>
          <w:p w14:paraId="5167384E" w14:textId="77777777" w:rsidR="003136B9" w:rsidRDefault="00000000">
            <w:pPr>
              <w:spacing w:before="120"/>
              <w:jc w:val="center"/>
              <w:rPr>
                <w:sz w:val="22"/>
                <w:szCs w:val="22"/>
              </w:rPr>
            </w:pPr>
            <w:r>
              <w:rPr>
                <w:sz w:val="22"/>
                <w:szCs w:val="22"/>
              </w:rPr>
              <w:t>8 (1.0)</w:t>
            </w:r>
          </w:p>
        </w:tc>
        <w:tc>
          <w:tcPr>
            <w:tcW w:w="1665" w:type="dxa"/>
          </w:tcPr>
          <w:p w14:paraId="7FE7F966" w14:textId="77777777" w:rsidR="003136B9" w:rsidRDefault="00000000">
            <w:pPr>
              <w:spacing w:before="120"/>
              <w:ind w:right="-109"/>
              <w:jc w:val="center"/>
              <w:rPr>
                <w:sz w:val="22"/>
                <w:szCs w:val="22"/>
              </w:rPr>
            </w:pPr>
            <w:r>
              <w:rPr>
                <w:sz w:val="22"/>
                <w:szCs w:val="22"/>
              </w:rPr>
              <w:t>173 (8.0)</w:t>
            </w:r>
          </w:p>
        </w:tc>
      </w:tr>
      <w:tr w:rsidR="003136B9" w14:paraId="18F6DCC7" w14:textId="77777777">
        <w:tc>
          <w:tcPr>
            <w:tcW w:w="3650" w:type="dxa"/>
          </w:tcPr>
          <w:p w14:paraId="1EB79550" w14:textId="77777777" w:rsidR="003136B9" w:rsidRDefault="00000000">
            <w:pPr>
              <w:spacing w:before="120"/>
              <w:rPr>
                <w:b/>
                <w:sz w:val="22"/>
                <w:szCs w:val="22"/>
              </w:rPr>
            </w:pPr>
            <w:r>
              <w:rPr>
                <w:b/>
                <w:sz w:val="22"/>
                <w:szCs w:val="22"/>
              </w:rPr>
              <w:t>Asymptomatic</w:t>
            </w:r>
          </w:p>
        </w:tc>
        <w:tc>
          <w:tcPr>
            <w:tcW w:w="2014" w:type="dxa"/>
          </w:tcPr>
          <w:p w14:paraId="03E7ED58" w14:textId="77777777" w:rsidR="003136B9" w:rsidRDefault="00000000">
            <w:pPr>
              <w:spacing w:before="120"/>
              <w:jc w:val="center"/>
              <w:rPr>
                <w:sz w:val="22"/>
                <w:szCs w:val="22"/>
              </w:rPr>
            </w:pPr>
            <w:r>
              <w:rPr>
                <w:sz w:val="22"/>
                <w:szCs w:val="22"/>
              </w:rPr>
              <w:t>103 (3.3)</w:t>
            </w:r>
          </w:p>
        </w:tc>
        <w:tc>
          <w:tcPr>
            <w:tcW w:w="1724" w:type="dxa"/>
          </w:tcPr>
          <w:p w14:paraId="7388E853" w14:textId="77777777" w:rsidR="003136B9" w:rsidRDefault="00000000">
            <w:pPr>
              <w:spacing w:before="120"/>
              <w:jc w:val="center"/>
              <w:rPr>
                <w:sz w:val="22"/>
                <w:szCs w:val="22"/>
              </w:rPr>
            </w:pPr>
            <w:r>
              <w:rPr>
                <w:sz w:val="22"/>
                <w:szCs w:val="22"/>
              </w:rPr>
              <w:t>9 (1.1)</w:t>
            </w:r>
          </w:p>
        </w:tc>
        <w:tc>
          <w:tcPr>
            <w:tcW w:w="1665" w:type="dxa"/>
          </w:tcPr>
          <w:p w14:paraId="6645A5CF" w14:textId="77777777" w:rsidR="003136B9" w:rsidRDefault="00000000">
            <w:pPr>
              <w:spacing w:before="120"/>
              <w:ind w:right="-109"/>
              <w:jc w:val="center"/>
              <w:rPr>
                <w:sz w:val="22"/>
                <w:szCs w:val="22"/>
              </w:rPr>
            </w:pPr>
            <w:r>
              <w:rPr>
                <w:sz w:val="22"/>
                <w:szCs w:val="22"/>
              </w:rPr>
              <w:t>91 (4.2)</w:t>
            </w:r>
          </w:p>
        </w:tc>
      </w:tr>
      <w:tr w:rsidR="003136B9" w14:paraId="3F56545C" w14:textId="77777777">
        <w:tc>
          <w:tcPr>
            <w:tcW w:w="3650" w:type="dxa"/>
          </w:tcPr>
          <w:p w14:paraId="51808B52" w14:textId="77777777" w:rsidR="003136B9" w:rsidRDefault="00000000">
            <w:pPr>
              <w:spacing w:before="120"/>
              <w:rPr>
                <w:b/>
                <w:sz w:val="22"/>
                <w:szCs w:val="22"/>
              </w:rPr>
            </w:pPr>
            <w:r>
              <w:rPr>
                <w:b/>
                <w:sz w:val="22"/>
                <w:szCs w:val="22"/>
              </w:rPr>
              <w:t>Hospitalization</w:t>
            </w:r>
          </w:p>
        </w:tc>
        <w:tc>
          <w:tcPr>
            <w:tcW w:w="2014" w:type="dxa"/>
          </w:tcPr>
          <w:p w14:paraId="4B6D9823" w14:textId="77777777" w:rsidR="003136B9" w:rsidRDefault="00000000">
            <w:pPr>
              <w:spacing w:before="120"/>
              <w:jc w:val="center"/>
              <w:rPr>
                <w:sz w:val="22"/>
                <w:szCs w:val="22"/>
              </w:rPr>
            </w:pPr>
            <w:r>
              <w:rPr>
                <w:sz w:val="22"/>
                <w:szCs w:val="22"/>
              </w:rPr>
              <w:t>123 (4.0)</w:t>
            </w:r>
          </w:p>
        </w:tc>
        <w:tc>
          <w:tcPr>
            <w:tcW w:w="1724" w:type="dxa"/>
          </w:tcPr>
          <w:p w14:paraId="46725E44" w14:textId="77777777" w:rsidR="003136B9" w:rsidRDefault="00000000">
            <w:pPr>
              <w:spacing w:before="120"/>
              <w:jc w:val="center"/>
              <w:rPr>
                <w:sz w:val="22"/>
                <w:szCs w:val="22"/>
              </w:rPr>
            </w:pPr>
            <w:r>
              <w:rPr>
                <w:sz w:val="22"/>
                <w:szCs w:val="22"/>
              </w:rPr>
              <w:t>37 (4.5)</w:t>
            </w:r>
          </w:p>
        </w:tc>
        <w:tc>
          <w:tcPr>
            <w:tcW w:w="1665" w:type="dxa"/>
          </w:tcPr>
          <w:p w14:paraId="2C973198" w14:textId="77777777" w:rsidR="003136B9" w:rsidRDefault="00000000">
            <w:pPr>
              <w:spacing w:before="120"/>
              <w:ind w:right="-109"/>
              <w:jc w:val="center"/>
              <w:rPr>
                <w:sz w:val="22"/>
                <w:szCs w:val="22"/>
              </w:rPr>
            </w:pPr>
            <w:r>
              <w:rPr>
                <w:sz w:val="22"/>
                <w:szCs w:val="22"/>
              </w:rPr>
              <w:t>81 (3.8)</w:t>
            </w:r>
          </w:p>
        </w:tc>
      </w:tr>
      <w:tr w:rsidR="003136B9" w14:paraId="156137FC" w14:textId="77777777">
        <w:tc>
          <w:tcPr>
            <w:tcW w:w="3650" w:type="dxa"/>
          </w:tcPr>
          <w:p w14:paraId="6DEF137A" w14:textId="77777777" w:rsidR="003136B9" w:rsidRDefault="00000000">
            <w:pPr>
              <w:spacing w:before="120"/>
              <w:rPr>
                <w:b/>
                <w:sz w:val="22"/>
                <w:szCs w:val="22"/>
              </w:rPr>
            </w:pPr>
            <w:r>
              <w:rPr>
                <w:b/>
                <w:sz w:val="22"/>
                <w:szCs w:val="22"/>
              </w:rPr>
              <w:t>ICU admission</w:t>
            </w:r>
          </w:p>
        </w:tc>
        <w:tc>
          <w:tcPr>
            <w:tcW w:w="2014" w:type="dxa"/>
          </w:tcPr>
          <w:p w14:paraId="07CB2928" w14:textId="77777777" w:rsidR="003136B9" w:rsidRDefault="00000000">
            <w:pPr>
              <w:spacing w:before="120"/>
              <w:jc w:val="center"/>
              <w:rPr>
                <w:sz w:val="22"/>
                <w:szCs w:val="22"/>
              </w:rPr>
            </w:pPr>
            <w:r>
              <w:rPr>
                <w:sz w:val="22"/>
                <w:szCs w:val="22"/>
              </w:rPr>
              <w:t>19 (0.6)</w:t>
            </w:r>
          </w:p>
        </w:tc>
        <w:tc>
          <w:tcPr>
            <w:tcW w:w="1724" w:type="dxa"/>
          </w:tcPr>
          <w:p w14:paraId="17F6A459" w14:textId="77777777" w:rsidR="003136B9" w:rsidRDefault="00000000">
            <w:pPr>
              <w:spacing w:before="120"/>
              <w:jc w:val="center"/>
              <w:rPr>
                <w:sz w:val="22"/>
                <w:szCs w:val="22"/>
              </w:rPr>
            </w:pPr>
            <w:r>
              <w:rPr>
                <w:sz w:val="22"/>
                <w:szCs w:val="22"/>
              </w:rPr>
              <w:t>6 (0.7)</w:t>
            </w:r>
          </w:p>
        </w:tc>
        <w:tc>
          <w:tcPr>
            <w:tcW w:w="1665" w:type="dxa"/>
          </w:tcPr>
          <w:p w14:paraId="6C0BA260" w14:textId="77777777" w:rsidR="003136B9" w:rsidRDefault="00000000">
            <w:pPr>
              <w:spacing w:before="120"/>
              <w:ind w:right="-109"/>
              <w:jc w:val="center"/>
              <w:rPr>
                <w:sz w:val="22"/>
                <w:szCs w:val="22"/>
              </w:rPr>
            </w:pPr>
            <w:r>
              <w:rPr>
                <w:sz w:val="22"/>
                <w:szCs w:val="22"/>
              </w:rPr>
              <w:t>12 (0.6)</w:t>
            </w:r>
          </w:p>
        </w:tc>
      </w:tr>
      <w:tr w:rsidR="003136B9" w14:paraId="744B4240" w14:textId="77777777">
        <w:tc>
          <w:tcPr>
            <w:tcW w:w="3650" w:type="dxa"/>
          </w:tcPr>
          <w:p w14:paraId="4DAD82CE" w14:textId="77777777" w:rsidR="003136B9" w:rsidRDefault="00000000">
            <w:pPr>
              <w:spacing w:before="120"/>
              <w:rPr>
                <w:b/>
                <w:sz w:val="22"/>
                <w:szCs w:val="22"/>
              </w:rPr>
            </w:pPr>
            <w:r>
              <w:rPr>
                <w:b/>
                <w:sz w:val="22"/>
                <w:szCs w:val="22"/>
              </w:rPr>
              <w:t>Death</w:t>
            </w:r>
          </w:p>
        </w:tc>
        <w:tc>
          <w:tcPr>
            <w:tcW w:w="2014" w:type="dxa"/>
          </w:tcPr>
          <w:p w14:paraId="148004E3" w14:textId="77777777" w:rsidR="003136B9" w:rsidRDefault="00000000">
            <w:pPr>
              <w:spacing w:before="120"/>
              <w:jc w:val="center"/>
              <w:rPr>
                <w:sz w:val="22"/>
                <w:szCs w:val="22"/>
              </w:rPr>
            </w:pPr>
            <w:r>
              <w:rPr>
                <w:sz w:val="22"/>
                <w:szCs w:val="22"/>
              </w:rPr>
              <w:t>8 (0.3)</w:t>
            </w:r>
          </w:p>
        </w:tc>
        <w:tc>
          <w:tcPr>
            <w:tcW w:w="1724" w:type="dxa"/>
          </w:tcPr>
          <w:p w14:paraId="0E482919" w14:textId="77777777" w:rsidR="003136B9" w:rsidRDefault="00000000">
            <w:pPr>
              <w:spacing w:before="120"/>
              <w:jc w:val="center"/>
              <w:rPr>
                <w:sz w:val="22"/>
                <w:szCs w:val="22"/>
              </w:rPr>
            </w:pPr>
            <w:r>
              <w:rPr>
                <w:sz w:val="22"/>
                <w:szCs w:val="22"/>
              </w:rPr>
              <w:t>4 (0.5)</w:t>
            </w:r>
          </w:p>
        </w:tc>
        <w:tc>
          <w:tcPr>
            <w:tcW w:w="1665" w:type="dxa"/>
          </w:tcPr>
          <w:p w14:paraId="015D5324" w14:textId="77777777" w:rsidR="003136B9" w:rsidRDefault="00000000">
            <w:pPr>
              <w:spacing w:before="120"/>
              <w:ind w:right="-109"/>
              <w:jc w:val="center"/>
              <w:rPr>
                <w:sz w:val="22"/>
                <w:szCs w:val="22"/>
              </w:rPr>
            </w:pPr>
            <w:r>
              <w:rPr>
                <w:sz w:val="22"/>
                <w:szCs w:val="22"/>
              </w:rPr>
              <w:t>4 (0.2)</w:t>
            </w:r>
          </w:p>
        </w:tc>
      </w:tr>
      <w:tr w:rsidR="003136B9" w14:paraId="347FBB53" w14:textId="77777777">
        <w:tc>
          <w:tcPr>
            <w:tcW w:w="3650" w:type="dxa"/>
          </w:tcPr>
          <w:p w14:paraId="0639779B" w14:textId="77777777" w:rsidR="003136B9" w:rsidRDefault="00000000">
            <w:pPr>
              <w:spacing w:before="120"/>
              <w:rPr>
                <w:b/>
                <w:sz w:val="22"/>
                <w:szCs w:val="22"/>
              </w:rPr>
            </w:pPr>
            <w:r>
              <w:rPr>
                <w:b/>
                <w:sz w:val="22"/>
                <w:szCs w:val="22"/>
              </w:rPr>
              <w:t xml:space="preserve">Past smallpox vaccine </w:t>
            </w:r>
          </w:p>
        </w:tc>
        <w:tc>
          <w:tcPr>
            <w:tcW w:w="2014" w:type="dxa"/>
          </w:tcPr>
          <w:p w14:paraId="65AE38F8" w14:textId="77777777" w:rsidR="003136B9" w:rsidRDefault="00000000">
            <w:pPr>
              <w:spacing w:before="120"/>
              <w:jc w:val="center"/>
              <w:rPr>
                <w:sz w:val="22"/>
                <w:szCs w:val="22"/>
              </w:rPr>
            </w:pPr>
            <w:r>
              <w:rPr>
                <w:sz w:val="22"/>
                <w:szCs w:val="22"/>
              </w:rPr>
              <w:t>107 (3.5)</w:t>
            </w:r>
          </w:p>
        </w:tc>
        <w:tc>
          <w:tcPr>
            <w:tcW w:w="1724" w:type="dxa"/>
          </w:tcPr>
          <w:p w14:paraId="67CC5CC1" w14:textId="77777777" w:rsidR="003136B9" w:rsidRDefault="00000000">
            <w:pPr>
              <w:spacing w:before="120"/>
              <w:jc w:val="center"/>
              <w:rPr>
                <w:sz w:val="22"/>
                <w:szCs w:val="22"/>
              </w:rPr>
            </w:pPr>
            <w:r>
              <w:rPr>
                <w:sz w:val="22"/>
                <w:szCs w:val="22"/>
              </w:rPr>
              <w:t>23 (2.8)</w:t>
            </w:r>
          </w:p>
        </w:tc>
        <w:tc>
          <w:tcPr>
            <w:tcW w:w="1665" w:type="dxa"/>
          </w:tcPr>
          <w:p w14:paraId="260F5013" w14:textId="77777777" w:rsidR="003136B9" w:rsidRDefault="00000000">
            <w:pPr>
              <w:spacing w:before="120"/>
              <w:ind w:right="-109"/>
              <w:jc w:val="center"/>
              <w:rPr>
                <w:sz w:val="22"/>
                <w:szCs w:val="22"/>
              </w:rPr>
            </w:pPr>
            <w:r>
              <w:rPr>
                <w:sz w:val="22"/>
                <w:szCs w:val="22"/>
              </w:rPr>
              <w:t>75 (3.5)</w:t>
            </w:r>
          </w:p>
        </w:tc>
      </w:tr>
      <w:tr w:rsidR="003136B9" w14:paraId="663EE72A" w14:textId="77777777">
        <w:tc>
          <w:tcPr>
            <w:tcW w:w="3650" w:type="dxa"/>
            <w:tcBorders>
              <w:bottom w:val="single" w:sz="4" w:space="0" w:color="000000"/>
            </w:tcBorders>
          </w:tcPr>
          <w:p w14:paraId="23423180" w14:textId="77777777" w:rsidR="003136B9" w:rsidRDefault="00000000">
            <w:pPr>
              <w:spacing w:before="120"/>
              <w:rPr>
                <w:b/>
                <w:sz w:val="22"/>
                <w:szCs w:val="22"/>
              </w:rPr>
            </w:pPr>
            <w:r>
              <w:rPr>
                <w:b/>
                <w:sz w:val="22"/>
                <w:szCs w:val="22"/>
              </w:rPr>
              <w:t>DSSO [median (IQR)]</w:t>
            </w:r>
          </w:p>
        </w:tc>
        <w:tc>
          <w:tcPr>
            <w:tcW w:w="2014" w:type="dxa"/>
            <w:tcBorders>
              <w:bottom w:val="single" w:sz="4" w:space="0" w:color="000000"/>
            </w:tcBorders>
          </w:tcPr>
          <w:p w14:paraId="3D71C6E1" w14:textId="77777777" w:rsidR="003136B9" w:rsidRDefault="00000000">
            <w:pPr>
              <w:spacing w:before="120"/>
              <w:jc w:val="center"/>
              <w:rPr>
                <w:sz w:val="22"/>
                <w:szCs w:val="22"/>
              </w:rPr>
            </w:pPr>
            <w:r>
              <w:rPr>
                <w:sz w:val="22"/>
                <w:szCs w:val="22"/>
              </w:rPr>
              <w:t>5 [3-8]</w:t>
            </w:r>
          </w:p>
        </w:tc>
        <w:tc>
          <w:tcPr>
            <w:tcW w:w="1724" w:type="dxa"/>
            <w:tcBorders>
              <w:bottom w:val="single" w:sz="4" w:space="0" w:color="000000"/>
            </w:tcBorders>
          </w:tcPr>
          <w:p w14:paraId="50E7753D" w14:textId="77777777" w:rsidR="003136B9" w:rsidRDefault="00000000">
            <w:pPr>
              <w:spacing w:before="120"/>
              <w:jc w:val="center"/>
              <w:rPr>
                <w:sz w:val="22"/>
                <w:szCs w:val="22"/>
              </w:rPr>
            </w:pPr>
            <w:r>
              <w:rPr>
                <w:sz w:val="22"/>
                <w:szCs w:val="22"/>
              </w:rPr>
              <w:t>5 [3-8]</w:t>
            </w:r>
          </w:p>
        </w:tc>
        <w:tc>
          <w:tcPr>
            <w:tcW w:w="1665" w:type="dxa"/>
            <w:tcBorders>
              <w:bottom w:val="single" w:sz="4" w:space="0" w:color="000000"/>
            </w:tcBorders>
          </w:tcPr>
          <w:p w14:paraId="5A897448" w14:textId="77777777" w:rsidR="003136B9" w:rsidRDefault="00000000">
            <w:pPr>
              <w:spacing w:before="120"/>
              <w:ind w:right="-109"/>
              <w:jc w:val="center"/>
              <w:rPr>
                <w:sz w:val="22"/>
                <w:szCs w:val="22"/>
              </w:rPr>
            </w:pPr>
            <w:r>
              <w:rPr>
                <w:sz w:val="22"/>
                <w:szCs w:val="22"/>
              </w:rPr>
              <w:t>5 [2-9]</w:t>
            </w:r>
          </w:p>
        </w:tc>
      </w:tr>
    </w:tbl>
    <w:p w14:paraId="16371D83" w14:textId="77777777" w:rsidR="003136B9" w:rsidRPr="00011EB4" w:rsidRDefault="00000000">
      <w:pPr>
        <w:spacing w:before="120" w:after="160"/>
        <w:rPr>
          <w:rFonts w:ascii="Arial" w:eastAsia="Arial" w:hAnsi="Arial" w:cs="Arial"/>
          <w:sz w:val="18"/>
          <w:szCs w:val="18"/>
        </w:rPr>
      </w:pPr>
      <w:r w:rsidRPr="00011EB4">
        <w:rPr>
          <w:rFonts w:ascii="Arial" w:eastAsia="Arial" w:hAnsi="Arial" w:cs="Arial"/>
          <w:sz w:val="18"/>
          <w:szCs w:val="18"/>
        </w:rPr>
        <w:t xml:space="preserve">*Inconclusive MPXV-PCR results = 119. **Percentages calculated for </w:t>
      </w:r>
      <w:proofErr w:type="spellStart"/>
      <w:r w:rsidRPr="00011EB4">
        <w:rPr>
          <w:rFonts w:ascii="Arial" w:eastAsia="Arial" w:hAnsi="Arial" w:cs="Arial"/>
          <w:sz w:val="18"/>
          <w:szCs w:val="18"/>
        </w:rPr>
        <w:t>nonmissing</w:t>
      </w:r>
      <w:proofErr w:type="spellEnd"/>
      <w:r w:rsidRPr="00011EB4">
        <w:rPr>
          <w:rFonts w:ascii="Arial" w:eastAsia="Arial" w:hAnsi="Arial" w:cs="Arial"/>
          <w:sz w:val="18"/>
          <w:szCs w:val="18"/>
        </w:rPr>
        <w:t xml:space="preserve"> answers (excluding females and minors for MSM). MSM: men who have sex with men. PLWH: person living with HIV; STI: sexually transmitted infection; DSSO: days since symptom onset.</w:t>
      </w:r>
      <w:r w:rsidRPr="00011EB4">
        <w:rPr>
          <w:sz w:val="18"/>
          <w:szCs w:val="18"/>
        </w:rPr>
        <w:br w:type="page"/>
      </w:r>
    </w:p>
    <w:p w14:paraId="5B73E99A" w14:textId="77777777" w:rsidR="003136B9" w:rsidRDefault="00000000">
      <w:pPr>
        <w:pStyle w:val="Ttulo2"/>
        <w:spacing w:before="220" w:after="0"/>
        <w:jc w:val="left"/>
      </w:pPr>
      <w:bookmarkStart w:id="20" w:name="_z337ya" w:colFirst="0" w:colLast="0"/>
      <w:bookmarkEnd w:id="20"/>
      <w:r>
        <w:lastRenderedPageBreak/>
        <w:t>Figure 2</w:t>
      </w:r>
    </w:p>
    <w:p w14:paraId="08D5AFEF" w14:textId="77777777" w:rsidR="003136B9" w:rsidRDefault="00000000">
      <w:pPr>
        <w:jc w:val="both"/>
        <w:rPr>
          <w:rFonts w:ascii="Arial" w:eastAsia="Arial" w:hAnsi="Arial" w:cs="Arial"/>
        </w:rPr>
      </w:pPr>
      <w:r>
        <w:rPr>
          <w:rFonts w:ascii="Arial" w:eastAsia="Arial" w:hAnsi="Arial" w:cs="Arial"/>
          <w:b/>
        </w:rPr>
        <w:t>Figure 2.</w:t>
      </w:r>
      <w:r>
        <w:rPr>
          <w:rFonts w:ascii="Arial" w:eastAsia="Arial" w:hAnsi="Arial" w:cs="Arial"/>
        </w:rPr>
        <w:t xml:space="preserve"> Forest plots showing symptom frequencies and multivariable logistic regression (</w:t>
      </w:r>
      <w:r>
        <w:rPr>
          <w:rFonts w:ascii="Arial" w:eastAsia="Arial" w:hAnsi="Arial" w:cs="Arial"/>
          <w:b/>
        </w:rPr>
        <w:t>A</w:t>
      </w:r>
      <w:r>
        <w:rPr>
          <w:rFonts w:ascii="Arial" w:eastAsia="Arial" w:hAnsi="Arial" w:cs="Arial"/>
        </w:rPr>
        <w:t>) or univariable (</w:t>
      </w:r>
      <w:r>
        <w:rPr>
          <w:rFonts w:ascii="Arial" w:eastAsia="Arial" w:hAnsi="Arial" w:cs="Arial"/>
          <w:b/>
        </w:rPr>
        <w:t>B</w:t>
      </w:r>
      <w:r>
        <w:rPr>
          <w:rFonts w:ascii="Arial" w:eastAsia="Arial" w:hAnsi="Arial" w:cs="Arial"/>
        </w:rPr>
        <w:t xml:space="preserve">) odds ratios with 95% confidence intervals and p-values of factors associated with </w:t>
      </w:r>
      <w:proofErr w:type="spellStart"/>
      <w:r>
        <w:rPr>
          <w:rFonts w:ascii="Arial" w:eastAsia="Arial" w:hAnsi="Arial" w:cs="Arial"/>
        </w:rPr>
        <w:t>mpox</w:t>
      </w:r>
      <w:proofErr w:type="spellEnd"/>
      <w:r>
        <w:rPr>
          <w:rFonts w:ascii="Arial" w:eastAsia="Arial" w:hAnsi="Arial" w:cs="Arial"/>
        </w:rPr>
        <w:t xml:space="preserve"> diagnosis in all (n = 2976, </w:t>
      </w:r>
      <w:r>
        <w:rPr>
          <w:rFonts w:ascii="Arial" w:eastAsia="Arial" w:hAnsi="Arial" w:cs="Arial"/>
          <w:b/>
        </w:rPr>
        <w:t>A</w:t>
      </w:r>
      <w:r>
        <w:rPr>
          <w:rFonts w:ascii="Arial" w:eastAsia="Arial" w:hAnsi="Arial" w:cs="Arial"/>
        </w:rPr>
        <w:t xml:space="preserve">) and female (n = 1076, </w:t>
      </w:r>
      <w:r>
        <w:rPr>
          <w:rFonts w:ascii="Arial" w:eastAsia="Arial" w:hAnsi="Arial" w:cs="Arial"/>
          <w:b/>
        </w:rPr>
        <w:t>B</w:t>
      </w:r>
      <w:r>
        <w:rPr>
          <w:rFonts w:ascii="Arial" w:eastAsia="Arial" w:hAnsi="Arial" w:cs="Arial"/>
        </w:rPr>
        <w:t xml:space="preserve">) </w:t>
      </w:r>
      <w:proofErr w:type="spellStart"/>
      <w:r>
        <w:rPr>
          <w:rFonts w:ascii="Arial" w:eastAsia="Arial" w:hAnsi="Arial" w:cs="Arial"/>
        </w:rPr>
        <w:t>mpox</w:t>
      </w:r>
      <w:proofErr w:type="spellEnd"/>
      <w:r>
        <w:rPr>
          <w:rFonts w:ascii="Arial" w:eastAsia="Arial" w:hAnsi="Arial" w:cs="Arial"/>
        </w:rPr>
        <w:t>-suspected cases according to MPXV-PCR result.</w:t>
      </w:r>
    </w:p>
    <w:p w14:paraId="08CB2863" w14:textId="77777777" w:rsidR="003136B9" w:rsidRDefault="00000000">
      <w:r>
        <w:rPr>
          <w:noProof/>
        </w:rPr>
        <w:drawing>
          <wp:inline distT="114300" distB="114300" distL="114300" distR="114300" wp14:anchorId="4987D7A2" wp14:editId="7B683611">
            <wp:extent cx="5521015" cy="626110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0"/>
                    <a:srcRect/>
                    <a:stretch>
                      <a:fillRect/>
                    </a:stretch>
                  </pic:blipFill>
                  <pic:spPr>
                    <a:xfrm>
                      <a:off x="0" y="0"/>
                      <a:ext cx="5521015" cy="6261100"/>
                    </a:xfrm>
                    <a:prstGeom prst="rect">
                      <a:avLst/>
                    </a:prstGeom>
                    <a:ln/>
                  </pic:spPr>
                </pic:pic>
              </a:graphicData>
            </a:graphic>
          </wp:inline>
        </w:drawing>
      </w:r>
      <w:r>
        <w:br w:type="page"/>
      </w:r>
    </w:p>
    <w:p w14:paraId="74D91928" w14:textId="77777777" w:rsidR="003136B9" w:rsidRDefault="00000000">
      <w:pPr>
        <w:pStyle w:val="Ttulo2"/>
      </w:pPr>
      <w:bookmarkStart w:id="21" w:name="_3j2qqm3" w:colFirst="0" w:colLast="0"/>
      <w:bookmarkEnd w:id="21"/>
      <w:r>
        <w:lastRenderedPageBreak/>
        <w:t>Figure 3</w:t>
      </w:r>
    </w:p>
    <w:p w14:paraId="47A70067" w14:textId="77777777" w:rsidR="003136B9" w:rsidRDefault="00000000">
      <w:pPr>
        <w:pBdr>
          <w:top w:val="nil"/>
          <w:left w:val="nil"/>
          <w:bottom w:val="nil"/>
          <w:right w:val="nil"/>
          <w:between w:val="nil"/>
        </w:pBdr>
        <w:jc w:val="both"/>
        <w:rPr>
          <w:rFonts w:ascii="Arial" w:eastAsia="Arial" w:hAnsi="Arial" w:cs="Arial"/>
          <w:color w:val="000000"/>
        </w:rPr>
      </w:pPr>
      <w:r>
        <w:rPr>
          <w:rFonts w:ascii="Arial" w:eastAsia="Arial" w:hAnsi="Arial" w:cs="Arial"/>
          <w:b/>
          <w:color w:val="000000"/>
        </w:rPr>
        <w:t>Figure 3.</w:t>
      </w:r>
      <w:r>
        <w:rPr>
          <w:rFonts w:ascii="Arial" w:eastAsia="Arial" w:hAnsi="Arial" w:cs="Arial"/>
          <w:color w:val="000000"/>
        </w:rPr>
        <w:t xml:space="preserve"> Cutaneous manifestations of </w:t>
      </w:r>
      <w:proofErr w:type="spellStart"/>
      <w:r>
        <w:rPr>
          <w:rFonts w:ascii="Arial" w:eastAsia="Arial" w:hAnsi="Arial" w:cs="Arial"/>
          <w:color w:val="000000"/>
        </w:rPr>
        <w:t>mpox</w:t>
      </w:r>
      <w:proofErr w:type="spellEnd"/>
      <w:r>
        <w:rPr>
          <w:rFonts w:ascii="Arial" w:eastAsia="Arial" w:hAnsi="Arial" w:cs="Arial"/>
          <w:color w:val="000000"/>
        </w:rPr>
        <w:t xml:space="preserve"> in patients attended at NEEDIER. (A) Pleomorphic lesions on the forehead of an 18-year-old male with </w:t>
      </w:r>
      <w:proofErr w:type="spellStart"/>
      <w:r>
        <w:rPr>
          <w:rFonts w:ascii="Arial" w:eastAsia="Arial" w:hAnsi="Arial" w:cs="Arial"/>
          <w:color w:val="000000"/>
        </w:rPr>
        <w:t>mpox</w:t>
      </w:r>
      <w:proofErr w:type="spellEnd"/>
      <w:r>
        <w:rPr>
          <w:rFonts w:ascii="Arial" w:eastAsia="Arial" w:hAnsi="Arial" w:cs="Arial"/>
          <w:color w:val="000000"/>
        </w:rPr>
        <w:t xml:space="preserve"> and varicella co-infection. (B) Perioral "</w:t>
      </w:r>
      <w:r>
        <w:rPr>
          <w:rFonts w:ascii="Arial" w:eastAsia="Arial" w:hAnsi="Arial" w:cs="Arial"/>
          <w:i/>
          <w:color w:val="000000"/>
        </w:rPr>
        <w:t>pastel de nata</w:t>
      </w:r>
      <w:r>
        <w:rPr>
          <w:rFonts w:ascii="Arial" w:eastAsia="Arial" w:hAnsi="Arial" w:cs="Arial"/>
          <w:color w:val="000000"/>
        </w:rPr>
        <w:t>" lesion in a 38-year-old male. (C) Multiple umbilicated penile lesions with surrounding whitish papules in a 59-year-old male. (D) Penile lesions on a smallpox-vaccinated 46-year-old male; lesions registered four days after symptom onset (D.1) coalesced into an ulcer with erythematous halo fifteen days later (D.2). (E) Perianal umbilicated vesicles in a 45-year-old male. (F) Two perianal ulcers (F.1) and a punctiform, erythematous, crusted papule on the forearm (F.2) in a 24-year-old female.</w:t>
      </w:r>
    </w:p>
    <w:p w14:paraId="6CC74668" w14:textId="77777777" w:rsidR="003136B9" w:rsidRDefault="003136B9"/>
    <w:p w14:paraId="33E4FF90" w14:textId="77777777" w:rsidR="003136B9" w:rsidRDefault="00000000">
      <w:r>
        <w:rPr>
          <w:b/>
          <w:noProof/>
          <w:color w:val="000000"/>
        </w:rPr>
        <w:drawing>
          <wp:inline distT="0" distB="0" distL="0" distR="0" wp14:anchorId="67EF30AC" wp14:editId="5E2B121F">
            <wp:extent cx="5260026" cy="5320500"/>
            <wp:effectExtent l="0" t="0" r="0" b="0"/>
            <wp:docPr id="2" name="image2.jpg" descr="Foto de homem fazendo careta&#10;&#10;Descrição gerada automaticamente com confiança baixa"/>
            <wp:cNvGraphicFramePr/>
            <a:graphic xmlns:a="http://schemas.openxmlformats.org/drawingml/2006/main">
              <a:graphicData uri="http://schemas.openxmlformats.org/drawingml/2006/picture">
                <pic:pic xmlns:pic="http://schemas.openxmlformats.org/drawingml/2006/picture">
                  <pic:nvPicPr>
                    <pic:cNvPr id="0" name="image2.jpg" descr="Foto de homem fazendo careta&#10;&#10;Descrição gerada automaticamente com confiança baixa"/>
                    <pic:cNvPicPr preferRelativeResize="0"/>
                  </pic:nvPicPr>
                  <pic:blipFill>
                    <a:blip r:embed="rId21"/>
                    <a:srcRect/>
                    <a:stretch>
                      <a:fillRect/>
                    </a:stretch>
                  </pic:blipFill>
                  <pic:spPr>
                    <a:xfrm>
                      <a:off x="0" y="0"/>
                      <a:ext cx="5260026" cy="5320500"/>
                    </a:xfrm>
                    <a:prstGeom prst="rect">
                      <a:avLst/>
                    </a:prstGeom>
                    <a:ln/>
                  </pic:spPr>
                </pic:pic>
              </a:graphicData>
            </a:graphic>
          </wp:inline>
        </w:drawing>
      </w:r>
    </w:p>
    <w:p w14:paraId="732D13D9" w14:textId="77777777" w:rsidR="003136B9" w:rsidRDefault="00000000">
      <w:pPr>
        <w:pStyle w:val="Ttulo2"/>
      </w:pPr>
      <w:bookmarkStart w:id="22" w:name="_1y810tw" w:colFirst="0" w:colLast="0"/>
      <w:bookmarkEnd w:id="22"/>
      <w:r>
        <w:br w:type="page"/>
      </w:r>
    </w:p>
    <w:p w14:paraId="235F5230" w14:textId="77777777" w:rsidR="003136B9" w:rsidRDefault="00000000">
      <w:pPr>
        <w:pStyle w:val="Ttulo2"/>
      </w:pPr>
      <w:bookmarkStart w:id="23" w:name="_4i7ojhp" w:colFirst="0" w:colLast="0"/>
      <w:bookmarkEnd w:id="23"/>
      <w:r>
        <w:lastRenderedPageBreak/>
        <w:t>Figure 4</w:t>
      </w:r>
    </w:p>
    <w:p w14:paraId="1AE0B390" w14:textId="77777777" w:rsidR="003136B9" w:rsidRDefault="00000000">
      <w:pPr>
        <w:jc w:val="both"/>
        <w:rPr>
          <w:rFonts w:ascii="Arial" w:eastAsia="Arial" w:hAnsi="Arial" w:cs="Arial"/>
        </w:rPr>
      </w:pPr>
      <w:r>
        <w:rPr>
          <w:rFonts w:ascii="Arial" w:eastAsia="Arial" w:hAnsi="Arial" w:cs="Arial"/>
          <w:b/>
        </w:rPr>
        <w:t>Figure 4.</w:t>
      </w:r>
      <w:r>
        <w:rPr>
          <w:rFonts w:ascii="Arial" w:eastAsia="Arial" w:hAnsi="Arial" w:cs="Arial"/>
        </w:rPr>
        <w:t xml:space="preserve"> MPXV-PCR cycle threshold (Ct) values in </w:t>
      </w:r>
      <w:proofErr w:type="spellStart"/>
      <w:r>
        <w:rPr>
          <w:rFonts w:ascii="Arial" w:eastAsia="Arial" w:hAnsi="Arial" w:cs="Arial"/>
        </w:rPr>
        <w:t>mpox</w:t>
      </w:r>
      <w:proofErr w:type="spellEnd"/>
      <w:r>
        <w:rPr>
          <w:rFonts w:ascii="Arial" w:eastAsia="Arial" w:hAnsi="Arial" w:cs="Arial"/>
        </w:rPr>
        <w:t>-confirmed cases. Scatter plots show Ct value distribution according to age, in males (</w:t>
      </w:r>
      <w:r>
        <w:rPr>
          <w:rFonts w:ascii="Arial" w:eastAsia="Arial" w:hAnsi="Arial" w:cs="Arial"/>
          <w:b/>
        </w:rPr>
        <w:t>A</w:t>
      </w:r>
      <w:r>
        <w:rPr>
          <w:rFonts w:ascii="Arial" w:eastAsia="Arial" w:hAnsi="Arial" w:cs="Arial"/>
        </w:rPr>
        <w:t>,</w:t>
      </w:r>
      <w:r>
        <w:rPr>
          <w:rFonts w:ascii="Arial" w:eastAsia="Arial" w:hAnsi="Arial" w:cs="Arial"/>
          <w:b/>
        </w:rPr>
        <w:t xml:space="preserve"> </w:t>
      </w:r>
      <w:r>
        <w:rPr>
          <w:rFonts w:ascii="Arial" w:eastAsia="Arial" w:hAnsi="Arial" w:cs="Arial"/>
        </w:rPr>
        <w:t>n = 735) and females (</w:t>
      </w:r>
      <w:r>
        <w:rPr>
          <w:rFonts w:ascii="Arial" w:eastAsia="Arial" w:hAnsi="Arial" w:cs="Arial"/>
          <w:b/>
        </w:rPr>
        <w:t>B</w:t>
      </w:r>
      <w:r>
        <w:rPr>
          <w:rFonts w:ascii="Arial" w:eastAsia="Arial" w:hAnsi="Arial" w:cs="Arial"/>
        </w:rPr>
        <w:t>,</w:t>
      </w:r>
      <w:r>
        <w:rPr>
          <w:rFonts w:ascii="Arial" w:eastAsia="Arial" w:hAnsi="Arial" w:cs="Arial"/>
          <w:b/>
        </w:rPr>
        <w:t xml:space="preserve"> </w:t>
      </w:r>
      <w:r>
        <w:rPr>
          <w:rFonts w:ascii="Arial" w:eastAsia="Arial" w:hAnsi="Arial" w:cs="Arial"/>
        </w:rPr>
        <w:t xml:space="preserve">n = 61), with local smoothing (solid line) and density plots (right y-axis). Lower panels show MPXV-PCR Ct values in male </w:t>
      </w:r>
      <w:r>
        <w:rPr>
          <w:rFonts w:ascii="Arial" w:eastAsia="Arial" w:hAnsi="Arial" w:cs="Arial"/>
          <w:i/>
        </w:rPr>
        <w:t>vs.</w:t>
      </w:r>
      <w:r>
        <w:rPr>
          <w:rFonts w:ascii="Arial" w:eastAsia="Arial" w:hAnsi="Arial" w:cs="Arial"/>
        </w:rPr>
        <w:t xml:space="preserve"> female </w:t>
      </w:r>
      <w:proofErr w:type="spellStart"/>
      <w:r>
        <w:rPr>
          <w:rFonts w:ascii="Arial" w:eastAsia="Arial" w:hAnsi="Arial" w:cs="Arial"/>
        </w:rPr>
        <w:t>mpox</w:t>
      </w:r>
      <w:proofErr w:type="spellEnd"/>
      <w:r>
        <w:rPr>
          <w:rFonts w:ascii="Arial" w:eastAsia="Arial" w:hAnsi="Arial" w:cs="Arial"/>
        </w:rPr>
        <w:t>-confirmed cases (</w:t>
      </w:r>
      <w:r>
        <w:rPr>
          <w:rFonts w:ascii="Arial" w:eastAsia="Arial" w:hAnsi="Arial" w:cs="Arial"/>
          <w:b/>
        </w:rPr>
        <w:t>C</w:t>
      </w:r>
      <w:r>
        <w:rPr>
          <w:rFonts w:ascii="Arial" w:eastAsia="Arial" w:hAnsi="Arial" w:cs="Arial"/>
        </w:rPr>
        <w:t xml:space="preserve">, </w:t>
      </w:r>
      <w:r>
        <w:rPr>
          <w:rFonts w:ascii="Arial" w:eastAsia="Arial" w:hAnsi="Arial" w:cs="Arial"/>
          <w:b/>
        </w:rPr>
        <w:t>D</w:t>
      </w:r>
      <w:r>
        <w:rPr>
          <w:rFonts w:ascii="Arial" w:eastAsia="Arial" w:hAnsi="Arial" w:cs="Arial"/>
        </w:rPr>
        <w:t xml:space="preserve">) and in individuals over (adults, n = 761) </w:t>
      </w:r>
      <w:r>
        <w:rPr>
          <w:rFonts w:ascii="Arial" w:eastAsia="Arial" w:hAnsi="Arial" w:cs="Arial"/>
          <w:i/>
        </w:rPr>
        <w:t>vs.</w:t>
      </w:r>
      <w:r>
        <w:rPr>
          <w:rFonts w:ascii="Arial" w:eastAsia="Arial" w:hAnsi="Arial" w:cs="Arial"/>
        </w:rPr>
        <w:t xml:space="preserve"> under 18 years old (n = 35) (</w:t>
      </w:r>
      <w:r>
        <w:rPr>
          <w:rFonts w:ascii="Arial" w:eastAsia="Arial" w:hAnsi="Arial" w:cs="Arial"/>
          <w:b/>
        </w:rPr>
        <w:t>E</w:t>
      </w:r>
      <w:r>
        <w:rPr>
          <w:rFonts w:ascii="Arial" w:eastAsia="Arial" w:hAnsi="Arial" w:cs="Arial"/>
        </w:rPr>
        <w:t xml:space="preserve">, </w:t>
      </w:r>
      <w:r>
        <w:rPr>
          <w:rFonts w:ascii="Arial" w:eastAsia="Arial" w:hAnsi="Arial" w:cs="Arial"/>
          <w:b/>
        </w:rPr>
        <w:t>F</w:t>
      </w:r>
      <w:r>
        <w:rPr>
          <w:rFonts w:ascii="Arial" w:eastAsia="Arial" w:hAnsi="Arial" w:cs="Arial"/>
        </w:rPr>
        <w:t>), considering standard cutoff values of 37 (</w:t>
      </w:r>
      <w:r>
        <w:rPr>
          <w:rFonts w:ascii="Arial" w:eastAsia="Arial" w:hAnsi="Arial" w:cs="Arial"/>
          <w:b/>
        </w:rPr>
        <w:t>C</w:t>
      </w:r>
      <w:r>
        <w:rPr>
          <w:rFonts w:ascii="Arial" w:eastAsia="Arial" w:hAnsi="Arial" w:cs="Arial"/>
        </w:rPr>
        <w:t xml:space="preserve"> and </w:t>
      </w:r>
      <w:r>
        <w:rPr>
          <w:rFonts w:ascii="Arial" w:eastAsia="Arial" w:hAnsi="Arial" w:cs="Arial"/>
          <w:b/>
        </w:rPr>
        <w:t>E</w:t>
      </w:r>
      <w:r>
        <w:rPr>
          <w:rFonts w:ascii="Arial" w:eastAsia="Arial" w:hAnsi="Arial" w:cs="Arial"/>
        </w:rPr>
        <w:t>) and modified cutoff value of 34 (</w:t>
      </w:r>
      <w:r>
        <w:rPr>
          <w:rFonts w:ascii="Arial" w:eastAsia="Arial" w:hAnsi="Arial" w:cs="Arial"/>
          <w:b/>
        </w:rPr>
        <w:t>D</w:t>
      </w:r>
      <w:r>
        <w:rPr>
          <w:rFonts w:ascii="Arial" w:eastAsia="Arial" w:hAnsi="Arial" w:cs="Arial"/>
        </w:rPr>
        <w:t xml:space="preserve"> and </w:t>
      </w:r>
      <w:r>
        <w:rPr>
          <w:rFonts w:ascii="Arial" w:eastAsia="Arial" w:hAnsi="Arial" w:cs="Arial"/>
          <w:b/>
        </w:rPr>
        <w:t>F</w:t>
      </w:r>
      <w:r>
        <w:rPr>
          <w:rFonts w:ascii="Arial" w:eastAsia="Arial" w:hAnsi="Arial" w:cs="Arial"/>
        </w:rPr>
        <w:t>). *p-value &lt; 0.0001, ns = non-significant.</w:t>
      </w:r>
    </w:p>
    <w:p w14:paraId="395550AA" w14:textId="77777777" w:rsidR="003136B9" w:rsidRDefault="003136B9"/>
    <w:p w14:paraId="190449D3" w14:textId="77777777" w:rsidR="003136B9" w:rsidRDefault="003136B9"/>
    <w:p w14:paraId="5490E2BE" w14:textId="77777777" w:rsidR="003136B9" w:rsidRDefault="00000000">
      <w:pPr>
        <w:ind w:left="-425"/>
      </w:pPr>
      <w:r>
        <w:rPr>
          <w:noProof/>
        </w:rPr>
        <w:drawing>
          <wp:inline distT="114300" distB="114300" distL="114300" distR="114300" wp14:anchorId="35630EB9" wp14:editId="3438926B">
            <wp:extent cx="5521015" cy="4140200"/>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2"/>
                    <a:srcRect/>
                    <a:stretch>
                      <a:fillRect/>
                    </a:stretch>
                  </pic:blipFill>
                  <pic:spPr>
                    <a:xfrm>
                      <a:off x="0" y="0"/>
                      <a:ext cx="5521015" cy="4140200"/>
                    </a:xfrm>
                    <a:prstGeom prst="rect">
                      <a:avLst/>
                    </a:prstGeom>
                    <a:ln/>
                  </pic:spPr>
                </pic:pic>
              </a:graphicData>
            </a:graphic>
          </wp:inline>
        </w:drawing>
      </w:r>
    </w:p>
    <w:p w14:paraId="55576A9D" w14:textId="77777777" w:rsidR="003136B9" w:rsidRDefault="00000000">
      <w:pPr>
        <w:ind w:hanging="566"/>
      </w:pPr>
      <w:r>
        <w:br w:type="page"/>
      </w:r>
    </w:p>
    <w:p w14:paraId="15A1EFD7" w14:textId="77777777" w:rsidR="003136B9" w:rsidRDefault="00000000">
      <w:pPr>
        <w:pStyle w:val="Ttulo2"/>
      </w:pPr>
      <w:bookmarkStart w:id="24" w:name="_2xcytpi" w:colFirst="0" w:colLast="0"/>
      <w:bookmarkEnd w:id="24"/>
      <w:r>
        <w:lastRenderedPageBreak/>
        <w:t>Figure 5</w:t>
      </w:r>
    </w:p>
    <w:p w14:paraId="007AC6AD" w14:textId="77777777" w:rsidR="003136B9" w:rsidRDefault="00000000">
      <w:pPr>
        <w:jc w:val="both"/>
        <w:rPr>
          <w:rFonts w:ascii="Arial" w:eastAsia="Arial" w:hAnsi="Arial" w:cs="Arial"/>
          <w:color w:val="373A3C"/>
          <w:highlight w:val="white"/>
        </w:rPr>
      </w:pPr>
      <w:r>
        <w:rPr>
          <w:rFonts w:ascii="Arial" w:eastAsia="Arial" w:hAnsi="Arial" w:cs="Arial"/>
          <w:b/>
          <w:color w:val="373A3C"/>
          <w:highlight w:val="white"/>
        </w:rPr>
        <w:t>Figure 5.</w:t>
      </w:r>
      <w:r>
        <w:rPr>
          <w:rFonts w:ascii="Arial" w:eastAsia="Arial" w:hAnsi="Arial" w:cs="Arial"/>
          <w:color w:val="373A3C"/>
          <w:highlight w:val="white"/>
        </w:rPr>
        <w:t xml:space="preserve"> MPXV-PCR Ct values distribution according to lesion type (</w:t>
      </w:r>
      <w:r>
        <w:rPr>
          <w:rFonts w:ascii="Arial" w:eastAsia="Arial" w:hAnsi="Arial" w:cs="Arial"/>
          <w:b/>
          <w:color w:val="373A3C"/>
          <w:highlight w:val="white"/>
        </w:rPr>
        <w:t>A</w:t>
      </w:r>
      <w:r>
        <w:rPr>
          <w:rFonts w:ascii="Arial" w:eastAsia="Arial" w:hAnsi="Arial" w:cs="Arial"/>
          <w:color w:val="373A3C"/>
          <w:highlight w:val="white"/>
        </w:rPr>
        <w:t>) and location (</w:t>
      </w:r>
      <w:r>
        <w:rPr>
          <w:rFonts w:ascii="Arial" w:eastAsia="Arial" w:hAnsi="Arial" w:cs="Arial"/>
          <w:b/>
          <w:color w:val="373A3C"/>
          <w:highlight w:val="white"/>
        </w:rPr>
        <w:t>B</w:t>
      </w:r>
      <w:r>
        <w:rPr>
          <w:rFonts w:ascii="Arial" w:eastAsia="Arial" w:hAnsi="Arial" w:cs="Arial"/>
          <w:color w:val="373A3C"/>
          <w:highlight w:val="white"/>
        </w:rPr>
        <w:t xml:space="preserve">) in </w:t>
      </w:r>
      <w:proofErr w:type="spellStart"/>
      <w:r>
        <w:rPr>
          <w:rFonts w:ascii="Arial" w:eastAsia="Arial" w:hAnsi="Arial" w:cs="Arial"/>
          <w:color w:val="373A3C"/>
          <w:highlight w:val="white"/>
        </w:rPr>
        <w:t>mpox</w:t>
      </w:r>
      <w:proofErr w:type="spellEnd"/>
      <w:r>
        <w:rPr>
          <w:rFonts w:ascii="Arial" w:eastAsia="Arial" w:hAnsi="Arial" w:cs="Arial"/>
          <w:color w:val="373A3C"/>
          <w:highlight w:val="white"/>
        </w:rPr>
        <w:t>-confirmed cases who were attended at NEEDIER (n = 63). Vertical red line shows the cutoff value (37). Semiquantitative anti-VACV IgG titers determined in the first and second medical appointments of all 46 patients who were attended at NEEDIER. The higher titers were obtained in previous smallpox vaccinated individuals (</w:t>
      </w:r>
      <w:r>
        <w:rPr>
          <w:rFonts w:ascii="Arial" w:eastAsia="Arial" w:hAnsi="Arial" w:cs="Arial"/>
          <w:b/>
          <w:color w:val="373A3C"/>
          <w:highlight w:val="white"/>
        </w:rPr>
        <w:t>C</w:t>
      </w:r>
      <w:r>
        <w:rPr>
          <w:rFonts w:ascii="Arial" w:eastAsia="Arial" w:hAnsi="Arial" w:cs="Arial"/>
          <w:color w:val="373A3C"/>
          <w:highlight w:val="white"/>
        </w:rPr>
        <w:t>) and for females and minors (</w:t>
      </w:r>
      <w:r>
        <w:rPr>
          <w:rFonts w:ascii="Arial" w:eastAsia="Arial" w:hAnsi="Arial" w:cs="Arial"/>
          <w:b/>
          <w:color w:val="373A3C"/>
          <w:highlight w:val="white"/>
        </w:rPr>
        <w:t>D</w:t>
      </w:r>
      <w:r>
        <w:rPr>
          <w:rFonts w:ascii="Arial" w:eastAsia="Arial" w:hAnsi="Arial" w:cs="Arial"/>
          <w:color w:val="373A3C"/>
          <w:highlight w:val="white"/>
        </w:rPr>
        <w:t xml:space="preserve">). DSSO, days since symptom onset. </w:t>
      </w:r>
      <w:r>
        <w:rPr>
          <w:rFonts w:ascii="Arial" w:eastAsia="Arial" w:hAnsi="Arial" w:cs="Arial"/>
          <w:b/>
          <w:color w:val="373A3C"/>
          <w:highlight w:val="white"/>
        </w:rPr>
        <w:t>E</w:t>
      </w:r>
      <w:r>
        <w:rPr>
          <w:rFonts w:ascii="Arial" w:eastAsia="Arial" w:hAnsi="Arial" w:cs="Arial"/>
          <w:color w:val="373A3C"/>
          <w:highlight w:val="white"/>
        </w:rPr>
        <w:t>, Kendall correlation plot between the lowest MPXV-PCR Ct value and the highest anti-VACV IgG titer obtained in 31 patients who were attended at NEEDIER.</w:t>
      </w:r>
    </w:p>
    <w:p w14:paraId="01249DD6" w14:textId="77777777" w:rsidR="003136B9" w:rsidRDefault="003136B9">
      <w:pPr>
        <w:jc w:val="both"/>
        <w:rPr>
          <w:rFonts w:ascii="Arial" w:eastAsia="Arial" w:hAnsi="Arial" w:cs="Arial"/>
          <w:color w:val="373A3C"/>
          <w:highlight w:val="white"/>
        </w:rPr>
      </w:pPr>
    </w:p>
    <w:p w14:paraId="74C7DD0D" w14:textId="77777777" w:rsidR="003136B9" w:rsidRDefault="00000000">
      <w:pPr>
        <w:spacing w:before="220" w:after="460"/>
        <w:ind w:left="-566"/>
      </w:pPr>
      <w:r>
        <w:rPr>
          <w:noProof/>
        </w:rPr>
        <w:drawing>
          <wp:inline distT="114300" distB="114300" distL="114300" distR="114300" wp14:anchorId="7955EA16" wp14:editId="70023850">
            <wp:extent cx="5521015" cy="5524500"/>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3"/>
                    <a:srcRect/>
                    <a:stretch>
                      <a:fillRect/>
                    </a:stretch>
                  </pic:blipFill>
                  <pic:spPr>
                    <a:xfrm>
                      <a:off x="0" y="0"/>
                      <a:ext cx="5521015" cy="5524500"/>
                    </a:xfrm>
                    <a:prstGeom prst="rect">
                      <a:avLst/>
                    </a:prstGeom>
                    <a:ln/>
                  </pic:spPr>
                </pic:pic>
              </a:graphicData>
            </a:graphic>
          </wp:inline>
        </w:drawing>
      </w:r>
    </w:p>
    <w:p w14:paraId="32783DE9" w14:textId="77777777" w:rsidR="003136B9" w:rsidRDefault="003136B9">
      <w:pPr>
        <w:spacing w:before="220" w:after="460"/>
        <w:ind w:left="-566"/>
      </w:pPr>
    </w:p>
    <w:p w14:paraId="49EBDA4D" w14:textId="77777777" w:rsidR="003136B9" w:rsidRDefault="00000000">
      <w:pPr>
        <w:pStyle w:val="Ttulo2"/>
        <w:rPr>
          <w:color w:val="373A3C"/>
          <w:highlight w:val="white"/>
        </w:rPr>
      </w:pPr>
      <w:bookmarkStart w:id="25" w:name="_x465k7tlt8ho" w:colFirst="0" w:colLast="0"/>
      <w:bookmarkEnd w:id="25"/>
      <w:r>
        <w:lastRenderedPageBreak/>
        <w:t>Figure 6</w:t>
      </w:r>
    </w:p>
    <w:p w14:paraId="7822A0D3" w14:textId="77777777" w:rsidR="003136B9" w:rsidRDefault="00000000">
      <w:pPr>
        <w:jc w:val="both"/>
        <w:rPr>
          <w:rFonts w:ascii="Arial" w:eastAsia="Arial" w:hAnsi="Arial" w:cs="Arial"/>
          <w:color w:val="373A3C"/>
          <w:highlight w:val="white"/>
        </w:rPr>
      </w:pPr>
      <w:r>
        <w:rPr>
          <w:rFonts w:ascii="Arial" w:eastAsia="Arial" w:hAnsi="Arial" w:cs="Arial"/>
          <w:b/>
          <w:highlight w:val="white"/>
        </w:rPr>
        <w:t>Figure 6.</w:t>
      </w:r>
      <w:r>
        <w:rPr>
          <w:rFonts w:ascii="Arial" w:eastAsia="Arial" w:hAnsi="Arial" w:cs="Arial"/>
          <w:highlight w:val="white"/>
        </w:rPr>
        <w:t xml:space="preserve"> Electron microscopy of MPXV isolate. (A) Scanning electron microscopy of samples collected from pustules of a MPXV-infected individual revealed virus-like particles consistent with size and morphology of cell-associated enveloped virus (CEV) on the cell surface (arrows). (B) Panoramic view of BSC40 cells infected with MPXV isolate. Clusters of mature viruses (MV) were highlighted by arrows. (n) nucleus; (m) mitochondria.</w:t>
      </w:r>
    </w:p>
    <w:p w14:paraId="6380AB39" w14:textId="77777777" w:rsidR="003136B9" w:rsidRDefault="003136B9">
      <w:pPr>
        <w:rPr>
          <w:color w:val="373A3C"/>
          <w:highlight w:val="white"/>
        </w:rPr>
      </w:pPr>
    </w:p>
    <w:p w14:paraId="5A358B30" w14:textId="77777777" w:rsidR="003136B9" w:rsidRDefault="00000000">
      <w:pPr>
        <w:rPr>
          <w:color w:val="373A3C"/>
          <w:highlight w:val="white"/>
        </w:rPr>
      </w:pPr>
      <w:r>
        <w:rPr>
          <w:noProof/>
          <w:color w:val="373A3C"/>
          <w:highlight w:val="white"/>
        </w:rPr>
        <w:drawing>
          <wp:inline distT="114300" distB="114300" distL="114300" distR="114300" wp14:anchorId="20374BAD" wp14:editId="045EF402">
            <wp:extent cx="5521015" cy="2413000"/>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4"/>
                    <a:srcRect/>
                    <a:stretch>
                      <a:fillRect/>
                    </a:stretch>
                  </pic:blipFill>
                  <pic:spPr>
                    <a:xfrm>
                      <a:off x="0" y="0"/>
                      <a:ext cx="5521015" cy="2413000"/>
                    </a:xfrm>
                    <a:prstGeom prst="rect">
                      <a:avLst/>
                    </a:prstGeom>
                    <a:ln/>
                  </pic:spPr>
                </pic:pic>
              </a:graphicData>
            </a:graphic>
          </wp:inline>
        </w:drawing>
      </w:r>
    </w:p>
    <w:p w14:paraId="53299657" w14:textId="77777777" w:rsidR="003136B9" w:rsidRDefault="003136B9"/>
    <w:sectPr w:rsidR="003136B9">
      <w:type w:val="continuous"/>
      <w:pgSz w:w="11909" w:h="16834"/>
      <w:pgMar w:top="1440" w:right="1440" w:bottom="1440" w:left="177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433F93" w14:textId="77777777" w:rsidR="00C47A3D" w:rsidRDefault="00C47A3D">
      <w:r>
        <w:separator/>
      </w:r>
    </w:p>
  </w:endnote>
  <w:endnote w:type="continuationSeparator" w:id="0">
    <w:p w14:paraId="1D97C853" w14:textId="77777777" w:rsidR="00C47A3D" w:rsidRDefault="00C47A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1301A" w14:textId="77777777" w:rsidR="003136B9" w:rsidRDefault="00000000">
    <w:pPr>
      <w:pBdr>
        <w:top w:val="nil"/>
        <w:left w:val="nil"/>
        <w:bottom w:val="nil"/>
        <w:right w:val="nil"/>
        <w:between w:val="nil"/>
      </w:pBdr>
      <w:tabs>
        <w:tab w:val="center" w:pos="4252"/>
        <w:tab w:val="right" w:pos="8504"/>
      </w:tabs>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Pr>
        <w:rFonts w:ascii="Arial" w:eastAsia="Arial" w:hAnsi="Arial" w:cs="Arial"/>
        <w:color w:val="000000"/>
      </w:rPr>
      <w:fldChar w:fldCharType="end"/>
    </w:r>
  </w:p>
  <w:p w14:paraId="184F2506" w14:textId="77777777" w:rsidR="003136B9" w:rsidRDefault="003136B9">
    <w:pPr>
      <w:pBdr>
        <w:top w:val="nil"/>
        <w:left w:val="nil"/>
        <w:bottom w:val="nil"/>
        <w:right w:val="nil"/>
        <w:between w:val="nil"/>
      </w:pBdr>
      <w:tabs>
        <w:tab w:val="center" w:pos="4252"/>
        <w:tab w:val="right" w:pos="8504"/>
      </w:tabs>
      <w:ind w:right="360"/>
      <w:jc w:val="both"/>
      <w:rPr>
        <w:rFonts w:ascii="Arial" w:eastAsia="Arial" w:hAnsi="Arial"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1E72C" w14:textId="77777777" w:rsidR="003136B9" w:rsidRDefault="00000000">
    <w:pPr>
      <w:pBdr>
        <w:top w:val="nil"/>
        <w:left w:val="nil"/>
        <w:bottom w:val="nil"/>
        <w:right w:val="nil"/>
        <w:between w:val="nil"/>
      </w:pBdr>
      <w:tabs>
        <w:tab w:val="center" w:pos="4252"/>
        <w:tab w:val="right" w:pos="8504"/>
      </w:tabs>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011EB4">
      <w:rPr>
        <w:rFonts w:ascii="Arial" w:eastAsia="Arial" w:hAnsi="Arial" w:cs="Arial"/>
        <w:noProof/>
        <w:color w:val="000000"/>
      </w:rPr>
      <w:t>1</w:t>
    </w:r>
    <w:r>
      <w:rPr>
        <w:rFonts w:ascii="Arial" w:eastAsia="Arial" w:hAnsi="Arial" w:cs="Arial"/>
        <w:color w:val="000000"/>
      </w:rPr>
      <w:fldChar w:fldCharType="end"/>
    </w:r>
  </w:p>
  <w:p w14:paraId="4DFE443F" w14:textId="77777777" w:rsidR="003136B9" w:rsidRDefault="003136B9">
    <w:pPr>
      <w:rPr>
        <w:rFonts w:ascii="Arial" w:eastAsia="Arial" w:hAnsi="Arial" w:cs="Arial"/>
        <w:b/>
        <w:sz w:val="20"/>
        <w:szCs w:val="20"/>
      </w:rPr>
    </w:pPr>
  </w:p>
  <w:p w14:paraId="2E8D06BF" w14:textId="77777777" w:rsidR="003136B9" w:rsidRDefault="003136B9">
    <w:pPr>
      <w:tabs>
        <w:tab w:val="center" w:pos="4252"/>
        <w:tab w:val="right" w:pos="8504"/>
      </w:tabs>
      <w:spacing w:before="220" w:after="460"/>
      <w:ind w:left="-566" w:right="360"/>
      <w:rPr>
        <w:rFonts w:ascii="Arial" w:eastAsia="Arial" w:hAnsi="Arial" w:cs="Arial"/>
        <w:b/>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94DDE4" w14:textId="77777777" w:rsidR="00C47A3D" w:rsidRDefault="00C47A3D">
      <w:r>
        <w:separator/>
      </w:r>
    </w:p>
  </w:footnote>
  <w:footnote w:type="continuationSeparator" w:id="0">
    <w:p w14:paraId="04BE4EC0" w14:textId="77777777" w:rsidR="00C47A3D" w:rsidRDefault="00C47A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690BB" w14:textId="77777777" w:rsidR="003136B9" w:rsidRDefault="003136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31350C"/>
    <w:multiLevelType w:val="multilevel"/>
    <w:tmpl w:val="73E8F7B4"/>
    <w:lvl w:ilvl="0">
      <w:start w:val="1"/>
      <w:numFmt w:val="decimal"/>
      <w:lvlText w:val="%1."/>
      <w:lvlJc w:val="left"/>
      <w:pPr>
        <w:ind w:left="440" w:hanging="44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4793462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9"/>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36B9"/>
    <w:rsid w:val="00011EB4"/>
    <w:rsid w:val="003136B9"/>
    <w:rsid w:val="00C47A3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14:docId w14:val="45671F08"/>
  <w15:docId w15:val="{8F21DA22-D9A6-C647-BCEC-D92383EF49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line="276" w:lineRule="auto"/>
      <w:jc w:val="both"/>
      <w:outlineLvl w:val="0"/>
    </w:pPr>
    <w:rPr>
      <w:rFonts w:ascii="Arial" w:eastAsia="Arial" w:hAnsi="Arial" w:cs="Arial"/>
      <w:sz w:val="40"/>
      <w:szCs w:val="40"/>
    </w:rPr>
  </w:style>
  <w:style w:type="paragraph" w:styleId="Ttulo2">
    <w:name w:val="heading 2"/>
    <w:basedOn w:val="Normal"/>
    <w:next w:val="Normal"/>
    <w:uiPriority w:val="9"/>
    <w:unhideWhenUsed/>
    <w:qFormat/>
    <w:pPr>
      <w:keepNext/>
      <w:keepLines/>
      <w:spacing w:before="360" w:after="120" w:line="276" w:lineRule="auto"/>
      <w:jc w:val="both"/>
      <w:outlineLvl w:val="1"/>
    </w:pPr>
    <w:rPr>
      <w:rFonts w:ascii="Arial" w:eastAsia="Arial" w:hAnsi="Arial" w:cs="Arial"/>
      <w:sz w:val="32"/>
      <w:szCs w:val="32"/>
    </w:rPr>
  </w:style>
  <w:style w:type="paragraph" w:styleId="Ttulo3">
    <w:name w:val="heading 3"/>
    <w:basedOn w:val="Normal"/>
    <w:next w:val="Normal"/>
    <w:uiPriority w:val="9"/>
    <w:semiHidden/>
    <w:unhideWhenUsed/>
    <w:qFormat/>
    <w:pPr>
      <w:keepNext/>
      <w:keepLines/>
      <w:spacing w:before="320" w:after="80" w:line="276" w:lineRule="auto"/>
      <w:jc w:val="both"/>
      <w:outlineLvl w:val="2"/>
    </w:pPr>
    <w:rPr>
      <w:rFonts w:ascii="Arial" w:eastAsia="Arial" w:hAnsi="Arial" w:cs="Arial"/>
      <w:color w:val="434343"/>
      <w:sz w:val="28"/>
      <w:szCs w:val="28"/>
    </w:rPr>
  </w:style>
  <w:style w:type="paragraph" w:styleId="Ttulo4">
    <w:name w:val="heading 4"/>
    <w:basedOn w:val="Normal"/>
    <w:next w:val="Normal"/>
    <w:uiPriority w:val="9"/>
    <w:semiHidden/>
    <w:unhideWhenUsed/>
    <w:qFormat/>
    <w:pPr>
      <w:keepNext/>
      <w:keepLines/>
      <w:spacing w:before="280" w:after="80" w:line="276" w:lineRule="auto"/>
      <w:jc w:val="both"/>
      <w:outlineLvl w:val="3"/>
    </w:pPr>
    <w:rPr>
      <w:rFonts w:ascii="Arial" w:eastAsia="Arial" w:hAnsi="Arial" w:cs="Arial"/>
      <w:color w:val="666666"/>
    </w:rPr>
  </w:style>
  <w:style w:type="paragraph" w:styleId="Ttulo5">
    <w:name w:val="heading 5"/>
    <w:basedOn w:val="Normal"/>
    <w:next w:val="Normal"/>
    <w:uiPriority w:val="9"/>
    <w:semiHidden/>
    <w:unhideWhenUsed/>
    <w:qFormat/>
    <w:pPr>
      <w:keepNext/>
      <w:keepLines/>
      <w:spacing w:before="240" w:after="80" w:line="276" w:lineRule="auto"/>
      <w:jc w:val="both"/>
      <w:outlineLvl w:val="4"/>
    </w:pPr>
    <w:rPr>
      <w:rFonts w:ascii="Arial" w:eastAsia="Arial" w:hAnsi="Arial" w:cs="Arial"/>
      <w:color w:val="666666"/>
      <w:sz w:val="22"/>
      <w:szCs w:val="22"/>
    </w:rPr>
  </w:style>
  <w:style w:type="paragraph" w:styleId="Ttulo6">
    <w:name w:val="heading 6"/>
    <w:basedOn w:val="Normal"/>
    <w:next w:val="Normal"/>
    <w:uiPriority w:val="9"/>
    <w:semiHidden/>
    <w:unhideWhenUsed/>
    <w:qFormat/>
    <w:pPr>
      <w:keepNext/>
      <w:keepLines/>
      <w:spacing w:before="240" w:after="80" w:line="276" w:lineRule="auto"/>
      <w:jc w:val="both"/>
      <w:outlineLvl w:val="5"/>
    </w:pPr>
    <w:rPr>
      <w:rFonts w:ascii="Arial" w:eastAsia="Arial" w:hAnsi="Arial" w:cs="Arial"/>
      <w:i/>
      <w:color w:val="666666"/>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line="276" w:lineRule="auto"/>
      <w:jc w:val="both"/>
    </w:pPr>
    <w:rPr>
      <w:rFonts w:ascii="Arial" w:eastAsia="Arial" w:hAnsi="Arial" w:cs="Arial"/>
      <w:sz w:val="52"/>
      <w:szCs w:val="52"/>
    </w:rPr>
  </w:style>
  <w:style w:type="paragraph" w:styleId="Subttulo">
    <w:name w:val="Subtitle"/>
    <w:basedOn w:val="Normal"/>
    <w:next w:val="Normal"/>
    <w:uiPriority w:val="11"/>
    <w:qFormat/>
    <w:pPr>
      <w:keepNext/>
      <w:keepLines/>
      <w:spacing w:after="320" w:line="276" w:lineRule="auto"/>
      <w:jc w:val="both"/>
    </w:pPr>
    <w:rPr>
      <w:rFonts w:ascii="Arial" w:eastAsia="Arial" w:hAnsi="Arial" w:cs="Arial"/>
      <w:color w:val="666666"/>
      <w:sz w:val="30"/>
      <w:szCs w:val="30"/>
    </w:rPr>
  </w:style>
  <w:style w:type="table" w:customStyle="1" w:styleId="a">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orcid.org/0000-0002-4746-6049" TargetMode="External"/><Relationship Id="rId13" Type="http://schemas.openxmlformats.org/officeDocument/2006/relationships/hyperlink" Target="https://orcid.org/0000-0001-5255-5938" TargetMode="External"/><Relationship Id="rId18" Type="http://schemas.openxmlformats.org/officeDocument/2006/relationships/footer" Target="footer2.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3.jpg"/><Relationship Id="rId7" Type="http://schemas.openxmlformats.org/officeDocument/2006/relationships/hyperlink" Target="mailto:tmartapc@medicina.ufrj.br" TargetMode="External"/><Relationship Id="rId12" Type="http://schemas.openxmlformats.org/officeDocument/2006/relationships/hyperlink" Target="https://orcid.org/0000-0001-5255-5938" TargetMode="External"/><Relationship Id="rId17" Type="http://schemas.openxmlformats.org/officeDocument/2006/relationships/footer" Target="footer1.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image" Target="media/image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orcid.org/0000-0001-5255-5938" TargetMode="External"/><Relationship Id="rId24"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hyperlink" Target="https://orcid.org/0000-0002-5339-6323" TargetMode="External"/><Relationship Id="rId23" Type="http://schemas.openxmlformats.org/officeDocument/2006/relationships/image" Target="media/image5.png"/><Relationship Id="rId10" Type="http://schemas.openxmlformats.org/officeDocument/2006/relationships/hyperlink" Target="https://orcid.org/0000-0001-6299-2816" TargetMode="External"/><Relationship Id="rId19"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s://orcid.org/0000-0002-9420-6143" TargetMode="External"/><Relationship Id="rId14" Type="http://schemas.openxmlformats.org/officeDocument/2006/relationships/hyperlink" Target="https://orcid.org/0000-0001-8577-9313" TargetMode="External"/><Relationship Id="rId2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24</Pages>
  <Words>7853</Words>
  <Characters>42407</Characters>
  <Application>Microsoft Office Word</Application>
  <DocSecurity>0</DocSecurity>
  <Lines>353</Lines>
  <Paragraphs>100</Paragraphs>
  <ScaleCrop>false</ScaleCrop>
  <Company/>
  <LinksUpToDate>false</LinksUpToDate>
  <CharactersWithSpaces>50160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Terezinha Marta Castineiras</cp:lastModifiedBy>
  <cp:revision>2</cp:revision>
  <dcterms:created xsi:type="dcterms:W3CDTF">2024-02-16T20:19:00Z</dcterms:created>
  <dcterms:modified xsi:type="dcterms:W3CDTF">2024-02-16T20:19:00Z</dcterms:modified>
</cp:coreProperties>
</file>