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25" w:rsidRPr="001A0018" w:rsidRDefault="00412925" w:rsidP="00412925">
      <w:pPr>
        <w:spacing w:after="0" w:line="360" w:lineRule="auto"/>
        <w:jc w:val="both"/>
        <w:rPr>
          <w:rFonts w:ascii="Arial" w:hAnsi="Arial" w:cs="Arial"/>
        </w:rPr>
      </w:pPr>
      <w:r w:rsidRPr="001A0018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3</w:t>
      </w:r>
      <w:r w:rsidRPr="001A0018">
        <w:rPr>
          <w:rFonts w:ascii="Arial" w:hAnsi="Arial" w:cs="Arial"/>
          <w:b/>
        </w:rPr>
        <w:t xml:space="preserve"> </w:t>
      </w:r>
      <w:r w:rsidRPr="001A0018">
        <w:rPr>
          <w:rFonts w:ascii="Arial" w:hAnsi="Arial" w:cs="Arial"/>
        </w:rPr>
        <w:t>Results for multivariable analysis for risk of bleeding in the rivaroxaban group</w:t>
      </w:r>
    </w:p>
    <w:tbl>
      <w:tblPr>
        <w:tblStyle w:val="TableGrid"/>
        <w:tblW w:w="0" w:type="auto"/>
        <w:tblLook w:val="04A0"/>
      </w:tblPr>
      <w:tblGrid>
        <w:gridCol w:w="2358"/>
        <w:gridCol w:w="1710"/>
        <w:gridCol w:w="1710"/>
        <w:gridCol w:w="1899"/>
        <w:gridCol w:w="1899"/>
      </w:tblGrid>
      <w:tr w:rsidR="00412925" w:rsidRPr="00DF0438" w:rsidTr="005F1497"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0B5A">
              <w:rPr>
                <w:rFonts w:ascii="Arial" w:hAnsi="Arial" w:cs="Arial"/>
                <w:b/>
                <w:sz w:val="18"/>
                <w:szCs w:val="18"/>
              </w:rPr>
              <w:t>Patients without bleed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0B5A">
              <w:rPr>
                <w:rFonts w:ascii="Arial" w:hAnsi="Arial" w:cs="Arial"/>
                <w:b/>
                <w:sz w:val="18"/>
                <w:szCs w:val="18"/>
              </w:rPr>
              <w:t>Patients with bleed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0B5A">
              <w:rPr>
                <w:rFonts w:ascii="Arial" w:hAnsi="Arial" w:cs="Arial"/>
                <w:b/>
                <w:sz w:val="18"/>
                <w:szCs w:val="18"/>
              </w:rPr>
              <w:t>Crude Odds Ratio (95% CI)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0B5A">
              <w:rPr>
                <w:rFonts w:ascii="Arial" w:hAnsi="Arial" w:cs="Arial"/>
                <w:b/>
                <w:sz w:val="18"/>
                <w:szCs w:val="18"/>
              </w:rPr>
              <w:t xml:space="preserve">Adjusted Odds </w:t>
            </w:r>
            <w:proofErr w:type="spellStart"/>
            <w:r w:rsidRPr="001F0B5A">
              <w:rPr>
                <w:rFonts w:ascii="Arial" w:hAnsi="Arial" w:cs="Arial"/>
                <w:b/>
                <w:sz w:val="18"/>
                <w:szCs w:val="18"/>
              </w:rPr>
              <w:t>Ratio</w:t>
            </w:r>
            <w:r>
              <w:rPr>
                <w:rFonts w:ascii="Arial" w:hAnsi="Arial"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ab</w:t>
            </w:r>
            <w:proofErr w:type="spellEnd"/>
            <w:r w:rsidRPr="001F0B5A">
              <w:rPr>
                <w:rFonts w:ascii="Arial" w:hAnsi="Arial" w:cs="Arial"/>
                <w:b/>
                <w:sz w:val="18"/>
                <w:szCs w:val="18"/>
              </w:rPr>
              <w:t xml:space="preserve"> (95% CI)</w:t>
            </w:r>
          </w:p>
        </w:tc>
      </w:tr>
      <w:tr w:rsidR="00412925" w:rsidRPr="0054333D" w:rsidTr="005F1497">
        <w:tc>
          <w:tcPr>
            <w:tcW w:w="23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F42AE">
              <w:rPr>
                <w:rFonts w:ascii="Arial" w:hAnsi="Arial" w:cs="Arial"/>
                <w:sz w:val="19"/>
                <w:szCs w:val="19"/>
              </w:rPr>
              <w:t xml:space="preserve">Patients, </w:t>
            </w:r>
            <w:r w:rsidRPr="00CF42AE">
              <w:rPr>
                <w:rFonts w:ascii="Arial" w:hAnsi="Arial" w:cs="Arial"/>
                <w:i/>
                <w:sz w:val="19"/>
                <w:szCs w:val="19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Class I peak plasma concentration,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28 (41.2)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8 (27.6)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Class II-IV peak plasma concentration,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40 (58.8)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21 (72.4)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1.84 (0.71 – 4.74)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Class I trough plasma concentration,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37 (54.4)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17 (58.6)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Class II-IV trough plasma concentration,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31 (45.6)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12 (41.4)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0.84 (0.35 – 2.03)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BMI (kg/m</w:t>
            </w:r>
            <w:r w:rsidRPr="001F0B5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1F0B5A">
              <w:rPr>
                <w:rFonts w:ascii="Arial" w:hAnsi="Arial" w:cs="Arial"/>
                <w:sz w:val="18"/>
                <w:szCs w:val="18"/>
              </w:rPr>
              <w:t>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0B5A">
              <w:rPr>
                <w:rFonts w:ascii="Arial" w:hAnsi="Arial" w:cs="Arial"/>
                <w:sz w:val="18"/>
                <w:szCs w:val="18"/>
              </w:rPr>
              <w:t>median (IQR)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27.4 (24.4 – 31.2)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25.1 (22.6 – 28.7)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0.92 (0.84 – 1.01)*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0.91 (0.80 – 1.03)</w:t>
            </w: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CrCl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0B5A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1F0B5A"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 w:rsidRPr="001F0B5A">
              <w:rPr>
                <w:rFonts w:ascii="Arial" w:hAnsi="Arial" w:cs="Arial"/>
                <w:sz w:val="18"/>
                <w:szCs w:val="18"/>
              </w:rPr>
              <w:t>/min), median (IQR)</w:t>
            </w:r>
            <w:r>
              <w:rPr>
                <w:rFonts w:ascii="Arial" w:hAnsi="Arial"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70.8 (57.7 – 85.8)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61.5 (49.4 – 79.8)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0.98 (0.96 – 1.00)*</w:t>
            </w:r>
          </w:p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0.99 (0.96 – 1.02)</w:t>
            </w:r>
          </w:p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Previous SSE,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15 (22.1)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 (6.9)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0.26 (0.06 – 1.23)*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0.25 (0.05 – 1.27)*</w:t>
            </w: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No HMG-</w:t>
            </w:r>
            <w:proofErr w:type="spellStart"/>
            <w:r w:rsidRPr="001F0B5A">
              <w:rPr>
                <w:rFonts w:ascii="Arial" w:hAnsi="Arial" w:cs="Arial"/>
                <w:sz w:val="18"/>
                <w:szCs w:val="18"/>
              </w:rPr>
              <w:t>CoA</w:t>
            </w:r>
            <w:proofErr w:type="spellEnd"/>
            <w:r w:rsidRPr="001F0B5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F0B5A">
              <w:rPr>
                <w:rFonts w:ascii="Arial" w:hAnsi="Arial" w:cs="Arial"/>
                <w:sz w:val="18"/>
                <w:szCs w:val="18"/>
              </w:rPr>
              <w:t>reductase</w:t>
            </w:r>
            <w:proofErr w:type="spellEnd"/>
            <w:r w:rsidRPr="001F0B5A">
              <w:rPr>
                <w:rFonts w:ascii="Arial" w:hAnsi="Arial" w:cs="Arial"/>
                <w:sz w:val="18"/>
                <w:szCs w:val="18"/>
              </w:rPr>
              <w:t xml:space="preserve"> inhibitor,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21 (30.9)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6 (20.7)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Atorvastatin,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43 (63.2)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14 (48.3)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1.14 (0.38 – 3.39)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1.40 (0.41 – 4.73)</w:t>
            </w:r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Rosuvastatin, n (%)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0 (0.0)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2 (6.9)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F0B5A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d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F0B5A">
              <w:rPr>
                <w:rFonts w:ascii="Arial" w:hAnsi="Arial" w:cs="Arial"/>
                <w:sz w:val="18"/>
                <w:szCs w:val="18"/>
              </w:rPr>
              <w:t>NA</w:t>
            </w:r>
            <w:r>
              <w:rPr>
                <w:rFonts w:ascii="Arial" w:hAnsi="Arial"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d</w:t>
            </w:r>
            <w:proofErr w:type="spellEnd"/>
          </w:p>
        </w:tc>
      </w:tr>
      <w:tr w:rsidR="00412925" w:rsidTr="005F1497"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Simvastatin, n (%)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4 (5.9)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0B5A">
              <w:rPr>
                <w:rFonts w:ascii="Arial" w:hAnsi="Arial" w:cs="Arial"/>
                <w:sz w:val="18"/>
                <w:szCs w:val="18"/>
              </w:rPr>
              <w:t>7 (24.1)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0B5A">
              <w:rPr>
                <w:rFonts w:ascii="Arial" w:hAnsi="Arial" w:cs="Arial"/>
                <w:b/>
                <w:sz w:val="18"/>
                <w:szCs w:val="18"/>
              </w:rPr>
              <w:t>6.13 (1.33 – 28.21)**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12925" w:rsidRPr="00DF6E6F" w:rsidRDefault="00412925" w:rsidP="005F1497">
            <w:pPr>
              <w:spacing w:line="276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F6E6F">
              <w:rPr>
                <w:rFonts w:ascii="Arial" w:hAnsi="Arial" w:cs="Arial"/>
                <w:b/>
                <w:color w:val="FF0000"/>
                <w:sz w:val="18"/>
                <w:szCs w:val="18"/>
              </w:rPr>
              <w:t>6.14 (1.18 – 31.97)</w:t>
            </w:r>
            <w:r w:rsidRPr="00C90B3D"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</w:tc>
      </w:tr>
      <w:tr w:rsidR="00412925" w:rsidRPr="00894C7F" w:rsidTr="005F1497">
        <w:tc>
          <w:tcPr>
            <w:tcW w:w="95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 xml:space="preserve">Abbreviations: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CI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confidence interval,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BMI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body mass index,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IQR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inter-quartile range, </w:t>
            </w:r>
            <w:proofErr w:type="spellStart"/>
            <w:r w:rsidRPr="00CA4859">
              <w:rPr>
                <w:rFonts w:ascii="Arial" w:hAnsi="Arial" w:cs="Arial"/>
                <w:i/>
                <w:sz w:val="17"/>
                <w:szCs w:val="17"/>
              </w:rPr>
              <w:t>CrCl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creatinine clearance,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SSE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stroke and systemic embolism,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HMG-</w:t>
            </w:r>
            <w:proofErr w:type="spellStart"/>
            <w:r w:rsidRPr="00CA4859">
              <w:rPr>
                <w:rFonts w:ascii="Arial" w:hAnsi="Arial" w:cs="Arial"/>
                <w:i/>
                <w:sz w:val="17"/>
                <w:szCs w:val="17"/>
              </w:rPr>
              <w:t>CoA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3-hydroxy-3-methylglutaryl coenzyme A.</w:t>
            </w:r>
          </w:p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>**p-value &lt; 0.05.</w:t>
            </w:r>
          </w:p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CA4859">
              <w:rPr>
                <w:rFonts w:ascii="Arial" w:hAnsi="Arial" w:cs="Arial"/>
                <w:sz w:val="17"/>
                <w:szCs w:val="17"/>
              </w:rPr>
              <w:t>*p-value &lt; 0.10.</w:t>
            </w:r>
          </w:p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a</w:t>
            </w:r>
            <w:proofErr w:type="gramEnd"/>
            <w:r w:rsidRPr="00CA4859">
              <w:rPr>
                <w:rFonts w:ascii="Arial" w:hAnsi="Arial" w:cs="Arial"/>
                <w:sz w:val="17"/>
                <w:szCs w:val="17"/>
              </w:rPr>
              <w:t xml:space="preserve"> Adjusted for BMI, </w:t>
            </w:r>
            <w:proofErr w:type="spellStart"/>
            <w:r w:rsidRPr="00CA4859">
              <w:rPr>
                <w:rFonts w:ascii="Arial" w:hAnsi="Arial" w:cs="Arial"/>
                <w:sz w:val="17"/>
                <w:szCs w:val="17"/>
              </w:rPr>
              <w:t>CrCl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>, previous SSE, concomitant use of atorvastatin, rosuvastatin or simvastatin.</w:t>
            </w:r>
          </w:p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b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There were missing data for </w:t>
            </w:r>
            <w:proofErr w:type="spellStart"/>
            <w:r w:rsidRPr="00CA4859">
              <w:rPr>
                <w:rFonts w:ascii="Arial" w:hAnsi="Arial" w:cs="Arial"/>
                <w:sz w:val="17"/>
                <w:szCs w:val="17"/>
              </w:rPr>
              <w:t>CrCl</w:t>
            </w:r>
            <w:proofErr w:type="spellEnd"/>
            <w:r w:rsidRPr="00CA4859">
              <w:rPr>
                <w:rFonts w:ascii="Arial" w:hAnsi="Arial" w:cs="Arial"/>
                <w:sz w:val="17"/>
                <w:szCs w:val="17"/>
              </w:rPr>
              <w:t xml:space="preserve"> in the dataset. Multivariable regression was performed on available data (Without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66; With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28).</w:t>
            </w:r>
          </w:p>
          <w:p w:rsidR="00412925" w:rsidRPr="00CA4859" w:rsidRDefault="00412925" w:rsidP="005F1497">
            <w:pPr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c</w:t>
            </w:r>
            <w:proofErr w:type="gramEnd"/>
            <w:r w:rsidRPr="00CA4859"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</w:rPr>
              <w:t xml:space="preserve"> 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There were missing data for this variable in the dataset. Median (IQR) for this variable is presented based on available data (Without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66; With bleed: </w:t>
            </w:r>
            <w:r w:rsidRPr="00CA4859">
              <w:rPr>
                <w:rFonts w:ascii="Arial" w:hAnsi="Arial" w:cs="Arial"/>
                <w:i/>
                <w:sz w:val="17"/>
                <w:szCs w:val="17"/>
              </w:rPr>
              <w:t>N</w:t>
            </w:r>
            <w:r w:rsidRPr="00CA4859">
              <w:rPr>
                <w:rFonts w:ascii="Arial" w:hAnsi="Arial" w:cs="Arial"/>
                <w:sz w:val="17"/>
                <w:szCs w:val="17"/>
              </w:rPr>
              <w:t xml:space="preserve"> = 28).</w:t>
            </w:r>
          </w:p>
          <w:p w:rsidR="00412925" w:rsidRPr="001F0B5A" w:rsidRDefault="00412925" w:rsidP="005F14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1C1D1E"/>
                <w:sz w:val="17"/>
                <w:szCs w:val="17"/>
                <w:shd w:val="clear" w:color="auto" w:fill="FFFFFF"/>
                <w:vertAlign w:val="superscript"/>
              </w:rPr>
              <w:t>d</w:t>
            </w:r>
            <w:proofErr w:type="gramEnd"/>
            <w:r w:rsidRPr="00CA4859">
              <w:rPr>
                <w:rFonts w:ascii="Arial" w:hAnsi="Arial" w:cs="Arial"/>
                <w:sz w:val="17"/>
                <w:szCs w:val="17"/>
              </w:rPr>
              <w:t xml:space="preserve"> As the cell count for patients without bleed and with concomitant use of rosuvastatin is 0, the denominator of the odds ratio equation is 0 resulting in a very large odds ratio.</w:t>
            </w:r>
          </w:p>
        </w:tc>
      </w:tr>
    </w:tbl>
    <w:p w:rsidR="00412925" w:rsidRDefault="00412925" w:rsidP="0041292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46C30" w:rsidRDefault="00A46C30"/>
    <w:sectPr w:rsidR="00A46C30" w:rsidSect="00A4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2925"/>
    <w:rsid w:val="00412925"/>
    <w:rsid w:val="00A4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Shiinakaze</dc:creator>
  <cp:lastModifiedBy>Shiinakaze</cp:lastModifiedBy>
  <cp:revision>1</cp:revision>
  <dcterms:created xsi:type="dcterms:W3CDTF">2021-12-12T04:40:00Z</dcterms:created>
  <dcterms:modified xsi:type="dcterms:W3CDTF">2021-12-12T04:40:00Z</dcterms:modified>
</cp:coreProperties>
</file>