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67" w:rsidRPr="001A0018" w:rsidRDefault="00656A67" w:rsidP="00656A67">
      <w:pPr>
        <w:spacing w:after="0" w:line="360" w:lineRule="auto"/>
        <w:rPr>
          <w:rFonts w:ascii="Arial" w:hAnsi="Arial" w:cs="Arial"/>
        </w:rPr>
      </w:pPr>
      <w:r w:rsidRPr="001A0018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2</w:t>
      </w:r>
      <w:r w:rsidRPr="001A0018">
        <w:rPr>
          <w:rFonts w:ascii="Arial" w:hAnsi="Arial" w:cs="Arial"/>
        </w:rPr>
        <w:t xml:space="preserve"> Comparison of characteristics between patients with and without bleeds in the rivaroxaban group</w:t>
      </w:r>
    </w:p>
    <w:tbl>
      <w:tblPr>
        <w:tblStyle w:val="TableGrid"/>
        <w:tblW w:w="0" w:type="auto"/>
        <w:tblLook w:val="04A0"/>
      </w:tblPr>
      <w:tblGrid>
        <w:gridCol w:w="3679"/>
        <w:gridCol w:w="2381"/>
        <w:gridCol w:w="2381"/>
        <w:gridCol w:w="1135"/>
      </w:tblGrid>
      <w:tr w:rsidR="00656A67" w:rsidRPr="00DF0438" w:rsidTr="005F1497">
        <w:trPr>
          <w:trHeight w:val="377"/>
        </w:trPr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Patients without bleed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Patients with bleed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p-value</w:t>
            </w:r>
          </w:p>
        </w:tc>
      </w:tr>
      <w:tr w:rsidR="00656A67" w:rsidRPr="0054333D" w:rsidTr="005F1497">
        <w:tc>
          <w:tcPr>
            <w:tcW w:w="4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Patients, </w:t>
            </w:r>
            <w:r w:rsidRPr="00CF42AE">
              <w:rPr>
                <w:rFonts w:ascii="Arial" w:hAnsi="Arial" w:cs="Arial"/>
                <w:i/>
                <w:sz w:val="19"/>
                <w:szCs w:val="19"/>
              </w:rPr>
              <w:t>N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68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Peak plasma concentration (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ng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/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), median (IQR)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Trough plasma concentration (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ng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/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), median (IQR)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180.98 (109.12 – 271.98)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29.26 (13.54 – 52.61)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182.58 (149.90 – 267.06)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33.50 (19.53 – 43.21)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0.457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0.828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Peak concentration (Classes)</w:t>
            </w:r>
            <w:r>
              <w:rPr>
                <w:rFonts w:ascii="Arial" w:hAnsi="Arial" w:cs="Arial"/>
                <w:sz w:val="19"/>
                <w:szCs w:val="19"/>
              </w:rPr>
              <w:t>, n (%)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Class I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Class II – IV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Trough concentration (Classes)</w:t>
            </w:r>
            <w:r>
              <w:rPr>
                <w:rFonts w:ascii="Arial" w:hAnsi="Arial" w:cs="Arial"/>
                <w:sz w:val="19"/>
                <w:szCs w:val="19"/>
              </w:rPr>
              <w:t>, n (%)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Class I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Class II – IV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28 (41.2)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40 (58.8)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37 (54.4)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31 (45.6)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 (27.6)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21 (72.4)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17 (58.6)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12 (41.4)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0.254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0.824</w:t>
            </w: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Gender</w:t>
            </w:r>
            <w:r>
              <w:rPr>
                <w:rFonts w:ascii="Arial" w:hAnsi="Arial" w:cs="Arial"/>
                <w:sz w:val="19"/>
                <w:szCs w:val="19"/>
              </w:rPr>
              <w:t>, n (%)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Male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Female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Age, median (IQR)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BMI (kg/m</w:t>
            </w:r>
            <w:r w:rsidRPr="00CF42AE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  <w:r w:rsidRPr="00CF42AE">
              <w:rPr>
                <w:rFonts w:ascii="Arial" w:hAnsi="Arial" w:cs="Arial"/>
                <w:sz w:val="19"/>
                <w:szCs w:val="19"/>
              </w:rPr>
              <w:t>), median (IQR)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CrCl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 xml:space="preserve"> (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/min), median (IQR)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a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Previous SSE, n (%)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Previous major bleed, n (%)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28 (84.8)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5 (15.2)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66.0 (59.0 – 70.0)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27.4 (24.4 – 31.2)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70.8 (57.7 – 85.8)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15 (22.1)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 (8.8)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23 (79.3)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 (20.7)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64.0 (57.5 – 69.0)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25.1 (22.6 – 28.7)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61.5 (49.4 – 79.8)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(6.9)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 (0.0)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0.336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0.484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0.059*</w:t>
            </w:r>
          </w:p>
          <w:p w:rsidR="00656A67" w:rsidRPr="00DF6E6F" w:rsidRDefault="00656A67" w:rsidP="005F1497">
            <w:pPr>
              <w:spacing w:line="276" w:lineRule="auto"/>
              <w:rPr>
                <w:rFonts w:ascii="Arial" w:hAnsi="Arial" w:cs="Arial"/>
                <w:b/>
                <w:color w:val="FF0000"/>
                <w:sz w:val="19"/>
                <w:szCs w:val="19"/>
              </w:rPr>
            </w:pPr>
            <w:r w:rsidRPr="00DF6E6F">
              <w:rPr>
                <w:rFonts w:ascii="Arial" w:hAnsi="Arial" w:cs="Arial"/>
                <w:b/>
                <w:color w:val="FF0000"/>
                <w:sz w:val="19"/>
                <w:szCs w:val="19"/>
              </w:rPr>
              <w:t>0.047</w:t>
            </w:r>
            <w:r w:rsidRPr="00C90B3D">
              <w:rPr>
                <w:rFonts w:ascii="Arial" w:hAnsi="Arial" w:cs="Arial"/>
                <w:b/>
                <w:sz w:val="19"/>
                <w:szCs w:val="19"/>
              </w:rPr>
              <w:t>**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0.086*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0.174</w:t>
            </w: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6A67" w:rsidRPr="0054333D" w:rsidTr="005F1497">
        <w:tc>
          <w:tcPr>
            <w:tcW w:w="48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Antiplatelets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, n (%)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Amiodarone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, n (%)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Angiotensin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 xml:space="preserve"> receptor blockers</w:t>
            </w:r>
            <w:r>
              <w:rPr>
                <w:rFonts w:ascii="Arial" w:hAnsi="Arial" w:cs="Arial"/>
                <w:sz w:val="19"/>
                <w:szCs w:val="19"/>
              </w:rPr>
              <w:t>, n (%)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b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Losartan</w:t>
            </w:r>
            <w:proofErr w:type="spellEnd"/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Telmisartan</w:t>
            </w:r>
            <w:proofErr w:type="spellEnd"/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Valsartan</w:t>
            </w:r>
            <w:proofErr w:type="spellEnd"/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Combined total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HMG-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CoA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reductase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 xml:space="preserve"> inhibitors</w:t>
            </w:r>
            <w:r>
              <w:rPr>
                <w:rFonts w:ascii="Arial" w:hAnsi="Arial" w:cs="Arial"/>
                <w:sz w:val="19"/>
                <w:szCs w:val="19"/>
              </w:rPr>
              <w:t>, n (%)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c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Atorvastatin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Rosuvastatin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Simvastatin</w:t>
            </w:r>
          </w:p>
          <w:p w:rsidR="00656A67" w:rsidRPr="00CF42AE" w:rsidRDefault="00656A67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Combined total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 (11.8)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5 (7.4)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5 (7.4)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 (4.4)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 (11.8)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16 (23.5)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43 (63.2)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 (0.0)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 (5.9)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47 (69.1)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5 (17.2)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 (10.3)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(6.9)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 (0.0)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(6.9)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 (13.8)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14 (48.3)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(6.9)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7 (24.1)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23 (79.3)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0.521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0.693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1.000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0.548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0.718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0.412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1.000</w:t>
            </w:r>
          </w:p>
          <w:p w:rsidR="00656A67" w:rsidRPr="00CF42AE" w:rsidRDefault="00656A67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0.069*</w:t>
            </w:r>
          </w:p>
          <w:p w:rsidR="00656A67" w:rsidRPr="00C7589F" w:rsidRDefault="00656A67" w:rsidP="005F1497">
            <w:pPr>
              <w:spacing w:line="276" w:lineRule="auto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7589F">
              <w:rPr>
                <w:rFonts w:ascii="Arial" w:hAnsi="Arial" w:cs="Arial"/>
                <w:b/>
                <w:color w:val="FF0000"/>
                <w:sz w:val="19"/>
                <w:szCs w:val="19"/>
              </w:rPr>
              <w:t>0.024</w:t>
            </w:r>
            <w:r w:rsidRPr="00C7589F">
              <w:rPr>
                <w:rFonts w:ascii="Arial" w:hAnsi="Arial" w:cs="Arial"/>
                <w:sz w:val="19"/>
                <w:szCs w:val="19"/>
              </w:rPr>
              <w:t>**</w:t>
            </w:r>
          </w:p>
          <w:p w:rsidR="00656A67" w:rsidRPr="00CF42AE" w:rsidRDefault="00656A67" w:rsidP="005F149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0.336</w:t>
            </w:r>
          </w:p>
        </w:tc>
      </w:tr>
      <w:tr w:rsidR="00656A67" w:rsidRPr="00894C7F" w:rsidTr="005F1497">
        <w:tc>
          <w:tcPr>
            <w:tcW w:w="13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6A67" w:rsidRPr="00CA4859" w:rsidRDefault="00656A67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 xml:space="preserve">Abbreviations: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IQR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inter-quartile range,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BMI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body mass index, </w:t>
            </w:r>
            <w:proofErr w:type="spellStart"/>
            <w:r w:rsidRPr="00CA4859">
              <w:rPr>
                <w:rFonts w:ascii="Arial" w:hAnsi="Arial" w:cs="Arial"/>
                <w:i/>
                <w:sz w:val="17"/>
                <w:szCs w:val="17"/>
              </w:rPr>
              <w:t>CrCl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 xml:space="preserve"> creatinine clearance,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SSE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stroke and systemic embolism,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HMG-</w:t>
            </w:r>
            <w:proofErr w:type="spellStart"/>
            <w:r w:rsidRPr="00CA4859">
              <w:rPr>
                <w:rFonts w:ascii="Arial" w:hAnsi="Arial" w:cs="Arial"/>
                <w:i/>
                <w:sz w:val="17"/>
                <w:szCs w:val="17"/>
              </w:rPr>
              <w:t>CoA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 xml:space="preserve"> 3-hydroxy-3-methylglutaryl coenzyme A.</w:t>
            </w:r>
          </w:p>
          <w:p w:rsidR="00656A67" w:rsidRPr="00CA4859" w:rsidRDefault="00656A67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>**p-value &lt; 0.05.</w:t>
            </w:r>
          </w:p>
          <w:p w:rsidR="00656A67" w:rsidRPr="00CA4859" w:rsidRDefault="00656A67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>*p-value &lt; 0.10.</w:t>
            </w:r>
          </w:p>
          <w:p w:rsidR="00656A67" w:rsidRDefault="00656A67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 xml:space="preserve"> 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There were missing data for this variable in the dataset. Median (IQR) for this variable is presented based on available data (Without bleed: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66; With bleed: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28).</w:t>
            </w:r>
          </w:p>
          <w:p w:rsidR="00656A67" w:rsidRDefault="00656A67" w:rsidP="005F1497">
            <w:pPr>
              <w:spacing w:line="276" w:lineRule="auto"/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b</w:t>
            </w:r>
            <w:proofErr w:type="gramEnd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No use of any </w:t>
            </w:r>
            <w:proofErr w:type="spell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>angiotensin</w:t>
            </w:r>
            <w:proofErr w:type="spellEnd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receptor blocker was considered the reference group.</w:t>
            </w:r>
          </w:p>
          <w:p w:rsidR="00656A67" w:rsidRPr="002B6140" w:rsidRDefault="00656A67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c</w:t>
            </w:r>
            <w:proofErr w:type="gramEnd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No use of any HMG-</w:t>
            </w:r>
            <w:proofErr w:type="spell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>CoA</w:t>
            </w:r>
            <w:proofErr w:type="spellEnd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>reductase</w:t>
            </w:r>
            <w:proofErr w:type="spellEnd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inhibitor was considered the reference group.</w:t>
            </w:r>
          </w:p>
        </w:tc>
      </w:tr>
    </w:tbl>
    <w:p w:rsidR="00656A67" w:rsidRDefault="00656A67" w:rsidP="00656A6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46C30" w:rsidRDefault="00A46C30"/>
    <w:sectPr w:rsidR="00A46C30" w:rsidSect="00A4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6A67"/>
    <w:rsid w:val="00656A67"/>
    <w:rsid w:val="00A4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Shiinakaze</dc:creator>
  <cp:lastModifiedBy>Shiinakaze</cp:lastModifiedBy>
  <cp:revision>1</cp:revision>
  <dcterms:created xsi:type="dcterms:W3CDTF">2021-12-12T04:40:00Z</dcterms:created>
  <dcterms:modified xsi:type="dcterms:W3CDTF">2021-12-12T04:40:00Z</dcterms:modified>
</cp:coreProperties>
</file>