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04BF">
        <w:rPr>
          <w:rFonts w:asciiTheme="minorHAnsi" w:hAnsiTheme="minorHAnsi" w:cstheme="minorHAnsi"/>
          <w:sz w:val="22"/>
          <w:szCs w:val="22"/>
        </w:rPr>
        <w:t>Table-1: The demographic features of all participants</w:t>
      </w: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230" w:type="dxa"/>
        <w:tblInd w:w="-1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506"/>
        <w:gridCol w:w="2724"/>
      </w:tblGrid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Patients’ characteristics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Number of Patients (n=84)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Age, years (mean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±</m:t>
              </m:r>
            </m:oMath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SD)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52.1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±</m:t>
              </m:r>
            </m:oMath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11.2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Gender, n (female/male)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20/64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Liver Donor, n (living/deceased)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45/39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Etiology, n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Chronic Hepatitis B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Hepatocelular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Cancer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Criptogenic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Liver Cirrhosis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Toxic liver disease 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Wilson Disease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Alcohol related liver disease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Primary Biliary Cirrhosis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Primary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Sclerosing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Cholangitis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 Others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  <w:shd w:val="clear" w:color="auto" w:fill="F5F5F5"/>
              </w:rPr>
              <w:t xml:space="preserve"> Immunosuppressive,</w:t>
            </w: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n 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Takrolimus</w:t>
            </w:r>
            <w:proofErr w:type="spellEnd"/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Takrolimus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mikofenolat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mofetil</w:t>
            </w:r>
            <w:proofErr w:type="spellEnd"/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Takrolimus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+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everolimus</w:t>
            </w:r>
            <w:proofErr w:type="spellEnd"/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Everolimus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mikofenolat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mofetil</w:t>
            </w:r>
            <w:proofErr w:type="spellEnd"/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Everolimus</w:t>
            </w:r>
            <w:proofErr w:type="spellEnd"/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Others (cyclosporine or concomitant steroid)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Comorbid diseases, n (all study participants)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No comorbid disease/ at least one disease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67/17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Diabetes Mellitus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Hypertension 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3562CD" w:rsidRPr="002E04BF" w:rsidTr="007B61EA">
        <w:tc>
          <w:tcPr>
            <w:tcW w:w="450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 Others </w:t>
            </w:r>
          </w:p>
        </w:tc>
        <w:tc>
          <w:tcPr>
            <w:tcW w:w="272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</w:tr>
    </w:tbl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2E04BF">
        <w:rPr>
          <w:rFonts w:asciiTheme="minorHAnsi" w:hAnsiTheme="minorHAnsi" w:cstheme="minorHAnsi"/>
          <w:color w:val="auto"/>
          <w:sz w:val="22"/>
          <w:szCs w:val="22"/>
          <w:lang w:bidi="ar-SA"/>
        </w:rPr>
        <w:t>NOTE: Continuous variables with normal distribution were represented as mean and standard deviation. Non-normally distributed continuous data were represented as median and interquartile range. Categorical data were represented as numbers and percentages.</w:t>
      </w: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3562CD" w:rsidRPr="002E0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33"/>
    <w:rsid w:val="00174E33"/>
    <w:rsid w:val="003562CD"/>
    <w:rsid w:val="006434FB"/>
    <w:rsid w:val="006F357E"/>
    <w:rsid w:val="00B6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E4BE"/>
  <w15:chartTrackingRefBased/>
  <w15:docId w15:val="{D2EC17F3-5CDB-4EA0-81AB-48FBA703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2CD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val="en-US"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ayas</dc:creator>
  <cp:keywords/>
  <dc:description/>
  <cp:lastModifiedBy>derya ayas</cp:lastModifiedBy>
  <cp:revision>3</cp:revision>
  <dcterms:created xsi:type="dcterms:W3CDTF">2021-06-14T20:21:00Z</dcterms:created>
  <dcterms:modified xsi:type="dcterms:W3CDTF">2021-06-17T19:41:00Z</dcterms:modified>
</cp:coreProperties>
</file>