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drawings/drawing5.xml" ContentType="application/vnd.openxmlformats-officedocument.drawingml.chartshapes+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drawings/drawing6.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E7D0C" w14:textId="3787D97B" w:rsidR="00C357DF" w:rsidRPr="00C357DF" w:rsidRDefault="00C357DF" w:rsidP="00C357DF">
      <w:pPr>
        <w:pStyle w:val="AuthorList"/>
        <w:rPr>
          <w:rFonts w:asciiTheme="majorHAnsi" w:hAnsiTheme="majorHAnsi" w:cs="Calibri Light (Headings)"/>
          <w:sz w:val="40"/>
          <w:szCs w:val="40"/>
        </w:rPr>
      </w:pPr>
      <w:r w:rsidRPr="00C357DF">
        <w:rPr>
          <w:rFonts w:asciiTheme="majorHAnsi" w:hAnsiTheme="majorHAnsi" w:cs="Calibri Light (Headings)"/>
          <w:sz w:val="40"/>
          <w:szCs w:val="40"/>
        </w:rPr>
        <w:t xml:space="preserve">The Impact of Smoking, Alcohol Use, </w:t>
      </w:r>
      <w:r w:rsidR="00BE0933">
        <w:rPr>
          <w:rFonts w:asciiTheme="majorHAnsi" w:hAnsiTheme="majorHAnsi" w:cs="Calibri Light (Headings)"/>
          <w:sz w:val="40"/>
          <w:szCs w:val="40"/>
        </w:rPr>
        <w:t xml:space="preserve">Recurrent Disease, </w:t>
      </w:r>
      <w:r w:rsidRPr="00C357DF">
        <w:rPr>
          <w:rFonts w:asciiTheme="majorHAnsi" w:hAnsiTheme="majorHAnsi" w:cs="Calibri Light (Headings)"/>
          <w:sz w:val="40"/>
          <w:szCs w:val="40"/>
        </w:rPr>
        <w:t xml:space="preserve">and Age on the Development of Neck Fibrosis in Head and Neck Cancer </w:t>
      </w:r>
      <w:r w:rsidR="001F486F">
        <w:rPr>
          <w:rFonts w:asciiTheme="majorHAnsi" w:hAnsiTheme="majorHAnsi" w:cs="Calibri Light (Headings)"/>
          <w:sz w:val="40"/>
          <w:szCs w:val="40"/>
        </w:rPr>
        <w:t xml:space="preserve">(HNC) </w:t>
      </w:r>
      <w:r w:rsidRPr="00C357DF">
        <w:rPr>
          <w:rFonts w:asciiTheme="majorHAnsi" w:hAnsiTheme="majorHAnsi" w:cs="Calibri Light (Headings)"/>
          <w:sz w:val="40"/>
          <w:szCs w:val="40"/>
        </w:rPr>
        <w:t>Patients Following Radiation Therapy</w:t>
      </w:r>
    </w:p>
    <w:p w14:paraId="4DB10602" w14:textId="08F2B17C" w:rsidR="008E2B54" w:rsidRDefault="00817DD6" w:rsidP="00147395">
      <w:pPr>
        <w:pStyle w:val="AuthorList"/>
      </w:pPr>
      <w:r w:rsidRPr="00376CC5">
        <w:t xml:space="preserve">Keywords: </w:t>
      </w:r>
      <w:r w:rsidR="00F41831">
        <w:t>head and neck cancer</w:t>
      </w:r>
      <w:r w:rsidRPr="00376CC5">
        <w:rPr>
          <w:vertAlign w:val="subscript"/>
        </w:rPr>
        <w:t>1</w:t>
      </w:r>
      <w:r w:rsidRPr="00376CC5">
        <w:t xml:space="preserve">, </w:t>
      </w:r>
      <w:r w:rsidR="00F41831">
        <w:t>fibrosis</w:t>
      </w:r>
      <w:r w:rsidRPr="00376CC5">
        <w:rPr>
          <w:vertAlign w:val="subscript"/>
        </w:rPr>
        <w:t>2</w:t>
      </w:r>
      <w:r w:rsidRPr="00376CC5">
        <w:t xml:space="preserve">, </w:t>
      </w:r>
      <w:r w:rsidR="00F41831">
        <w:t>radiotherapy</w:t>
      </w:r>
      <w:r w:rsidRPr="00376CC5">
        <w:rPr>
          <w:vertAlign w:val="subscript"/>
        </w:rPr>
        <w:t>3</w:t>
      </w:r>
      <w:r w:rsidRPr="00376CC5">
        <w:t xml:space="preserve">, </w:t>
      </w:r>
      <w:r w:rsidR="00F41831">
        <w:t>risk factors</w:t>
      </w:r>
      <w:r w:rsidRPr="00376CC5">
        <w:rPr>
          <w:vertAlign w:val="subscript"/>
        </w:rPr>
        <w:t>4</w:t>
      </w:r>
      <w:r w:rsidRPr="00376CC5">
        <w:t xml:space="preserve">, </w:t>
      </w:r>
      <w:r w:rsidR="00F41831">
        <w:t>tobacco use</w:t>
      </w:r>
      <w:r w:rsidRPr="00376CC5">
        <w:rPr>
          <w:vertAlign w:val="subscript"/>
        </w:rPr>
        <w:t>5</w:t>
      </w:r>
      <w:r w:rsidRPr="00376CC5">
        <w:t>.</w:t>
      </w:r>
    </w:p>
    <w:p w14:paraId="1A6C3580" w14:textId="7792EAEF" w:rsidR="000B0425" w:rsidRPr="00C87E54" w:rsidRDefault="000B0425" w:rsidP="000B0425">
      <w:pPr>
        <w:rPr>
          <w:b/>
          <w:bCs/>
        </w:rPr>
      </w:pPr>
      <w:r w:rsidRPr="00C87E54">
        <w:rPr>
          <w:b/>
          <w:bCs/>
        </w:rPr>
        <w:t>Objective</w:t>
      </w:r>
      <w:r w:rsidR="00364746">
        <w:rPr>
          <w:b/>
          <w:bCs/>
        </w:rPr>
        <w:t>s</w:t>
      </w:r>
    </w:p>
    <w:p w14:paraId="107FD078" w14:textId="420FFB7C" w:rsidR="000B0425" w:rsidRDefault="000B0425" w:rsidP="000B0425">
      <w:r>
        <w:t xml:space="preserve">This study </w:t>
      </w:r>
      <w:r w:rsidR="00A159D4">
        <w:t>investigates</w:t>
      </w:r>
      <w:r>
        <w:t xml:space="preserve"> the incidence of neck fibrosis in head and neck cancer (HNC) patients </w:t>
      </w:r>
      <w:r w:rsidR="00C87E54">
        <w:t xml:space="preserve">following radiotherapy </w:t>
      </w:r>
      <w:r>
        <w:t xml:space="preserve">with respect to patient age, </w:t>
      </w:r>
      <w:r w:rsidR="00A54E0A">
        <w:t xml:space="preserve">treatment characteristics, </w:t>
      </w:r>
      <w:r>
        <w:t>history of alcohol and tobacco use, and disease recurrence.</w:t>
      </w:r>
    </w:p>
    <w:p w14:paraId="1AD7BF2B" w14:textId="2F8BBDEE" w:rsidR="000B0425" w:rsidRPr="00C87E54" w:rsidRDefault="000B0425" w:rsidP="000B0425">
      <w:pPr>
        <w:rPr>
          <w:b/>
          <w:bCs/>
        </w:rPr>
      </w:pPr>
      <w:r w:rsidRPr="00C87E54">
        <w:rPr>
          <w:b/>
          <w:bCs/>
        </w:rPr>
        <w:t>Design</w:t>
      </w:r>
    </w:p>
    <w:p w14:paraId="66146C46" w14:textId="0FCCECA6" w:rsidR="000B0425" w:rsidRDefault="000B0425" w:rsidP="000B0425">
      <w:r>
        <w:t xml:space="preserve">A retrospective review of all patients being treated for HNC at a </w:t>
      </w:r>
      <w:r w:rsidR="007757FB">
        <w:t xml:space="preserve">rural </w:t>
      </w:r>
      <w:r>
        <w:t>tertiary care center between 2013 and 2017 was performed.</w:t>
      </w:r>
    </w:p>
    <w:p w14:paraId="5AD0D51D" w14:textId="4A4515A0" w:rsidR="000B0425" w:rsidRPr="00C87E54" w:rsidRDefault="000B0425" w:rsidP="000B0425">
      <w:pPr>
        <w:rPr>
          <w:b/>
          <w:bCs/>
        </w:rPr>
      </w:pPr>
      <w:r w:rsidRPr="00C87E54">
        <w:rPr>
          <w:b/>
          <w:bCs/>
        </w:rPr>
        <w:t>Participants</w:t>
      </w:r>
    </w:p>
    <w:p w14:paraId="575B8932" w14:textId="75D9C340" w:rsidR="000B0425" w:rsidRDefault="000B0425" w:rsidP="000B0425">
      <w:r>
        <w:t>90 patients being treated for HNC</w:t>
      </w:r>
      <w:r w:rsidR="00B154B0">
        <w:t>, aged 19 to 99 years</w:t>
      </w:r>
      <w:r w:rsidR="00C87E54">
        <w:t>.</w:t>
      </w:r>
    </w:p>
    <w:p w14:paraId="5B003394" w14:textId="1F04A501" w:rsidR="000B0425" w:rsidRDefault="000B0425" w:rsidP="000B0425">
      <w:pPr>
        <w:rPr>
          <w:b/>
          <w:bCs/>
        </w:rPr>
      </w:pPr>
      <w:r w:rsidRPr="00C87E54">
        <w:rPr>
          <w:b/>
          <w:bCs/>
        </w:rPr>
        <w:t>Main outcome measures</w:t>
      </w:r>
    </w:p>
    <w:p w14:paraId="103ACFA3" w14:textId="1C449460" w:rsidR="00C87E54" w:rsidRPr="00C87E54" w:rsidRDefault="00A54E0A" w:rsidP="000B0425">
      <w:r>
        <w:t>Incidence and Grade of head and neck fibrosis</w:t>
      </w:r>
      <w:r w:rsidR="00BB054B">
        <w:t>.</w:t>
      </w:r>
      <w:r>
        <w:t xml:space="preserve"> </w:t>
      </w:r>
      <w:r w:rsidR="00BB054B">
        <w:t>C</w:t>
      </w:r>
      <w:r>
        <w:t>orrelation with treatment</w:t>
      </w:r>
      <w:r w:rsidR="00BB054B">
        <w:t>/patient</w:t>
      </w:r>
      <w:r>
        <w:t xml:space="preserve"> characteristics</w:t>
      </w:r>
      <w:r w:rsidR="00BB054B">
        <w:t xml:space="preserve"> was performed using </w:t>
      </w:r>
      <w:r w:rsidR="00C87E54" w:rsidRPr="00D74D9B">
        <w:t>Chi</w:t>
      </w:r>
      <w:r w:rsidR="00C87E54">
        <w:t>-s</w:t>
      </w:r>
      <w:r w:rsidR="00C87E54" w:rsidRPr="00D74D9B">
        <w:t>quare</w:t>
      </w:r>
      <w:r w:rsidR="00C87E54">
        <w:t>d</w:t>
      </w:r>
      <w:r w:rsidR="00C87E54" w:rsidRPr="00D74D9B">
        <w:t xml:space="preserve"> and Mann-Whitney U tests </w:t>
      </w:r>
      <w:r w:rsidR="00BB054B">
        <w:t xml:space="preserve">for </w:t>
      </w:r>
      <w:r w:rsidR="00C87E54">
        <w:t xml:space="preserve">univariate </w:t>
      </w:r>
      <w:r w:rsidR="00BB054B">
        <w:t xml:space="preserve">analysis </w:t>
      </w:r>
      <w:r w:rsidR="00C87E54">
        <w:t>and multiple logistic</w:t>
      </w:r>
      <w:r w:rsidR="00BB054B">
        <w:t xml:space="preserve"> regression for multivariate analysis.</w:t>
      </w:r>
      <w:r w:rsidR="00C87E54">
        <w:t xml:space="preserve"> </w:t>
      </w:r>
    </w:p>
    <w:p w14:paraId="305831D2" w14:textId="30E2B2A3" w:rsidR="000B0425" w:rsidRDefault="000B0425" w:rsidP="000B0425">
      <w:pPr>
        <w:rPr>
          <w:b/>
          <w:bCs/>
        </w:rPr>
      </w:pPr>
      <w:r w:rsidRPr="00C87E54">
        <w:rPr>
          <w:b/>
          <w:bCs/>
        </w:rPr>
        <w:t>Results</w:t>
      </w:r>
    </w:p>
    <w:p w14:paraId="03EBDCE7" w14:textId="26AEBAC0" w:rsidR="00C87E54" w:rsidRPr="00C87E54" w:rsidRDefault="00C87E54" w:rsidP="000B0425">
      <w:pPr>
        <w:rPr>
          <w:b/>
          <w:bCs/>
        </w:rPr>
      </w:pPr>
      <w:r>
        <w:t>Factors associated with an increased incidence of fibrosis included smoking during radiotherapy (</w:t>
      </w:r>
      <w:r>
        <w:rPr>
          <w:i/>
        </w:rPr>
        <w:t>p</w:t>
      </w:r>
      <w:r>
        <w:t xml:space="preserve"> &lt; 0.001), alcohol use (</w:t>
      </w:r>
      <w:r>
        <w:rPr>
          <w:i/>
        </w:rPr>
        <w:t xml:space="preserve">p </w:t>
      </w:r>
      <w:r w:rsidRPr="00A14E76">
        <w:t>= 0.026)</w:t>
      </w:r>
      <w:r>
        <w:t>, recurrent disease (</w:t>
      </w:r>
      <w:r>
        <w:rPr>
          <w:i/>
        </w:rPr>
        <w:t>p</w:t>
      </w:r>
      <w:r>
        <w:t xml:space="preserve"> = 0.042), and age less than 60 (</w:t>
      </w:r>
      <w:r>
        <w:rPr>
          <w:i/>
        </w:rPr>
        <w:t>p</w:t>
      </w:r>
      <w:r>
        <w:t xml:space="preserve"> &lt; 0.001) on univariate analysis. </w:t>
      </w:r>
      <w:r w:rsidRPr="001F15A1">
        <w:t xml:space="preserve">Factors associated with increased </w:t>
      </w:r>
      <w:r>
        <w:t>g</w:t>
      </w:r>
      <w:r w:rsidRPr="001F15A1">
        <w:t>rade of fibrosis in HNC pati</w:t>
      </w:r>
      <w:r>
        <w:t xml:space="preserve">ents included </w:t>
      </w:r>
      <w:r w:rsidRPr="001F15A1">
        <w:t>recurrent HNC (</w:t>
      </w:r>
      <w:r w:rsidRPr="001F15A1">
        <w:rPr>
          <w:i/>
          <w:iCs/>
        </w:rPr>
        <w:t>p</w:t>
      </w:r>
      <w:r>
        <w:t xml:space="preserve"> = 0.033), alcohol use</w:t>
      </w:r>
      <w:r w:rsidRPr="001F15A1">
        <w:t xml:space="preserve"> (</w:t>
      </w:r>
      <w:r w:rsidRPr="001F15A1">
        <w:rPr>
          <w:i/>
          <w:iCs/>
        </w:rPr>
        <w:t>p</w:t>
      </w:r>
      <w:r>
        <w:t xml:space="preserve"> = 0.013), patient age </w:t>
      </w:r>
      <w:r w:rsidRPr="001F15A1">
        <w:t xml:space="preserve">younger than 60 </w:t>
      </w:r>
      <w:r>
        <w:t xml:space="preserve">years </w:t>
      </w:r>
      <w:r w:rsidRPr="001F15A1">
        <w:t>(</w:t>
      </w:r>
      <w:r w:rsidRPr="001F15A1">
        <w:rPr>
          <w:i/>
          <w:iCs/>
        </w:rPr>
        <w:t>p</w:t>
      </w:r>
      <w:r>
        <w:t xml:space="preserve"> = 0.018), smoking during radiotherapy (</w:t>
      </w:r>
      <w:r w:rsidRPr="001F15A1">
        <w:rPr>
          <w:i/>
          <w:iCs/>
        </w:rPr>
        <w:t>p</w:t>
      </w:r>
      <w:r>
        <w:t xml:space="preserve"> &lt; 0.001), and n</w:t>
      </w:r>
      <w:r w:rsidRPr="001F15A1">
        <w:t>on-Caucasian race (</w:t>
      </w:r>
      <w:r w:rsidRPr="001F15A1">
        <w:rPr>
          <w:i/>
          <w:iCs/>
        </w:rPr>
        <w:t xml:space="preserve">p = </w:t>
      </w:r>
      <w:r w:rsidRPr="001F15A1">
        <w:t>0.012).</w:t>
      </w:r>
    </w:p>
    <w:p w14:paraId="389A3539" w14:textId="36DABB1D" w:rsidR="000B0425" w:rsidRPr="00C87E54" w:rsidRDefault="000B0425" w:rsidP="000B0425">
      <w:pPr>
        <w:rPr>
          <w:b/>
          <w:bCs/>
        </w:rPr>
      </w:pPr>
      <w:r w:rsidRPr="00C87E54">
        <w:rPr>
          <w:b/>
          <w:bCs/>
        </w:rPr>
        <w:t>Conclusions</w:t>
      </w:r>
    </w:p>
    <w:p w14:paraId="1D37D640" w14:textId="339AF1E9" w:rsidR="00956C5D" w:rsidRDefault="00956C5D" w:rsidP="00956C5D">
      <w:r>
        <w:t xml:space="preserve">Identification and intervention directed at patients </w:t>
      </w:r>
      <w:r w:rsidR="003E1E19">
        <w:t xml:space="preserve">who </w:t>
      </w:r>
      <w:r>
        <w:t xml:space="preserve">possess risk factors associated with fibrosis prior to treatment has the potential to improve the long-term quality of life for HNC patients.  </w:t>
      </w:r>
    </w:p>
    <w:p w14:paraId="47DE98ED" w14:textId="7513803E" w:rsidR="000C628F" w:rsidRPr="000C628F" w:rsidRDefault="000C628F" w:rsidP="00956C5D">
      <w:pPr>
        <w:rPr>
          <w:b/>
          <w:bCs/>
        </w:rPr>
      </w:pPr>
      <w:r w:rsidRPr="000C628F">
        <w:rPr>
          <w:b/>
          <w:bCs/>
        </w:rPr>
        <w:t>Key Points</w:t>
      </w:r>
    </w:p>
    <w:p w14:paraId="082BCA21" w14:textId="4787B86A" w:rsidR="000C628F" w:rsidRDefault="000C628F" w:rsidP="000C628F">
      <w:pPr>
        <w:pStyle w:val="ListParagraph"/>
        <w:numPr>
          <w:ilvl w:val="0"/>
          <w:numId w:val="24"/>
        </w:numPr>
      </w:pPr>
      <w:r>
        <w:t>There is a paucity of information regarding the demographic factors associated with the development of neck fibrosis in head and neck cancer (HNC) patients following radiotherapy.</w:t>
      </w:r>
    </w:p>
    <w:p w14:paraId="3CBA9133" w14:textId="3B1B0371" w:rsidR="000C628F" w:rsidRDefault="000C628F" w:rsidP="000C628F">
      <w:pPr>
        <w:pStyle w:val="ListParagraph"/>
        <w:numPr>
          <w:ilvl w:val="0"/>
          <w:numId w:val="24"/>
        </w:numPr>
      </w:pPr>
      <w:r>
        <w:lastRenderedPageBreak/>
        <w:t xml:space="preserve">A retrospective review of all patients being treated for HNC at a tertiary care center between 2013 and 2017 was performed. </w:t>
      </w:r>
      <w:r w:rsidR="003E1E19">
        <w:t>Univariate and multivariate analyses</w:t>
      </w:r>
      <w:r w:rsidRPr="00D74D9B">
        <w:t xml:space="preserve"> were used to identify differences in incidence and grade of </w:t>
      </w:r>
      <w:r>
        <w:t>fibrosis,</w:t>
      </w:r>
      <w:r w:rsidRPr="00D74D9B">
        <w:t xml:space="preserve"> respectively</w:t>
      </w:r>
      <w:r>
        <w:t>,</w:t>
      </w:r>
      <w:r w:rsidRPr="00D74D9B">
        <w:t xml:space="preserve"> between populations.</w:t>
      </w:r>
    </w:p>
    <w:p w14:paraId="5777319C" w14:textId="38C586D3" w:rsidR="000C628F" w:rsidRDefault="00D57BFC" w:rsidP="000C628F">
      <w:pPr>
        <w:pStyle w:val="ListParagraph"/>
        <w:numPr>
          <w:ilvl w:val="0"/>
          <w:numId w:val="24"/>
        </w:numPr>
      </w:pPr>
      <w:r>
        <w:t>Factors associated with an increased incidence of fibrosis included smoking during radiotherapy (</w:t>
      </w:r>
      <w:r>
        <w:rPr>
          <w:i/>
        </w:rPr>
        <w:t>p</w:t>
      </w:r>
      <w:r>
        <w:t xml:space="preserve"> &lt; 0.001), alcohol use (</w:t>
      </w:r>
      <w:r>
        <w:rPr>
          <w:i/>
        </w:rPr>
        <w:t xml:space="preserve">p </w:t>
      </w:r>
      <w:r w:rsidRPr="00A14E76">
        <w:t>= 0.026)</w:t>
      </w:r>
      <w:r>
        <w:t>, recurrent disease (</w:t>
      </w:r>
      <w:r>
        <w:rPr>
          <w:i/>
        </w:rPr>
        <w:t>p</w:t>
      </w:r>
      <w:r>
        <w:t xml:space="preserve"> = 0.042), and age less than 60 (</w:t>
      </w:r>
      <w:r>
        <w:rPr>
          <w:i/>
        </w:rPr>
        <w:t>p</w:t>
      </w:r>
      <w:r>
        <w:t xml:space="preserve"> &lt; 0.001) on univariate analysis.</w:t>
      </w:r>
    </w:p>
    <w:p w14:paraId="0CD22B5E" w14:textId="2444507D" w:rsidR="00D57BFC" w:rsidRDefault="00D57BFC" w:rsidP="000C628F">
      <w:pPr>
        <w:pStyle w:val="ListParagraph"/>
        <w:numPr>
          <w:ilvl w:val="0"/>
          <w:numId w:val="24"/>
        </w:numPr>
      </w:pPr>
      <w:r w:rsidRPr="001F15A1">
        <w:t xml:space="preserve">Factors associated with increased </w:t>
      </w:r>
      <w:r>
        <w:t>g</w:t>
      </w:r>
      <w:r w:rsidRPr="001F15A1">
        <w:t>rade of fibrosis in HNC pati</w:t>
      </w:r>
      <w:r>
        <w:t xml:space="preserve">ents included </w:t>
      </w:r>
      <w:r w:rsidRPr="001F15A1">
        <w:t>recurrent HNC (</w:t>
      </w:r>
      <w:r w:rsidRPr="001F15A1">
        <w:rPr>
          <w:i/>
          <w:iCs/>
        </w:rPr>
        <w:t>p</w:t>
      </w:r>
      <w:r>
        <w:t xml:space="preserve"> = 0.033), alcohol use</w:t>
      </w:r>
      <w:r w:rsidRPr="001F15A1">
        <w:t xml:space="preserve"> (</w:t>
      </w:r>
      <w:r w:rsidRPr="001F15A1">
        <w:rPr>
          <w:i/>
          <w:iCs/>
        </w:rPr>
        <w:t>p</w:t>
      </w:r>
      <w:r>
        <w:t xml:space="preserve"> = 0.013), patient age </w:t>
      </w:r>
      <w:r w:rsidRPr="001F15A1">
        <w:t xml:space="preserve">younger than 60 </w:t>
      </w:r>
      <w:r>
        <w:t xml:space="preserve">years </w:t>
      </w:r>
      <w:r w:rsidRPr="001F15A1">
        <w:t>(</w:t>
      </w:r>
      <w:r w:rsidRPr="001F15A1">
        <w:rPr>
          <w:i/>
          <w:iCs/>
        </w:rPr>
        <w:t>p</w:t>
      </w:r>
      <w:r>
        <w:t xml:space="preserve"> = 0.018), smoking during radiotherapy (</w:t>
      </w:r>
      <w:r w:rsidRPr="001F15A1">
        <w:rPr>
          <w:i/>
          <w:iCs/>
        </w:rPr>
        <w:t>p</w:t>
      </w:r>
      <w:r>
        <w:t xml:space="preserve"> &lt; 0.001), and n</w:t>
      </w:r>
      <w:r w:rsidRPr="001F15A1">
        <w:t>on-Caucasian race (</w:t>
      </w:r>
      <w:r w:rsidRPr="001F15A1">
        <w:rPr>
          <w:i/>
          <w:iCs/>
        </w:rPr>
        <w:t xml:space="preserve">p = </w:t>
      </w:r>
      <w:r w:rsidRPr="001F15A1">
        <w:t>0.012).</w:t>
      </w:r>
    </w:p>
    <w:p w14:paraId="6BD09D3B" w14:textId="60D6440E" w:rsidR="00C17ED4" w:rsidRPr="00956C5D" w:rsidRDefault="00C17ED4" w:rsidP="000C628F">
      <w:pPr>
        <w:pStyle w:val="ListParagraph"/>
        <w:numPr>
          <w:ilvl w:val="0"/>
          <w:numId w:val="24"/>
        </w:numPr>
      </w:pPr>
      <w:r>
        <w:rPr>
          <w:lang w:val="en-GB"/>
        </w:rPr>
        <w:t>The</w:t>
      </w:r>
      <w:r w:rsidRPr="00462612">
        <w:rPr>
          <w:lang w:val="en-GB"/>
        </w:rPr>
        <w:t xml:space="preserve"> findings </w:t>
      </w:r>
      <w:r>
        <w:rPr>
          <w:lang w:val="en-GB"/>
        </w:rPr>
        <w:t xml:space="preserve">reported in this paper seem to </w:t>
      </w:r>
      <w:r w:rsidRPr="00462612">
        <w:rPr>
          <w:lang w:val="en-GB"/>
        </w:rPr>
        <w:t>indicate that ongoing tobacco and alcohol use during treatment both appear to separately contribute to the development of fibrosis in the observed population following head and neck radiotherapy.</w:t>
      </w:r>
    </w:p>
    <w:p w14:paraId="57F6A29A" w14:textId="194035AC" w:rsidR="00EA3D3C" w:rsidRPr="00376CC5" w:rsidRDefault="006B17FE" w:rsidP="00D9503C">
      <w:pPr>
        <w:pStyle w:val="Heading1"/>
      </w:pPr>
      <w:r>
        <w:t>Objectives</w:t>
      </w:r>
    </w:p>
    <w:p w14:paraId="41F3BD8A" w14:textId="1E867290" w:rsidR="004E0CA1" w:rsidRDefault="004E6617" w:rsidP="004E6617">
      <w:pPr>
        <w:pStyle w:val="Heading1"/>
        <w:numPr>
          <w:ilvl w:val="0"/>
          <w:numId w:val="0"/>
        </w:numPr>
        <w:rPr>
          <w:rFonts w:eastAsiaTheme="minorHAnsi" w:cstheme="minorBidi"/>
          <w:b w:val="0"/>
        </w:rPr>
      </w:pPr>
      <w:r w:rsidRPr="004E6617">
        <w:rPr>
          <w:rFonts w:eastAsiaTheme="minorHAnsi" w:cstheme="minorBidi"/>
          <w:b w:val="0"/>
        </w:rPr>
        <w:t>Head and neck cancers (HNC) carry a significant disease burden, accounting for 3% of all cancers in the United States. More than 53,000 Americans are diagnosed with HNC each year, with approximately 10,800 deaths</w:t>
      </w:r>
      <w:r w:rsidR="004D501B" w:rsidRPr="004D501B">
        <w:rPr>
          <w:rFonts w:eastAsiaTheme="minorHAnsi" w:cstheme="minorBidi"/>
          <w:b w:val="0"/>
          <w:vertAlign w:val="superscript"/>
        </w:rPr>
        <w:t>1</w:t>
      </w:r>
      <w:r>
        <w:rPr>
          <w:rFonts w:eastAsiaTheme="minorHAnsi" w:cstheme="minorBidi"/>
          <w:b w:val="0"/>
        </w:rPr>
        <w:t>.</w:t>
      </w:r>
      <w:r w:rsidRPr="004E6617">
        <w:rPr>
          <w:rFonts w:eastAsiaTheme="minorHAnsi" w:cstheme="minorBidi"/>
          <w:b w:val="0"/>
        </w:rPr>
        <w:t xml:space="preserve"> Although the overall incidence of HNC is decreasing in the US</w:t>
      </w:r>
      <w:r w:rsidR="004D501B" w:rsidRPr="004D501B">
        <w:rPr>
          <w:rFonts w:eastAsiaTheme="minorHAnsi" w:cstheme="minorBidi"/>
          <w:b w:val="0"/>
          <w:vertAlign w:val="superscript"/>
        </w:rPr>
        <w:t>2</w:t>
      </w:r>
      <w:r w:rsidRPr="004E6617">
        <w:rPr>
          <w:rFonts w:eastAsiaTheme="minorHAnsi" w:cstheme="minorBidi"/>
          <w:b w:val="0"/>
        </w:rPr>
        <w:t>, the incidence of human papilloma virus (HPV)-associated cancers, especially of the oropharynx, is increasing</w:t>
      </w:r>
      <w:r w:rsidR="004D501B">
        <w:rPr>
          <w:rFonts w:eastAsiaTheme="minorHAnsi" w:cstheme="minorBidi"/>
          <w:b w:val="0"/>
          <w:vertAlign w:val="superscript"/>
        </w:rPr>
        <w:t>2,3</w:t>
      </w:r>
      <w:r w:rsidR="004E0CA1">
        <w:rPr>
          <w:rFonts w:eastAsiaTheme="minorHAnsi" w:cstheme="minorBidi"/>
          <w:b w:val="0"/>
        </w:rPr>
        <w:t>.</w:t>
      </w:r>
      <w:r w:rsidRPr="004E6617">
        <w:rPr>
          <w:rFonts w:eastAsiaTheme="minorHAnsi" w:cstheme="minorBidi"/>
          <w:b w:val="0"/>
        </w:rPr>
        <w:t xml:space="preserve"> HPV-positive HNC is also more prevalent in younger adults in their 40</w:t>
      </w:r>
      <w:r w:rsidR="004E0CA1">
        <w:rPr>
          <w:rFonts w:eastAsiaTheme="minorHAnsi" w:cstheme="minorBidi"/>
          <w:b w:val="0"/>
        </w:rPr>
        <w:t>’</w:t>
      </w:r>
      <w:r w:rsidRPr="004E6617">
        <w:rPr>
          <w:rFonts w:eastAsiaTheme="minorHAnsi" w:cstheme="minorBidi"/>
          <w:b w:val="0"/>
        </w:rPr>
        <w:t>s and 50</w:t>
      </w:r>
      <w:r w:rsidR="004E0CA1">
        <w:rPr>
          <w:rFonts w:eastAsiaTheme="minorHAnsi" w:cstheme="minorBidi"/>
          <w:b w:val="0"/>
        </w:rPr>
        <w:t>’</w:t>
      </w:r>
      <w:r w:rsidRPr="004E6617">
        <w:rPr>
          <w:rFonts w:eastAsiaTheme="minorHAnsi" w:cstheme="minorBidi"/>
          <w:b w:val="0"/>
        </w:rPr>
        <w:t>s</w:t>
      </w:r>
      <w:r w:rsidR="004D501B">
        <w:rPr>
          <w:rFonts w:eastAsiaTheme="minorHAnsi" w:cstheme="minorBidi"/>
          <w:b w:val="0"/>
          <w:vertAlign w:val="superscript"/>
        </w:rPr>
        <w:t>4</w:t>
      </w:r>
      <w:r w:rsidR="004E0CA1">
        <w:rPr>
          <w:rFonts w:eastAsiaTheme="minorHAnsi" w:cstheme="minorBidi"/>
          <w:b w:val="0"/>
        </w:rPr>
        <w:t>.</w:t>
      </w:r>
      <w:r w:rsidRPr="004E6617">
        <w:rPr>
          <w:rFonts w:eastAsiaTheme="minorHAnsi" w:cstheme="minorBidi"/>
          <w:b w:val="0"/>
        </w:rPr>
        <w:t xml:space="preserve"> As medical advances continue to improve treatment of HNC, the population of HNC patients continues to increase. Thus, quality of life in HNC patients becomes a topic of increasing importance. </w:t>
      </w:r>
    </w:p>
    <w:p w14:paraId="7CC73556" w14:textId="623E3EC6" w:rsidR="00FF6184" w:rsidRDefault="00FF6184" w:rsidP="00FF6184">
      <w:r w:rsidRPr="00FF6184">
        <w:t>The side effects of chemotherapy, radiotherapy, and/or surgery can significantly affect the quality of life of HNC survivors</w:t>
      </w:r>
      <w:r w:rsidR="004D501B">
        <w:rPr>
          <w:vertAlign w:val="superscript"/>
        </w:rPr>
        <w:t>5</w:t>
      </w:r>
      <w:r>
        <w:t>.</w:t>
      </w:r>
      <w:r w:rsidRPr="00FF6184">
        <w:t xml:space="preserve"> Radiation fibrosis is commonly described as a late complication of HNC treatment modalities that may not manifest clinically for several months or years after treatment. Fibrosis impacts quality of life due to associated pain, sensory loss, myopathy, dysphagia, trismus, and limitation in range of motion, impacting patients’ ability to perform self-care, speak, eat, etc.</w:t>
      </w:r>
      <w:r w:rsidR="004D501B">
        <w:rPr>
          <w:vertAlign w:val="superscript"/>
        </w:rPr>
        <w:t>6,7</w:t>
      </w:r>
      <w:r w:rsidR="003C4081">
        <w:t>.</w:t>
      </w:r>
      <w:r w:rsidRPr="00FF6184">
        <w:t xml:space="preserve"> Current potential treatments used for fibrosis secondary to radiation therapy include pentoxifylline, vitamin E, and Low-Level Light Therapy (LLLT); devices designed to aid with jaw strength rehabilitation following the development of trismus also exist</w:t>
      </w:r>
      <w:r w:rsidR="004D501B">
        <w:rPr>
          <w:vertAlign w:val="superscript"/>
        </w:rPr>
        <w:t>8</w:t>
      </w:r>
      <w:r w:rsidR="004A5DDD">
        <w:t>.</w:t>
      </w:r>
    </w:p>
    <w:p w14:paraId="5B0504DF" w14:textId="4BEB8464" w:rsidR="00D71AE3" w:rsidRDefault="00D71AE3" w:rsidP="00D71AE3">
      <w:r>
        <w:t>Treatment factors such as history of previous neck dissection, concurrent chemotherapy, corticosteroid administration, and dosage of radiation have been identified as risk factors for fibrosis development</w:t>
      </w:r>
      <w:r w:rsidR="004D501B">
        <w:rPr>
          <w:vertAlign w:val="superscript"/>
        </w:rPr>
        <w:t>9</w:t>
      </w:r>
      <w:r>
        <w:t xml:space="preserve">. However, variation in radiosensitivity is observed even amongst patients undergoing the same treatment regimen. There is limited data on the demographic risk factors associated with the specific development of fibrosis in HNC patients following radiotherapy. Identification of at-risk patients prior to or </w:t>
      </w:r>
      <w:proofErr w:type="gramStart"/>
      <w:r>
        <w:t>early on in the</w:t>
      </w:r>
      <w:proofErr w:type="gramEnd"/>
      <w:r>
        <w:t xml:space="preserve"> treatment process can help providers address potential side-effects prior to symptomatic manifestation and help patients prepare for functional changes. Furthermore, helping patients address modifiable risk factors associated with fibrosis can decrease the incidence and severity of fibrosis. </w:t>
      </w:r>
    </w:p>
    <w:p w14:paraId="2A408748" w14:textId="684E3733" w:rsidR="000650CE" w:rsidRDefault="00D71AE3" w:rsidP="00D71AE3">
      <w:r>
        <w:t xml:space="preserve">This study was performed at a tertiary care hospital with a relatively large minority and underserved patient population. The authors sought to evaluate the demographic and treatment factors as well as cancer grade associated with a greater incidence and grade of neck fibrosis in HNC patients following radiotherapy.  </w:t>
      </w:r>
    </w:p>
    <w:p w14:paraId="1BA88415" w14:textId="77777777" w:rsidR="00C22654" w:rsidRPr="00FF6184" w:rsidRDefault="00C22654" w:rsidP="00D71AE3"/>
    <w:p w14:paraId="63CF7A7B" w14:textId="090823E1" w:rsidR="005A353A" w:rsidRDefault="006B17FE" w:rsidP="005A353A">
      <w:pPr>
        <w:pStyle w:val="Heading1"/>
      </w:pPr>
      <w:r>
        <w:lastRenderedPageBreak/>
        <w:t>Design</w:t>
      </w:r>
    </w:p>
    <w:p w14:paraId="3958ACE9" w14:textId="16CF14D3" w:rsidR="00BC671B" w:rsidRDefault="00BC671B" w:rsidP="00BC671B">
      <w:r>
        <w:t>Retrospective data were collected from the patients’ electronic medical records. Demographic data were collected regarding potential risk factors for fibrosis including race, socioeconomic status (as defined by insurance coverage), use of tobacco, consumption of alcohol, age, and treatment of recurrent disease. Other data collected included AJCC 7th edition tumor stage, radiotherapy modalities used, overall survival, and incidence/severity of radiation related toxicities. The common terminology criteria for adverse events (CTCAE) version 4.0 was used to grade the severity of radiation-related toxicities</w:t>
      </w:r>
      <w:r w:rsidR="004D501B">
        <w:rPr>
          <w:vertAlign w:val="superscript"/>
        </w:rPr>
        <w:t>10</w:t>
      </w:r>
      <w:r>
        <w:t>.</w:t>
      </w:r>
      <w:r w:rsidR="003F6290">
        <w:t xml:space="preserve"> The STROBE methodology was utilized in this study.</w:t>
      </w:r>
    </w:p>
    <w:p w14:paraId="3664B3CC" w14:textId="0054F06E" w:rsidR="00BC671B" w:rsidRPr="00BC671B" w:rsidRDefault="00BC671B" w:rsidP="00BC671B">
      <w:pPr>
        <w:pStyle w:val="Heading1"/>
      </w:pPr>
      <w:r>
        <w:t>Setting</w:t>
      </w:r>
      <w:r w:rsidR="00A973F6">
        <w:t>s</w:t>
      </w:r>
    </w:p>
    <w:p w14:paraId="33C59CFF" w14:textId="1FF38235" w:rsidR="005A353A" w:rsidRDefault="005A353A" w:rsidP="005A353A">
      <w:r>
        <w:t xml:space="preserve">At a tertiary care hospital serving a largely rural region, patients with a diagnosis of cancer of the head and neck from the years 2013 through 2017 were identified. Exclusion criteria included age under 18 years old at time of initiation of treatment, patients being treated without curative intent, death before completion of radiotherapy, and non-primary head and neck cancers. Patients lost to follow-up and those with insufficient follow-up in the 6-month post-treatment period were also excluded from the final data analysis. </w:t>
      </w:r>
    </w:p>
    <w:p w14:paraId="5BD6FD13" w14:textId="040ED6E4" w:rsidR="00963E08" w:rsidRDefault="00963E08" w:rsidP="005A353A">
      <w:pPr>
        <w:pStyle w:val="Heading1"/>
      </w:pPr>
      <w:r>
        <w:t>Participants</w:t>
      </w:r>
    </w:p>
    <w:p w14:paraId="485694C6" w14:textId="0427F0DA" w:rsidR="006831EE" w:rsidRPr="006831EE" w:rsidRDefault="006831EE" w:rsidP="006831EE">
      <w:r w:rsidRPr="00B46A98">
        <w:t>A total of 141 HNC patients were identified. A primary neoplasm found outside of the head and neck excluded 16 patients. There were 24 patients lost to follow up, and 6 patients died during treatment. A noncurative intent of the treatment excluded 5 patients, and 2 patients were less than 18 years old. A total of 90 patients (</w:t>
      </w:r>
      <w:r w:rsidRPr="00B46A98">
        <w:rPr>
          <w:b/>
          <w:bCs/>
        </w:rPr>
        <w:t>Table 1</w:t>
      </w:r>
      <w:r w:rsidRPr="00B46A98">
        <w:t>) were included in the final study cohort, including 62 males and 28 females with a median age of 62. African Americans made up 49% of the study population, while Caucasians comprised 49%.</w:t>
      </w:r>
    </w:p>
    <w:p w14:paraId="009DB911" w14:textId="1FD17D17" w:rsidR="00963E08" w:rsidRDefault="00963E08" w:rsidP="00963E08">
      <w:pPr>
        <w:pStyle w:val="Heading1"/>
      </w:pPr>
      <w:r>
        <w:t>Main outcome measures</w:t>
      </w:r>
    </w:p>
    <w:p w14:paraId="42B8B019" w14:textId="14A59D3B" w:rsidR="001D1EEA" w:rsidRPr="001D1EEA" w:rsidRDefault="001D1EEA" w:rsidP="001D1EEA">
      <w:proofErr w:type="spellStart"/>
      <w:r>
        <w:t>MedCalc</w:t>
      </w:r>
      <w:proofErr w:type="spellEnd"/>
      <w:r>
        <w:t xml:space="preserve"> V12.6 statistical software (Ostend, Belgium) was used for data analysis. Chi-squared and Mann-Whitney U tests were used to identify differences in incidence and grade of fibrosis, respectively, between populations. Logistic regression analysis was used to further evaluate the impact of these factors on the development of fibrosis. </w:t>
      </w:r>
      <w:r w:rsidRPr="00A0593D">
        <w:t xml:space="preserve">Logistic variables assessed include smoking versus non-smoking history, patient positive for alcohol use versus negative for alcohol use, tumor Stage less than 4 versus </w:t>
      </w:r>
      <w:r>
        <w:t xml:space="preserve">Stage </w:t>
      </w:r>
      <w:r w:rsidRPr="00A0593D">
        <w:t xml:space="preserve">greater than or equal to 4, tumor recurrence versus no recurrence, patient age less than 60 </w:t>
      </w:r>
      <w:r>
        <w:t xml:space="preserve">years </w:t>
      </w:r>
      <w:r w:rsidRPr="00A0593D">
        <w:t>versus greater than 60</w:t>
      </w:r>
      <w:r>
        <w:t xml:space="preserve"> years</w:t>
      </w:r>
      <w:r w:rsidRPr="00A0593D">
        <w:t>, patient race being Caucasian versus non-Caucasian, and patient being on Medicaid or uninsured versus having other insurance</w:t>
      </w:r>
      <w:r>
        <w:t xml:space="preserve">; continuous variables </w:t>
      </w:r>
      <w:r w:rsidRPr="00292F0E">
        <w:t>(e.g.</w:t>
      </w:r>
      <w:r>
        <w:t xml:space="preserve"> age) were converted into binary values via grouping. </w:t>
      </w:r>
      <w:r w:rsidRPr="00A0593D">
        <w:t>P</w:t>
      </w:r>
      <w:r>
        <w:t xml:space="preserve"> values &lt; 0.05 were the threshold used to determine significance. </w:t>
      </w:r>
    </w:p>
    <w:p w14:paraId="46E02CF1" w14:textId="574E6728" w:rsidR="001D5C23" w:rsidRPr="00376CC5" w:rsidRDefault="00B46A98" w:rsidP="001D5C23">
      <w:pPr>
        <w:pStyle w:val="Heading1"/>
      </w:pPr>
      <w:r>
        <w:t>Results</w:t>
      </w:r>
    </w:p>
    <w:p w14:paraId="55C09086" w14:textId="4626B44D" w:rsidR="002F744D" w:rsidRDefault="00B46A98" w:rsidP="00D537FA">
      <w:pPr>
        <w:pStyle w:val="Heading2"/>
      </w:pPr>
      <w:r>
        <w:t>Incidence of Fibrosis</w:t>
      </w:r>
    </w:p>
    <w:p w14:paraId="2714B98B" w14:textId="724CD719" w:rsidR="007F4571" w:rsidRDefault="007F4571" w:rsidP="007F4571">
      <w:r>
        <w:t xml:space="preserve">Factors associated with increased incidence of fibrosis are shown in </w:t>
      </w:r>
      <w:r w:rsidRPr="005E74AE">
        <w:rPr>
          <w:b/>
          <w:bCs/>
        </w:rPr>
        <w:t>Table 2</w:t>
      </w:r>
      <w:r>
        <w:t>. On univariate analysis, active smoking at the time of radiation oncology consultation was associated with an increased incidence of fibrosis (</w:t>
      </w:r>
      <w:r w:rsidRPr="007F4571">
        <w:rPr>
          <w:i/>
          <w:iCs/>
        </w:rPr>
        <w:t>p</w:t>
      </w:r>
      <w:r>
        <w:t xml:space="preserve"> &lt; 0.001). This was affirmed by multivariate analysis, which showed a logistic regression </w:t>
      </w:r>
      <w:r w:rsidRPr="007F4571">
        <w:rPr>
          <w:i/>
          <w:iCs/>
        </w:rPr>
        <w:t>p</w:t>
      </w:r>
      <w:r>
        <w:t>-value of less than 0.001. Active alcohol use during treatment was associated with an increased incidence of fibrosis on univariate analysis (</w:t>
      </w:r>
      <w:r w:rsidRPr="007F4571">
        <w:rPr>
          <w:i/>
          <w:iCs/>
        </w:rPr>
        <w:t>p</w:t>
      </w:r>
      <w:r>
        <w:t xml:space="preserve"> = 0.026) but was not found to be </w:t>
      </w:r>
      <w:r>
        <w:lastRenderedPageBreak/>
        <w:t>significantly associated on multivariate analysis. Treatment of recurrent disease was found to be significantly associated on univariate analysis (</w:t>
      </w:r>
      <w:r w:rsidRPr="007F4571">
        <w:rPr>
          <w:i/>
          <w:iCs/>
        </w:rPr>
        <w:t>p</w:t>
      </w:r>
      <w:r>
        <w:t xml:space="preserve"> = 0.042) but was not retained on multiple logistic regression. </w:t>
      </w:r>
      <w:r w:rsidR="00571C1C">
        <w:t>Patient a</w:t>
      </w:r>
      <w:r>
        <w:t xml:space="preserve">ge less than 60 </w:t>
      </w:r>
      <w:r w:rsidR="00571C1C">
        <w:t xml:space="preserve">years </w:t>
      </w:r>
      <w:r>
        <w:t>was significantly associated with incidence of fibrosis on univariate analysis (</w:t>
      </w:r>
      <w:r w:rsidRPr="007F4571">
        <w:rPr>
          <w:i/>
          <w:iCs/>
        </w:rPr>
        <w:t xml:space="preserve">p </w:t>
      </w:r>
      <w:r>
        <w:t>&lt; 0.001</w:t>
      </w:r>
      <w:r w:rsidR="00587512">
        <w:t>) but</w:t>
      </w:r>
      <w:r>
        <w:t xml:space="preserve"> was not retained on multiple logistic regression. </w:t>
      </w:r>
    </w:p>
    <w:p w14:paraId="55DFD8E5" w14:textId="3F8C59D8" w:rsidR="007F4571" w:rsidRPr="007F4571" w:rsidRDefault="007F4571" w:rsidP="007F4571">
      <w:r>
        <w:t>On univariate analysis, overall Stage at diagnosis and insurance type were not associated with the development of fibrosis (</w:t>
      </w:r>
      <w:r w:rsidRPr="007F4571">
        <w:rPr>
          <w:i/>
          <w:iCs/>
        </w:rPr>
        <w:t>p</w:t>
      </w:r>
      <w:r>
        <w:t xml:space="preserve"> = 0.19 and 0.21, respectively, </w:t>
      </w:r>
      <w:r w:rsidR="00CC7FAE">
        <w:t>see</w:t>
      </w:r>
      <w:r>
        <w:t xml:space="preserve"> </w:t>
      </w:r>
      <w:r w:rsidRPr="00CC7FAE">
        <w:rPr>
          <w:b/>
          <w:bCs/>
        </w:rPr>
        <w:t>Table 2</w:t>
      </w:r>
      <w:r>
        <w:t>). No statistical significance was found for patients to develop greater than or equal to Stage 4 fibrosis vs for patients to develop less than Stage 4 fibrosis. The impact of race on fibrosis approached significance for non-Caucasian patients developing fibrosis vs Caucasian patients</w:t>
      </w:r>
      <w:r w:rsidR="00BA3AA5">
        <w:t xml:space="preserve"> on univariate analysis</w:t>
      </w:r>
      <w:r>
        <w:t xml:space="preserve"> (</w:t>
      </w:r>
      <w:r w:rsidRPr="007F4571">
        <w:rPr>
          <w:i/>
          <w:iCs/>
        </w:rPr>
        <w:t>p</w:t>
      </w:r>
      <w:r>
        <w:t xml:space="preserve"> = 0.06) but did not meet the authors’ cutoff for significance.</w:t>
      </w:r>
    </w:p>
    <w:p w14:paraId="10A3B5F9" w14:textId="2F4F34A5" w:rsidR="00117666" w:rsidRDefault="00B46A98" w:rsidP="00651CA2">
      <w:pPr>
        <w:pStyle w:val="Heading2"/>
      </w:pPr>
      <w:r>
        <w:t>Severity of Fibrosis</w:t>
      </w:r>
    </w:p>
    <w:p w14:paraId="43572F4F" w14:textId="21B30E85" w:rsidR="00B57A13" w:rsidRPr="003D5A33" w:rsidRDefault="003D5A33" w:rsidP="003D5A33">
      <w:r w:rsidRPr="003D5A33">
        <w:t>Factors associated with increased grade of fibrosis in HNC patients treated with radiotherapy (</w:t>
      </w:r>
      <w:r w:rsidRPr="003D5A33">
        <w:rPr>
          <w:b/>
          <w:bCs/>
        </w:rPr>
        <w:t>Figure 1</w:t>
      </w:r>
      <w:r w:rsidRPr="003D5A33">
        <w:t>) included patients being treated for recurrent HNC (</w:t>
      </w:r>
      <w:r w:rsidRPr="003D5A33">
        <w:rPr>
          <w:i/>
          <w:iCs/>
        </w:rPr>
        <w:t>p</w:t>
      </w:r>
      <w:r w:rsidRPr="003D5A33">
        <w:t xml:space="preserve"> = 0.033), consumption of alcohol during treatment (</w:t>
      </w:r>
      <w:r w:rsidRPr="003D5A33">
        <w:rPr>
          <w:i/>
          <w:iCs/>
        </w:rPr>
        <w:t>p</w:t>
      </w:r>
      <w:r w:rsidRPr="003D5A33">
        <w:t xml:space="preserve"> = 0.013), patient age younger than 60 (</w:t>
      </w:r>
      <w:r w:rsidRPr="003D5A33">
        <w:rPr>
          <w:i/>
          <w:iCs/>
        </w:rPr>
        <w:t>p</w:t>
      </w:r>
      <w:r w:rsidRPr="003D5A33">
        <w:t xml:space="preserve"> = 0.018), smoking during treatment (</w:t>
      </w:r>
      <w:r w:rsidRPr="003D5A33">
        <w:rPr>
          <w:i/>
          <w:iCs/>
        </w:rPr>
        <w:t>p</w:t>
      </w:r>
      <w:r w:rsidRPr="003D5A33">
        <w:t xml:space="preserve"> = &lt;0.001) and non-Caucasian race (</w:t>
      </w:r>
      <w:r w:rsidRPr="003D5A33">
        <w:rPr>
          <w:i/>
          <w:iCs/>
        </w:rPr>
        <w:t>p</w:t>
      </w:r>
      <w:r w:rsidRPr="003D5A33">
        <w:t xml:space="preserve"> = 0.012). A higher grade of fibrosis in uninsured patients or patients with Medicaid approached significance (</w:t>
      </w:r>
      <w:r w:rsidRPr="003D5A33">
        <w:rPr>
          <w:i/>
          <w:iCs/>
        </w:rPr>
        <w:t>p</w:t>
      </w:r>
      <w:r w:rsidRPr="003D5A33">
        <w:t xml:space="preserve"> = 0.054).</w:t>
      </w:r>
    </w:p>
    <w:p w14:paraId="322D7844" w14:textId="28D83B69" w:rsidR="00B657B8" w:rsidRDefault="006B17FE" w:rsidP="00B657B8">
      <w:pPr>
        <w:numPr>
          <w:ilvl w:val="0"/>
          <w:numId w:val="17"/>
        </w:numPr>
        <w:tabs>
          <w:tab w:val="clear" w:pos="567"/>
        </w:tabs>
        <w:rPr>
          <w:b/>
          <w:bCs/>
          <w:szCs w:val="24"/>
          <w:lang w:val="en-GB"/>
        </w:rPr>
      </w:pPr>
      <w:r>
        <w:rPr>
          <w:b/>
          <w:bCs/>
          <w:szCs w:val="24"/>
          <w:lang w:val="en-GB"/>
        </w:rPr>
        <w:t>Conclusion</w:t>
      </w:r>
      <w:r w:rsidR="00BC671B">
        <w:rPr>
          <w:b/>
          <w:bCs/>
          <w:szCs w:val="24"/>
          <w:lang w:val="en-GB"/>
        </w:rPr>
        <w:t>s</w:t>
      </w:r>
    </w:p>
    <w:p w14:paraId="37184143" w14:textId="0505A26E" w:rsidR="00BE4E1A" w:rsidRDefault="007E4404" w:rsidP="00BE4E1A">
      <w:pPr>
        <w:rPr>
          <w:szCs w:val="24"/>
          <w:lang w:val="en-GB"/>
        </w:rPr>
      </w:pPr>
      <w:r w:rsidRPr="007E4404">
        <w:rPr>
          <w:szCs w:val="24"/>
          <w:lang w:val="en-GB"/>
        </w:rPr>
        <w:t>Radiotherapy plays a vital role in the multimodal treatment of patients with HNC: approximately 80% of patients receive radiation at least once during their disease course</w:t>
      </w:r>
      <w:r w:rsidR="00162C9F">
        <w:rPr>
          <w:szCs w:val="24"/>
          <w:vertAlign w:val="superscript"/>
          <w:lang w:val="en-GB"/>
        </w:rPr>
        <w:t>11</w:t>
      </w:r>
      <w:r w:rsidR="00A917E3">
        <w:rPr>
          <w:szCs w:val="24"/>
          <w:lang w:val="en-GB"/>
        </w:rPr>
        <w:t>.</w:t>
      </w:r>
      <w:r w:rsidRPr="007E4404">
        <w:rPr>
          <w:szCs w:val="24"/>
          <w:lang w:val="en-GB"/>
        </w:rPr>
        <w:t xml:space="preserve"> Fibrosis following radiotherapy is a well-described phenomenon, although the pathogenesis behind this late reaction has not been fully elucidated. One of the proposed mechanisms is that radiation-induced maladaptive inflammation leads to a misguided wound healing response</w:t>
      </w:r>
      <w:r w:rsidR="002D678C">
        <w:rPr>
          <w:szCs w:val="24"/>
          <w:lang w:val="en-GB"/>
        </w:rPr>
        <w:t>;</w:t>
      </w:r>
      <w:r w:rsidRPr="007E4404">
        <w:rPr>
          <w:szCs w:val="24"/>
          <w:lang w:val="en-GB"/>
        </w:rPr>
        <w:t xml:space="preserve"> </w:t>
      </w:r>
      <w:r w:rsidR="002D678C">
        <w:rPr>
          <w:szCs w:val="24"/>
          <w:lang w:val="en-GB"/>
        </w:rPr>
        <w:t>t</w:t>
      </w:r>
      <w:r w:rsidRPr="007E4404">
        <w:rPr>
          <w:szCs w:val="24"/>
          <w:lang w:val="en-GB"/>
        </w:rPr>
        <w:t>his response is characterized by increased collagen deposition, poor vascularization, and scarring</w:t>
      </w:r>
      <w:r w:rsidR="00162C9F">
        <w:rPr>
          <w:szCs w:val="24"/>
          <w:vertAlign w:val="superscript"/>
          <w:lang w:val="en-GB"/>
        </w:rPr>
        <w:t>12</w:t>
      </w:r>
      <w:r w:rsidR="002D678C">
        <w:rPr>
          <w:szCs w:val="24"/>
          <w:lang w:val="en-GB"/>
        </w:rPr>
        <w:t xml:space="preserve">. </w:t>
      </w:r>
      <w:r w:rsidRPr="007E4404">
        <w:rPr>
          <w:szCs w:val="24"/>
          <w:lang w:val="en-GB"/>
        </w:rPr>
        <w:t>Because of this potential association, it stands to reason that factors related to increased or ongoing inflammation during and immediately after treatment may increase the likelihood and/or severity of patients developing fibrosis.</w:t>
      </w:r>
    </w:p>
    <w:p w14:paraId="67A78256" w14:textId="55F3FA1A" w:rsidR="00462612" w:rsidRDefault="00462612" w:rsidP="00BE4E1A">
      <w:pPr>
        <w:rPr>
          <w:szCs w:val="24"/>
          <w:lang w:val="en-GB"/>
        </w:rPr>
      </w:pPr>
      <w:r>
        <w:rPr>
          <w:szCs w:val="24"/>
          <w:lang w:val="en-GB"/>
        </w:rPr>
        <w:t>The</w:t>
      </w:r>
      <w:r w:rsidRPr="00462612">
        <w:rPr>
          <w:szCs w:val="24"/>
          <w:lang w:val="en-GB"/>
        </w:rPr>
        <w:t xml:space="preserve"> findings </w:t>
      </w:r>
      <w:r>
        <w:rPr>
          <w:szCs w:val="24"/>
          <w:lang w:val="en-GB"/>
        </w:rPr>
        <w:t xml:space="preserve">reported in this paper seem to </w:t>
      </w:r>
      <w:r w:rsidRPr="00462612">
        <w:rPr>
          <w:szCs w:val="24"/>
          <w:lang w:val="en-GB"/>
        </w:rPr>
        <w:t>indicate that ongoing tobacco and alcohol use during treatment both appear to separately contribute to the development of fibrosis in the observed population following head and neck radiotherapy. Tobacco smoke has been found to be an irritant, which can cause an increase in the severity and duration of inflammation, and additionally may delay the healing process</w:t>
      </w:r>
      <w:r w:rsidR="00AC3B72">
        <w:rPr>
          <w:szCs w:val="24"/>
          <w:lang w:val="en-GB"/>
        </w:rPr>
        <w:t>,</w:t>
      </w:r>
      <w:r w:rsidRPr="00462612">
        <w:rPr>
          <w:szCs w:val="24"/>
          <w:lang w:val="en-GB"/>
        </w:rPr>
        <w:t xml:space="preserve"> which may be related to </w:t>
      </w:r>
      <w:r w:rsidR="00AC3B72">
        <w:rPr>
          <w:szCs w:val="24"/>
          <w:lang w:val="en-GB"/>
        </w:rPr>
        <w:t xml:space="preserve">tobacco smoke </w:t>
      </w:r>
      <w:r w:rsidRPr="00462612">
        <w:rPr>
          <w:szCs w:val="24"/>
          <w:lang w:val="en-GB"/>
        </w:rPr>
        <w:t>toxicity</w:t>
      </w:r>
      <w:r w:rsidR="00162C9F">
        <w:rPr>
          <w:szCs w:val="24"/>
          <w:vertAlign w:val="superscript"/>
          <w:lang w:val="en-GB"/>
        </w:rPr>
        <w:t>13</w:t>
      </w:r>
      <w:r w:rsidRPr="00462612">
        <w:rPr>
          <w:szCs w:val="24"/>
          <w:lang w:val="en-GB"/>
        </w:rPr>
        <w:t>. This is particularly problematic, considering that research has shown that nearly half of smokers found to have oral or oropharyngeal cancer will continue to smoke after their diagnosis</w:t>
      </w:r>
      <w:r w:rsidR="00162C9F">
        <w:rPr>
          <w:szCs w:val="24"/>
          <w:vertAlign w:val="superscript"/>
          <w:lang w:val="en-GB"/>
        </w:rPr>
        <w:t>14</w:t>
      </w:r>
      <w:r w:rsidR="007620EE">
        <w:rPr>
          <w:szCs w:val="24"/>
          <w:lang w:val="en-GB"/>
        </w:rPr>
        <w:t>.</w:t>
      </w:r>
      <w:r w:rsidRPr="00462612">
        <w:rPr>
          <w:szCs w:val="24"/>
          <w:lang w:val="en-GB"/>
        </w:rPr>
        <w:t xml:space="preserve"> However, tobacco cessation programs during HNC treatment have proven effective in reducing smoking and could be a useful resource for many patients</w:t>
      </w:r>
      <w:r w:rsidR="00162C9F">
        <w:rPr>
          <w:szCs w:val="24"/>
          <w:vertAlign w:val="superscript"/>
          <w:lang w:val="en-GB"/>
        </w:rPr>
        <w:t>15</w:t>
      </w:r>
      <w:r w:rsidR="00897F90">
        <w:rPr>
          <w:szCs w:val="24"/>
          <w:lang w:val="en-GB"/>
        </w:rPr>
        <w:t>.</w:t>
      </w:r>
      <w:r w:rsidRPr="00462612">
        <w:rPr>
          <w:szCs w:val="24"/>
          <w:lang w:val="en-GB"/>
        </w:rPr>
        <w:t xml:space="preserve"> Emphasis on cessation during and after radiotherapy could be associated with an increased quality-of-life. Further studies regarding the impact of smoking cessation during head and neck cancer treatment are needed.</w:t>
      </w:r>
    </w:p>
    <w:p w14:paraId="47381831" w14:textId="7242613F" w:rsidR="00D17E6B" w:rsidRDefault="00D17E6B" w:rsidP="00BE4E1A">
      <w:pPr>
        <w:rPr>
          <w:szCs w:val="24"/>
          <w:lang w:val="en-GB"/>
        </w:rPr>
      </w:pPr>
      <w:r w:rsidRPr="00D17E6B">
        <w:rPr>
          <w:szCs w:val="24"/>
          <w:lang w:val="en-GB"/>
        </w:rPr>
        <w:t xml:space="preserve">Patients younger than 60 </w:t>
      </w:r>
      <w:r w:rsidR="00261647">
        <w:rPr>
          <w:szCs w:val="24"/>
          <w:lang w:val="en-GB"/>
        </w:rPr>
        <w:t xml:space="preserve">years of age </w:t>
      </w:r>
      <w:r w:rsidRPr="00D17E6B">
        <w:rPr>
          <w:szCs w:val="24"/>
          <w:lang w:val="en-GB"/>
        </w:rPr>
        <w:t>at the time of diagnosis appear to have a higher risk for developing neck fibrosis. This finding is in contrast to previous studies in breast cancer patients which found that increased age was significantly associated with the development of radiation-induced fibrosis</w:t>
      </w:r>
      <w:r w:rsidR="00162C9F">
        <w:rPr>
          <w:szCs w:val="24"/>
          <w:vertAlign w:val="superscript"/>
          <w:lang w:val="en-GB"/>
        </w:rPr>
        <w:t>16,17</w:t>
      </w:r>
      <w:r w:rsidR="00261647">
        <w:rPr>
          <w:szCs w:val="24"/>
          <w:lang w:val="en-GB"/>
        </w:rPr>
        <w:t>.</w:t>
      </w:r>
      <w:r w:rsidRPr="00D17E6B">
        <w:rPr>
          <w:szCs w:val="24"/>
          <w:lang w:val="en-GB"/>
        </w:rPr>
        <w:t xml:space="preserve"> Although </w:t>
      </w:r>
      <w:r w:rsidR="00261647">
        <w:rPr>
          <w:szCs w:val="24"/>
          <w:lang w:val="en-GB"/>
        </w:rPr>
        <w:t>the authors</w:t>
      </w:r>
      <w:r w:rsidRPr="00D17E6B">
        <w:rPr>
          <w:szCs w:val="24"/>
          <w:lang w:val="en-GB"/>
        </w:rPr>
        <w:t xml:space="preserve"> are unsure of the </w:t>
      </w:r>
      <w:proofErr w:type="spellStart"/>
      <w:r w:rsidRPr="00D17E6B">
        <w:rPr>
          <w:szCs w:val="24"/>
          <w:lang w:val="en-GB"/>
        </w:rPr>
        <w:t>etiology</w:t>
      </w:r>
      <w:proofErr w:type="spellEnd"/>
      <w:r w:rsidRPr="00D17E6B">
        <w:rPr>
          <w:szCs w:val="24"/>
          <w:lang w:val="en-GB"/>
        </w:rPr>
        <w:t xml:space="preserve"> of this response, </w:t>
      </w:r>
      <w:r w:rsidR="00261647">
        <w:rPr>
          <w:szCs w:val="24"/>
          <w:lang w:val="en-GB"/>
        </w:rPr>
        <w:t xml:space="preserve">it is </w:t>
      </w:r>
      <w:r w:rsidRPr="00D17E6B">
        <w:rPr>
          <w:szCs w:val="24"/>
          <w:lang w:val="en-GB"/>
        </w:rPr>
        <w:t>hypothesize</w:t>
      </w:r>
      <w:r w:rsidR="00261647">
        <w:rPr>
          <w:szCs w:val="24"/>
          <w:lang w:val="en-GB"/>
        </w:rPr>
        <w:t>d</w:t>
      </w:r>
      <w:r w:rsidRPr="00D17E6B">
        <w:rPr>
          <w:szCs w:val="24"/>
          <w:lang w:val="en-GB"/>
        </w:rPr>
        <w:t xml:space="preserve"> that more vigorous inflammatory responses in the robust immune systems of younger patients during radiation treatment may lead to more extensive post-radiation remodelling. The </w:t>
      </w:r>
      <w:r w:rsidRPr="00D17E6B">
        <w:rPr>
          <w:szCs w:val="24"/>
          <w:lang w:val="en-GB"/>
        </w:rPr>
        <w:lastRenderedPageBreak/>
        <w:t>potential correlation of age and fibrotic response provides an interesting direction of future research in patient populations with different demographics and forms of cancer.</w:t>
      </w:r>
    </w:p>
    <w:p w14:paraId="0CD99D40" w14:textId="3CF2B18C" w:rsidR="001B3536" w:rsidRDefault="001B3536" w:rsidP="00BE4E1A">
      <w:pPr>
        <w:rPr>
          <w:szCs w:val="24"/>
          <w:lang w:val="en-GB"/>
        </w:rPr>
      </w:pPr>
      <w:r w:rsidRPr="001B3536">
        <w:rPr>
          <w:szCs w:val="24"/>
          <w:lang w:val="en-GB"/>
        </w:rPr>
        <w:t xml:space="preserve">On univariate analysis, </w:t>
      </w:r>
      <w:proofErr w:type="gramStart"/>
      <w:r w:rsidRPr="001B3536">
        <w:rPr>
          <w:szCs w:val="24"/>
          <w:lang w:val="en-GB"/>
        </w:rPr>
        <w:t>ethnicity</w:t>
      </w:r>
      <w:proofErr w:type="gramEnd"/>
      <w:r w:rsidRPr="001B3536">
        <w:rPr>
          <w:szCs w:val="24"/>
          <w:lang w:val="en-GB"/>
        </w:rPr>
        <w:t xml:space="preserve"> and insurance impact the </w:t>
      </w:r>
      <w:r>
        <w:rPr>
          <w:szCs w:val="24"/>
          <w:lang w:val="en-GB"/>
        </w:rPr>
        <w:t>G</w:t>
      </w:r>
      <w:r w:rsidRPr="001B3536">
        <w:rPr>
          <w:szCs w:val="24"/>
          <w:lang w:val="en-GB"/>
        </w:rPr>
        <w:t>rade but not the incidence of neck fibrosis. Although not robust independent risk factors, they may still aid in identifying an at-risk population. It has been shown in some studies that black patients are more likely than Caucasian patients to be diagnosed at a young age with HNC, in addition to rural patients being less likely to be diagnosed with HNC at a young age</w:t>
      </w:r>
      <w:r w:rsidR="00162C9F">
        <w:rPr>
          <w:szCs w:val="24"/>
          <w:vertAlign w:val="superscript"/>
          <w:lang w:val="en-GB"/>
        </w:rPr>
        <w:t>18</w:t>
      </w:r>
      <w:r>
        <w:rPr>
          <w:szCs w:val="24"/>
          <w:lang w:val="en-GB"/>
        </w:rPr>
        <w:t>.</w:t>
      </w:r>
      <w:r w:rsidRPr="001B3536">
        <w:rPr>
          <w:szCs w:val="24"/>
          <w:lang w:val="en-GB"/>
        </w:rPr>
        <w:t xml:space="preserve"> Further research is needed to confirm the trends seen in this study across a larger population.</w:t>
      </w:r>
    </w:p>
    <w:p w14:paraId="26BE1A5B" w14:textId="4B32BE76" w:rsidR="001654B3" w:rsidRDefault="001654B3" w:rsidP="00BE4E1A">
      <w:pPr>
        <w:rPr>
          <w:szCs w:val="24"/>
          <w:lang w:val="en-GB"/>
        </w:rPr>
      </w:pPr>
      <w:r w:rsidRPr="001654B3">
        <w:rPr>
          <w:szCs w:val="24"/>
          <w:lang w:val="en-GB"/>
        </w:rPr>
        <w:t>A limitation of this study is that it is retrospective in nature and the study population was limited to 90 patients. Furthermore, there was a variation of treatment modalities in this patient population, though radiotherapy was the common denominator in all subjects. Further research is needed to confirm these trends across a large population and to determine the possible mechanisms by which age, tobacco, and alcohol use may be associated with fibrosis.</w:t>
      </w:r>
    </w:p>
    <w:p w14:paraId="74C19752" w14:textId="074F2784" w:rsidR="001654B3" w:rsidRPr="007E4404" w:rsidRDefault="001654B3" w:rsidP="001654B3">
      <w:pPr>
        <w:rPr>
          <w:szCs w:val="24"/>
          <w:lang w:val="en-GB"/>
        </w:rPr>
      </w:pPr>
      <w:r w:rsidRPr="001654B3">
        <w:rPr>
          <w:szCs w:val="24"/>
          <w:lang w:val="en-GB"/>
        </w:rPr>
        <w:t>In summary, the data</w:t>
      </w:r>
      <w:r w:rsidR="0078735C">
        <w:rPr>
          <w:szCs w:val="24"/>
          <w:lang w:val="en-GB"/>
        </w:rPr>
        <w:t xml:space="preserve"> reported in this paper</w:t>
      </w:r>
      <w:r w:rsidRPr="001654B3">
        <w:rPr>
          <w:szCs w:val="24"/>
          <w:lang w:val="en-GB"/>
        </w:rPr>
        <w:t xml:space="preserve"> revealed several patient-related factors that are associated with the development of fibrosis in HNC patients following radiotherapy. Although chemotherapy, radiation, and surgery all remain the cornerstones of treatment of HNC, recent developments in the field such as immunomodulators and radiation dose de-escalation have allowed for improved post-treatment quality of life while still maintaining high therapeutic efficacy</w:t>
      </w:r>
      <w:r w:rsidR="00162C9F">
        <w:rPr>
          <w:szCs w:val="24"/>
          <w:vertAlign w:val="superscript"/>
          <w:lang w:val="en-GB"/>
        </w:rPr>
        <w:t>19,20</w:t>
      </w:r>
      <w:r w:rsidR="00616984">
        <w:rPr>
          <w:szCs w:val="24"/>
          <w:lang w:val="en-GB"/>
        </w:rPr>
        <w:t>.</w:t>
      </w:r>
      <w:r w:rsidRPr="001654B3">
        <w:rPr>
          <w:szCs w:val="24"/>
          <w:lang w:val="en-GB"/>
        </w:rPr>
        <w:t xml:space="preserve"> These new approaches along with pre-treatment identification of those at risk for radiation-related toxicities such as fibrosis could help reduce the incidence and severity of these toxicities. Ultimately, addressing the identified risk factors for fibrosis in HNC patients has the potential to improve patients’ quality of life.</w:t>
      </w:r>
    </w:p>
    <w:p w14:paraId="40888CE0" w14:textId="1EC9C0C1" w:rsidR="001F486F" w:rsidRDefault="001F486F" w:rsidP="001F486F">
      <w:pPr>
        <w:pStyle w:val="Heading1"/>
      </w:pPr>
      <w:r>
        <w:t>Data Sharing and Availability</w:t>
      </w:r>
    </w:p>
    <w:p w14:paraId="594A5AD3" w14:textId="607D55C4" w:rsidR="001F486F" w:rsidRPr="001F486F" w:rsidRDefault="001F486F" w:rsidP="001F486F">
      <w:r w:rsidRPr="001F486F">
        <w:t>The data that support the findings of this study are available from the corresponding author upon reasonable request.</w:t>
      </w:r>
    </w:p>
    <w:p w14:paraId="2F72713E" w14:textId="596453A9" w:rsidR="00D1797F" w:rsidRDefault="00D1797F" w:rsidP="006B2D5B">
      <w:pPr>
        <w:rPr>
          <w:szCs w:val="24"/>
          <w:highlight w:val="yellow"/>
          <w:shd w:val="clear" w:color="auto" w:fill="FFFFFF"/>
        </w:rPr>
      </w:pPr>
    </w:p>
    <w:p w14:paraId="660F8510" w14:textId="4B6498C0" w:rsidR="00C22654" w:rsidRDefault="00C22654" w:rsidP="006B2D5B">
      <w:pPr>
        <w:rPr>
          <w:szCs w:val="24"/>
          <w:highlight w:val="yellow"/>
          <w:shd w:val="clear" w:color="auto" w:fill="FFFFFF"/>
        </w:rPr>
      </w:pPr>
    </w:p>
    <w:p w14:paraId="6D44D02B" w14:textId="0B180BC4" w:rsidR="00435EDA" w:rsidRDefault="00435EDA" w:rsidP="006B2D5B">
      <w:pPr>
        <w:rPr>
          <w:szCs w:val="24"/>
          <w:highlight w:val="yellow"/>
          <w:shd w:val="clear" w:color="auto" w:fill="FFFFFF"/>
        </w:rPr>
      </w:pPr>
    </w:p>
    <w:p w14:paraId="348824C9" w14:textId="008D4488" w:rsidR="00435EDA" w:rsidRDefault="00435EDA" w:rsidP="006B2D5B">
      <w:pPr>
        <w:rPr>
          <w:szCs w:val="24"/>
          <w:highlight w:val="yellow"/>
          <w:shd w:val="clear" w:color="auto" w:fill="FFFFFF"/>
        </w:rPr>
      </w:pPr>
    </w:p>
    <w:p w14:paraId="468ACBCE" w14:textId="359CE9C3" w:rsidR="00435EDA" w:rsidRDefault="00435EDA" w:rsidP="006B2D5B">
      <w:pPr>
        <w:rPr>
          <w:szCs w:val="24"/>
          <w:highlight w:val="yellow"/>
          <w:shd w:val="clear" w:color="auto" w:fill="FFFFFF"/>
        </w:rPr>
      </w:pPr>
    </w:p>
    <w:p w14:paraId="5FC0B97A" w14:textId="00CEF4D1" w:rsidR="00435EDA" w:rsidRDefault="00435EDA" w:rsidP="006B2D5B">
      <w:pPr>
        <w:rPr>
          <w:szCs w:val="24"/>
          <w:highlight w:val="yellow"/>
          <w:shd w:val="clear" w:color="auto" w:fill="FFFFFF"/>
        </w:rPr>
      </w:pPr>
    </w:p>
    <w:p w14:paraId="1E92B8C4" w14:textId="1AF92138" w:rsidR="00435EDA" w:rsidRDefault="00435EDA" w:rsidP="006B2D5B">
      <w:pPr>
        <w:rPr>
          <w:szCs w:val="24"/>
          <w:highlight w:val="yellow"/>
          <w:shd w:val="clear" w:color="auto" w:fill="FFFFFF"/>
        </w:rPr>
      </w:pPr>
    </w:p>
    <w:p w14:paraId="627C3423" w14:textId="4B908511" w:rsidR="00435EDA" w:rsidRDefault="00435EDA" w:rsidP="006B2D5B">
      <w:pPr>
        <w:rPr>
          <w:szCs w:val="24"/>
          <w:highlight w:val="yellow"/>
          <w:shd w:val="clear" w:color="auto" w:fill="FFFFFF"/>
        </w:rPr>
      </w:pPr>
    </w:p>
    <w:p w14:paraId="024DABB4" w14:textId="75928981" w:rsidR="00435EDA" w:rsidRDefault="00435EDA" w:rsidP="006B2D5B">
      <w:pPr>
        <w:rPr>
          <w:szCs w:val="24"/>
          <w:highlight w:val="yellow"/>
          <w:shd w:val="clear" w:color="auto" w:fill="FFFFFF"/>
        </w:rPr>
      </w:pPr>
    </w:p>
    <w:p w14:paraId="11B21D4A" w14:textId="7A10270C" w:rsidR="00435EDA" w:rsidRDefault="00435EDA" w:rsidP="006B2D5B">
      <w:pPr>
        <w:rPr>
          <w:szCs w:val="24"/>
          <w:highlight w:val="yellow"/>
          <w:shd w:val="clear" w:color="auto" w:fill="FFFFFF"/>
        </w:rPr>
      </w:pPr>
    </w:p>
    <w:p w14:paraId="44C8E965" w14:textId="77777777" w:rsidR="00435EDA" w:rsidRDefault="00435EDA" w:rsidP="006B2D5B">
      <w:pPr>
        <w:rPr>
          <w:szCs w:val="24"/>
          <w:highlight w:val="yellow"/>
          <w:shd w:val="clear" w:color="auto" w:fill="FFFFFF"/>
        </w:rPr>
      </w:pPr>
    </w:p>
    <w:p w14:paraId="15C6E24A" w14:textId="0B54EADA" w:rsidR="004E6617" w:rsidRDefault="004E6617" w:rsidP="006B2D5B">
      <w:pPr>
        <w:rPr>
          <w:rFonts w:cs="Times New Roman"/>
          <w:b/>
          <w:bCs/>
          <w:szCs w:val="24"/>
        </w:rPr>
      </w:pPr>
      <w:r w:rsidRPr="004E6617">
        <w:rPr>
          <w:rFonts w:cs="Times New Roman"/>
          <w:b/>
          <w:bCs/>
          <w:szCs w:val="24"/>
        </w:rPr>
        <w:lastRenderedPageBreak/>
        <w:t>REFERENCES</w:t>
      </w:r>
    </w:p>
    <w:p w14:paraId="53C264DE" w14:textId="7BD02944" w:rsidR="004E6617" w:rsidRDefault="004E6617" w:rsidP="00F20458">
      <w:pPr>
        <w:pStyle w:val="ListParagraph"/>
        <w:numPr>
          <w:ilvl w:val="0"/>
          <w:numId w:val="23"/>
        </w:numPr>
      </w:pPr>
      <w:r>
        <w:t>Siegal RL</w:t>
      </w:r>
      <w:r w:rsidRPr="004E6617">
        <w:t xml:space="preserve">, </w:t>
      </w:r>
      <w:r>
        <w:t>Miller KD</w:t>
      </w:r>
      <w:r w:rsidRPr="004E6617">
        <w:t xml:space="preserve">, </w:t>
      </w:r>
      <w:r>
        <w:t>Jemal A</w:t>
      </w:r>
      <w:r w:rsidRPr="004E6617">
        <w:t xml:space="preserve">. </w:t>
      </w:r>
      <w:r>
        <w:t>Cancer Statistics, 2019</w:t>
      </w:r>
      <w:r w:rsidRPr="004E6617">
        <w:t xml:space="preserve">. </w:t>
      </w:r>
      <w:r w:rsidRPr="004E6617">
        <w:rPr>
          <w:i/>
          <w:iCs/>
        </w:rPr>
        <w:t>CA Cancer J Clin</w:t>
      </w:r>
      <w:r w:rsidRPr="004E6617">
        <w:t xml:space="preserve"> (201</w:t>
      </w:r>
      <w:r>
        <w:t>9</w:t>
      </w:r>
      <w:r w:rsidRPr="004E6617">
        <w:t xml:space="preserve">) </w:t>
      </w:r>
      <w:r>
        <w:t>69:7-34</w:t>
      </w:r>
      <w:r w:rsidRPr="004E6617">
        <w:t xml:space="preserve">. </w:t>
      </w:r>
      <w:proofErr w:type="spellStart"/>
      <w:r w:rsidRPr="004E6617">
        <w:t>doi</w:t>
      </w:r>
      <w:proofErr w:type="spellEnd"/>
      <w:r w:rsidRPr="004E6617">
        <w:t>: 10.3322/caac.21551</w:t>
      </w:r>
    </w:p>
    <w:p w14:paraId="62FF3EB9" w14:textId="4CCFBC4D" w:rsidR="004E6617" w:rsidRDefault="004E0CA1" w:rsidP="00F20458">
      <w:pPr>
        <w:pStyle w:val="ListParagraph"/>
        <w:numPr>
          <w:ilvl w:val="0"/>
          <w:numId w:val="23"/>
        </w:numPr>
      </w:pPr>
      <w:r>
        <w:t xml:space="preserve">Mourad M, Jetmore T, </w:t>
      </w:r>
      <w:proofErr w:type="spellStart"/>
      <w:r>
        <w:t>Jategaonkar</w:t>
      </w:r>
      <w:proofErr w:type="spellEnd"/>
      <w:r>
        <w:t xml:space="preserve"> AA, </w:t>
      </w:r>
      <w:proofErr w:type="spellStart"/>
      <w:r>
        <w:t>Moubayed</w:t>
      </w:r>
      <w:proofErr w:type="spellEnd"/>
      <w:r>
        <w:t xml:space="preserve"> S, </w:t>
      </w:r>
      <w:proofErr w:type="spellStart"/>
      <w:r>
        <w:t>Moshier</w:t>
      </w:r>
      <w:proofErr w:type="spellEnd"/>
      <w:r>
        <w:t xml:space="preserve"> E, </w:t>
      </w:r>
      <w:proofErr w:type="spellStart"/>
      <w:r>
        <w:t>Urken</w:t>
      </w:r>
      <w:proofErr w:type="spellEnd"/>
      <w:r>
        <w:t xml:space="preserve"> ML. </w:t>
      </w:r>
      <w:r w:rsidRPr="004E0CA1">
        <w:t xml:space="preserve">Epidemiological </w:t>
      </w:r>
      <w:r>
        <w:t>t</w:t>
      </w:r>
      <w:r w:rsidRPr="004E0CA1">
        <w:t xml:space="preserve">rends of </w:t>
      </w:r>
      <w:r>
        <w:t>h</w:t>
      </w:r>
      <w:r w:rsidRPr="004E0CA1">
        <w:t xml:space="preserve">ead and </w:t>
      </w:r>
      <w:r>
        <w:t>n</w:t>
      </w:r>
      <w:r w:rsidRPr="004E0CA1">
        <w:t xml:space="preserve">eck </w:t>
      </w:r>
      <w:r>
        <w:t>c</w:t>
      </w:r>
      <w:r w:rsidRPr="004E0CA1">
        <w:t xml:space="preserve">ancer in the United States: A SEER </w:t>
      </w:r>
      <w:r>
        <w:t>p</w:t>
      </w:r>
      <w:r w:rsidRPr="004E0CA1">
        <w:t xml:space="preserve">opulation </w:t>
      </w:r>
      <w:r>
        <w:t>s</w:t>
      </w:r>
      <w:r w:rsidRPr="004E0CA1">
        <w:t>tudy</w:t>
      </w:r>
      <w:r>
        <w:t xml:space="preserve">. </w:t>
      </w:r>
      <w:r w:rsidRPr="001B3DEC">
        <w:rPr>
          <w:i/>
          <w:iCs/>
        </w:rPr>
        <w:t>J</w:t>
      </w:r>
      <w:r w:rsidR="001B3DEC" w:rsidRPr="001B3DEC">
        <w:rPr>
          <w:i/>
          <w:iCs/>
        </w:rPr>
        <w:t xml:space="preserve"> </w:t>
      </w:r>
      <w:r w:rsidRPr="001B3DEC">
        <w:rPr>
          <w:i/>
          <w:iCs/>
        </w:rPr>
        <w:t xml:space="preserve">Oral </w:t>
      </w:r>
      <w:proofErr w:type="spellStart"/>
      <w:r w:rsidRPr="001B3DEC">
        <w:rPr>
          <w:i/>
          <w:iCs/>
        </w:rPr>
        <w:t>Maxillofac</w:t>
      </w:r>
      <w:proofErr w:type="spellEnd"/>
      <w:r w:rsidRPr="001B3DEC">
        <w:rPr>
          <w:i/>
          <w:iCs/>
        </w:rPr>
        <w:t xml:space="preserve"> Surg</w:t>
      </w:r>
      <w:r>
        <w:t xml:space="preserve"> (2017) 75: 2562-72. </w:t>
      </w:r>
      <w:proofErr w:type="spellStart"/>
      <w:r>
        <w:t>doi</w:t>
      </w:r>
      <w:proofErr w:type="spellEnd"/>
      <w:r>
        <w:t xml:space="preserve">: </w:t>
      </w:r>
      <w:r w:rsidRPr="004E0CA1">
        <w:t>10.1016/j.joms.2017.05.008</w:t>
      </w:r>
    </w:p>
    <w:p w14:paraId="1F8EBBC9" w14:textId="71958038" w:rsidR="004E0CA1" w:rsidRDefault="00634AC3" w:rsidP="00F20458">
      <w:pPr>
        <w:pStyle w:val="ListParagraph"/>
        <w:numPr>
          <w:ilvl w:val="0"/>
          <w:numId w:val="23"/>
        </w:numPr>
      </w:pPr>
      <w:r>
        <w:t xml:space="preserve">Young D, Xiao CC, Murphy B, Moore M, </w:t>
      </w:r>
      <w:proofErr w:type="spellStart"/>
      <w:r>
        <w:t>Fakhry</w:t>
      </w:r>
      <w:proofErr w:type="spellEnd"/>
      <w:r>
        <w:t xml:space="preserve"> C, Day TA. </w:t>
      </w:r>
      <w:r w:rsidRPr="00634AC3">
        <w:t>Increase in head and neck cancer in younger patients due to human papillomavirus (HPV)</w:t>
      </w:r>
      <w:r>
        <w:t xml:space="preserve">. </w:t>
      </w:r>
      <w:r w:rsidRPr="00634AC3">
        <w:rPr>
          <w:i/>
          <w:iCs/>
        </w:rPr>
        <w:t>Oral Oncol</w:t>
      </w:r>
      <w:r>
        <w:t xml:space="preserve"> (2015) 51:727-30. </w:t>
      </w:r>
      <w:proofErr w:type="spellStart"/>
      <w:r>
        <w:t>doi</w:t>
      </w:r>
      <w:proofErr w:type="spellEnd"/>
      <w:r>
        <w:t xml:space="preserve">: </w:t>
      </w:r>
      <w:r w:rsidRPr="00634AC3">
        <w:t>10.1016/j.oraloncology.2015.03.015</w:t>
      </w:r>
    </w:p>
    <w:p w14:paraId="728E342D" w14:textId="61B96B33" w:rsidR="00634AC3" w:rsidRDefault="007C250A" w:rsidP="00F20458">
      <w:pPr>
        <w:pStyle w:val="ListParagraph"/>
        <w:numPr>
          <w:ilvl w:val="0"/>
          <w:numId w:val="23"/>
        </w:numPr>
      </w:pPr>
      <w:proofErr w:type="spellStart"/>
      <w:r>
        <w:t>Deschler</w:t>
      </w:r>
      <w:proofErr w:type="spellEnd"/>
      <w:r>
        <w:t xml:space="preserve"> DG, </w:t>
      </w:r>
      <w:proofErr w:type="spellStart"/>
      <w:r>
        <w:t>Richmon</w:t>
      </w:r>
      <w:proofErr w:type="spellEnd"/>
      <w:r>
        <w:t xml:space="preserve"> JD, </w:t>
      </w:r>
      <w:proofErr w:type="spellStart"/>
      <w:r>
        <w:t>Khariwala</w:t>
      </w:r>
      <w:proofErr w:type="spellEnd"/>
      <w:r>
        <w:t xml:space="preserve"> SS, Ferris RL, Wang MB. </w:t>
      </w:r>
      <w:r w:rsidR="00634AC3" w:rsidRPr="00634AC3">
        <w:t>The "new" head and neck cancer patient-young, nonsmoker, nondrinker, and HPV positive: evaluation</w:t>
      </w:r>
      <w:r>
        <w:t xml:space="preserve">. </w:t>
      </w:r>
      <w:proofErr w:type="spellStart"/>
      <w:r w:rsidRPr="00FF6184">
        <w:rPr>
          <w:i/>
          <w:iCs/>
        </w:rPr>
        <w:t>Otolaryngol</w:t>
      </w:r>
      <w:proofErr w:type="spellEnd"/>
      <w:r w:rsidRPr="00FF6184">
        <w:rPr>
          <w:i/>
          <w:iCs/>
        </w:rPr>
        <w:t xml:space="preserve"> Head Neck Surg</w:t>
      </w:r>
      <w:r>
        <w:t xml:space="preserve"> (2014) 151:375-80</w:t>
      </w:r>
    </w:p>
    <w:p w14:paraId="2152647D" w14:textId="47CE3D09" w:rsidR="00FF6184" w:rsidRDefault="00FF6184" w:rsidP="00F20458">
      <w:pPr>
        <w:pStyle w:val="ListParagraph"/>
        <w:numPr>
          <w:ilvl w:val="0"/>
          <w:numId w:val="23"/>
        </w:numPr>
      </w:pPr>
      <w:proofErr w:type="spellStart"/>
      <w:r>
        <w:t>Gritz</w:t>
      </w:r>
      <w:proofErr w:type="spellEnd"/>
      <w:r>
        <w:t xml:space="preserve"> ER, Carmack CL, de Moor C, Coscarelli A, </w:t>
      </w:r>
      <w:proofErr w:type="spellStart"/>
      <w:r>
        <w:t>Schacherer</w:t>
      </w:r>
      <w:proofErr w:type="spellEnd"/>
      <w:r>
        <w:t xml:space="preserve"> CW, Meyers EG, </w:t>
      </w:r>
      <w:proofErr w:type="spellStart"/>
      <w:r>
        <w:t>Abemayor</w:t>
      </w:r>
      <w:proofErr w:type="spellEnd"/>
      <w:r>
        <w:t xml:space="preserve"> E. </w:t>
      </w:r>
      <w:r w:rsidRPr="00FF6184">
        <w:t>First year after head and neck cancer: quality of life</w:t>
      </w:r>
      <w:r>
        <w:t xml:space="preserve">. </w:t>
      </w:r>
      <w:r w:rsidRPr="00FF6184">
        <w:rPr>
          <w:i/>
          <w:iCs/>
        </w:rPr>
        <w:t>J Clin Oncol</w:t>
      </w:r>
      <w:r>
        <w:t xml:space="preserve"> (1999) 17:352-60. </w:t>
      </w:r>
      <w:proofErr w:type="spellStart"/>
      <w:r>
        <w:t>doi</w:t>
      </w:r>
      <w:proofErr w:type="spellEnd"/>
      <w:r>
        <w:t xml:space="preserve">: </w:t>
      </w:r>
      <w:r w:rsidRPr="00FF6184">
        <w:t>10.1200/JCO.1999.17.1.352</w:t>
      </w:r>
    </w:p>
    <w:p w14:paraId="6418BBD7" w14:textId="771BF7E1" w:rsidR="001D6BDB" w:rsidRDefault="001D6BDB" w:rsidP="00F20458">
      <w:pPr>
        <w:pStyle w:val="ListParagraph"/>
        <w:numPr>
          <w:ilvl w:val="0"/>
          <w:numId w:val="23"/>
        </w:numPr>
      </w:pPr>
      <w:r>
        <w:t xml:space="preserve">Stubblefield MD. </w:t>
      </w:r>
      <w:r w:rsidRPr="001D6BDB">
        <w:t>Radiation fibrosis syndrome: neuromuscular and musculoskeletal complications in cancer survivors</w:t>
      </w:r>
      <w:r>
        <w:t xml:space="preserve">. </w:t>
      </w:r>
      <w:r w:rsidRPr="008C6734">
        <w:rPr>
          <w:i/>
          <w:iCs/>
        </w:rPr>
        <w:t>PM R</w:t>
      </w:r>
      <w:r>
        <w:t xml:space="preserve"> (2011) 3:1041-54. </w:t>
      </w:r>
      <w:proofErr w:type="spellStart"/>
      <w:r>
        <w:t>doi</w:t>
      </w:r>
      <w:proofErr w:type="spellEnd"/>
      <w:r>
        <w:t xml:space="preserve">: </w:t>
      </w:r>
      <w:r w:rsidRPr="001D6BDB">
        <w:t>10.1016/j.pmrj.2011.08.535</w:t>
      </w:r>
    </w:p>
    <w:p w14:paraId="0701798A" w14:textId="569C6BB8" w:rsidR="00000A5A" w:rsidRDefault="00000A5A" w:rsidP="00F20458">
      <w:pPr>
        <w:pStyle w:val="ListParagraph"/>
        <w:numPr>
          <w:ilvl w:val="0"/>
          <w:numId w:val="23"/>
        </w:numPr>
      </w:pPr>
      <w:r>
        <w:t xml:space="preserve">Moloney EC, Brunner M, Alexander AJ, Clark J. </w:t>
      </w:r>
      <w:r w:rsidRPr="00000A5A">
        <w:t>Quantifying fibrosis in head and neck cancer treatment: An overview</w:t>
      </w:r>
      <w:r>
        <w:t xml:space="preserve">. </w:t>
      </w:r>
      <w:r w:rsidRPr="00C61928">
        <w:rPr>
          <w:i/>
          <w:iCs/>
        </w:rPr>
        <w:t>Head Nec</w:t>
      </w:r>
      <w:r w:rsidR="00C61928" w:rsidRPr="00C61928">
        <w:rPr>
          <w:i/>
          <w:iCs/>
        </w:rPr>
        <w:t>k</w:t>
      </w:r>
      <w:r>
        <w:t xml:space="preserve"> (2015) 37:1225-31. </w:t>
      </w:r>
      <w:proofErr w:type="spellStart"/>
      <w:r>
        <w:t>doi</w:t>
      </w:r>
      <w:proofErr w:type="spellEnd"/>
      <w:r>
        <w:t xml:space="preserve">: </w:t>
      </w:r>
      <w:r w:rsidRPr="00000A5A">
        <w:t>10.1002/hed.23722</w:t>
      </w:r>
    </w:p>
    <w:p w14:paraId="4728EC7A" w14:textId="3C1D1993" w:rsidR="005A353A" w:rsidRDefault="00F968BE" w:rsidP="00F20458">
      <w:pPr>
        <w:pStyle w:val="ListParagraph"/>
        <w:numPr>
          <w:ilvl w:val="0"/>
          <w:numId w:val="23"/>
        </w:numPr>
      </w:pPr>
      <w:proofErr w:type="spellStart"/>
      <w:r>
        <w:t>Sroussi</w:t>
      </w:r>
      <w:proofErr w:type="spellEnd"/>
      <w:r>
        <w:t xml:space="preserve"> HY, Epstein JB, </w:t>
      </w:r>
      <w:proofErr w:type="spellStart"/>
      <w:r>
        <w:t>Bensadoun</w:t>
      </w:r>
      <w:proofErr w:type="spellEnd"/>
      <w:r>
        <w:t xml:space="preserve"> R, Saunders DP, Lalla RV, </w:t>
      </w:r>
      <w:proofErr w:type="spellStart"/>
      <w:r>
        <w:t>Migliorati</w:t>
      </w:r>
      <w:proofErr w:type="spellEnd"/>
      <w:r>
        <w:t xml:space="preserve"> CA, </w:t>
      </w:r>
      <w:proofErr w:type="spellStart"/>
      <w:r>
        <w:t>Heaivilin</w:t>
      </w:r>
      <w:proofErr w:type="spellEnd"/>
      <w:r>
        <w:t xml:space="preserve"> N, </w:t>
      </w:r>
      <w:proofErr w:type="spellStart"/>
      <w:r>
        <w:t>Zumsteg</w:t>
      </w:r>
      <w:proofErr w:type="spellEnd"/>
      <w:r>
        <w:t xml:space="preserve"> ZS. </w:t>
      </w:r>
      <w:r w:rsidRPr="00F968BE">
        <w:t>Common oral complications of head and neck cancer radiation therapy: mucositis, infections, saliva change, fibrosis, sensory dysfunctions, dental caries, periodontal disease, and osteoradionecrosis</w:t>
      </w:r>
      <w:r>
        <w:t xml:space="preserve">. </w:t>
      </w:r>
      <w:r w:rsidRPr="00617365">
        <w:rPr>
          <w:i/>
          <w:iCs/>
        </w:rPr>
        <w:t>Cancer Med</w:t>
      </w:r>
      <w:r>
        <w:t xml:space="preserve"> (2017) 6:2918-31. </w:t>
      </w:r>
      <w:proofErr w:type="spellStart"/>
      <w:r>
        <w:t>doi</w:t>
      </w:r>
      <w:proofErr w:type="spellEnd"/>
      <w:r>
        <w:t xml:space="preserve">: </w:t>
      </w:r>
      <w:r w:rsidRPr="00F968BE">
        <w:t>10.1002/cam4.1221</w:t>
      </w:r>
    </w:p>
    <w:p w14:paraId="1B3CE8E0" w14:textId="09E591C0" w:rsidR="005A353A" w:rsidRDefault="00884F7C" w:rsidP="00F20458">
      <w:pPr>
        <w:pStyle w:val="ListParagraph"/>
        <w:numPr>
          <w:ilvl w:val="0"/>
          <w:numId w:val="23"/>
        </w:numPr>
      </w:pPr>
      <w:proofErr w:type="spellStart"/>
      <w:r>
        <w:t>Hirota</w:t>
      </w:r>
      <w:proofErr w:type="spellEnd"/>
      <w:r>
        <w:t xml:space="preserve"> S, </w:t>
      </w:r>
      <w:proofErr w:type="spellStart"/>
      <w:r>
        <w:t>Tsujino</w:t>
      </w:r>
      <w:proofErr w:type="spellEnd"/>
      <w:r>
        <w:t xml:space="preserve"> K, </w:t>
      </w:r>
      <w:proofErr w:type="spellStart"/>
      <w:r>
        <w:t>Oshitani</w:t>
      </w:r>
      <w:proofErr w:type="spellEnd"/>
      <w:r>
        <w:t xml:space="preserve"> T, </w:t>
      </w:r>
      <w:proofErr w:type="spellStart"/>
      <w:r>
        <w:t>Hishikawa</w:t>
      </w:r>
      <w:proofErr w:type="spellEnd"/>
      <w:r>
        <w:t xml:space="preserve"> Y, Takada Y, </w:t>
      </w:r>
      <w:proofErr w:type="spellStart"/>
      <w:r>
        <w:t>Kono</w:t>
      </w:r>
      <w:proofErr w:type="spellEnd"/>
      <w:r>
        <w:t xml:space="preserve"> M, Abe M. </w:t>
      </w:r>
      <w:r w:rsidRPr="00884F7C">
        <w:t>Subcutaneous fibrosis after whole neck irradiation</w:t>
      </w:r>
      <w:r>
        <w:t xml:space="preserve">. </w:t>
      </w:r>
      <w:r w:rsidRPr="00884F7C">
        <w:rPr>
          <w:i/>
          <w:iCs/>
        </w:rPr>
        <w:t xml:space="preserve">Int J </w:t>
      </w:r>
      <w:proofErr w:type="spellStart"/>
      <w:r w:rsidRPr="00884F7C">
        <w:rPr>
          <w:i/>
          <w:iCs/>
        </w:rPr>
        <w:t>Radiat</w:t>
      </w:r>
      <w:proofErr w:type="spellEnd"/>
      <w:r w:rsidRPr="00884F7C">
        <w:rPr>
          <w:i/>
          <w:iCs/>
        </w:rPr>
        <w:t xml:space="preserve"> Oncol Biol Phys</w:t>
      </w:r>
      <w:r>
        <w:t xml:space="preserve"> (2002) 52:937-43. </w:t>
      </w:r>
      <w:proofErr w:type="spellStart"/>
      <w:r>
        <w:t>doi</w:t>
      </w:r>
      <w:proofErr w:type="spellEnd"/>
      <w:r>
        <w:t xml:space="preserve">: </w:t>
      </w:r>
      <w:r w:rsidRPr="00884F7C">
        <w:t>10.1016/s0360-3016(01)02735-3</w:t>
      </w:r>
    </w:p>
    <w:p w14:paraId="0D8E294C" w14:textId="77777777" w:rsidR="003D6E68" w:rsidRPr="003D6E68" w:rsidRDefault="003D6E68" w:rsidP="00F20458">
      <w:pPr>
        <w:pStyle w:val="ListParagraph"/>
        <w:numPr>
          <w:ilvl w:val="0"/>
          <w:numId w:val="23"/>
        </w:numPr>
      </w:pPr>
      <w:r w:rsidRPr="003D6E68">
        <w:t xml:space="preserve">National Institute of Cancer. Common Terminology Criteria for Adverse Events v4.0 (CTCAE). NIH </w:t>
      </w:r>
      <w:proofErr w:type="spellStart"/>
      <w:r w:rsidRPr="003D6E68">
        <w:t>Publ</w:t>
      </w:r>
      <w:proofErr w:type="spellEnd"/>
      <w:r w:rsidRPr="003D6E68">
        <w:t xml:space="preserve"> (2010). URL: https://ctep.cancer.gov/protocoldevelopment/electronic_applications/ctc.htm#ctc_40</w:t>
      </w:r>
    </w:p>
    <w:p w14:paraId="4715391C" w14:textId="12E75DC2" w:rsidR="003D6E68" w:rsidRDefault="00A917E3" w:rsidP="005A353A">
      <w:pPr>
        <w:pStyle w:val="ListParagraph"/>
        <w:numPr>
          <w:ilvl w:val="0"/>
          <w:numId w:val="23"/>
        </w:numPr>
      </w:pPr>
      <w:proofErr w:type="spellStart"/>
      <w:r>
        <w:t>Deloch</w:t>
      </w:r>
      <w:proofErr w:type="spellEnd"/>
      <w:r>
        <w:t xml:space="preserve"> L, </w:t>
      </w:r>
      <w:proofErr w:type="spellStart"/>
      <w:r>
        <w:t>Derer</w:t>
      </w:r>
      <w:proofErr w:type="spellEnd"/>
      <w:r>
        <w:t xml:space="preserve"> A, Hartmann J, Frey B, </w:t>
      </w:r>
      <w:proofErr w:type="spellStart"/>
      <w:r>
        <w:t>Fietkau</w:t>
      </w:r>
      <w:proofErr w:type="spellEnd"/>
      <w:r>
        <w:t xml:space="preserve"> R, </w:t>
      </w:r>
      <w:proofErr w:type="spellStart"/>
      <w:r>
        <w:t>Gaipl</w:t>
      </w:r>
      <w:proofErr w:type="spellEnd"/>
      <w:r>
        <w:t xml:space="preserve"> US. Modern radiotherapy concepts and the impact of radiation on immune activation. </w:t>
      </w:r>
      <w:r w:rsidRPr="003078C0">
        <w:rPr>
          <w:i/>
          <w:iCs/>
        </w:rPr>
        <w:t>Front Oncol</w:t>
      </w:r>
      <w:r>
        <w:t xml:space="preserve"> (2016) 6:141. </w:t>
      </w:r>
      <w:proofErr w:type="spellStart"/>
      <w:r>
        <w:t>doi</w:t>
      </w:r>
      <w:proofErr w:type="spellEnd"/>
      <w:r>
        <w:t xml:space="preserve">: </w:t>
      </w:r>
      <w:r w:rsidRPr="00A917E3">
        <w:t>10.3389</w:t>
      </w:r>
      <w:r>
        <w:t>/</w:t>
      </w:r>
      <w:r w:rsidRPr="00A917E3">
        <w:t>fonc.2016.00141</w:t>
      </w:r>
    </w:p>
    <w:p w14:paraId="51049F10" w14:textId="2543F9C3" w:rsidR="00A917E3" w:rsidRDefault="005E6D02" w:rsidP="005A353A">
      <w:pPr>
        <w:pStyle w:val="ListParagraph"/>
        <w:numPr>
          <w:ilvl w:val="0"/>
          <w:numId w:val="23"/>
        </w:numPr>
      </w:pPr>
      <w:r>
        <w:t xml:space="preserve">Straub JM, New J, Hamilton CD, </w:t>
      </w:r>
      <w:proofErr w:type="spellStart"/>
      <w:r>
        <w:t>Lominska</w:t>
      </w:r>
      <w:proofErr w:type="spellEnd"/>
      <w:r>
        <w:t xml:space="preserve"> C, </w:t>
      </w:r>
      <w:proofErr w:type="spellStart"/>
      <w:r>
        <w:t>Shnayder</w:t>
      </w:r>
      <w:proofErr w:type="spellEnd"/>
      <w:r>
        <w:t xml:space="preserve"> Y, Thomas SM. </w:t>
      </w:r>
      <w:r w:rsidRPr="005E6D02">
        <w:t>Radiation-induced fibrosis: mechanisms and implications for therapy</w:t>
      </w:r>
      <w:r w:rsidR="000D63A4">
        <w:t xml:space="preserve">. </w:t>
      </w:r>
      <w:r w:rsidR="000D63A4" w:rsidRPr="004D71B1">
        <w:rPr>
          <w:i/>
          <w:iCs/>
        </w:rPr>
        <w:t>J Cancer Res Clin Oncol</w:t>
      </w:r>
      <w:r w:rsidR="000D63A4">
        <w:t xml:space="preserve"> (2015) 141:1985-94. </w:t>
      </w:r>
      <w:proofErr w:type="spellStart"/>
      <w:r w:rsidR="000D63A4">
        <w:t>doi</w:t>
      </w:r>
      <w:proofErr w:type="spellEnd"/>
      <w:r w:rsidR="000D63A4">
        <w:t xml:space="preserve">: </w:t>
      </w:r>
      <w:r w:rsidR="000D63A4" w:rsidRPr="000D63A4">
        <w:t>10.1007/s00432-015-1974-6</w:t>
      </w:r>
    </w:p>
    <w:p w14:paraId="3BD17865" w14:textId="518E57FD" w:rsidR="00A17C5E" w:rsidRDefault="00A17C5E" w:rsidP="005A353A">
      <w:pPr>
        <w:pStyle w:val="ListParagraph"/>
        <w:numPr>
          <w:ilvl w:val="0"/>
          <w:numId w:val="23"/>
        </w:numPr>
      </w:pPr>
      <w:r>
        <w:t xml:space="preserve">Lee J, Taneja V, Vassallo R. </w:t>
      </w:r>
      <w:r w:rsidRPr="00A17C5E">
        <w:t>Cigarette smoking and inflammation: cellular and molecular mechanisms</w:t>
      </w:r>
      <w:r>
        <w:t xml:space="preserve">. </w:t>
      </w:r>
      <w:r w:rsidRPr="00E0433E">
        <w:rPr>
          <w:i/>
          <w:iCs/>
        </w:rPr>
        <w:t>J Dent Res</w:t>
      </w:r>
      <w:r>
        <w:t xml:space="preserve"> (2012) 91:142-9. </w:t>
      </w:r>
      <w:proofErr w:type="spellStart"/>
      <w:r>
        <w:t>doi</w:t>
      </w:r>
      <w:proofErr w:type="spellEnd"/>
      <w:r>
        <w:t xml:space="preserve">: </w:t>
      </w:r>
      <w:r w:rsidRPr="00A17C5E">
        <w:t>10.1177/0022034511421200</w:t>
      </w:r>
    </w:p>
    <w:p w14:paraId="5CD27899" w14:textId="669F4EAB" w:rsidR="00073D79" w:rsidRDefault="00073D79" w:rsidP="005A353A">
      <w:pPr>
        <w:pStyle w:val="ListParagraph"/>
        <w:numPr>
          <w:ilvl w:val="0"/>
          <w:numId w:val="23"/>
        </w:numPr>
      </w:pPr>
      <w:r>
        <w:t xml:space="preserve">Gray JL, Al </w:t>
      </w:r>
      <w:proofErr w:type="spellStart"/>
      <w:r>
        <w:t>Maghlouth</w:t>
      </w:r>
      <w:proofErr w:type="spellEnd"/>
      <w:r>
        <w:t xml:space="preserve"> A, Al Hussain H, Al </w:t>
      </w:r>
      <w:proofErr w:type="spellStart"/>
      <w:r>
        <w:t>Sheef</w:t>
      </w:r>
      <w:proofErr w:type="spellEnd"/>
      <w:r>
        <w:t xml:space="preserve"> M. </w:t>
      </w:r>
      <w:r w:rsidRPr="00073D79">
        <w:t>Impact of oral and oropharyngeal cancer diagnosis on smoking cessation patients and cohabiting smokers</w:t>
      </w:r>
      <w:r>
        <w:t xml:space="preserve">. </w:t>
      </w:r>
      <w:proofErr w:type="spellStart"/>
      <w:r w:rsidRPr="00073D79">
        <w:rPr>
          <w:i/>
          <w:iCs/>
        </w:rPr>
        <w:t>Tob</w:t>
      </w:r>
      <w:proofErr w:type="spellEnd"/>
      <w:r w:rsidRPr="00073D79">
        <w:rPr>
          <w:i/>
          <w:iCs/>
        </w:rPr>
        <w:t xml:space="preserve"> </w:t>
      </w:r>
      <w:proofErr w:type="spellStart"/>
      <w:r w:rsidRPr="00073D79">
        <w:rPr>
          <w:i/>
          <w:iCs/>
        </w:rPr>
        <w:t>Induc</w:t>
      </w:r>
      <w:proofErr w:type="spellEnd"/>
      <w:r w:rsidRPr="00073D79">
        <w:rPr>
          <w:i/>
          <w:iCs/>
        </w:rPr>
        <w:t xml:space="preserve"> Dis</w:t>
      </w:r>
      <w:r>
        <w:t xml:space="preserve"> (2019) 17:75. </w:t>
      </w:r>
      <w:proofErr w:type="spellStart"/>
      <w:r>
        <w:t>doi</w:t>
      </w:r>
      <w:proofErr w:type="spellEnd"/>
      <w:r>
        <w:t xml:space="preserve">: </w:t>
      </w:r>
      <w:r w:rsidRPr="00073D79">
        <w:t>10.18332/</w:t>
      </w:r>
      <w:proofErr w:type="spellStart"/>
      <w:r w:rsidRPr="00073D79">
        <w:t>tid</w:t>
      </w:r>
      <w:proofErr w:type="spellEnd"/>
      <w:r w:rsidRPr="00073D79">
        <w:t>/109413</w:t>
      </w:r>
    </w:p>
    <w:p w14:paraId="0899D12A" w14:textId="5314D486" w:rsidR="00897F90" w:rsidRDefault="00897F90" w:rsidP="005A353A">
      <w:pPr>
        <w:pStyle w:val="ListParagraph"/>
        <w:numPr>
          <w:ilvl w:val="0"/>
          <w:numId w:val="23"/>
        </w:numPr>
      </w:pPr>
      <w:r>
        <w:t xml:space="preserve">Sharp L, Johansson H, </w:t>
      </w:r>
      <w:proofErr w:type="spellStart"/>
      <w:r>
        <w:t>Fagerström</w:t>
      </w:r>
      <w:proofErr w:type="spellEnd"/>
      <w:r>
        <w:t xml:space="preserve">, </w:t>
      </w:r>
      <w:proofErr w:type="spellStart"/>
      <w:r>
        <w:t>Rutqvist</w:t>
      </w:r>
      <w:proofErr w:type="spellEnd"/>
      <w:r>
        <w:t xml:space="preserve"> LE. </w:t>
      </w:r>
      <w:r w:rsidRPr="00897F90">
        <w:t>Smoking cessation among patients with head and neck cancer: cancer as a 'teachable moment'</w:t>
      </w:r>
      <w:r>
        <w:t xml:space="preserve">. </w:t>
      </w:r>
      <w:r w:rsidRPr="00897F90">
        <w:rPr>
          <w:i/>
          <w:iCs/>
        </w:rPr>
        <w:t>Eur J Cancer Care (</w:t>
      </w:r>
      <w:proofErr w:type="spellStart"/>
      <w:r w:rsidRPr="00897F90">
        <w:rPr>
          <w:i/>
          <w:iCs/>
        </w:rPr>
        <w:t>Engl</w:t>
      </w:r>
      <w:proofErr w:type="spellEnd"/>
      <w:r w:rsidRPr="00897F90">
        <w:rPr>
          <w:i/>
          <w:iCs/>
        </w:rPr>
        <w:t>)</w:t>
      </w:r>
      <w:r>
        <w:t xml:space="preserve"> (2008) 17:114-9. </w:t>
      </w:r>
      <w:proofErr w:type="spellStart"/>
      <w:r>
        <w:t>doi</w:t>
      </w:r>
      <w:proofErr w:type="spellEnd"/>
      <w:r>
        <w:t xml:space="preserve">: </w:t>
      </w:r>
      <w:r w:rsidRPr="00897F90">
        <w:t>10.1111/j.1365-2354.</w:t>
      </w:r>
      <w:proofErr w:type="gramStart"/>
      <w:r w:rsidRPr="00897F90">
        <w:t>2007.00815.x</w:t>
      </w:r>
      <w:proofErr w:type="gramEnd"/>
    </w:p>
    <w:p w14:paraId="08F750F0" w14:textId="56BFFDA3" w:rsidR="003452A3" w:rsidRDefault="00DA2FB5" w:rsidP="005A353A">
      <w:pPr>
        <w:pStyle w:val="ListParagraph"/>
        <w:numPr>
          <w:ilvl w:val="0"/>
          <w:numId w:val="23"/>
        </w:numPr>
      </w:pPr>
      <w:r>
        <w:t xml:space="preserve">Lilla C, </w:t>
      </w:r>
      <w:proofErr w:type="spellStart"/>
      <w:r>
        <w:t>Ambrosone</w:t>
      </w:r>
      <w:proofErr w:type="spellEnd"/>
      <w:r>
        <w:t xml:space="preserve"> CB, Kropp S, Helmbold I, </w:t>
      </w:r>
      <w:proofErr w:type="spellStart"/>
      <w:r>
        <w:t>Schmezer</w:t>
      </w:r>
      <w:proofErr w:type="spellEnd"/>
      <w:r>
        <w:t xml:space="preserve"> P, von Fournier D, </w:t>
      </w:r>
      <w:proofErr w:type="spellStart"/>
      <w:r>
        <w:t>Haase</w:t>
      </w:r>
      <w:proofErr w:type="spellEnd"/>
      <w:r>
        <w:t xml:space="preserve"> W, </w:t>
      </w:r>
      <w:proofErr w:type="spellStart"/>
      <w:r>
        <w:t>Sautter-Bihl</w:t>
      </w:r>
      <w:proofErr w:type="spellEnd"/>
      <w:r>
        <w:t xml:space="preserve"> M, Wenz F, Chang-Claude J. </w:t>
      </w:r>
      <w:r w:rsidRPr="00DA2FB5">
        <w:t>Predictive factors for late normal tissue complications following radiotherapy for breast cancer</w:t>
      </w:r>
      <w:r>
        <w:t xml:space="preserve">. </w:t>
      </w:r>
      <w:r w:rsidRPr="00DA2FB5">
        <w:rPr>
          <w:i/>
          <w:iCs/>
        </w:rPr>
        <w:t>Breast Cancer Res Treat</w:t>
      </w:r>
      <w:r>
        <w:t xml:space="preserve"> (2007) 106:143-50. </w:t>
      </w:r>
      <w:proofErr w:type="spellStart"/>
      <w:r>
        <w:t>doi</w:t>
      </w:r>
      <w:proofErr w:type="spellEnd"/>
      <w:r>
        <w:t xml:space="preserve">: </w:t>
      </w:r>
      <w:r w:rsidRPr="00DA2FB5">
        <w:t>10.1007/s10549-006-9480-9</w:t>
      </w:r>
    </w:p>
    <w:p w14:paraId="1E723D65" w14:textId="30446E90" w:rsidR="00DA2FB5" w:rsidRDefault="00DA2FB5" w:rsidP="005A353A">
      <w:pPr>
        <w:pStyle w:val="ListParagraph"/>
        <w:numPr>
          <w:ilvl w:val="0"/>
          <w:numId w:val="23"/>
        </w:numPr>
      </w:pPr>
      <w:r>
        <w:lastRenderedPageBreak/>
        <w:t xml:space="preserve">Borger JH, </w:t>
      </w:r>
      <w:proofErr w:type="spellStart"/>
      <w:r>
        <w:t>Kemperman</w:t>
      </w:r>
      <w:proofErr w:type="spellEnd"/>
      <w:r>
        <w:t xml:space="preserve"> H, </w:t>
      </w:r>
      <w:proofErr w:type="spellStart"/>
      <w:r>
        <w:t>Smitt</w:t>
      </w:r>
      <w:proofErr w:type="spellEnd"/>
      <w:r>
        <w:t xml:space="preserve"> HS, Hart A, van </w:t>
      </w:r>
      <w:proofErr w:type="spellStart"/>
      <w:r>
        <w:t>Dongen</w:t>
      </w:r>
      <w:proofErr w:type="spellEnd"/>
      <w:r>
        <w:t xml:space="preserve"> J, </w:t>
      </w:r>
      <w:proofErr w:type="spellStart"/>
      <w:r>
        <w:t>Lebesque</w:t>
      </w:r>
      <w:proofErr w:type="spellEnd"/>
      <w:r>
        <w:t xml:space="preserve"> J, </w:t>
      </w:r>
      <w:proofErr w:type="spellStart"/>
      <w:r>
        <w:t>Bartelink</w:t>
      </w:r>
      <w:proofErr w:type="spellEnd"/>
      <w:r>
        <w:t xml:space="preserve"> H. </w:t>
      </w:r>
      <w:proofErr w:type="gramStart"/>
      <w:r w:rsidRPr="00DA2FB5">
        <w:t>Dose</w:t>
      </w:r>
      <w:proofErr w:type="gramEnd"/>
      <w:r w:rsidRPr="00DA2FB5">
        <w:t xml:space="preserve"> and volume effects on fibrosis after breast conservation therapy</w:t>
      </w:r>
      <w:r>
        <w:t xml:space="preserve">. </w:t>
      </w:r>
      <w:r w:rsidRPr="00FA6B0E">
        <w:rPr>
          <w:i/>
          <w:iCs/>
        </w:rPr>
        <w:t xml:space="preserve">Int J </w:t>
      </w:r>
      <w:proofErr w:type="spellStart"/>
      <w:r w:rsidRPr="00FA6B0E">
        <w:rPr>
          <w:i/>
          <w:iCs/>
        </w:rPr>
        <w:t>Radiat</w:t>
      </w:r>
      <w:proofErr w:type="spellEnd"/>
      <w:r w:rsidRPr="00FA6B0E">
        <w:rPr>
          <w:i/>
          <w:iCs/>
        </w:rPr>
        <w:t xml:space="preserve"> Oncol Biol Phys</w:t>
      </w:r>
      <w:r>
        <w:t xml:space="preserve"> (1994) 30:1073-81. </w:t>
      </w:r>
      <w:proofErr w:type="spellStart"/>
      <w:r>
        <w:t>doi</w:t>
      </w:r>
      <w:proofErr w:type="spellEnd"/>
      <w:r>
        <w:t xml:space="preserve">: </w:t>
      </w:r>
      <w:r w:rsidRPr="00DA2FB5">
        <w:t>10.1016/0360-3016(94)90312-3</w:t>
      </w:r>
    </w:p>
    <w:p w14:paraId="4C524475" w14:textId="22D7F7BA" w:rsidR="001B3536" w:rsidRDefault="001B3536" w:rsidP="005A353A">
      <w:pPr>
        <w:pStyle w:val="ListParagraph"/>
        <w:numPr>
          <w:ilvl w:val="0"/>
          <w:numId w:val="23"/>
        </w:numPr>
      </w:pPr>
      <w:r>
        <w:t xml:space="preserve">Mukherjee A, </w:t>
      </w:r>
      <w:proofErr w:type="spellStart"/>
      <w:r>
        <w:t>Idigo</w:t>
      </w:r>
      <w:proofErr w:type="spellEnd"/>
      <w:r>
        <w:t xml:space="preserve"> AJ, Ye Y, Wiener HW, </w:t>
      </w:r>
      <w:proofErr w:type="spellStart"/>
      <w:r>
        <w:t>Paluri</w:t>
      </w:r>
      <w:proofErr w:type="spellEnd"/>
      <w:r>
        <w:t xml:space="preserve"> R, </w:t>
      </w:r>
      <w:proofErr w:type="spellStart"/>
      <w:r>
        <w:t>Nabell</w:t>
      </w:r>
      <w:proofErr w:type="spellEnd"/>
      <w:r>
        <w:t xml:space="preserve"> LM, Shrestha S. G</w:t>
      </w:r>
      <w:r w:rsidRPr="001B3536">
        <w:t>eographical and racial disparities in head and neck cancer diagnosis in south-eastern united states: using real-world electronic medical records data</w:t>
      </w:r>
      <w:r>
        <w:t xml:space="preserve">. </w:t>
      </w:r>
      <w:r w:rsidRPr="001B3536">
        <w:rPr>
          <w:i/>
          <w:iCs/>
        </w:rPr>
        <w:t>Health Equity</w:t>
      </w:r>
      <w:r>
        <w:t xml:space="preserve"> (2020) 4:43-51. </w:t>
      </w:r>
      <w:proofErr w:type="spellStart"/>
      <w:r>
        <w:t>doi</w:t>
      </w:r>
      <w:proofErr w:type="spellEnd"/>
      <w:r>
        <w:t xml:space="preserve">: </w:t>
      </w:r>
      <w:r w:rsidRPr="001B3536">
        <w:t>10.1089/heq.2019.0092</w:t>
      </w:r>
    </w:p>
    <w:p w14:paraId="524767F8" w14:textId="1F415D8F" w:rsidR="001B3536" w:rsidRDefault="0078735C" w:rsidP="005A353A">
      <w:pPr>
        <w:pStyle w:val="ListParagraph"/>
        <w:numPr>
          <w:ilvl w:val="0"/>
          <w:numId w:val="23"/>
        </w:numPr>
      </w:pPr>
      <w:r>
        <w:t>Moskovitz J, Moy J, Ferris RL.</w:t>
      </w:r>
      <w:r w:rsidRPr="0078735C">
        <w:t xml:space="preserve"> </w:t>
      </w:r>
      <w:r>
        <w:t>I</w:t>
      </w:r>
      <w:r w:rsidRPr="0078735C">
        <w:t>mmunotherapy for head and neck squamous cell carcinoma</w:t>
      </w:r>
      <w:r>
        <w:t xml:space="preserve">. </w:t>
      </w:r>
      <w:proofErr w:type="spellStart"/>
      <w:r w:rsidRPr="0078735C">
        <w:rPr>
          <w:i/>
          <w:iCs/>
        </w:rPr>
        <w:t>Curr</w:t>
      </w:r>
      <w:proofErr w:type="spellEnd"/>
      <w:r w:rsidRPr="0078735C">
        <w:rPr>
          <w:i/>
          <w:iCs/>
        </w:rPr>
        <w:t xml:space="preserve"> Oncol Rep</w:t>
      </w:r>
      <w:r>
        <w:t xml:space="preserve"> (2018) 20:22. </w:t>
      </w:r>
      <w:proofErr w:type="spellStart"/>
      <w:r>
        <w:t>doi</w:t>
      </w:r>
      <w:proofErr w:type="spellEnd"/>
      <w:r>
        <w:t xml:space="preserve">: </w:t>
      </w:r>
      <w:r w:rsidRPr="0078735C">
        <w:t>10.1007/s11912-018-0654-5</w:t>
      </w:r>
    </w:p>
    <w:p w14:paraId="29AF0746" w14:textId="08B39035" w:rsidR="00784FBC" w:rsidRDefault="00784FBC" w:rsidP="005A353A">
      <w:pPr>
        <w:pStyle w:val="ListParagraph"/>
        <w:numPr>
          <w:ilvl w:val="0"/>
          <w:numId w:val="23"/>
        </w:numPr>
      </w:pPr>
      <w:r>
        <w:t xml:space="preserve">Hegde JV, </w:t>
      </w:r>
      <w:proofErr w:type="spellStart"/>
      <w:r>
        <w:t>Shaverdian</w:t>
      </w:r>
      <w:proofErr w:type="spellEnd"/>
      <w:r>
        <w:t xml:space="preserve"> N, Daly ME, Felix C, Wong DL, </w:t>
      </w:r>
      <w:proofErr w:type="spellStart"/>
      <w:r>
        <w:t>Rosove</w:t>
      </w:r>
      <w:proofErr w:type="spellEnd"/>
      <w:r>
        <w:t xml:space="preserve"> MH, </w:t>
      </w:r>
      <w:proofErr w:type="spellStart"/>
      <w:r>
        <w:t>Garst</w:t>
      </w:r>
      <w:proofErr w:type="spellEnd"/>
      <w:r>
        <w:t xml:space="preserve"> JH, Wang P, </w:t>
      </w:r>
      <w:proofErr w:type="spellStart"/>
      <w:r>
        <w:t>Veruttipong</w:t>
      </w:r>
      <w:proofErr w:type="spellEnd"/>
      <w:r>
        <w:t xml:space="preserve"> D, Rao S, Fragoso RC, </w:t>
      </w:r>
      <w:proofErr w:type="spellStart"/>
      <w:r>
        <w:t>Riess</w:t>
      </w:r>
      <w:proofErr w:type="spellEnd"/>
      <w:r>
        <w:t xml:space="preserve"> JW, Steinberg ML, Chen AM. </w:t>
      </w:r>
      <w:r w:rsidRPr="00784FBC">
        <w:t xml:space="preserve">Patient-reported quality-of-life outcomes after de-escalated chemoradiation for human papillomavirus-positive oropharyngeal carcinoma: </w:t>
      </w:r>
      <w:r>
        <w:t>f</w:t>
      </w:r>
      <w:r w:rsidRPr="00784FBC">
        <w:t>indings from a phase 2 trial</w:t>
      </w:r>
      <w:r>
        <w:t xml:space="preserve">. </w:t>
      </w:r>
      <w:r w:rsidRPr="00C71B98">
        <w:rPr>
          <w:i/>
          <w:iCs/>
        </w:rPr>
        <w:t>Cancer</w:t>
      </w:r>
      <w:r>
        <w:t xml:space="preserve"> (2018) 124:521-9. </w:t>
      </w:r>
      <w:proofErr w:type="spellStart"/>
      <w:r>
        <w:t>doi</w:t>
      </w:r>
      <w:proofErr w:type="spellEnd"/>
      <w:r>
        <w:t xml:space="preserve">: </w:t>
      </w:r>
      <w:r w:rsidRPr="00784FBC">
        <w:t>10.1002/cncr.30954</w:t>
      </w:r>
    </w:p>
    <w:p w14:paraId="731AF4FF" w14:textId="067EEE4F" w:rsidR="005A353A" w:rsidRDefault="005A353A" w:rsidP="003D6E68">
      <w:pPr>
        <w:pStyle w:val="ListParagraph"/>
        <w:numPr>
          <w:ilvl w:val="0"/>
          <w:numId w:val="0"/>
        </w:numPr>
        <w:ind w:left="360"/>
      </w:pPr>
    </w:p>
    <w:p w14:paraId="4E88F2B0" w14:textId="40478965" w:rsidR="00B63C2B" w:rsidRDefault="00B63C2B" w:rsidP="003D6E68">
      <w:pPr>
        <w:pStyle w:val="ListParagraph"/>
        <w:numPr>
          <w:ilvl w:val="0"/>
          <w:numId w:val="0"/>
        </w:numPr>
        <w:ind w:left="360"/>
      </w:pPr>
    </w:p>
    <w:p w14:paraId="136ED10B" w14:textId="4E25198B" w:rsidR="00B63C2B" w:rsidRDefault="00B63C2B" w:rsidP="003D6E68">
      <w:pPr>
        <w:pStyle w:val="ListParagraph"/>
        <w:numPr>
          <w:ilvl w:val="0"/>
          <w:numId w:val="0"/>
        </w:numPr>
        <w:ind w:left="360"/>
      </w:pPr>
    </w:p>
    <w:p w14:paraId="0051CE81" w14:textId="27494FB1" w:rsidR="00B63C2B" w:rsidRDefault="00B63C2B" w:rsidP="003D6E68">
      <w:pPr>
        <w:pStyle w:val="ListParagraph"/>
        <w:numPr>
          <w:ilvl w:val="0"/>
          <w:numId w:val="0"/>
        </w:numPr>
        <w:ind w:left="360"/>
      </w:pPr>
    </w:p>
    <w:p w14:paraId="4282F997" w14:textId="6906DE1B" w:rsidR="00B63C2B" w:rsidRDefault="00B63C2B" w:rsidP="003D6E68">
      <w:pPr>
        <w:pStyle w:val="ListParagraph"/>
        <w:numPr>
          <w:ilvl w:val="0"/>
          <w:numId w:val="0"/>
        </w:numPr>
        <w:ind w:left="360"/>
      </w:pPr>
    </w:p>
    <w:p w14:paraId="47839BFB" w14:textId="64A0DF07" w:rsidR="00B63C2B" w:rsidRDefault="00B63C2B" w:rsidP="003D6E68">
      <w:pPr>
        <w:pStyle w:val="ListParagraph"/>
        <w:numPr>
          <w:ilvl w:val="0"/>
          <w:numId w:val="0"/>
        </w:numPr>
        <w:ind w:left="360"/>
      </w:pPr>
    </w:p>
    <w:p w14:paraId="0A990110" w14:textId="5926932A" w:rsidR="00B63C2B" w:rsidRDefault="00B63C2B" w:rsidP="003D6E68">
      <w:pPr>
        <w:pStyle w:val="ListParagraph"/>
        <w:numPr>
          <w:ilvl w:val="0"/>
          <w:numId w:val="0"/>
        </w:numPr>
        <w:ind w:left="360"/>
      </w:pPr>
    </w:p>
    <w:p w14:paraId="37E8A3A0" w14:textId="343A7EAA" w:rsidR="00B63C2B" w:rsidRDefault="00B63C2B" w:rsidP="003D6E68">
      <w:pPr>
        <w:pStyle w:val="ListParagraph"/>
        <w:numPr>
          <w:ilvl w:val="0"/>
          <w:numId w:val="0"/>
        </w:numPr>
        <w:ind w:left="360"/>
      </w:pPr>
    </w:p>
    <w:p w14:paraId="431A0764" w14:textId="2D3E8163" w:rsidR="00B63C2B" w:rsidRDefault="00B63C2B" w:rsidP="003D6E68">
      <w:pPr>
        <w:pStyle w:val="ListParagraph"/>
        <w:numPr>
          <w:ilvl w:val="0"/>
          <w:numId w:val="0"/>
        </w:numPr>
        <w:ind w:left="360"/>
      </w:pPr>
    </w:p>
    <w:p w14:paraId="51F672BA" w14:textId="534B0E2A" w:rsidR="00B63C2B" w:rsidRDefault="00B63C2B" w:rsidP="003D6E68">
      <w:pPr>
        <w:pStyle w:val="ListParagraph"/>
        <w:numPr>
          <w:ilvl w:val="0"/>
          <w:numId w:val="0"/>
        </w:numPr>
        <w:ind w:left="360"/>
      </w:pPr>
    </w:p>
    <w:p w14:paraId="016B42D2" w14:textId="316370B1" w:rsidR="00B63C2B" w:rsidRDefault="00B63C2B" w:rsidP="003D6E68">
      <w:pPr>
        <w:pStyle w:val="ListParagraph"/>
        <w:numPr>
          <w:ilvl w:val="0"/>
          <w:numId w:val="0"/>
        </w:numPr>
        <w:ind w:left="360"/>
      </w:pPr>
    </w:p>
    <w:p w14:paraId="4EE714C9" w14:textId="3E5C8A88" w:rsidR="00B63C2B" w:rsidRDefault="00B63C2B" w:rsidP="003D6E68">
      <w:pPr>
        <w:pStyle w:val="ListParagraph"/>
        <w:numPr>
          <w:ilvl w:val="0"/>
          <w:numId w:val="0"/>
        </w:numPr>
        <w:ind w:left="360"/>
      </w:pPr>
    </w:p>
    <w:p w14:paraId="7F3B6556" w14:textId="315A66A2" w:rsidR="00B63C2B" w:rsidRDefault="00B63C2B" w:rsidP="003D6E68">
      <w:pPr>
        <w:pStyle w:val="ListParagraph"/>
        <w:numPr>
          <w:ilvl w:val="0"/>
          <w:numId w:val="0"/>
        </w:numPr>
        <w:ind w:left="360"/>
      </w:pPr>
    </w:p>
    <w:p w14:paraId="742012D0" w14:textId="00BE9215" w:rsidR="00B63C2B" w:rsidRDefault="00B63C2B" w:rsidP="003D6E68">
      <w:pPr>
        <w:pStyle w:val="ListParagraph"/>
        <w:numPr>
          <w:ilvl w:val="0"/>
          <w:numId w:val="0"/>
        </w:numPr>
        <w:ind w:left="360"/>
      </w:pPr>
    </w:p>
    <w:p w14:paraId="29F6DCD0" w14:textId="5B2BCAD2" w:rsidR="00B63C2B" w:rsidRDefault="00B63C2B" w:rsidP="003D6E68">
      <w:pPr>
        <w:pStyle w:val="ListParagraph"/>
        <w:numPr>
          <w:ilvl w:val="0"/>
          <w:numId w:val="0"/>
        </w:numPr>
        <w:ind w:left="360"/>
      </w:pPr>
    </w:p>
    <w:p w14:paraId="64C75CDF" w14:textId="77777777" w:rsidR="001B3536" w:rsidRDefault="001B3536" w:rsidP="00B63C2B">
      <w:pPr>
        <w:rPr>
          <w:rFonts w:cs="Times New Roman"/>
          <w:b/>
          <w:bCs/>
          <w:szCs w:val="24"/>
        </w:rPr>
      </w:pPr>
    </w:p>
    <w:p w14:paraId="19F805F4" w14:textId="00331E15" w:rsidR="001B3536" w:rsidRDefault="001B3536" w:rsidP="00B63C2B">
      <w:pPr>
        <w:rPr>
          <w:rFonts w:cs="Times New Roman"/>
          <w:b/>
          <w:bCs/>
          <w:szCs w:val="24"/>
        </w:rPr>
      </w:pPr>
    </w:p>
    <w:p w14:paraId="4415A9FA" w14:textId="57DDA63E" w:rsidR="003A5E21" w:rsidRDefault="003A5E21" w:rsidP="00B63C2B">
      <w:pPr>
        <w:rPr>
          <w:rFonts w:cs="Times New Roman"/>
          <w:b/>
          <w:bCs/>
          <w:szCs w:val="24"/>
        </w:rPr>
      </w:pPr>
    </w:p>
    <w:p w14:paraId="6D3F84B8" w14:textId="09F9C3D5" w:rsidR="003A5E21" w:rsidRDefault="003A5E21" w:rsidP="00B63C2B">
      <w:pPr>
        <w:rPr>
          <w:rFonts w:cs="Times New Roman"/>
          <w:b/>
          <w:bCs/>
          <w:szCs w:val="24"/>
        </w:rPr>
      </w:pPr>
    </w:p>
    <w:p w14:paraId="4DDA872A" w14:textId="1513F097" w:rsidR="003A5E21" w:rsidRDefault="003A5E21" w:rsidP="00B63C2B">
      <w:pPr>
        <w:rPr>
          <w:rFonts w:cs="Times New Roman"/>
          <w:b/>
          <w:bCs/>
          <w:szCs w:val="24"/>
        </w:rPr>
      </w:pPr>
    </w:p>
    <w:p w14:paraId="39018D19" w14:textId="118198BD" w:rsidR="003A5E21" w:rsidRDefault="003A5E21" w:rsidP="00B63C2B">
      <w:pPr>
        <w:rPr>
          <w:rFonts w:cs="Times New Roman"/>
          <w:b/>
          <w:bCs/>
          <w:szCs w:val="24"/>
        </w:rPr>
      </w:pPr>
    </w:p>
    <w:p w14:paraId="33CD3538" w14:textId="419C6AEA" w:rsidR="003A5E21" w:rsidRDefault="003A5E21" w:rsidP="00B63C2B">
      <w:pPr>
        <w:rPr>
          <w:rFonts w:cs="Times New Roman"/>
          <w:b/>
          <w:bCs/>
          <w:szCs w:val="24"/>
        </w:rPr>
      </w:pPr>
    </w:p>
    <w:p w14:paraId="28BE6295" w14:textId="142FC573" w:rsidR="00A20DAD" w:rsidRDefault="00A20DAD" w:rsidP="00B63C2B">
      <w:pPr>
        <w:rPr>
          <w:rFonts w:cs="Times New Roman"/>
          <w:b/>
          <w:bCs/>
          <w:szCs w:val="24"/>
        </w:rPr>
      </w:pPr>
    </w:p>
    <w:p w14:paraId="07B692C4" w14:textId="62895158" w:rsidR="00A20DAD" w:rsidRDefault="00A20DAD" w:rsidP="00B63C2B">
      <w:pPr>
        <w:rPr>
          <w:rFonts w:cs="Times New Roman"/>
          <w:b/>
          <w:bCs/>
          <w:szCs w:val="24"/>
        </w:rPr>
      </w:pPr>
    </w:p>
    <w:p w14:paraId="49027742" w14:textId="77777777" w:rsidR="00A20DAD" w:rsidRDefault="00A20DAD" w:rsidP="00B63C2B">
      <w:pPr>
        <w:rPr>
          <w:rFonts w:cs="Times New Roman"/>
          <w:b/>
          <w:bCs/>
          <w:szCs w:val="24"/>
        </w:rPr>
      </w:pPr>
    </w:p>
    <w:p w14:paraId="249BE54E" w14:textId="0261D9B8" w:rsidR="00B63C2B" w:rsidRDefault="00B63C2B" w:rsidP="00B63C2B">
      <w:pPr>
        <w:rPr>
          <w:rFonts w:cs="Times New Roman"/>
          <w:b/>
          <w:bCs/>
          <w:szCs w:val="24"/>
        </w:rPr>
      </w:pPr>
      <w:r>
        <w:rPr>
          <w:rFonts w:cs="Times New Roman"/>
          <w:b/>
          <w:bCs/>
          <w:szCs w:val="24"/>
        </w:rPr>
        <w:lastRenderedPageBreak/>
        <w:t>TABLES/FIGURES</w:t>
      </w:r>
    </w:p>
    <w:tbl>
      <w:tblPr>
        <w:tblStyle w:val="TableGrid1"/>
        <w:tblW w:w="0" w:type="auto"/>
        <w:jc w:val="center"/>
        <w:tblLook w:val="04A0" w:firstRow="1" w:lastRow="0" w:firstColumn="1" w:lastColumn="0" w:noHBand="0" w:noVBand="1"/>
      </w:tblPr>
      <w:tblGrid>
        <w:gridCol w:w="2965"/>
        <w:gridCol w:w="2070"/>
      </w:tblGrid>
      <w:tr w:rsidR="00B63C2B" w:rsidRPr="00B63C2B" w14:paraId="59B6F8AF" w14:textId="77777777" w:rsidTr="0022280F">
        <w:trPr>
          <w:jc w:val="center"/>
        </w:trPr>
        <w:tc>
          <w:tcPr>
            <w:tcW w:w="2965" w:type="dxa"/>
          </w:tcPr>
          <w:p w14:paraId="565F10F8" w14:textId="77777777" w:rsidR="00B63C2B" w:rsidRPr="00B63C2B" w:rsidRDefault="00B63C2B" w:rsidP="00B63C2B">
            <w:pPr>
              <w:spacing w:before="0" w:after="0"/>
              <w:jc w:val="center"/>
              <w:rPr>
                <w:rFonts w:ascii="Calibri" w:eastAsia="Calibri" w:hAnsi="Calibri" w:cs="Times New Roman"/>
                <w:b/>
                <w:bCs/>
                <w:sz w:val="18"/>
                <w:szCs w:val="18"/>
              </w:rPr>
            </w:pPr>
            <w:r w:rsidRPr="00B63C2B">
              <w:rPr>
                <w:rFonts w:ascii="Calibri" w:eastAsia="Calibri" w:hAnsi="Calibri" w:cs="Times New Roman"/>
                <w:b/>
                <w:bCs/>
                <w:sz w:val="18"/>
                <w:szCs w:val="18"/>
              </w:rPr>
              <w:t>Characteristics</w:t>
            </w:r>
          </w:p>
        </w:tc>
        <w:tc>
          <w:tcPr>
            <w:tcW w:w="2070" w:type="dxa"/>
          </w:tcPr>
          <w:p w14:paraId="181ADDAD" w14:textId="77777777" w:rsidR="00B63C2B" w:rsidRPr="00B63C2B" w:rsidRDefault="00B63C2B" w:rsidP="00B63C2B">
            <w:pPr>
              <w:spacing w:before="0" w:after="0"/>
              <w:jc w:val="center"/>
              <w:rPr>
                <w:rFonts w:ascii="Calibri" w:eastAsia="Calibri" w:hAnsi="Calibri" w:cs="Times New Roman"/>
                <w:b/>
                <w:bCs/>
                <w:sz w:val="18"/>
                <w:szCs w:val="18"/>
              </w:rPr>
            </w:pPr>
            <w:r w:rsidRPr="00B63C2B">
              <w:rPr>
                <w:rFonts w:ascii="Calibri" w:eastAsia="Calibri" w:hAnsi="Calibri" w:cs="Times New Roman"/>
                <w:b/>
                <w:bCs/>
                <w:sz w:val="18"/>
                <w:szCs w:val="18"/>
              </w:rPr>
              <w:t># of Patients (%)</w:t>
            </w:r>
          </w:p>
        </w:tc>
      </w:tr>
      <w:tr w:rsidR="00B63C2B" w:rsidRPr="00B63C2B" w14:paraId="548DDBCA" w14:textId="77777777" w:rsidTr="0022280F">
        <w:trPr>
          <w:jc w:val="center"/>
        </w:trPr>
        <w:tc>
          <w:tcPr>
            <w:tcW w:w="2965" w:type="dxa"/>
          </w:tcPr>
          <w:p w14:paraId="5B6F2C50" w14:textId="77777777" w:rsidR="00B63C2B" w:rsidRPr="00B63C2B" w:rsidRDefault="00B63C2B" w:rsidP="00B63C2B">
            <w:pPr>
              <w:spacing w:before="0" w:after="0"/>
              <w:jc w:val="center"/>
              <w:rPr>
                <w:rFonts w:ascii="Calibri" w:eastAsia="Calibri" w:hAnsi="Calibri" w:cs="Times New Roman"/>
                <w:b/>
                <w:bCs/>
                <w:sz w:val="18"/>
                <w:szCs w:val="18"/>
              </w:rPr>
            </w:pPr>
            <w:r w:rsidRPr="00B63C2B">
              <w:rPr>
                <w:rFonts w:ascii="Calibri" w:eastAsia="Calibri" w:hAnsi="Calibri" w:cs="Times New Roman"/>
                <w:b/>
                <w:bCs/>
                <w:sz w:val="18"/>
                <w:szCs w:val="18"/>
              </w:rPr>
              <w:t>Median Age</w:t>
            </w:r>
          </w:p>
        </w:tc>
        <w:tc>
          <w:tcPr>
            <w:tcW w:w="2070" w:type="dxa"/>
          </w:tcPr>
          <w:p w14:paraId="5303D1A0"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62 years (range: 19-99 years)</w:t>
            </w:r>
          </w:p>
        </w:tc>
      </w:tr>
      <w:tr w:rsidR="00B63C2B" w:rsidRPr="00B63C2B" w14:paraId="62587EAA" w14:textId="77777777" w:rsidTr="0022280F">
        <w:trPr>
          <w:jc w:val="center"/>
        </w:trPr>
        <w:tc>
          <w:tcPr>
            <w:tcW w:w="5035" w:type="dxa"/>
            <w:gridSpan w:val="2"/>
          </w:tcPr>
          <w:p w14:paraId="6135A71A"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b/>
                <w:bCs/>
                <w:sz w:val="18"/>
                <w:szCs w:val="18"/>
              </w:rPr>
              <w:t>Gender</w:t>
            </w:r>
          </w:p>
        </w:tc>
      </w:tr>
      <w:tr w:rsidR="00B63C2B" w:rsidRPr="00B63C2B" w14:paraId="78CF7707" w14:textId="77777777" w:rsidTr="0022280F">
        <w:trPr>
          <w:jc w:val="center"/>
        </w:trPr>
        <w:tc>
          <w:tcPr>
            <w:tcW w:w="2965" w:type="dxa"/>
          </w:tcPr>
          <w:p w14:paraId="78002103"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Male</w:t>
            </w:r>
          </w:p>
          <w:p w14:paraId="37FF6774"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Female</w:t>
            </w:r>
          </w:p>
        </w:tc>
        <w:tc>
          <w:tcPr>
            <w:tcW w:w="2070" w:type="dxa"/>
          </w:tcPr>
          <w:p w14:paraId="5C308E40"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62 (69%)</w:t>
            </w:r>
          </w:p>
          <w:p w14:paraId="4DCE2788"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28 (31%)</w:t>
            </w:r>
          </w:p>
        </w:tc>
      </w:tr>
      <w:tr w:rsidR="00B63C2B" w:rsidRPr="00B63C2B" w14:paraId="50C5FEFF" w14:textId="77777777" w:rsidTr="0022280F">
        <w:trPr>
          <w:jc w:val="center"/>
        </w:trPr>
        <w:tc>
          <w:tcPr>
            <w:tcW w:w="5035" w:type="dxa"/>
            <w:gridSpan w:val="2"/>
          </w:tcPr>
          <w:p w14:paraId="4A16339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b/>
                <w:bCs/>
                <w:sz w:val="18"/>
                <w:szCs w:val="18"/>
              </w:rPr>
              <w:t>Race</w:t>
            </w:r>
          </w:p>
        </w:tc>
      </w:tr>
      <w:tr w:rsidR="00B63C2B" w:rsidRPr="00B63C2B" w14:paraId="1F0C177A" w14:textId="77777777" w:rsidTr="0022280F">
        <w:trPr>
          <w:jc w:val="center"/>
        </w:trPr>
        <w:tc>
          <w:tcPr>
            <w:tcW w:w="2965" w:type="dxa"/>
          </w:tcPr>
          <w:p w14:paraId="56D45FFE"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African American</w:t>
            </w:r>
          </w:p>
          <w:p w14:paraId="2C736792"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Caucasian</w:t>
            </w:r>
          </w:p>
          <w:p w14:paraId="62590CC6"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Hispanic</w:t>
            </w:r>
          </w:p>
          <w:p w14:paraId="0D4C05BD"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Other</w:t>
            </w:r>
          </w:p>
        </w:tc>
        <w:tc>
          <w:tcPr>
            <w:tcW w:w="2070" w:type="dxa"/>
          </w:tcPr>
          <w:p w14:paraId="3884D62A"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44 (49%)</w:t>
            </w:r>
          </w:p>
          <w:p w14:paraId="5B18CD11"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44 (49%)</w:t>
            </w:r>
          </w:p>
          <w:p w14:paraId="617FEDC6"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 (1%)</w:t>
            </w:r>
          </w:p>
          <w:p w14:paraId="03D1B4A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 (1%)</w:t>
            </w:r>
          </w:p>
        </w:tc>
      </w:tr>
      <w:tr w:rsidR="00B63C2B" w:rsidRPr="00B63C2B" w14:paraId="08B9B8A9" w14:textId="77777777" w:rsidTr="0022280F">
        <w:trPr>
          <w:jc w:val="center"/>
        </w:trPr>
        <w:tc>
          <w:tcPr>
            <w:tcW w:w="5035" w:type="dxa"/>
            <w:gridSpan w:val="2"/>
          </w:tcPr>
          <w:p w14:paraId="2DED6EA0"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b/>
                <w:bCs/>
                <w:sz w:val="18"/>
                <w:szCs w:val="18"/>
              </w:rPr>
              <w:t>Insurance Coverage</w:t>
            </w:r>
          </w:p>
        </w:tc>
      </w:tr>
      <w:tr w:rsidR="00B63C2B" w:rsidRPr="00B63C2B" w14:paraId="7B82C8C2" w14:textId="77777777" w:rsidTr="0022280F">
        <w:trPr>
          <w:jc w:val="center"/>
        </w:trPr>
        <w:tc>
          <w:tcPr>
            <w:tcW w:w="2965" w:type="dxa"/>
          </w:tcPr>
          <w:p w14:paraId="57EDD84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Private</w:t>
            </w:r>
          </w:p>
          <w:p w14:paraId="5A8EEE10"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Medicare + supplemental</w:t>
            </w:r>
          </w:p>
          <w:p w14:paraId="384FC696"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Medicare only</w:t>
            </w:r>
          </w:p>
          <w:p w14:paraId="67823C1C"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Medicaid</w:t>
            </w:r>
          </w:p>
          <w:p w14:paraId="0A48F34A"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Uninsured</w:t>
            </w:r>
          </w:p>
        </w:tc>
        <w:tc>
          <w:tcPr>
            <w:tcW w:w="2070" w:type="dxa"/>
          </w:tcPr>
          <w:p w14:paraId="2BAA0DB0"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14 (16%)</w:t>
            </w:r>
          </w:p>
          <w:p w14:paraId="35DBEE6E"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17 (19%)</w:t>
            </w:r>
          </w:p>
          <w:p w14:paraId="5156D57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29 (32%)</w:t>
            </w:r>
          </w:p>
          <w:p w14:paraId="0B48187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29 (32%)</w:t>
            </w:r>
          </w:p>
          <w:p w14:paraId="67DF45B9"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 (1%)</w:t>
            </w:r>
          </w:p>
        </w:tc>
      </w:tr>
      <w:tr w:rsidR="00B63C2B" w:rsidRPr="00B63C2B" w14:paraId="763EE4B8" w14:textId="77777777" w:rsidTr="0022280F">
        <w:trPr>
          <w:jc w:val="center"/>
        </w:trPr>
        <w:tc>
          <w:tcPr>
            <w:tcW w:w="5035" w:type="dxa"/>
            <w:gridSpan w:val="2"/>
          </w:tcPr>
          <w:p w14:paraId="635CB2A9"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b/>
                <w:bCs/>
                <w:sz w:val="18"/>
                <w:szCs w:val="18"/>
              </w:rPr>
              <w:t>Primary Site of Tumor</w:t>
            </w:r>
          </w:p>
        </w:tc>
      </w:tr>
      <w:tr w:rsidR="00B63C2B" w:rsidRPr="00B63C2B" w14:paraId="173B50F0" w14:textId="77777777" w:rsidTr="0022280F">
        <w:trPr>
          <w:jc w:val="center"/>
        </w:trPr>
        <w:tc>
          <w:tcPr>
            <w:tcW w:w="2965" w:type="dxa"/>
          </w:tcPr>
          <w:p w14:paraId="65D95330"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Larynx/hypopharynx</w:t>
            </w:r>
          </w:p>
          <w:p w14:paraId="5D594B73"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Oropharynx</w:t>
            </w:r>
          </w:p>
          <w:p w14:paraId="45B07403"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HPV positive</w:t>
            </w:r>
          </w:p>
          <w:p w14:paraId="1D5F6CE3"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HPV negative</w:t>
            </w:r>
          </w:p>
          <w:p w14:paraId="70E0F31D"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HPV unknown</w:t>
            </w:r>
          </w:p>
          <w:p w14:paraId="00DB97A6"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Oral cavity</w:t>
            </w:r>
          </w:p>
          <w:p w14:paraId="03557561"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Nasopharynx</w:t>
            </w:r>
          </w:p>
          <w:p w14:paraId="0084B4F4"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Salivary gland</w:t>
            </w:r>
          </w:p>
          <w:p w14:paraId="7E1EA1C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Thyroid</w:t>
            </w:r>
          </w:p>
          <w:p w14:paraId="78314581"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Other</w:t>
            </w:r>
          </w:p>
        </w:tc>
        <w:tc>
          <w:tcPr>
            <w:tcW w:w="2070" w:type="dxa"/>
          </w:tcPr>
          <w:p w14:paraId="154463AC"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32 (36%)</w:t>
            </w:r>
          </w:p>
          <w:p w14:paraId="7BB0700F"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27 (30%)</w:t>
            </w:r>
          </w:p>
          <w:p w14:paraId="3AC7E09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9 (10%)</w:t>
            </w:r>
          </w:p>
          <w:p w14:paraId="20FFE57D"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5 (6%)</w:t>
            </w:r>
          </w:p>
          <w:p w14:paraId="14139DB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13 (14%)</w:t>
            </w:r>
          </w:p>
          <w:p w14:paraId="4F963CE3"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6 (7%)</w:t>
            </w:r>
          </w:p>
          <w:p w14:paraId="51AAAE46"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12 (13%)</w:t>
            </w:r>
          </w:p>
          <w:p w14:paraId="1BEC9D28"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6 (7%)</w:t>
            </w:r>
          </w:p>
          <w:p w14:paraId="5F55C652"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 (1%)</w:t>
            </w:r>
          </w:p>
          <w:p w14:paraId="78A619DE"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6 (7%)</w:t>
            </w:r>
          </w:p>
        </w:tc>
      </w:tr>
      <w:tr w:rsidR="00B63C2B" w:rsidRPr="00B63C2B" w14:paraId="6DAED20C" w14:textId="77777777" w:rsidTr="0022280F">
        <w:trPr>
          <w:jc w:val="center"/>
        </w:trPr>
        <w:tc>
          <w:tcPr>
            <w:tcW w:w="5035" w:type="dxa"/>
            <w:gridSpan w:val="2"/>
          </w:tcPr>
          <w:p w14:paraId="599CC141" w14:textId="77777777" w:rsidR="00B63C2B" w:rsidRPr="00B63C2B" w:rsidRDefault="00B63C2B" w:rsidP="00B63C2B">
            <w:pPr>
              <w:spacing w:before="0" w:after="0"/>
              <w:jc w:val="center"/>
              <w:rPr>
                <w:rFonts w:ascii="Calibri" w:eastAsia="Calibri" w:hAnsi="Calibri" w:cs="Times New Roman"/>
                <w:b/>
                <w:bCs/>
                <w:sz w:val="18"/>
                <w:szCs w:val="18"/>
              </w:rPr>
            </w:pPr>
            <w:r w:rsidRPr="00B63C2B">
              <w:rPr>
                <w:rFonts w:ascii="Calibri" w:eastAsia="Calibri" w:hAnsi="Calibri" w:cs="Times New Roman"/>
                <w:b/>
                <w:bCs/>
                <w:sz w:val="18"/>
                <w:szCs w:val="18"/>
              </w:rPr>
              <w:t>HPV Status (overall cohort)</w:t>
            </w:r>
          </w:p>
        </w:tc>
      </w:tr>
      <w:tr w:rsidR="00B63C2B" w:rsidRPr="00B63C2B" w14:paraId="2A8ADA75" w14:textId="77777777" w:rsidTr="0022280F">
        <w:trPr>
          <w:jc w:val="center"/>
        </w:trPr>
        <w:tc>
          <w:tcPr>
            <w:tcW w:w="2965" w:type="dxa"/>
          </w:tcPr>
          <w:p w14:paraId="66BD04BA"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HPV positive</w:t>
            </w:r>
          </w:p>
          <w:p w14:paraId="7C6B42D6"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HPV negative</w:t>
            </w:r>
          </w:p>
          <w:p w14:paraId="39F001D4"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HPV unknown</w:t>
            </w:r>
          </w:p>
        </w:tc>
        <w:tc>
          <w:tcPr>
            <w:tcW w:w="2070" w:type="dxa"/>
          </w:tcPr>
          <w:p w14:paraId="4783060B"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15 (17%)</w:t>
            </w:r>
          </w:p>
          <w:p w14:paraId="088BC0A5"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16 (18%)</w:t>
            </w:r>
          </w:p>
          <w:p w14:paraId="746A3BF3" w14:textId="77777777" w:rsidR="00B63C2B" w:rsidRPr="00B63C2B" w:rsidRDefault="00B63C2B" w:rsidP="00B63C2B">
            <w:pPr>
              <w:spacing w:before="0" w:after="0"/>
              <w:jc w:val="center"/>
              <w:rPr>
                <w:rFonts w:ascii="Calibri" w:eastAsia="Calibri" w:hAnsi="Calibri" w:cs="Times New Roman"/>
                <w:b/>
                <w:bCs/>
                <w:sz w:val="18"/>
                <w:szCs w:val="18"/>
              </w:rPr>
            </w:pPr>
            <w:r w:rsidRPr="00B63C2B">
              <w:rPr>
                <w:rFonts w:ascii="Calibri" w:eastAsia="Calibri" w:hAnsi="Calibri" w:cs="Times New Roman"/>
                <w:sz w:val="18"/>
                <w:szCs w:val="18"/>
              </w:rPr>
              <w:t>59 (65%)</w:t>
            </w:r>
          </w:p>
        </w:tc>
      </w:tr>
      <w:tr w:rsidR="00B63C2B" w:rsidRPr="00B63C2B" w14:paraId="02C17E08" w14:textId="77777777" w:rsidTr="0022280F">
        <w:trPr>
          <w:jc w:val="center"/>
        </w:trPr>
        <w:tc>
          <w:tcPr>
            <w:tcW w:w="5035" w:type="dxa"/>
            <w:gridSpan w:val="2"/>
          </w:tcPr>
          <w:p w14:paraId="2BEB73AD"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b/>
                <w:bCs/>
                <w:sz w:val="18"/>
                <w:szCs w:val="18"/>
              </w:rPr>
              <w:t>Overall Stage</w:t>
            </w:r>
          </w:p>
        </w:tc>
      </w:tr>
      <w:tr w:rsidR="00B63C2B" w:rsidRPr="00B63C2B" w14:paraId="25AF3120" w14:textId="77777777" w:rsidTr="0022280F">
        <w:trPr>
          <w:jc w:val="center"/>
        </w:trPr>
        <w:tc>
          <w:tcPr>
            <w:tcW w:w="2965" w:type="dxa"/>
          </w:tcPr>
          <w:p w14:paraId="540CA5A3"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I</w:t>
            </w:r>
          </w:p>
          <w:p w14:paraId="043B48EB"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II</w:t>
            </w:r>
          </w:p>
          <w:p w14:paraId="71691CA9"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III</w:t>
            </w:r>
          </w:p>
          <w:p w14:paraId="687D6F8F"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IVA</w:t>
            </w:r>
          </w:p>
          <w:p w14:paraId="2F2DBE02"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IVB</w:t>
            </w:r>
          </w:p>
          <w:p w14:paraId="08DF0C46"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IVC</w:t>
            </w:r>
          </w:p>
        </w:tc>
        <w:tc>
          <w:tcPr>
            <w:tcW w:w="2070" w:type="dxa"/>
          </w:tcPr>
          <w:p w14:paraId="6FE6A016"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8 (9%)</w:t>
            </w:r>
          </w:p>
          <w:p w14:paraId="7D9850D8"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12 (13%)</w:t>
            </w:r>
          </w:p>
          <w:p w14:paraId="57625B30"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16 (18%)</w:t>
            </w:r>
          </w:p>
          <w:p w14:paraId="73512FDA"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45 (50%)</w:t>
            </w:r>
          </w:p>
          <w:p w14:paraId="0CA5C239"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8 (9%)</w:t>
            </w:r>
          </w:p>
          <w:p w14:paraId="4E18BA48"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 (1%)</w:t>
            </w:r>
          </w:p>
        </w:tc>
      </w:tr>
      <w:tr w:rsidR="00B63C2B" w:rsidRPr="00B63C2B" w14:paraId="0BA35233" w14:textId="77777777" w:rsidTr="0022280F">
        <w:trPr>
          <w:jc w:val="center"/>
        </w:trPr>
        <w:tc>
          <w:tcPr>
            <w:tcW w:w="5035" w:type="dxa"/>
            <w:gridSpan w:val="2"/>
          </w:tcPr>
          <w:p w14:paraId="4CFC71B7" w14:textId="77777777" w:rsidR="00B63C2B" w:rsidRPr="00B63C2B" w:rsidRDefault="00B63C2B" w:rsidP="00B63C2B">
            <w:pPr>
              <w:spacing w:before="0" w:after="0"/>
              <w:jc w:val="center"/>
              <w:rPr>
                <w:rFonts w:ascii="Calibri" w:eastAsia="Calibri" w:hAnsi="Calibri" w:cs="Times New Roman"/>
                <w:b/>
                <w:bCs/>
                <w:sz w:val="18"/>
                <w:szCs w:val="18"/>
              </w:rPr>
            </w:pPr>
            <w:r w:rsidRPr="00B63C2B">
              <w:rPr>
                <w:rFonts w:ascii="Calibri" w:eastAsia="Calibri" w:hAnsi="Calibri" w:cs="Times New Roman"/>
                <w:b/>
                <w:bCs/>
                <w:sz w:val="18"/>
                <w:szCs w:val="18"/>
              </w:rPr>
              <w:t>Histology</w:t>
            </w:r>
          </w:p>
        </w:tc>
      </w:tr>
      <w:tr w:rsidR="00B63C2B" w:rsidRPr="00B63C2B" w14:paraId="4A7E6452" w14:textId="77777777" w:rsidTr="0022280F">
        <w:trPr>
          <w:jc w:val="center"/>
        </w:trPr>
        <w:tc>
          <w:tcPr>
            <w:tcW w:w="2965" w:type="dxa"/>
          </w:tcPr>
          <w:p w14:paraId="1395246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Squamous</w:t>
            </w:r>
          </w:p>
          <w:p w14:paraId="5BA24DE5"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Other</w:t>
            </w:r>
          </w:p>
        </w:tc>
        <w:tc>
          <w:tcPr>
            <w:tcW w:w="2070" w:type="dxa"/>
          </w:tcPr>
          <w:p w14:paraId="7C933928"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77 (86%)</w:t>
            </w:r>
          </w:p>
          <w:p w14:paraId="3704B41C"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13 (14%)</w:t>
            </w:r>
          </w:p>
        </w:tc>
      </w:tr>
      <w:tr w:rsidR="00B63C2B" w:rsidRPr="00B63C2B" w14:paraId="1A212F4A" w14:textId="77777777" w:rsidTr="0022280F">
        <w:trPr>
          <w:jc w:val="center"/>
        </w:trPr>
        <w:tc>
          <w:tcPr>
            <w:tcW w:w="5035" w:type="dxa"/>
            <w:gridSpan w:val="2"/>
          </w:tcPr>
          <w:p w14:paraId="6DDB88EF"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b/>
                <w:bCs/>
                <w:sz w:val="18"/>
                <w:szCs w:val="18"/>
              </w:rPr>
              <w:t>Treatment of Recurrent Cancer</w:t>
            </w:r>
          </w:p>
        </w:tc>
      </w:tr>
      <w:tr w:rsidR="00B63C2B" w:rsidRPr="00B63C2B" w14:paraId="4073C204" w14:textId="77777777" w:rsidTr="0022280F">
        <w:trPr>
          <w:jc w:val="center"/>
        </w:trPr>
        <w:tc>
          <w:tcPr>
            <w:tcW w:w="2965" w:type="dxa"/>
          </w:tcPr>
          <w:p w14:paraId="061FE41B"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No</w:t>
            </w:r>
          </w:p>
          <w:p w14:paraId="107E9875" w14:textId="77777777" w:rsidR="00B63C2B" w:rsidRPr="00B63C2B" w:rsidRDefault="00B63C2B" w:rsidP="00B63C2B">
            <w:pPr>
              <w:spacing w:before="0" w:after="0"/>
              <w:jc w:val="center"/>
              <w:rPr>
                <w:rFonts w:ascii="Calibri" w:eastAsia="Calibri" w:hAnsi="Calibri" w:cs="Times New Roman"/>
                <w:b/>
                <w:bCs/>
                <w:sz w:val="18"/>
                <w:szCs w:val="18"/>
              </w:rPr>
            </w:pPr>
            <w:r w:rsidRPr="00B63C2B">
              <w:rPr>
                <w:rFonts w:ascii="Calibri" w:eastAsia="Calibri" w:hAnsi="Calibri" w:cs="Times New Roman"/>
                <w:sz w:val="18"/>
                <w:szCs w:val="18"/>
              </w:rPr>
              <w:t>Yes</w:t>
            </w:r>
          </w:p>
        </w:tc>
        <w:tc>
          <w:tcPr>
            <w:tcW w:w="2070" w:type="dxa"/>
          </w:tcPr>
          <w:p w14:paraId="63AB8044"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79 (82%)</w:t>
            </w:r>
          </w:p>
          <w:p w14:paraId="4564A0A5"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11 (12%)</w:t>
            </w:r>
          </w:p>
        </w:tc>
      </w:tr>
      <w:tr w:rsidR="00B63C2B" w:rsidRPr="00B63C2B" w14:paraId="3EE1F422" w14:textId="77777777" w:rsidTr="0022280F">
        <w:trPr>
          <w:jc w:val="center"/>
        </w:trPr>
        <w:tc>
          <w:tcPr>
            <w:tcW w:w="5035" w:type="dxa"/>
            <w:gridSpan w:val="2"/>
          </w:tcPr>
          <w:p w14:paraId="33E6F8C2"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b/>
                <w:bCs/>
                <w:sz w:val="18"/>
                <w:szCs w:val="18"/>
              </w:rPr>
              <w:t>Prior head and neck radiation</w:t>
            </w:r>
          </w:p>
        </w:tc>
      </w:tr>
      <w:tr w:rsidR="00B63C2B" w:rsidRPr="00B63C2B" w14:paraId="67D16617" w14:textId="77777777" w:rsidTr="0022280F">
        <w:trPr>
          <w:jc w:val="center"/>
        </w:trPr>
        <w:tc>
          <w:tcPr>
            <w:tcW w:w="2965" w:type="dxa"/>
          </w:tcPr>
          <w:p w14:paraId="7D5F850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No</w:t>
            </w:r>
          </w:p>
          <w:p w14:paraId="547F6516" w14:textId="77777777" w:rsidR="00B63C2B" w:rsidRPr="00B63C2B" w:rsidRDefault="00B63C2B" w:rsidP="00B63C2B">
            <w:pPr>
              <w:spacing w:before="0" w:after="0"/>
              <w:jc w:val="center"/>
              <w:rPr>
                <w:rFonts w:ascii="Calibri" w:eastAsia="Calibri" w:hAnsi="Calibri" w:cs="Times New Roman"/>
                <w:b/>
                <w:bCs/>
                <w:sz w:val="18"/>
                <w:szCs w:val="18"/>
              </w:rPr>
            </w:pPr>
            <w:r w:rsidRPr="00B63C2B">
              <w:rPr>
                <w:rFonts w:ascii="Calibri" w:eastAsia="Calibri" w:hAnsi="Calibri" w:cs="Times New Roman"/>
                <w:sz w:val="18"/>
                <w:szCs w:val="18"/>
              </w:rPr>
              <w:t>Yes</w:t>
            </w:r>
          </w:p>
        </w:tc>
        <w:tc>
          <w:tcPr>
            <w:tcW w:w="2070" w:type="dxa"/>
          </w:tcPr>
          <w:p w14:paraId="3655ED76"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84 (93%)</w:t>
            </w:r>
          </w:p>
          <w:p w14:paraId="198393FF"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6 (7%)</w:t>
            </w:r>
          </w:p>
        </w:tc>
      </w:tr>
      <w:tr w:rsidR="00B63C2B" w:rsidRPr="00B63C2B" w14:paraId="14B67708" w14:textId="77777777" w:rsidTr="0022280F">
        <w:trPr>
          <w:jc w:val="center"/>
        </w:trPr>
        <w:tc>
          <w:tcPr>
            <w:tcW w:w="5035" w:type="dxa"/>
            <w:gridSpan w:val="2"/>
          </w:tcPr>
          <w:p w14:paraId="674672FE"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b/>
                <w:bCs/>
                <w:sz w:val="18"/>
                <w:szCs w:val="18"/>
              </w:rPr>
              <w:t>Treatment modality</w:t>
            </w:r>
          </w:p>
        </w:tc>
      </w:tr>
      <w:tr w:rsidR="00B63C2B" w:rsidRPr="00B63C2B" w14:paraId="7B2FD460" w14:textId="77777777" w:rsidTr="0022280F">
        <w:trPr>
          <w:jc w:val="center"/>
        </w:trPr>
        <w:tc>
          <w:tcPr>
            <w:tcW w:w="2965" w:type="dxa"/>
          </w:tcPr>
          <w:p w14:paraId="370131F1"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Radiation alone</w:t>
            </w:r>
          </w:p>
          <w:p w14:paraId="43E5C1B1"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Chemotherapy and radiation</w:t>
            </w:r>
          </w:p>
          <w:p w14:paraId="604486A7"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Surgery and radiation</w:t>
            </w:r>
          </w:p>
          <w:p w14:paraId="3FEEAF53"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Surgery, chemotherapy, radiation</w:t>
            </w:r>
          </w:p>
        </w:tc>
        <w:tc>
          <w:tcPr>
            <w:tcW w:w="2070" w:type="dxa"/>
          </w:tcPr>
          <w:p w14:paraId="42C8EA41"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 xml:space="preserve">7 (8%) </w:t>
            </w:r>
          </w:p>
          <w:p w14:paraId="30CF970E"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38 (42%)</w:t>
            </w:r>
          </w:p>
          <w:p w14:paraId="26E2CCF4"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10 (11%)</w:t>
            </w:r>
          </w:p>
          <w:p w14:paraId="65DD7073" w14:textId="77777777" w:rsidR="00B63C2B" w:rsidRPr="00B63C2B" w:rsidRDefault="00B63C2B" w:rsidP="00B63C2B">
            <w:pPr>
              <w:spacing w:before="0" w:after="0"/>
              <w:jc w:val="center"/>
              <w:rPr>
                <w:rFonts w:ascii="Calibri" w:eastAsia="Calibri" w:hAnsi="Calibri" w:cs="Times New Roman"/>
                <w:sz w:val="18"/>
                <w:szCs w:val="18"/>
              </w:rPr>
            </w:pPr>
            <w:r w:rsidRPr="00B63C2B">
              <w:rPr>
                <w:rFonts w:ascii="Calibri" w:eastAsia="Calibri" w:hAnsi="Calibri" w:cs="Times New Roman"/>
                <w:sz w:val="18"/>
                <w:szCs w:val="18"/>
              </w:rPr>
              <w:t>35 (39%)</w:t>
            </w:r>
          </w:p>
        </w:tc>
      </w:tr>
      <w:tr w:rsidR="00B63C2B" w:rsidRPr="00B63C2B" w14:paraId="364DD877" w14:textId="77777777" w:rsidTr="0022280F">
        <w:trPr>
          <w:jc w:val="center"/>
        </w:trPr>
        <w:tc>
          <w:tcPr>
            <w:tcW w:w="5035" w:type="dxa"/>
            <w:gridSpan w:val="2"/>
          </w:tcPr>
          <w:p w14:paraId="74F35697" w14:textId="77777777" w:rsidR="00B63C2B" w:rsidRPr="00B63C2B" w:rsidRDefault="00B63C2B" w:rsidP="00B63C2B">
            <w:pPr>
              <w:spacing w:before="0" w:after="0"/>
              <w:rPr>
                <w:rFonts w:ascii="Calibri" w:eastAsia="Calibri" w:hAnsi="Calibri" w:cs="Times New Roman"/>
                <w:sz w:val="18"/>
                <w:szCs w:val="18"/>
              </w:rPr>
            </w:pPr>
            <w:r w:rsidRPr="00B63C2B">
              <w:rPr>
                <w:rFonts w:ascii="Calibri" w:eastAsia="Calibri" w:hAnsi="Calibri" w:cs="Times New Roman"/>
                <w:sz w:val="18"/>
                <w:szCs w:val="18"/>
              </w:rPr>
              <w:t xml:space="preserve">Table 1. Patient demographics, tumor characteristics, and treatment characteristics of the study population (N=90). </w:t>
            </w:r>
          </w:p>
        </w:tc>
      </w:tr>
    </w:tbl>
    <w:p w14:paraId="770F4B82" w14:textId="7F5F48F7" w:rsidR="00B63C2B" w:rsidRDefault="00B63C2B" w:rsidP="003D6E68">
      <w:pPr>
        <w:pStyle w:val="ListParagraph"/>
        <w:numPr>
          <w:ilvl w:val="0"/>
          <w:numId w:val="0"/>
        </w:numPr>
        <w:ind w:left="360"/>
      </w:pPr>
    </w:p>
    <w:p w14:paraId="057F1BE7" w14:textId="1E0C9D0F" w:rsidR="00E97C76" w:rsidRDefault="00E97C76" w:rsidP="003D6E68">
      <w:pPr>
        <w:pStyle w:val="ListParagraph"/>
        <w:numPr>
          <w:ilvl w:val="0"/>
          <w:numId w:val="0"/>
        </w:numPr>
        <w:ind w:left="360"/>
      </w:pPr>
    </w:p>
    <w:tbl>
      <w:tblPr>
        <w:tblStyle w:val="TableGrid2"/>
        <w:tblW w:w="0" w:type="auto"/>
        <w:jc w:val="center"/>
        <w:tblLook w:val="04A0" w:firstRow="1" w:lastRow="0" w:firstColumn="1" w:lastColumn="0" w:noHBand="0" w:noVBand="1"/>
      </w:tblPr>
      <w:tblGrid>
        <w:gridCol w:w="1975"/>
        <w:gridCol w:w="1562"/>
        <w:gridCol w:w="1603"/>
        <w:gridCol w:w="1804"/>
        <w:gridCol w:w="1961"/>
      </w:tblGrid>
      <w:tr w:rsidR="00E97C76" w:rsidRPr="00E97C76" w14:paraId="6B638976" w14:textId="77777777" w:rsidTr="001F053F">
        <w:trPr>
          <w:trHeight w:val="179"/>
          <w:jc w:val="center"/>
        </w:trPr>
        <w:tc>
          <w:tcPr>
            <w:tcW w:w="1975" w:type="dxa"/>
          </w:tcPr>
          <w:p w14:paraId="48036A0B" w14:textId="77777777" w:rsidR="00E97C76" w:rsidRPr="00E97C76" w:rsidRDefault="00E97C76" w:rsidP="00E97C76">
            <w:pPr>
              <w:spacing w:before="0" w:after="0"/>
              <w:jc w:val="center"/>
              <w:rPr>
                <w:rFonts w:ascii="Calibri" w:eastAsia="Calibri" w:hAnsi="Calibri" w:cs="Times New Roman"/>
                <w:b/>
                <w:bCs/>
                <w:sz w:val="20"/>
                <w:szCs w:val="20"/>
              </w:rPr>
            </w:pPr>
          </w:p>
          <w:p w14:paraId="4607F339" w14:textId="77777777" w:rsidR="00E97C76" w:rsidRPr="00E97C76" w:rsidRDefault="00E97C76" w:rsidP="00E97C76">
            <w:pPr>
              <w:spacing w:before="0" w:after="0"/>
              <w:jc w:val="center"/>
              <w:rPr>
                <w:rFonts w:ascii="Calibri" w:eastAsia="Calibri" w:hAnsi="Calibri" w:cs="Times New Roman"/>
                <w:b/>
                <w:bCs/>
                <w:sz w:val="20"/>
                <w:szCs w:val="20"/>
              </w:rPr>
            </w:pPr>
            <w:r w:rsidRPr="00E97C76">
              <w:rPr>
                <w:rFonts w:ascii="Calibri" w:eastAsia="Calibri" w:hAnsi="Calibri" w:cs="Times New Roman"/>
                <w:b/>
                <w:bCs/>
                <w:sz w:val="20"/>
                <w:szCs w:val="20"/>
              </w:rPr>
              <w:t>Demographic</w:t>
            </w:r>
          </w:p>
        </w:tc>
        <w:tc>
          <w:tcPr>
            <w:tcW w:w="1562" w:type="dxa"/>
          </w:tcPr>
          <w:p w14:paraId="3A0AB9A2" w14:textId="77777777" w:rsidR="00E97C76" w:rsidRPr="00E97C76" w:rsidRDefault="00E97C76" w:rsidP="00E97C76">
            <w:pPr>
              <w:spacing w:before="0" w:after="0"/>
              <w:jc w:val="center"/>
              <w:rPr>
                <w:rFonts w:ascii="Calibri" w:eastAsia="Calibri" w:hAnsi="Calibri" w:cs="Times New Roman"/>
                <w:b/>
                <w:bCs/>
                <w:sz w:val="20"/>
                <w:szCs w:val="20"/>
              </w:rPr>
            </w:pPr>
          </w:p>
          <w:p w14:paraId="48805338" w14:textId="77777777" w:rsidR="00E97C76" w:rsidRPr="00E97C76" w:rsidRDefault="00E97C76" w:rsidP="00E97C76">
            <w:pPr>
              <w:spacing w:before="0" w:after="0"/>
              <w:jc w:val="center"/>
              <w:rPr>
                <w:rFonts w:ascii="Calibri" w:eastAsia="Calibri" w:hAnsi="Calibri" w:cs="Times New Roman"/>
                <w:b/>
                <w:bCs/>
                <w:sz w:val="20"/>
                <w:szCs w:val="20"/>
              </w:rPr>
            </w:pPr>
            <w:r w:rsidRPr="00E97C76">
              <w:rPr>
                <w:rFonts w:ascii="Calibri" w:eastAsia="Calibri" w:hAnsi="Calibri" w:cs="Times New Roman"/>
                <w:b/>
                <w:bCs/>
                <w:sz w:val="20"/>
                <w:szCs w:val="20"/>
              </w:rPr>
              <w:t>Fibrosis</w:t>
            </w:r>
          </w:p>
        </w:tc>
        <w:tc>
          <w:tcPr>
            <w:tcW w:w="1603" w:type="dxa"/>
          </w:tcPr>
          <w:p w14:paraId="7E055D3D" w14:textId="77777777" w:rsidR="00E97C76" w:rsidRPr="00E97C76" w:rsidRDefault="00E97C76" w:rsidP="00E97C76">
            <w:pPr>
              <w:spacing w:before="0" w:after="0"/>
              <w:jc w:val="center"/>
              <w:rPr>
                <w:rFonts w:ascii="Calibri" w:eastAsia="Calibri" w:hAnsi="Calibri" w:cs="Times New Roman"/>
                <w:b/>
                <w:bCs/>
                <w:sz w:val="20"/>
                <w:szCs w:val="20"/>
              </w:rPr>
            </w:pPr>
          </w:p>
          <w:p w14:paraId="2ED6DB75" w14:textId="77777777" w:rsidR="00E97C76" w:rsidRPr="00E97C76" w:rsidRDefault="00E97C76" w:rsidP="00E97C76">
            <w:pPr>
              <w:spacing w:before="0" w:after="0"/>
              <w:jc w:val="center"/>
              <w:rPr>
                <w:rFonts w:ascii="Calibri" w:eastAsia="Calibri" w:hAnsi="Calibri" w:cs="Times New Roman"/>
                <w:b/>
                <w:bCs/>
                <w:sz w:val="20"/>
                <w:szCs w:val="20"/>
              </w:rPr>
            </w:pPr>
            <w:r w:rsidRPr="00E97C76">
              <w:rPr>
                <w:rFonts w:ascii="Calibri" w:eastAsia="Calibri" w:hAnsi="Calibri" w:cs="Times New Roman"/>
                <w:b/>
                <w:bCs/>
                <w:sz w:val="20"/>
                <w:szCs w:val="20"/>
              </w:rPr>
              <w:t>No Fibrosis</w:t>
            </w:r>
          </w:p>
        </w:tc>
        <w:tc>
          <w:tcPr>
            <w:tcW w:w="1804" w:type="dxa"/>
          </w:tcPr>
          <w:p w14:paraId="03ADD95F" w14:textId="77777777" w:rsidR="00E97C76" w:rsidRPr="00E97C76" w:rsidRDefault="00E97C76" w:rsidP="00E97C76">
            <w:pPr>
              <w:spacing w:before="0" w:after="0"/>
              <w:jc w:val="center"/>
              <w:rPr>
                <w:rFonts w:ascii="Calibri" w:eastAsia="Calibri" w:hAnsi="Calibri" w:cs="Times New Roman"/>
                <w:b/>
                <w:bCs/>
                <w:sz w:val="20"/>
                <w:szCs w:val="20"/>
              </w:rPr>
            </w:pPr>
          </w:p>
          <w:p w14:paraId="3F78B806" w14:textId="77777777" w:rsidR="00E97C76" w:rsidRPr="00E97C76" w:rsidRDefault="00E97C76" w:rsidP="00E97C76">
            <w:pPr>
              <w:spacing w:before="0" w:after="0"/>
              <w:jc w:val="center"/>
              <w:rPr>
                <w:rFonts w:ascii="Calibri" w:eastAsia="Calibri" w:hAnsi="Calibri" w:cs="Times New Roman"/>
                <w:b/>
                <w:bCs/>
                <w:sz w:val="20"/>
                <w:szCs w:val="20"/>
              </w:rPr>
            </w:pPr>
            <w:r w:rsidRPr="00E97C76">
              <w:rPr>
                <w:rFonts w:ascii="Calibri" w:eastAsia="Calibri" w:hAnsi="Calibri" w:cs="Times New Roman"/>
                <w:b/>
                <w:bCs/>
                <w:sz w:val="20"/>
                <w:szCs w:val="20"/>
              </w:rPr>
              <w:t xml:space="preserve">Univariate </w:t>
            </w:r>
            <w:r w:rsidRPr="00E0076C">
              <w:rPr>
                <w:rFonts w:ascii="Calibri" w:eastAsia="Calibri" w:hAnsi="Calibri" w:cs="Times New Roman"/>
                <w:b/>
                <w:bCs/>
                <w:i/>
                <w:iCs/>
                <w:sz w:val="20"/>
                <w:szCs w:val="20"/>
              </w:rPr>
              <w:t>p</w:t>
            </w:r>
            <w:r w:rsidRPr="00E97C76">
              <w:rPr>
                <w:rFonts w:ascii="Calibri" w:eastAsia="Calibri" w:hAnsi="Calibri" w:cs="Times New Roman"/>
                <w:b/>
                <w:bCs/>
                <w:sz w:val="20"/>
                <w:szCs w:val="20"/>
              </w:rPr>
              <w:t>-value</w:t>
            </w:r>
          </w:p>
        </w:tc>
        <w:tc>
          <w:tcPr>
            <w:tcW w:w="1961" w:type="dxa"/>
          </w:tcPr>
          <w:p w14:paraId="1538A5F5" w14:textId="02CD9182" w:rsidR="00E97C76" w:rsidRPr="00E97C76" w:rsidRDefault="00DC38CF" w:rsidP="00E97C76">
            <w:pPr>
              <w:spacing w:before="0" w:after="0"/>
              <w:jc w:val="center"/>
              <w:rPr>
                <w:rFonts w:ascii="Calibri" w:eastAsia="Calibri" w:hAnsi="Calibri" w:cs="Times New Roman"/>
                <w:b/>
                <w:bCs/>
                <w:sz w:val="20"/>
                <w:szCs w:val="20"/>
              </w:rPr>
            </w:pPr>
            <w:r>
              <w:rPr>
                <w:rFonts w:ascii="Calibri" w:eastAsia="Calibri" w:hAnsi="Calibri" w:cs="Times New Roman"/>
                <w:b/>
                <w:bCs/>
                <w:sz w:val="20"/>
                <w:szCs w:val="20"/>
              </w:rPr>
              <w:t xml:space="preserve">Logistic </w:t>
            </w:r>
            <w:r w:rsidR="00E97C76" w:rsidRPr="00E97C76">
              <w:rPr>
                <w:rFonts w:ascii="Calibri" w:eastAsia="Calibri" w:hAnsi="Calibri" w:cs="Times New Roman"/>
                <w:b/>
                <w:bCs/>
                <w:sz w:val="20"/>
                <w:szCs w:val="20"/>
              </w:rPr>
              <w:t xml:space="preserve">Multivariate </w:t>
            </w:r>
          </w:p>
          <w:p w14:paraId="3943716F" w14:textId="77777777" w:rsidR="00E97C76" w:rsidRPr="00E97C76" w:rsidRDefault="00E97C76" w:rsidP="00E97C76">
            <w:pPr>
              <w:spacing w:before="0" w:after="0"/>
              <w:jc w:val="center"/>
              <w:rPr>
                <w:rFonts w:ascii="Calibri" w:eastAsia="Calibri" w:hAnsi="Calibri" w:cs="Times New Roman"/>
                <w:b/>
                <w:bCs/>
              </w:rPr>
            </w:pPr>
            <w:r w:rsidRPr="00E0076C">
              <w:rPr>
                <w:rFonts w:ascii="Calibri" w:eastAsia="Calibri" w:hAnsi="Calibri" w:cs="Times New Roman"/>
                <w:b/>
                <w:bCs/>
                <w:i/>
                <w:iCs/>
                <w:sz w:val="20"/>
                <w:szCs w:val="20"/>
              </w:rPr>
              <w:t>p</w:t>
            </w:r>
            <w:r w:rsidRPr="00E97C76">
              <w:rPr>
                <w:rFonts w:ascii="Calibri" w:eastAsia="Calibri" w:hAnsi="Calibri" w:cs="Times New Roman"/>
                <w:b/>
                <w:bCs/>
                <w:sz w:val="20"/>
                <w:szCs w:val="20"/>
              </w:rPr>
              <w:t>-value</w:t>
            </w:r>
          </w:p>
        </w:tc>
      </w:tr>
      <w:tr w:rsidR="00DC38CF" w:rsidRPr="00E97C76" w14:paraId="089C0E7D" w14:textId="77777777" w:rsidTr="001F053F">
        <w:trPr>
          <w:jc w:val="center"/>
        </w:trPr>
        <w:tc>
          <w:tcPr>
            <w:tcW w:w="1975" w:type="dxa"/>
          </w:tcPr>
          <w:p w14:paraId="10996F36"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Smoker</w:t>
            </w:r>
          </w:p>
          <w:p w14:paraId="694C33F8"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Nonsmoker</w:t>
            </w:r>
          </w:p>
        </w:tc>
        <w:tc>
          <w:tcPr>
            <w:tcW w:w="1562" w:type="dxa"/>
          </w:tcPr>
          <w:p w14:paraId="2B72AAA1"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8</w:t>
            </w:r>
          </w:p>
          <w:p w14:paraId="6908ADCA"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3</w:t>
            </w:r>
          </w:p>
        </w:tc>
        <w:tc>
          <w:tcPr>
            <w:tcW w:w="1603" w:type="dxa"/>
          </w:tcPr>
          <w:p w14:paraId="0D000D48"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15</w:t>
            </w:r>
          </w:p>
          <w:p w14:paraId="560A300A"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64</w:t>
            </w:r>
          </w:p>
        </w:tc>
        <w:tc>
          <w:tcPr>
            <w:tcW w:w="1804" w:type="dxa"/>
            <w:vAlign w:val="center"/>
          </w:tcPr>
          <w:p w14:paraId="5FE1C1E7" w14:textId="77777777" w:rsidR="00DC38CF" w:rsidRPr="00E97C76" w:rsidRDefault="00DC38CF" w:rsidP="00E97C76">
            <w:pPr>
              <w:spacing w:before="0" w:after="0"/>
              <w:jc w:val="center"/>
              <w:rPr>
                <w:rFonts w:ascii="Calibri" w:eastAsia="Calibri" w:hAnsi="Calibri" w:cs="Times New Roman"/>
                <w:b/>
                <w:bCs/>
                <w:sz w:val="20"/>
                <w:szCs w:val="20"/>
              </w:rPr>
            </w:pPr>
            <w:r w:rsidRPr="00E97C76">
              <w:rPr>
                <w:rFonts w:ascii="Calibri" w:eastAsia="Calibri" w:hAnsi="Calibri" w:cs="Times New Roman"/>
                <w:b/>
                <w:bCs/>
                <w:sz w:val="20"/>
                <w:szCs w:val="20"/>
              </w:rPr>
              <w:t>&lt;0.001*</w:t>
            </w:r>
          </w:p>
        </w:tc>
        <w:tc>
          <w:tcPr>
            <w:tcW w:w="1961" w:type="dxa"/>
            <w:vAlign w:val="center"/>
          </w:tcPr>
          <w:p w14:paraId="7C594AEB" w14:textId="77777777" w:rsidR="00DC38CF" w:rsidRPr="00E97C76" w:rsidRDefault="00DC38CF" w:rsidP="00E97C76">
            <w:pPr>
              <w:spacing w:before="0" w:after="0"/>
              <w:jc w:val="center"/>
              <w:rPr>
                <w:rFonts w:ascii="Calibri" w:eastAsia="Calibri" w:hAnsi="Calibri" w:cs="Times New Roman"/>
                <w:b/>
                <w:bCs/>
                <w:sz w:val="20"/>
                <w:szCs w:val="20"/>
              </w:rPr>
            </w:pPr>
            <w:r w:rsidRPr="00E97C76">
              <w:rPr>
                <w:rFonts w:ascii="Calibri" w:eastAsia="Calibri" w:hAnsi="Calibri" w:cs="Times New Roman"/>
                <w:b/>
                <w:bCs/>
                <w:sz w:val="20"/>
                <w:szCs w:val="20"/>
              </w:rPr>
              <w:t>&lt;0.001*</w:t>
            </w:r>
          </w:p>
        </w:tc>
      </w:tr>
      <w:tr w:rsidR="00DC38CF" w:rsidRPr="00E97C76" w14:paraId="4F64A8C5" w14:textId="77777777" w:rsidTr="001F053F">
        <w:trPr>
          <w:jc w:val="center"/>
        </w:trPr>
        <w:tc>
          <w:tcPr>
            <w:tcW w:w="1975" w:type="dxa"/>
          </w:tcPr>
          <w:p w14:paraId="65E4814A"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Drinker</w:t>
            </w:r>
          </w:p>
          <w:p w14:paraId="0A40D059"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Non-drinker</w:t>
            </w:r>
          </w:p>
        </w:tc>
        <w:tc>
          <w:tcPr>
            <w:tcW w:w="1562" w:type="dxa"/>
          </w:tcPr>
          <w:p w14:paraId="73859F5A"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6</w:t>
            </w:r>
          </w:p>
          <w:p w14:paraId="683F224C"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5</w:t>
            </w:r>
          </w:p>
        </w:tc>
        <w:tc>
          <w:tcPr>
            <w:tcW w:w="1603" w:type="dxa"/>
          </w:tcPr>
          <w:p w14:paraId="5913BF4F"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15</w:t>
            </w:r>
          </w:p>
          <w:p w14:paraId="659F23A5"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64</w:t>
            </w:r>
          </w:p>
        </w:tc>
        <w:tc>
          <w:tcPr>
            <w:tcW w:w="1804" w:type="dxa"/>
            <w:vAlign w:val="center"/>
          </w:tcPr>
          <w:p w14:paraId="25276B00" w14:textId="77777777" w:rsidR="00DC38CF" w:rsidRPr="00E97C76" w:rsidRDefault="00DC38CF" w:rsidP="00E97C76">
            <w:pPr>
              <w:spacing w:before="0" w:after="0"/>
              <w:jc w:val="center"/>
              <w:rPr>
                <w:rFonts w:ascii="Calibri" w:eastAsia="Calibri" w:hAnsi="Calibri" w:cs="Times New Roman"/>
                <w:b/>
                <w:bCs/>
                <w:sz w:val="20"/>
                <w:szCs w:val="20"/>
              </w:rPr>
            </w:pPr>
            <w:r w:rsidRPr="00E97C76">
              <w:rPr>
                <w:rFonts w:ascii="Calibri" w:eastAsia="Calibri" w:hAnsi="Calibri" w:cs="Times New Roman"/>
                <w:b/>
                <w:bCs/>
                <w:sz w:val="20"/>
                <w:szCs w:val="20"/>
              </w:rPr>
              <w:t>0.026*</w:t>
            </w:r>
          </w:p>
        </w:tc>
        <w:tc>
          <w:tcPr>
            <w:tcW w:w="1961" w:type="dxa"/>
            <w:vAlign w:val="center"/>
          </w:tcPr>
          <w:p w14:paraId="7161C8E3"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NR</w:t>
            </w:r>
          </w:p>
        </w:tc>
      </w:tr>
      <w:tr w:rsidR="00DC38CF" w:rsidRPr="00E97C76" w14:paraId="5B109005" w14:textId="77777777" w:rsidTr="001F053F">
        <w:trPr>
          <w:jc w:val="center"/>
        </w:trPr>
        <w:tc>
          <w:tcPr>
            <w:tcW w:w="1975" w:type="dxa"/>
          </w:tcPr>
          <w:p w14:paraId="63AB7497"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Stage &lt; 4</w:t>
            </w:r>
          </w:p>
          <w:p w14:paraId="43A4BBB1" w14:textId="77777777" w:rsidR="00DC38CF" w:rsidRPr="00E97C76" w:rsidRDefault="00DC38CF" w:rsidP="00E97C76">
            <w:pPr>
              <w:spacing w:before="0" w:after="0"/>
              <w:rPr>
                <w:rFonts w:ascii="Calibri" w:eastAsia="Calibri" w:hAnsi="Calibri" w:cs="Calibri"/>
                <w:sz w:val="20"/>
                <w:szCs w:val="20"/>
              </w:rPr>
            </w:pPr>
            <w:r w:rsidRPr="00E97C76">
              <w:rPr>
                <w:rFonts w:ascii="Calibri" w:eastAsia="Calibri" w:hAnsi="Calibri" w:cs="Calibri"/>
                <w:sz w:val="20"/>
                <w:szCs w:val="20"/>
              </w:rPr>
              <w:t xml:space="preserve">Stage </w:t>
            </w:r>
            <w:r w:rsidRPr="00E97C76">
              <w:rPr>
                <w:rFonts w:ascii="Calibri" w:eastAsia="Calibri" w:hAnsi="Calibri" w:cs="Calibri"/>
                <w:color w:val="222222"/>
                <w:sz w:val="20"/>
                <w:szCs w:val="20"/>
                <w:shd w:val="clear" w:color="auto" w:fill="FFFFFF"/>
              </w:rPr>
              <w:t>≥</w:t>
            </w:r>
            <w:r w:rsidRPr="00E97C76">
              <w:rPr>
                <w:rFonts w:ascii="Calibri" w:eastAsia="Calibri" w:hAnsi="Calibri" w:cs="Calibri"/>
                <w:sz w:val="20"/>
                <w:szCs w:val="20"/>
              </w:rPr>
              <w:t xml:space="preserve"> 4</w:t>
            </w:r>
          </w:p>
        </w:tc>
        <w:tc>
          <w:tcPr>
            <w:tcW w:w="1562" w:type="dxa"/>
          </w:tcPr>
          <w:p w14:paraId="21C1524A"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35</w:t>
            </w:r>
          </w:p>
          <w:p w14:paraId="107EA452"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44</w:t>
            </w:r>
          </w:p>
        </w:tc>
        <w:tc>
          <w:tcPr>
            <w:tcW w:w="1603" w:type="dxa"/>
          </w:tcPr>
          <w:p w14:paraId="6572A38C"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2</w:t>
            </w:r>
          </w:p>
          <w:p w14:paraId="79F90FD1"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9</w:t>
            </w:r>
          </w:p>
        </w:tc>
        <w:tc>
          <w:tcPr>
            <w:tcW w:w="1804" w:type="dxa"/>
            <w:vAlign w:val="center"/>
          </w:tcPr>
          <w:p w14:paraId="62E0BC96"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0.19</w:t>
            </w:r>
          </w:p>
        </w:tc>
        <w:tc>
          <w:tcPr>
            <w:tcW w:w="1961" w:type="dxa"/>
            <w:vAlign w:val="center"/>
          </w:tcPr>
          <w:p w14:paraId="071F691F"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NR</w:t>
            </w:r>
          </w:p>
        </w:tc>
      </w:tr>
      <w:tr w:rsidR="00DC38CF" w:rsidRPr="00E97C76" w14:paraId="7DEA1A00" w14:textId="77777777" w:rsidTr="001F053F">
        <w:trPr>
          <w:jc w:val="center"/>
        </w:trPr>
        <w:tc>
          <w:tcPr>
            <w:tcW w:w="1975" w:type="dxa"/>
          </w:tcPr>
          <w:p w14:paraId="2571EDC7" w14:textId="41CBCFC9" w:rsidR="00DC38CF" w:rsidRPr="00E97C76" w:rsidRDefault="001F053F" w:rsidP="00E97C76">
            <w:pPr>
              <w:spacing w:before="0" w:after="0"/>
              <w:rPr>
                <w:rFonts w:ascii="Calibri" w:eastAsia="Calibri" w:hAnsi="Calibri" w:cs="Times New Roman"/>
                <w:sz w:val="20"/>
                <w:szCs w:val="20"/>
              </w:rPr>
            </w:pPr>
            <w:r>
              <w:rPr>
                <w:rFonts w:ascii="Calibri" w:eastAsia="Calibri" w:hAnsi="Calibri" w:cs="Times New Roman"/>
                <w:sz w:val="20"/>
                <w:szCs w:val="20"/>
              </w:rPr>
              <w:t>Tumor r</w:t>
            </w:r>
            <w:r w:rsidR="00DC38CF" w:rsidRPr="00E97C76">
              <w:rPr>
                <w:rFonts w:ascii="Calibri" w:eastAsia="Calibri" w:hAnsi="Calibri" w:cs="Times New Roman"/>
                <w:sz w:val="20"/>
                <w:szCs w:val="20"/>
              </w:rPr>
              <w:t>ecurrence</w:t>
            </w:r>
          </w:p>
          <w:p w14:paraId="1EBBBC98" w14:textId="42ECDB14"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No</w:t>
            </w:r>
            <w:r w:rsidR="001F053F">
              <w:rPr>
                <w:rFonts w:ascii="Calibri" w:eastAsia="Calibri" w:hAnsi="Calibri" w:cs="Times New Roman"/>
                <w:sz w:val="20"/>
                <w:szCs w:val="20"/>
              </w:rPr>
              <w:t xml:space="preserve"> tumor</w:t>
            </w:r>
            <w:r w:rsidRPr="00E97C76">
              <w:rPr>
                <w:rFonts w:ascii="Calibri" w:eastAsia="Calibri" w:hAnsi="Calibri" w:cs="Times New Roman"/>
                <w:sz w:val="20"/>
                <w:szCs w:val="20"/>
              </w:rPr>
              <w:t xml:space="preserve"> recurrence</w:t>
            </w:r>
          </w:p>
        </w:tc>
        <w:tc>
          <w:tcPr>
            <w:tcW w:w="1562" w:type="dxa"/>
          </w:tcPr>
          <w:p w14:paraId="233EC9C5"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7</w:t>
            </w:r>
          </w:p>
          <w:p w14:paraId="3ACF4709"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4</w:t>
            </w:r>
          </w:p>
        </w:tc>
        <w:tc>
          <w:tcPr>
            <w:tcW w:w="1603" w:type="dxa"/>
          </w:tcPr>
          <w:p w14:paraId="3CE4EE26"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22</w:t>
            </w:r>
          </w:p>
          <w:p w14:paraId="35910564"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57</w:t>
            </w:r>
          </w:p>
        </w:tc>
        <w:tc>
          <w:tcPr>
            <w:tcW w:w="1804" w:type="dxa"/>
            <w:vAlign w:val="center"/>
          </w:tcPr>
          <w:p w14:paraId="1788A226" w14:textId="77777777" w:rsidR="00DC38CF" w:rsidRPr="00E97C76" w:rsidRDefault="00DC38CF" w:rsidP="00E97C76">
            <w:pPr>
              <w:spacing w:before="0" w:after="0"/>
              <w:jc w:val="center"/>
              <w:rPr>
                <w:rFonts w:ascii="Calibri" w:eastAsia="Calibri" w:hAnsi="Calibri" w:cs="Times New Roman"/>
                <w:b/>
                <w:bCs/>
                <w:sz w:val="20"/>
                <w:szCs w:val="20"/>
              </w:rPr>
            </w:pPr>
            <w:r w:rsidRPr="00E97C76">
              <w:rPr>
                <w:rFonts w:ascii="Calibri" w:eastAsia="Calibri" w:hAnsi="Calibri" w:cs="Times New Roman"/>
                <w:b/>
                <w:bCs/>
                <w:sz w:val="20"/>
                <w:szCs w:val="20"/>
              </w:rPr>
              <w:t>0.042*</w:t>
            </w:r>
          </w:p>
        </w:tc>
        <w:tc>
          <w:tcPr>
            <w:tcW w:w="1961" w:type="dxa"/>
            <w:vAlign w:val="center"/>
          </w:tcPr>
          <w:p w14:paraId="6731D5F6"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NR</w:t>
            </w:r>
          </w:p>
        </w:tc>
      </w:tr>
      <w:tr w:rsidR="00DC38CF" w:rsidRPr="00E97C76" w14:paraId="0379D86E" w14:textId="77777777" w:rsidTr="001F053F">
        <w:trPr>
          <w:jc w:val="center"/>
        </w:trPr>
        <w:tc>
          <w:tcPr>
            <w:tcW w:w="1975" w:type="dxa"/>
          </w:tcPr>
          <w:p w14:paraId="18F477D3"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Age &lt; 60</w:t>
            </w:r>
          </w:p>
          <w:p w14:paraId="75A59D03"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Age &gt; 60</w:t>
            </w:r>
          </w:p>
        </w:tc>
        <w:tc>
          <w:tcPr>
            <w:tcW w:w="1562" w:type="dxa"/>
          </w:tcPr>
          <w:p w14:paraId="6D85613E"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11</w:t>
            </w:r>
          </w:p>
          <w:p w14:paraId="30F069C1"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0</w:t>
            </w:r>
          </w:p>
        </w:tc>
        <w:tc>
          <w:tcPr>
            <w:tcW w:w="1603" w:type="dxa"/>
          </w:tcPr>
          <w:p w14:paraId="1215F00D"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50</w:t>
            </w:r>
          </w:p>
          <w:p w14:paraId="6EA6DB84"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29</w:t>
            </w:r>
          </w:p>
        </w:tc>
        <w:tc>
          <w:tcPr>
            <w:tcW w:w="1804" w:type="dxa"/>
            <w:vAlign w:val="center"/>
          </w:tcPr>
          <w:p w14:paraId="12404B05" w14:textId="77777777" w:rsidR="00DC38CF" w:rsidRPr="00E97C76" w:rsidRDefault="00DC38CF" w:rsidP="00E97C76">
            <w:pPr>
              <w:spacing w:before="0" w:after="0"/>
              <w:jc w:val="center"/>
              <w:rPr>
                <w:rFonts w:ascii="Calibri" w:eastAsia="Calibri" w:hAnsi="Calibri" w:cs="Times New Roman"/>
                <w:b/>
                <w:bCs/>
                <w:sz w:val="20"/>
                <w:szCs w:val="20"/>
              </w:rPr>
            </w:pPr>
            <w:r w:rsidRPr="00E97C76">
              <w:rPr>
                <w:rFonts w:ascii="Calibri" w:eastAsia="Calibri" w:hAnsi="Calibri" w:cs="Times New Roman"/>
                <w:b/>
                <w:bCs/>
                <w:sz w:val="20"/>
                <w:szCs w:val="20"/>
              </w:rPr>
              <w:t>&lt;0.001*</w:t>
            </w:r>
          </w:p>
        </w:tc>
        <w:tc>
          <w:tcPr>
            <w:tcW w:w="1961" w:type="dxa"/>
            <w:vAlign w:val="center"/>
          </w:tcPr>
          <w:p w14:paraId="30FD60DD"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NR</w:t>
            </w:r>
          </w:p>
        </w:tc>
      </w:tr>
      <w:tr w:rsidR="00DC38CF" w:rsidRPr="00E97C76" w14:paraId="0CA060EA" w14:textId="77777777" w:rsidTr="001F053F">
        <w:trPr>
          <w:jc w:val="center"/>
        </w:trPr>
        <w:tc>
          <w:tcPr>
            <w:tcW w:w="1975" w:type="dxa"/>
          </w:tcPr>
          <w:p w14:paraId="747094C7"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Caucasian</w:t>
            </w:r>
          </w:p>
          <w:p w14:paraId="1E088590"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Non-Caucasian</w:t>
            </w:r>
          </w:p>
        </w:tc>
        <w:tc>
          <w:tcPr>
            <w:tcW w:w="1562" w:type="dxa"/>
          </w:tcPr>
          <w:p w14:paraId="47F8B51C"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2</w:t>
            </w:r>
          </w:p>
          <w:p w14:paraId="2B48DE2C"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9</w:t>
            </w:r>
          </w:p>
        </w:tc>
        <w:tc>
          <w:tcPr>
            <w:tcW w:w="1603" w:type="dxa"/>
          </w:tcPr>
          <w:p w14:paraId="25800026"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42</w:t>
            </w:r>
          </w:p>
          <w:p w14:paraId="3A927431"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37</w:t>
            </w:r>
          </w:p>
        </w:tc>
        <w:tc>
          <w:tcPr>
            <w:tcW w:w="1804" w:type="dxa"/>
            <w:vAlign w:val="center"/>
          </w:tcPr>
          <w:p w14:paraId="1F805318"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0.06</w:t>
            </w:r>
          </w:p>
        </w:tc>
        <w:tc>
          <w:tcPr>
            <w:tcW w:w="1961" w:type="dxa"/>
            <w:vAlign w:val="center"/>
          </w:tcPr>
          <w:p w14:paraId="44D3CE5B"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NR</w:t>
            </w:r>
          </w:p>
        </w:tc>
      </w:tr>
      <w:tr w:rsidR="00DC38CF" w:rsidRPr="00E97C76" w14:paraId="425C97B1" w14:textId="77777777" w:rsidTr="001F053F">
        <w:trPr>
          <w:jc w:val="center"/>
        </w:trPr>
        <w:tc>
          <w:tcPr>
            <w:tcW w:w="1975" w:type="dxa"/>
          </w:tcPr>
          <w:p w14:paraId="7FB29B0A"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Medicaid/uninsured</w:t>
            </w:r>
          </w:p>
          <w:p w14:paraId="01F2CB05" w14:textId="77777777" w:rsidR="00DC38CF" w:rsidRPr="00E97C76" w:rsidRDefault="00DC38CF"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Other insurance</w:t>
            </w:r>
          </w:p>
        </w:tc>
        <w:tc>
          <w:tcPr>
            <w:tcW w:w="1562" w:type="dxa"/>
          </w:tcPr>
          <w:p w14:paraId="5A632002"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6</w:t>
            </w:r>
          </w:p>
          <w:p w14:paraId="27CFD87A"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5</w:t>
            </w:r>
          </w:p>
        </w:tc>
        <w:tc>
          <w:tcPr>
            <w:tcW w:w="1603" w:type="dxa"/>
          </w:tcPr>
          <w:p w14:paraId="6BB09270"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24</w:t>
            </w:r>
          </w:p>
          <w:p w14:paraId="6FEED5E2"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55</w:t>
            </w:r>
          </w:p>
        </w:tc>
        <w:tc>
          <w:tcPr>
            <w:tcW w:w="1804" w:type="dxa"/>
            <w:vAlign w:val="center"/>
          </w:tcPr>
          <w:p w14:paraId="38904167"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0.21</w:t>
            </w:r>
          </w:p>
        </w:tc>
        <w:tc>
          <w:tcPr>
            <w:tcW w:w="1961" w:type="dxa"/>
            <w:vAlign w:val="center"/>
          </w:tcPr>
          <w:p w14:paraId="0EBB4BEE" w14:textId="77777777" w:rsidR="00DC38CF" w:rsidRPr="00E97C76" w:rsidRDefault="00DC38CF" w:rsidP="00E97C76">
            <w:pPr>
              <w:spacing w:before="0" w:after="0"/>
              <w:jc w:val="center"/>
              <w:rPr>
                <w:rFonts w:ascii="Calibri" w:eastAsia="Calibri" w:hAnsi="Calibri" w:cs="Times New Roman"/>
                <w:sz w:val="20"/>
                <w:szCs w:val="20"/>
              </w:rPr>
            </w:pPr>
            <w:r w:rsidRPr="00E97C76">
              <w:rPr>
                <w:rFonts w:ascii="Calibri" w:eastAsia="Calibri" w:hAnsi="Calibri" w:cs="Times New Roman"/>
                <w:sz w:val="20"/>
                <w:szCs w:val="20"/>
              </w:rPr>
              <w:t>NR</w:t>
            </w:r>
          </w:p>
        </w:tc>
      </w:tr>
      <w:tr w:rsidR="00E97C76" w:rsidRPr="00E97C76" w14:paraId="703800F6" w14:textId="77777777" w:rsidTr="00DC38CF">
        <w:trPr>
          <w:jc w:val="center"/>
        </w:trPr>
        <w:tc>
          <w:tcPr>
            <w:tcW w:w="8905" w:type="dxa"/>
            <w:gridSpan w:val="5"/>
          </w:tcPr>
          <w:p w14:paraId="75343DE9" w14:textId="49BFA7C6" w:rsidR="00E97C76" w:rsidRPr="00E97C76" w:rsidRDefault="00E97C76" w:rsidP="00E97C76">
            <w:pPr>
              <w:spacing w:before="0" w:after="0"/>
              <w:rPr>
                <w:rFonts w:ascii="Calibri" w:eastAsia="Calibri" w:hAnsi="Calibri" w:cs="Times New Roman"/>
                <w:sz w:val="20"/>
                <w:szCs w:val="20"/>
              </w:rPr>
            </w:pPr>
            <w:r w:rsidRPr="00E97C76">
              <w:rPr>
                <w:rFonts w:ascii="Calibri" w:eastAsia="Calibri" w:hAnsi="Calibri" w:cs="Times New Roman"/>
                <w:sz w:val="20"/>
                <w:szCs w:val="20"/>
              </w:rPr>
              <w:t xml:space="preserve">Table 2. Demographics contributed to incidence of fibrosis. P-values are reported as derived from univariate analysis (chi-squared) and </w:t>
            </w:r>
            <w:r w:rsidR="004C71E4">
              <w:rPr>
                <w:rFonts w:ascii="Calibri" w:eastAsia="Calibri" w:hAnsi="Calibri" w:cs="Times New Roman"/>
                <w:sz w:val="20"/>
                <w:szCs w:val="20"/>
              </w:rPr>
              <w:t xml:space="preserve">logistic </w:t>
            </w:r>
            <w:r w:rsidRPr="00E97C76">
              <w:rPr>
                <w:rFonts w:ascii="Calibri" w:eastAsia="Calibri" w:hAnsi="Calibri" w:cs="Times New Roman"/>
                <w:sz w:val="20"/>
                <w:szCs w:val="20"/>
              </w:rPr>
              <w:t xml:space="preserve">multivariate analysis. (N=90) * = significant. NR = not retained. </w:t>
            </w:r>
          </w:p>
        </w:tc>
      </w:tr>
    </w:tbl>
    <w:p w14:paraId="64F20EA8" w14:textId="604EEC3A" w:rsidR="00E97C76" w:rsidRDefault="00E97C76" w:rsidP="003D6E68">
      <w:pPr>
        <w:pStyle w:val="ListParagraph"/>
        <w:numPr>
          <w:ilvl w:val="0"/>
          <w:numId w:val="0"/>
        </w:numPr>
        <w:ind w:left="360"/>
      </w:pPr>
    </w:p>
    <w:p w14:paraId="4EC94436" w14:textId="06D15EDB" w:rsidR="002C1212" w:rsidRDefault="002C1212" w:rsidP="003D6E68">
      <w:pPr>
        <w:pStyle w:val="ListParagraph"/>
        <w:numPr>
          <w:ilvl w:val="0"/>
          <w:numId w:val="0"/>
        </w:numPr>
        <w:ind w:left="360"/>
      </w:pPr>
    </w:p>
    <w:p w14:paraId="2930A8A3" w14:textId="3F65A43D" w:rsidR="002C1212" w:rsidRDefault="002C1212" w:rsidP="003D6E68">
      <w:pPr>
        <w:pStyle w:val="ListParagraph"/>
        <w:numPr>
          <w:ilvl w:val="0"/>
          <w:numId w:val="0"/>
        </w:numPr>
        <w:ind w:left="360"/>
      </w:pPr>
    </w:p>
    <w:p w14:paraId="395A8B55" w14:textId="09DFDC56" w:rsidR="002C1212" w:rsidRDefault="002C1212" w:rsidP="003D6E68">
      <w:pPr>
        <w:pStyle w:val="ListParagraph"/>
        <w:numPr>
          <w:ilvl w:val="0"/>
          <w:numId w:val="0"/>
        </w:numPr>
        <w:ind w:left="360"/>
      </w:pPr>
    </w:p>
    <w:p w14:paraId="6C147C7F" w14:textId="178CB852" w:rsidR="002C1212" w:rsidRDefault="002C1212" w:rsidP="003D6E68">
      <w:pPr>
        <w:pStyle w:val="ListParagraph"/>
        <w:numPr>
          <w:ilvl w:val="0"/>
          <w:numId w:val="0"/>
        </w:numPr>
        <w:ind w:left="360"/>
      </w:pPr>
    </w:p>
    <w:p w14:paraId="0C87D6C4" w14:textId="17EF8F2A" w:rsidR="002C1212" w:rsidRDefault="002C1212" w:rsidP="003D6E68">
      <w:pPr>
        <w:pStyle w:val="ListParagraph"/>
        <w:numPr>
          <w:ilvl w:val="0"/>
          <w:numId w:val="0"/>
        </w:numPr>
        <w:ind w:left="360"/>
      </w:pPr>
    </w:p>
    <w:p w14:paraId="5C53FED8" w14:textId="04488CAF" w:rsidR="002C1212" w:rsidRDefault="002C1212" w:rsidP="003D6E68">
      <w:pPr>
        <w:pStyle w:val="ListParagraph"/>
        <w:numPr>
          <w:ilvl w:val="0"/>
          <w:numId w:val="0"/>
        </w:numPr>
        <w:ind w:left="360"/>
      </w:pPr>
    </w:p>
    <w:p w14:paraId="6E49BEA2" w14:textId="4EEC9E3F" w:rsidR="002C1212" w:rsidRDefault="002C1212" w:rsidP="003D6E68">
      <w:pPr>
        <w:pStyle w:val="ListParagraph"/>
        <w:numPr>
          <w:ilvl w:val="0"/>
          <w:numId w:val="0"/>
        </w:numPr>
        <w:ind w:left="360"/>
      </w:pPr>
    </w:p>
    <w:p w14:paraId="667FBC6A" w14:textId="7E17EEAD" w:rsidR="002C1212" w:rsidRDefault="002C1212" w:rsidP="003D6E68">
      <w:pPr>
        <w:pStyle w:val="ListParagraph"/>
        <w:numPr>
          <w:ilvl w:val="0"/>
          <w:numId w:val="0"/>
        </w:numPr>
        <w:ind w:left="360"/>
      </w:pPr>
    </w:p>
    <w:p w14:paraId="772C625F" w14:textId="5D462295" w:rsidR="002C1212" w:rsidRDefault="002C1212" w:rsidP="003D6E68">
      <w:pPr>
        <w:pStyle w:val="ListParagraph"/>
        <w:numPr>
          <w:ilvl w:val="0"/>
          <w:numId w:val="0"/>
        </w:numPr>
        <w:ind w:left="360"/>
      </w:pPr>
    </w:p>
    <w:p w14:paraId="66A99A66" w14:textId="5CFD4095" w:rsidR="002C1212" w:rsidRDefault="002C1212" w:rsidP="003D6E68">
      <w:pPr>
        <w:pStyle w:val="ListParagraph"/>
        <w:numPr>
          <w:ilvl w:val="0"/>
          <w:numId w:val="0"/>
        </w:numPr>
        <w:ind w:left="360"/>
      </w:pPr>
    </w:p>
    <w:p w14:paraId="7AA37575" w14:textId="5ECC10B0" w:rsidR="002C1212" w:rsidRDefault="002C1212" w:rsidP="003D6E68">
      <w:pPr>
        <w:pStyle w:val="ListParagraph"/>
        <w:numPr>
          <w:ilvl w:val="0"/>
          <w:numId w:val="0"/>
        </w:numPr>
        <w:ind w:left="360"/>
      </w:pPr>
    </w:p>
    <w:p w14:paraId="55A913AB" w14:textId="4F04A5E2" w:rsidR="002C1212" w:rsidRDefault="002C1212" w:rsidP="003D6E68">
      <w:pPr>
        <w:pStyle w:val="ListParagraph"/>
        <w:numPr>
          <w:ilvl w:val="0"/>
          <w:numId w:val="0"/>
        </w:numPr>
        <w:ind w:left="360"/>
      </w:pPr>
    </w:p>
    <w:p w14:paraId="005CC112" w14:textId="7684851D" w:rsidR="002C1212" w:rsidRDefault="002C1212" w:rsidP="003D6E68">
      <w:pPr>
        <w:pStyle w:val="ListParagraph"/>
        <w:numPr>
          <w:ilvl w:val="0"/>
          <w:numId w:val="0"/>
        </w:numPr>
        <w:ind w:left="360"/>
      </w:pPr>
    </w:p>
    <w:p w14:paraId="54F3ACA9" w14:textId="63E2C511" w:rsidR="002C1212" w:rsidRDefault="002C1212" w:rsidP="003D6E68">
      <w:pPr>
        <w:pStyle w:val="ListParagraph"/>
        <w:numPr>
          <w:ilvl w:val="0"/>
          <w:numId w:val="0"/>
        </w:numPr>
        <w:ind w:left="360"/>
      </w:pPr>
    </w:p>
    <w:p w14:paraId="0DAEF78B" w14:textId="6941680D" w:rsidR="002C1212" w:rsidRDefault="002C1212" w:rsidP="003D6E68">
      <w:pPr>
        <w:pStyle w:val="ListParagraph"/>
        <w:numPr>
          <w:ilvl w:val="0"/>
          <w:numId w:val="0"/>
        </w:numPr>
        <w:ind w:left="360"/>
      </w:pPr>
    </w:p>
    <w:p w14:paraId="0D41A8B9" w14:textId="69808C26" w:rsidR="002C1212" w:rsidRDefault="002C1212" w:rsidP="003D6E68">
      <w:pPr>
        <w:pStyle w:val="ListParagraph"/>
        <w:numPr>
          <w:ilvl w:val="0"/>
          <w:numId w:val="0"/>
        </w:numPr>
        <w:ind w:left="360"/>
      </w:pPr>
    </w:p>
    <w:p w14:paraId="038D73DC" w14:textId="6FA4AE81" w:rsidR="002C1212" w:rsidRDefault="002C1212" w:rsidP="003D6E68">
      <w:pPr>
        <w:pStyle w:val="ListParagraph"/>
        <w:numPr>
          <w:ilvl w:val="0"/>
          <w:numId w:val="0"/>
        </w:numPr>
        <w:ind w:left="360"/>
      </w:pPr>
    </w:p>
    <w:p w14:paraId="1BC7908A" w14:textId="1AF223C9" w:rsidR="002C1212" w:rsidRDefault="002C1212" w:rsidP="003D6E68">
      <w:pPr>
        <w:pStyle w:val="ListParagraph"/>
        <w:numPr>
          <w:ilvl w:val="0"/>
          <w:numId w:val="0"/>
        </w:numPr>
        <w:ind w:left="360"/>
      </w:pPr>
    </w:p>
    <w:p w14:paraId="5653A212" w14:textId="18033CE5" w:rsidR="002C1212" w:rsidRDefault="002C1212" w:rsidP="003D6E68">
      <w:pPr>
        <w:pStyle w:val="ListParagraph"/>
        <w:numPr>
          <w:ilvl w:val="0"/>
          <w:numId w:val="0"/>
        </w:numPr>
        <w:ind w:left="360"/>
      </w:pPr>
    </w:p>
    <w:p w14:paraId="4F43D84F" w14:textId="12A0C9AA" w:rsidR="002C1212" w:rsidRDefault="002C1212" w:rsidP="003D6E68">
      <w:pPr>
        <w:pStyle w:val="ListParagraph"/>
        <w:numPr>
          <w:ilvl w:val="0"/>
          <w:numId w:val="0"/>
        </w:numPr>
        <w:ind w:left="360"/>
      </w:pPr>
    </w:p>
    <w:p w14:paraId="3D6538E7" w14:textId="6DD19D27" w:rsidR="002C1212" w:rsidRDefault="002C1212" w:rsidP="003D6E68">
      <w:pPr>
        <w:pStyle w:val="ListParagraph"/>
        <w:numPr>
          <w:ilvl w:val="0"/>
          <w:numId w:val="0"/>
        </w:numPr>
        <w:ind w:left="360"/>
      </w:pPr>
    </w:p>
    <w:p w14:paraId="1D86DE00" w14:textId="619649E6" w:rsidR="002C1212" w:rsidRDefault="002C1212" w:rsidP="003D6E68">
      <w:pPr>
        <w:pStyle w:val="ListParagraph"/>
        <w:numPr>
          <w:ilvl w:val="0"/>
          <w:numId w:val="0"/>
        </w:numPr>
        <w:ind w:left="360"/>
      </w:pPr>
    </w:p>
    <w:p w14:paraId="5D9DF962" w14:textId="622289C3" w:rsidR="002C1212" w:rsidRDefault="002C1212" w:rsidP="003D6E68">
      <w:pPr>
        <w:pStyle w:val="ListParagraph"/>
        <w:numPr>
          <w:ilvl w:val="0"/>
          <w:numId w:val="0"/>
        </w:numPr>
        <w:ind w:left="360"/>
      </w:pPr>
    </w:p>
    <w:p w14:paraId="620BDA00" w14:textId="5F5C8330" w:rsidR="002C1212" w:rsidRDefault="002C1212" w:rsidP="003D6E68">
      <w:pPr>
        <w:pStyle w:val="ListParagraph"/>
        <w:numPr>
          <w:ilvl w:val="0"/>
          <w:numId w:val="0"/>
        </w:numPr>
        <w:ind w:left="360"/>
      </w:pPr>
    </w:p>
    <w:p w14:paraId="7B21BD06" w14:textId="5BD4F289" w:rsidR="002C1212" w:rsidRDefault="002C1212" w:rsidP="003D6E68">
      <w:pPr>
        <w:pStyle w:val="ListParagraph"/>
        <w:numPr>
          <w:ilvl w:val="0"/>
          <w:numId w:val="0"/>
        </w:numPr>
        <w:ind w:left="360"/>
      </w:pPr>
    </w:p>
    <w:p w14:paraId="13695FB1" w14:textId="74738F5A" w:rsidR="002C1212" w:rsidRDefault="002C1212" w:rsidP="003D6E68">
      <w:pPr>
        <w:pStyle w:val="ListParagraph"/>
        <w:numPr>
          <w:ilvl w:val="0"/>
          <w:numId w:val="0"/>
        </w:numPr>
        <w:ind w:left="360"/>
      </w:pPr>
    </w:p>
    <w:p w14:paraId="104F53E1" w14:textId="02A28D4C" w:rsidR="002C1212" w:rsidRDefault="002C1212" w:rsidP="003D6E68">
      <w:pPr>
        <w:pStyle w:val="ListParagraph"/>
        <w:numPr>
          <w:ilvl w:val="0"/>
          <w:numId w:val="0"/>
        </w:numPr>
        <w:ind w:left="360"/>
      </w:pPr>
    </w:p>
    <w:p w14:paraId="31135ED9" w14:textId="2B36EC44" w:rsidR="002C1212" w:rsidRDefault="002C1212" w:rsidP="003D6E68">
      <w:pPr>
        <w:pStyle w:val="ListParagraph"/>
        <w:numPr>
          <w:ilvl w:val="0"/>
          <w:numId w:val="0"/>
        </w:numPr>
        <w:ind w:left="360"/>
      </w:pPr>
    </w:p>
    <w:p w14:paraId="7512BF0C" w14:textId="73F2BF56" w:rsidR="002C1212" w:rsidRDefault="002C1212" w:rsidP="003D6E68">
      <w:pPr>
        <w:pStyle w:val="ListParagraph"/>
        <w:numPr>
          <w:ilvl w:val="0"/>
          <w:numId w:val="0"/>
        </w:numPr>
        <w:ind w:left="360"/>
      </w:pPr>
    </w:p>
    <w:p w14:paraId="42A34B51" w14:textId="2BB5C169" w:rsidR="002C1212" w:rsidRDefault="002C1212" w:rsidP="003D6E68">
      <w:pPr>
        <w:pStyle w:val="ListParagraph"/>
        <w:numPr>
          <w:ilvl w:val="0"/>
          <w:numId w:val="0"/>
        </w:numPr>
        <w:ind w:left="360"/>
      </w:pPr>
    </w:p>
    <w:p w14:paraId="3C05FEA4" w14:textId="77777777" w:rsidR="002C1212" w:rsidRPr="002C1212" w:rsidRDefault="002C1212" w:rsidP="002C1212">
      <w:pPr>
        <w:spacing w:before="0" w:after="0"/>
        <w:rPr>
          <w:rFonts w:ascii="Calibri" w:eastAsia="Calibri" w:hAnsi="Calibri" w:cs="Times New Roman"/>
          <w:szCs w:val="24"/>
        </w:rPr>
      </w:pPr>
      <w:r w:rsidRPr="002C1212">
        <w:rPr>
          <w:rFonts w:ascii="Calibri" w:eastAsia="Calibri" w:hAnsi="Calibri" w:cs="Times New Roman"/>
          <w:noProof/>
          <w:szCs w:val="24"/>
        </w:rPr>
        <w:lastRenderedPageBreak/>
        <mc:AlternateContent>
          <mc:Choice Requires="wps">
            <w:drawing>
              <wp:anchor distT="0" distB="0" distL="114300" distR="114300" simplePos="0" relativeHeight="251659264" behindDoc="0" locked="0" layoutInCell="1" allowOverlap="1" wp14:anchorId="49701408" wp14:editId="6BBD6007">
                <wp:simplePos x="0" y="0"/>
                <wp:positionH relativeFrom="column">
                  <wp:posOffset>1411605</wp:posOffset>
                </wp:positionH>
                <wp:positionV relativeFrom="paragraph">
                  <wp:posOffset>1354455</wp:posOffset>
                </wp:positionV>
                <wp:extent cx="369642" cy="190882"/>
                <wp:effectExtent l="0" t="0" r="0" b="0"/>
                <wp:wrapNone/>
                <wp:docPr id="2" name="Text Box 1"/>
                <wp:cNvGraphicFramePr/>
                <a:graphic xmlns:a="http://schemas.openxmlformats.org/drawingml/2006/main">
                  <a:graphicData uri="http://schemas.microsoft.com/office/word/2010/wordprocessingShape">
                    <wps:wsp>
                      <wps:cNvSpPr txBox="1"/>
                      <wps:spPr>
                        <a:xfrm>
                          <a:off x="0" y="0"/>
                          <a:ext cx="369642" cy="190882"/>
                        </a:xfrm>
                        <a:prstGeom prst="rect">
                          <a:avLst/>
                        </a:prstGeom>
                      </wps:spPr>
                      <wps:txbx>
                        <w:txbxContent>
                          <w:p w14:paraId="72B53E69" w14:textId="77777777" w:rsidR="001D34AA" w:rsidRDefault="001D34AA" w:rsidP="002C1212">
                            <w:r w:rsidRPr="002C1212">
                              <w:rPr>
                                <w:rFonts w:hAnsi="Calibri"/>
                                <w:color w:val="FFFFFF"/>
                                <w:sz w:val="12"/>
                                <w:szCs w:val="12"/>
                              </w:rPr>
                              <w:t>n=4</w:t>
                            </w:r>
                          </w:p>
                        </w:txbxContent>
                      </wps:txbx>
                      <wps:bodyPr vertOverflow="clip" wrap="square" rtlCol="0"/>
                    </wps:wsp>
                  </a:graphicData>
                </a:graphic>
              </wp:anchor>
            </w:drawing>
          </mc:Choice>
          <mc:Fallback>
            <w:pict>
              <v:shapetype w14:anchorId="49701408" id="_x0000_t202" coordsize="21600,21600" o:spt="202" path="m,l,21600r21600,l21600,xe">
                <v:stroke joinstyle="miter"/>
                <v:path gradientshapeok="t" o:connecttype="rect"/>
              </v:shapetype>
              <v:shape id="Text Box 1" o:spid="_x0000_s1026" type="#_x0000_t202" style="position:absolute;margin-left:111.15pt;margin-top:106.65pt;width:29.1pt;height:15.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" filled="f" stroked="f">
                <v:textbox>
                  <w:txbxContent>
                    <w:p w14:paraId="72B53E69" w14:textId="77777777" w:rsidR="001D34AA" w:rsidRDefault="001D34AA" w:rsidP="002C1212">
                      <w:r w:rsidRPr="002C1212">
                        <w:rPr>
                          <w:rFonts w:hAnsi="Calibri"/>
                          <w:color w:val="FFFFFF"/>
                          <w:sz w:val="12"/>
                          <w:szCs w:val="12"/>
                        </w:rPr>
                        <w:t>n=4</w:t>
                      </w:r>
                    </w:p>
                  </w:txbxContent>
                </v:textbox>
              </v:shape>
            </w:pict>
          </mc:Fallback>
        </mc:AlternateContent>
      </w:r>
      <w:r w:rsidRPr="002C1212">
        <w:rPr>
          <w:rFonts w:ascii="Calibri" w:eastAsia="Calibri" w:hAnsi="Calibri" w:cs="Times New Roman"/>
          <w:noProof/>
          <w:szCs w:val="24"/>
        </w:rPr>
        <w:drawing>
          <wp:inline distT="0" distB="0" distL="0" distR="0" wp14:anchorId="5B19E6AD" wp14:editId="0BB357B0">
            <wp:extent cx="2830830" cy="2083324"/>
            <wp:effectExtent l="0" t="0" r="127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2C1212">
        <w:rPr>
          <w:rFonts w:ascii="Calibri" w:eastAsia="Calibri" w:hAnsi="Calibri" w:cs="Times New Roman"/>
          <w:noProof/>
          <w:szCs w:val="24"/>
        </w:rPr>
        <w:drawing>
          <wp:inline distT="0" distB="0" distL="0" distR="0" wp14:anchorId="7A37B06F" wp14:editId="457886B0">
            <wp:extent cx="2830830" cy="2083324"/>
            <wp:effectExtent l="0" t="0" r="127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D06BD4F" w14:textId="77777777" w:rsidR="002C1212" w:rsidRPr="002C1212" w:rsidRDefault="002C1212" w:rsidP="002C1212">
      <w:pPr>
        <w:spacing w:before="0" w:after="0"/>
        <w:rPr>
          <w:rFonts w:ascii="Calibri" w:eastAsia="Calibri" w:hAnsi="Calibri" w:cs="Times New Roman"/>
          <w:szCs w:val="24"/>
        </w:rPr>
      </w:pPr>
    </w:p>
    <w:p w14:paraId="1699507A" w14:textId="77777777" w:rsidR="002C1212" w:rsidRPr="002C1212" w:rsidRDefault="002C1212" w:rsidP="002C1212">
      <w:pPr>
        <w:spacing w:before="0" w:after="0"/>
        <w:rPr>
          <w:rFonts w:ascii="Calibri" w:eastAsia="Calibri" w:hAnsi="Calibri" w:cs="Times New Roman"/>
          <w:szCs w:val="24"/>
        </w:rPr>
      </w:pPr>
      <w:r w:rsidRPr="002C1212">
        <w:rPr>
          <w:rFonts w:ascii="Calibri" w:eastAsia="Calibri" w:hAnsi="Calibri" w:cs="Times New Roman"/>
          <w:noProof/>
          <w:szCs w:val="24"/>
        </w:rPr>
        <mc:AlternateContent>
          <mc:Choice Requires="wps">
            <w:drawing>
              <wp:anchor distT="0" distB="0" distL="114300" distR="114300" simplePos="0" relativeHeight="251660288" behindDoc="0" locked="0" layoutInCell="1" allowOverlap="1" wp14:anchorId="3BD3EB39" wp14:editId="4BF3C904">
                <wp:simplePos x="0" y="0"/>
                <wp:positionH relativeFrom="column">
                  <wp:posOffset>1407352</wp:posOffset>
                </wp:positionH>
                <wp:positionV relativeFrom="paragraph">
                  <wp:posOffset>1341120</wp:posOffset>
                </wp:positionV>
                <wp:extent cx="369642" cy="190882"/>
                <wp:effectExtent l="0" t="0" r="0" b="0"/>
                <wp:wrapNone/>
                <wp:docPr id="13" name="Text Box 1"/>
                <wp:cNvGraphicFramePr/>
                <a:graphic xmlns:a="http://schemas.openxmlformats.org/drawingml/2006/main">
                  <a:graphicData uri="http://schemas.microsoft.com/office/word/2010/wordprocessingShape">
                    <wps:wsp>
                      <wps:cNvSpPr txBox="1"/>
                      <wps:spPr>
                        <a:xfrm>
                          <a:off x="0" y="0"/>
                          <a:ext cx="369642" cy="190882"/>
                        </a:xfrm>
                        <a:prstGeom prst="rect">
                          <a:avLst/>
                        </a:prstGeom>
                      </wps:spPr>
                      <wps:txbx>
                        <w:txbxContent>
                          <w:p w14:paraId="58E52952" w14:textId="77777777" w:rsidR="001D34AA" w:rsidRPr="002C1212" w:rsidRDefault="001D34AA" w:rsidP="002C1212">
                            <w:pPr>
                              <w:rPr>
                                <w:color w:val="000000"/>
                              </w:rPr>
                            </w:pPr>
                            <w:r w:rsidRPr="002C1212">
                              <w:rPr>
                                <w:rFonts w:hAnsi="Calibri"/>
                                <w:color w:val="000000"/>
                                <w:sz w:val="12"/>
                                <w:szCs w:val="12"/>
                              </w:rPr>
                              <w:t>n=1</w:t>
                            </w:r>
                          </w:p>
                        </w:txbxContent>
                      </wps:txbx>
                      <wps:bodyPr vertOverflow="clip" wrap="square" rtlCol="0"/>
                    </wps:wsp>
                  </a:graphicData>
                </a:graphic>
              </wp:anchor>
            </w:drawing>
          </mc:Choice>
          <mc:Fallback>
            <w:pict>
              <v:shape w14:anchorId="3BD3EB39" id="_x0000_s1027" type="#_x0000_t202" style="position:absolute;margin-left:110.8pt;margin-top:105.6pt;width:29.1pt;height:15.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" filled="f" stroked="f">
                <v:textbox>
                  <w:txbxContent>
                    <w:p w14:paraId="58E52952" w14:textId="77777777" w:rsidR="001D34AA" w:rsidRPr="002C1212" w:rsidRDefault="001D34AA" w:rsidP="002C1212">
                      <w:pPr>
                        <w:rPr>
                          <w:color w:val="000000"/>
                        </w:rPr>
                      </w:pPr>
                      <w:r w:rsidRPr="002C1212">
                        <w:rPr>
                          <w:rFonts w:hAnsi="Calibri"/>
                          <w:color w:val="000000"/>
                          <w:sz w:val="12"/>
                          <w:szCs w:val="12"/>
                        </w:rPr>
                        <w:t>n=1</w:t>
                      </w:r>
                    </w:p>
                  </w:txbxContent>
                </v:textbox>
              </v:shape>
            </w:pict>
          </mc:Fallback>
        </mc:AlternateContent>
      </w:r>
      <w:r w:rsidRPr="002C1212">
        <w:rPr>
          <w:rFonts w:ascii="Calibri" w:eastAsia="Calibri" w:hAnsi="Calibri" w:cs="Times New Roman"/>
          <w:noProof/>
          <w:szCs w:val="24"/>
        </w:rPr>
        <w:drawing>
          <wp:inline distT="0" distB="0" distL="0" distR="0" wp14:anchorId="62737A17" wp14:editId="031FA3D1">
            <wp:extent cx="2830830" cy="2083324"/>
            <wp:effectExtent l="0" t="0" r="127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2C1212">
        <w:rPr>
          <w:rFonts w:ascii="Calibri" w:eastAsia="Calibri" w:hAnsi="Calibri" w:cs="Times New Roman"/>
          <w:noProof/>
          <w:szCs w:val="24"/>
        </w:rPr>
        <w:drawing>
          <wp:inline distT="0" distB="0" distL="0" distR="0" wp14:anchorId="6FDC4C22" wp14:editId="7161B1EE">
            <wp:extent cx="2830830" cy="2083324"/>
            <wp:effectExtent l="0" t="0" r="127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2B10475" w14:textId="77777777" w:rsidR="002C1212" w:rsidRPr="002C1212" w:rsidRDefault="002C1212" w:rsidP="002C1212">
      <w:pPr>
        <w:spacing w:before="0" w:after="0"/>
        <w:rPr>
          <w:rFonts w:ascii="Calibri" w:eastAsia="Calibri" w:hAnsi="Calibri" w:cs="Times New Roman"/>
          <w:szCs w:val="24"/>
        </w:rPr>
      </w:pPr>
    </w:p>
    <w:p w14:paraId="2C04AF75" w14:textId="77777777" w:rsidR="002C1212" w:rsidRPr="002C1212" w:rsidRDefault="002C1212" w:rsidP="002C1212">
      <w:pPr>
        <w:spacing w:before="0" w:after="0"/>
        <w:rPr>
          <w:rFonts w:ascii="Calibri" w:eastAsia="Calibri" w:hAnsi="Calibri" w:cs="Times New Roman"/>
          <w:szCs w:val="24"/>
        </w:rPr>
      </w:pPr>
      <w:r w:rsidRPr="002C1212">
        <w:rPr>
          <w:rFonts w:ascii="Calibri" w:eastAsia="Calibri" w:hAnsi="Calibri" w:cs="Times New Roman"/>
          <w:noProof/>
          <w:szCs w:val="24"/>
        </w:rPr>
        <mc:AlternateContent>
          <mc:Choice Requires="wps">
            <w:drawing>
              <wp:anchor distT="0" distB="0" distL="114300" distR="114300" simplePos="0" relativeHeight="251662336" behindDoc="0" locked="0" layoutInCell="1" allowOverlap="1" wp14:anchorId="4BF3F8DD" wp14:editId="0EE2C009">
                <wp:simplePos x="0" y="0"/>
                <wp:positionH relativeFrom="column">
                  <wp:posOffset>-61595</wp:posOffset>
                </wp:positionH>
                <wp:positionV relativeFrom="paragraph">
                  <wp:posOffset>2005331</wp:posOffset>
                </wp:positionV>
                <wp:extent cx="6233160" cy="1219200"/>
                <wp:effectExtent l="0" t="0" r="15240" b="19050"/>
                <wp:wrapNone/>
                <wp:docPr id="22" name="Text Box 22"/>
                <wp:cNvGraphicFramePr/>
                <a:graphic xmlns:a="http://schemas.openxmlformats.org/drawingml/2006/main">
                  <a:graphicData uri="http://schemas.microsoft.com/office/word/2010/wordprocessingShape">
                    <wps:wsp>
                      <wps:cNvSpPr txBox="1"/>
                      <wps:spPr>
                        <a:xfrm>
                          <a:off x="0" y="0"/>
                          <a:ext cx="6233160" cy="1219200"/>
                        </a:xfrm>
                        <a:prstGeom prst="rect">
                          <a:avLst/>
                        </a:prstGeom>
                        <a:solidFill>
                          <a:sysClr val="window" lastClr="FFFFFF"/>
                        </a:solidFill>
                        <a:ln w="6350">
                          <a:solidFill>
                            <a:prstClr val="black"/>
                          </a:solidFill>
                        </a:ln>
                      </wps:spPr>
                      <wps:txbx>
                        <w:txbxContent>
                          <w:p w14:paraId="41BBEDE0" w14:textId="04BC2B0C" w:rsidR="001D34AA" w:rsidRPr="00A203AC" w:rsidRDefault="001D34AA" w:rsidP="00B64C33">
                            <w:pPr>
                              <w:spacing w:before="0" w:after="0"/>
                              <w:rPr>
                                <w:sz w:val="20"/>
                                <w:szCs w:val="20"/>
                              </w:rPr>
                            </w:pPr>
                            <w:r w:rsidRPr="000E4F4A">
                              <w:rPr>
                                <w:sz w:val="20"/>
                                <w:szCs w:val="20"/>
                              </w:rPr>
                              <w:t xml:space="preserve">Figure 1. Factors associated with increased </w:t>
                            </w:r>
                            <w:r>
                              <w:rPr>
                                <w:sz w:val="20"/>
                                <w:szCs w:val="20"/>
                              </w:rPr>
                              <w:t>g</w:t>
                            </w:r>
                            <w:r w:rsidRPr="000E4F4A">
                              <w:rPr>
                                <w:sz w:val="20"/>
                                <w:szCs w:val="20"/>
                              </w:rPr>
                              <w:t>r</w:t>
                            </w:r>
                            <w:r>
                              <w:rPr>
                                <w:sz w:val="20"/>
                                <w:szCs w:val="20"/>
                              </w:rPr>
                              <w:t>ade</w:t>
                            </w:r>
                            <w:r w:rsidRPr="000E4F4A">
                              <w:rPr>
                                <w:sz w:val="20"/>
                                <w:szCs w:val="20"/>
                              </w:rPr>
                              <w:t xml:space="preserve"> of fibrosis in HNC patients treated with radiotherapy. </w:t>
                            </w:r>
                            <w:r w:rsidRPr="000E4F4A">
                              <w:rPr>
                                <w:b/>
                                <w:bCs/>
                                <w:sz w:val="20"/>
                                <w:szCs w:val="20"/>
                              </w:rPr>
                              <w:t xml:space="preserve">A </w:t>
                            </w:r>
                            <w:r>
                              <w:rPr>
                                <w:rFonts w:cs="Mangal" w:hint="cs"/>
                                <w:sz w:val="20"/>
                                <w:szCs w:val="20"/>
                                <w:cs/>
                                <w:lang w:bidi="mr-IN"/>
                              </w:rPr>
                              <w:t>-</w:t>
                            </w:r>
                            <w:r w:rsidRPr="000E4F4A">
                              <w:rPr>
                                <w:sz w:val="20"/>
                                <w:szCs w:val="20"/>
                              </w:rPr>
                              <w:t xml:space="preserve"> Patients being treated for recurrent HNC experience higher </w:t>
                            </w:r>
                            <w:r>
                              <w:rPr>
                                <w:sz w:val="20"/>
                                <w:szCs w:val="20"/>
                              </w:rPr>
                              <w:t>g</w:t>
                            </w:r>
                            <w:r w:rsidRPr="000E4F4A">
                              <w:rPr>
                                <w:sz w:val="20"/>
                                <w:szCs w:val="20"/>
                              </w:rPr>
                              <w:t xml:space="preserve">rade </w:t>
                            </w:r>
                            <w:r>
                              <w:rPr>
                                <w:sz w:val="20"/>
                                <w:szCs w:val="20"/>
                              </w:rPr>
                              <w:t xml:space="preserve">of </w:t>
                            </w:r>
                            <w:r w:rsidRPr="00A203AC">
                              <w:rPr>
                                <w:sz w:val="20"/>
                                <w:szCs w:val="20"/>
                              </w:rPr>
                              <w:t>fibrosis</w:t>
                            </w:r>
                            <w:r w:rsidRPr="00A203AC">
                              <w:rPr>
                                <w:b/>
                                <w:bCs/>
                                <w:sz w:val="20"/>
                                <w:szCs w:val="20"/>
                              </w:rPr>
                              <w:t xml:space="preserve"> </w:t>
                            </w:r>
                            <w:r w:rsidRPr="00B64C33">
                              <w:rPr>
                                <w:sz w:val="20"/>
                                <w:szCs w:val="20"/>
                              </w:rPr>
                              <w:t>(</w:t>
                            </w:r>
                            <w:r w:rsidRPr="00A203AC">
                              <w:rPr>
                                <w:b/>
                                <w:bCs/>
                                <w:i/>
                                <w:iCs/>
                                <w:sz w:val="20"/>
                                <w:szCs w:val="20"/>
                              </w:rPr>
                              <w:t>p</w:t>
                            </w:r>
                            <w:r w:rsidRPr="00A203AC">
                              <w:rPr>
                                <w:b/>
                                <w:bCs/>
                                <w:sz w:val="20"/>
                                <w:szCs w:val="20"/>
                              </w:rPr>
                              <w:t xml:space="preserve"> = 0.033</w:t>
                            </w:r>
                            <w:r>
                              <w:rPr>
                                <w:b/>
                                <w:bCs/>
                                <w:sz w:val="20"/>
                                <w:szCs w:val="20"/>
                              </w:rPr>
                              <w:t>*</w:t>
                            </w:r>
                            <w:r w:rsidRPr="00B64C33">
                              <w:rPr>
                                <w:sz w:val="20"/>
                                <w:szCs w:val="20"/>
                              </w:rPr>
                              <w:t>).</w:t>
                            </w:r>
                            <w:r w:rsidRPr="000E4F4A">
                              <w:rPr>
                                <w:sz w:val="20"/>
                                <w:szCs w:val="20"/>
                              </w:rPr>
                              <w:t xml:space="preserve"> </w:t>
                            </w:r>
                            <w:r w:rsidRPr="000E4F4A">
                              <w:rPr>
                                <w:b/>
                                <w:bCs/>
                                <w:sz w:val="20"/>
                                <w:szCs w:val="20"/>
                              </w:rPr>
                              <w:t xml:space="preserve">B </w:t>
                            </w:r>
                            <w:r>
                              <w:rPr>
                                <w:rFonts w:cs="Mangal" w:hint="cs"/>
                                <w:sz w:val="20"/>
                                <w:szCs w:val="20"/>
                                <w:cs/>
                                <w:lang w:bidi="mr-IN"/>
                              </w:rPr>
                              <w:t>-</w:t>
                            </w:r>
                            <w:r w:rsidRPr="000E4F4A">
                              <w:rPr>
                                <w:sz w:val="20"/>
                                <w:szCs w:val="20"/>
                              </w:rPr>
                              <w:t xml:space="preserve"> Consumption of alcohol during treatment is associated with higher </w:t>
                            </w:r>
                            <w:r>
                              <w:rPr>
                                <w:sz w:val="20"/>
                                <w:szCs w:val="20"/>
                              </w:rPr>
                              <w:t>g</w:t>
                            </w:r>
                            <w:r w:rsidRPr="000E4F4A">
                              <w:rPr>
                                <w:sz w:val="20"/>
                                <w:szCs w:val="20"/>
                              </w:rPr>
                              <w:t xml:space="preserve">rade </w:t>
                            </w:r>
                            <w:r>
                              <w:rPr>
                                <w:sz w:val="20"/>
                                <w:szCs w:val="20"/>
                              </w:rPr>
                              <w:t xml:space="preserve">of </w:t>
                            </w:r>
                            <w:r w:rsidRPr="000E4F4A">
                              <w:rPr>
                                <w:sz w:val="20"/>
                                <w:szCs w:val="20"/>
                              </w:rPr>
                              <w:t xml:space="preserve">fibrosis </w:t>
                            </w:r>
                            <w:r w:rsidRPr="00B64C33">
                              <w:rPr>
                                <w:sz w:val="20"/>
                                <w:szCs w:val="20"/>
                              </w:rPr>
                              <w:t>(</w:t>
                            </w:r>
                            <w:r w:rsidRPr="00A203AC">
                              <w:rPr>
                                <w:b/>
                                <w:bCs/>
                                <w:i/>
                                <w:iCs/>
                                <w:sz w:val="20"/>
                                <w:szCs w:val="20"/>
                              </w:rPr>
                              <w:t>p</w:t>
                            </w:r>
                            <w:r w:rsidRPr="00A203AC">
                              <w:rPr>
                                <w:b/>
                                <w:bCs/>
                                <w:sz w:val="20"/>
                                <w:szCs w:val="20"/>
                              </w:rPr>
                              <w:t xml:space="preserve"> = 0.013</w:t>
                            </w:r>
                            <w:r>
                              <w:rPr>
                                <w:b/>
                                <w:bCs/>
                                <w:sz w:val="20"/>
                                <w:szCs w:val="20"/>
                              </w:rPr>
                              <w:t>*</w:t>
                            </w:r>
                            <w:r w:rsidRPr="00B64C33">
                              <w:rPr>
                                <w:sz w:val="20"/>
                                <w:szCs w:val="20"/>
                              </w:rPr>
                              <w:t>).</w:t>
                            </w:r>
                            <w:r w:rsidRPr="00A203AC">
                              <w:rPr>
                                <w:b/>
                                <w:bCs/>
                                <w:sz w:val="20"/>
                                <w:szCs w:val="20"/>
                              </w:rPr>
                              <w:t xml:space="preserve"> </w:t>
                            </w:r>
                            <w:r w:rsidRPr="000E4F4A">
                              <w:rPr>
                                <w:b/>
                                <w:bCs/>
                                <w:sz w:val="20"/>
                                <w:szCs w:val="20"/>
                              </w:rPr>
                              <w:t xml:space="preserve">C </w:t>
                            </w:r>
                            <w:r w:rsidRPr="000E4F4A">
                              <w:rPr>
                                <w:sz w:val="20"/>
                                <w:szCs w:val="20"/>
                              </w:rPr>
                              <w:t xml:space="preserve">- HNC patients younger than 60 experience higher </w:t>
                            </w:r>
                            <w:r>
                              <w:rPr>
                                <w:sz w:val="20"/>
                                <w:szCs w:val="20"/>
                              </w:rPr>
                              <w:t>g</w:t>
                            </w:r>
                            <w:r w:rsidRPr="000E4F4A">
                              <w:rPr>
                                <w:sz w:val="20"/>
                                <w:szCs w:val="20"/>
                              </w:rPr>
                              <w:t>rade</w:t>
                            </w:r>
                            <w:r>
                              <w:rPr>
                                <w:sz w:val="20"/>
                                <w:szCs w:val="20"/>
                              </w:rPr>
                              <w:t xml:space="preserve"> of</w:t>
                            </w:r>
                            <w:r w:rsidRPr="000E4F4A">
                              <w:rPr>
                                <w:sz w:val="20"/>
                                <w:szCs w:val="20"/>
                              </w:rPr>
                              <w:t xml:space="preserve"> fibrosis </w:t>
                            </w:r>
                            <w:r w:rsidRPr="00B64C33">
                              <w:rPr>
                                <w:sz w:val="20"/>
                                <w:szCs w:val="20"/>
                              </w:rPr>
                              <w:t>(</w:t>
                            </w:r>
                            <w:r w:rsidRPr="00A203AC">
                              <w:rPr>
                                <w:b/>
                                <w:bCs/>
                                <w:i/>
                                <w:iCs/>
                                <w:sz w:val="20"/>
                                <w:szCs w:val="20"/>
                              </w:rPr>
                              <w:t>p</w:t>
                            </w:r>
                            <w:r w:rsidRPr="00A203AC">
                              <w:rPr>
                                <w:b/>
                                <w:bCs/>
                                <w:sz w:val="20"/>
                                <w:szCs w:val="20"/>
                              </w:rPr>
                              <w:t xml:space="preserve"> = 0.018</w:t>
                            </w:r>
                            <w:r>
                              <w:rPr>
                                <w:b/>
                                <w:bCs/>
                                <w:sz w:val="20"/>
                                <w:szCs w:val="20"/>
                              </w:rPr>
                              <w:t>*</w:t>
                            </w:r>
                            <w:r w:rsidRPr="00B64C33">
                              <w:rPr>
                                <w:sz w:val="20"/>
                                <w:szCs w:val="20"/>
                              </w:rPr>
                              <w:t xml:space="preserve">). </w:t>
                            </w:r>
                            <w:r w:rsidRPr="000E4F4A">
                              <w:rPr>
                                <w:b/>
                                <w:bCs/>
                                <w:sz w:val="20"/>
                                <w:szCs w:val="20"/>
                              </w:rPr>
                              <w:t xml:space="preserve">D </w:t>
                            </w:r>
                            <w:r w:rsidRPr="000E4F4A">
                              <w:rPr>
                                <w:sz w:val="20"/>
                                <w:szCs w:val="20"/>
                              </w:rPr>
                              <w:t>-</w:t>
                            </w:r>
                            <w:r w:rsidRPr="000E4F4A">
                              <w:rPr>
                                <w:b/>
                                <w:bCs/>
                                <w:sz w:val="20"/>
                                <w:szCs w:val="20"/>
                              </w:rPr>
                              <w:t xml:space="preserve"> </w:t>
                            </w:r>
                            <w:r w:rsidRPr="000E4F4A">
                              <w:rPr>
                                <w:sz w:val="20"/>
                                <w:szCs w:val="20"/>
                              </w:rPr>
                              <w:t xml:space="preserve">Smoking during treatment is associated with increased </w:t>
                            </w:r>
                            <w:r>
                              <w:rPr>
                                <w:sz w:val="20"/>
                                <w:szCs w:val="20"/>
                              </w:rPr>
                              <w:t>g</w:t>
                            </w:r>
                            <w:r w:rsidRPr="000E4F4A">
                              <w:rPr>
                                <w:sz w:val="20"/>
                                <w:szCs w:val="20"/>
                              </w:rPr>
                              <w:t>rade of fibrosis (</w:t>
                            </w:r>
                            <w:r w:rsidRPr="000E4F4A">
                              <w:rPr>
                                <w:i/>
                                <w:iCs/>
                                <w:sz w:val="20"/>
                                <w:szCs w:val="20"/>
                              </w:rPr>
                              <w:t>p</w:t>
                            </w:r>
                            <w:r w:rsidRPr="000E4F4A">
                              <w:rPr>
                                <w:sz w:val="20"/>
                                <w:szCs w:val="20"/>
                              </w:rPr>
                              <w:t xml:space="preserve"> = </w:t>
                            </w:r>
                            <w:r w:rsidRPr="00A203AC">
                              <w:rPr>
                                <w:b/>
                                <w:bCs/>
                                <w:sz w:val="20"/>
                                <w:szCs w:val="20"/>
                              </w:rPr>
                              <w:t>&lt;0.001</w:t>
                            </w:r>
                            <w:r>
                              <w:rPr>
                                <w:b/>
                                <w:bCs/>
                                <w:sz w:val="20"/>
                                <w:szCs w:val="20"/>
                              </w:rPr>
                              <w:t>*</w:t>
                            </w:r>
                            <w:r w:rsidRPr="00B64C33">
                              <w:rPr>
                                <w:sz w:val="20"/>
                                <w:szCs w:val="20"/>
                              </w:rPr>
                              <w:t xml:space="preserve">). </w:t>
                            </w:r>
                            <w:r w:rsidRPr="000E4F4A">
                              <w:rPr>
                                <w:b/>
                                <w:bCs/>
                                <w:sz w:val="20"/>
                                <w:szCs w:val="20"/>
                              </w:rPr>
                              <w:t xml:space="preserve">E </w:t>
                            </w:r>
                            <w:r>
                              <w:rPr>
                                <w:rFonts w:cs="Mangal" w:hint="cs"/>
                                <w:sz w:val="20"/>
                                <w:szCs w:val="20"/>
                                <w:cs/>
                                <w:lang w:bidi="mr-IN"/>
                              </w:rPr>
                              <w:t xml:space="preserve">- </w:t>
                            </w:r>
                            <w:r w:rsidRPr="000E4F4A">
                              <w:rPr>
                                <w:sz w:val="20"/>
                                <w:szCs w:val="20"/>
                              </w:rPr>
                              <w:t xml:space="preserve">Non-Caucasian race is associated with increased </w:t>
                            </w:r>
                            <w:r>
                              <w:rPr>
                                <w:sz w:val="20"/>
                                <w:szCs w:val="20"/>
                              </w:rPr>
                              <w:t>g</w:t>
                            </w:r>
                            <w:r w:rsidRPr="000E4F4A">
                              <w:rPr>
                                <w:sz w:val="20"/>
                                <w:szCs w:val="20"/>
                              </w:rPr>
                              <w:t xml:space="preserve">rade of fibrosis </w:t>
                            </w:r>
                            <w:r w:rsidRPr="00B64C33">
                              <w:rPr>
                                <w:sz w:val="20"/>
                                <w:szCs w:val="20"/>
                              </w:rPr>
                              <w:t>(</w:t>
                            </w:r>
                            <w:r w:rsidRPr="00A203AC">
                              <w:rPr>
                                <w:b/>
                                <w:bCs/>
                                <w:i/>
                                <w:iCs/>
                                <w:sz w:val="20"/>
                                <w:szCs w:val="20"/>
                              </w:rPr>
                              <w:t xml:space="preserve">p = </w:t>
                            </w:r>
                            <w:r w:rsidRPr="00A203AC">
                              <w:rPr>
                                <w:b/>
                                <w:bCs/>
                                <w:sz w:val="20"/>
                                <w:szCs w:val="20"/>
                              </w:rPr>
                              <w:t>0.012</w:t>
                            </w:r>
                            <w:r>
                              <w:rPr>
                                <w:b/>
                                <w:bCs/>
                                <w:sz w:val="20"/>
                                <w:szCs w:val="20"/>
                              </w:rPr>
                              <w:t>*</w:t>
                            </w:r>
                            <w:r w:rsidRPr="00B64C33">
                              <w:rPr>
                                <w:sz w:val="20"/>
                                <w:szCs w:val="20"/>
                              </w:rPr>
                              <w:t>).</w:t>
                            </w:r>
                            <w:r w:rsidRPr="000E4F4A">
                              <w:rPr>
                                <w:sz w:val="20"/>
                                <w:szCs w:val="20"/>
                              </w:rPr>
                              <w:t xml:space="preserve"> </w:t>
                            </w:r>
                            <w:r w:rsidRPr="000E4F4A">
                              <w:rPr>
                                <w:b/>
                                <w:bCs/>
                                <w:sz w:val="20"/>
                                <w:szCs w:val="20"/>
                              </w:rPr>
                              <w:t xml:space="preserve">F </w:t>
                            </w:r>
                            <w:r>
                              <w:rPr>
                                <w:rFonts w:cs="Mangal" w:hint="cs"/>
                                <w:sz w:val="20"/>
                                <w:szCs w:val="20"/>
                                <w:cs/>
                                <w:lang w:bidi="mr-IN"/>
                              </w:rPr>
                              <w:t>-</w:t>
                            </w:r>
                            <w:r w:rsidRPr="000E4F4A">
                              <w:rPr>
                                <w:sz w:val="20"/>
                                <w:szCs w:val="20"/>
                              </w:rPr>
                              <w:t xml:space="preserve"> Grade of fibrosis in uninsured patients or patients with Medicaid approaches significance (</w:t>
                            </w:r>
                            <w:r w:rsidRPr="000E4F4A">
                              <w:rPr>
                                <w:i/>
                                <w:iCs/>
                                <w:sz w:val="20"/>
                                <w:szCs w:val="20"/>
                              </w:rPr>
                              <w:t>p</w:t>
                            </w:r>
                            <w:r w:rsidRPr="000E4F4A">
                              <w:rPr>
                                <w:sz w:val="20"/>
                                <w:szCs w:val="20"/>
                              </w:rPr>
                              <w:t xml:space="preserve"> = 0.054). </w:t>
                            </w:r>
                            <w:r>
                              <w:rPr>
                                <w:b/>
                                <w:bCs/>
                                <w:sz w:val="20"/>
                                <w:szCs w:val="20"/>
                              </w:rPr>
                              <w:t>* = significant</w:t>
                            </w:r>
                          </w:p>
                          <w:p w14:paraId="61A17BE5" w14:textId="77777777" w:rsidR="001D34AA" w:rsidRPr="000E4F4A" w:rsidRDefault="001D34AA" w:rsidP="002C121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3F8DD" id="Text Box 22" o:spid="_x0000_s1028" type="#_x0000_t202" style="position:absolute;margin-left:-4.85pt;margin-top:157.9pt;width:490.8pt;height: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" fillcolor="window" strokeweight=".5pt">
                <v:textbox>
                  <w:txbxContent>
                    <w:p w14:paraId="41BBEDE0" w14:textId="04BC2B0C" w:rsidR="001D34AA" w:rsidRPr="00A203AC" w:rsidRDefault="001D34AA" w:rsidP="00B64C33">
                      <w:pPr>
                        <w:spacing w:before="0" w:after="0"/>
                        <w:rPr>
                          <w:sz w:val="20"/>
                          <w:szCs w:val="20"/>
                        </w:rPr>
                      </w:pPr>
                      <w:r w:rsidRPr="000E4F4A">
                        <w:rPr>
                          <w:sz w:val="20"/>
                          <w:szCs w:val="20"/>
                        </w:rPr>
                        <w:t xml:space="preserve">Figure 1. Factors associated with increased </w:t>
                      </w:r>
                      <w:r>
                        <w:rPr>
                          <w:sz w:val="20"/>
                          <w:szCs w:val="20"/>
                        </w:rPr>
                        <w:t>g</w:t>
                      </w:r>
                      <w:r w:rsidRPr="000E4F4A">
                        <w:rPr>
                          <w:sz w:val="20"/>
                          <w:szCs w:val="20"/>
                        </w:rPr>
                        <w:t>r</w:t>
                      </w:r>
                      <w:r>
                        <w:rPr>
                          <w:sz w:val="20"/>
                          <w:szCs w:val="20"/>
                        </w:rPr>
                        <w:t>ade</w:t>
                      </w:r>
                      <w:r w:rsidRPr="000E4F4A">
                        <w:rPr>
                          <w:sz w:val="20"/>
                          <w:szCs w:val="20"/>
                        </w:rPr>
                        <w:t xml:space="preserve"> of fibrosis in HNC patients treated with radiotherapy. </w:t>
                      </w:r>
                      <w:r w:rsidRPr="000E4F4A">
                        <w:rPr>
                          <w:b/>
                          <w:bCs/>
                          <w:sz w:val="20"/>
                          <w:szCs w:val="20"/>
                        </w:rPr>
                        <w:t xml:space="preserve">A </w:t>
                      </w:r>
                      <w:r>
                        <w:rPr>
                          <w:rFonts w:cs="Mangal" w:hint="cs"/>
                          <w:sz w:val="20"/>
                          <w:szCs w:val="20"/>
                          <w:cs/>
                          <w:lang w:bidi="mr-IN"/>
                        </w:rPr>
                        <w:t>-</w:t>
                      </w:r>
                      <w:r w:rsidRPr="000E4F4A">
                        <w:rPr>
                          <w:sz w:val="20"/>
                          <w:szCs w:val="20"/>
                        </w:rPr>
                        <w:t xml:space="preserve"> Patients being treated for recurrent HNC experience higher </w:t>
                      </w:r>
                      <w:r>
                        <w:rPr>
                          <w:sz w:val="20"/>
                          <w:szCs w:val="20"/>
                        </w:rPr>
                        <w:t>g</w:t>
                      </w:r>
                      <w:r w:rsidRPr="000E4F4A">
                        <w:rPr>
                          <w:sz w:val="20"/>
                          <w:szCs w:val="20"/>
                        </w:rPr>
                        <w:t xml:space="preserve">rade </w:t>
                      </w:r>
                      <w:r>
                        <w:rPr>
                          <w:sz w:val="20"/>
                          <w:szCs w:val="20"/>
                        </w:rPr>
                        <w:t xml:space="preserve">of </w:t>
                      </w:r>
                      <w:r w:rsidRPr="00A203AC">
                        <w:rPr>
                          <w:sz w:val="20"/>
                          <w:szCs w:val="20"/>
                        </w:rPr>
                        <w:t>fibrosis</w:t>
                      </w:r>
                      <w:r w:rsidRPr="00A203AC">
                        <w:rPr>
                          <w:b/>
                          <w:bCs/>
                          <w:sz w:val="20"/>
                          <w:szCs w:val="20"/>
                        </w:rPr>
                        <w:t xml:space="preserve"> </w:t>
                      </w:r>
                      <w:r w:rsidRPr="00B64C33">
                        <w:rPr>
                          <w:sz w:val="20"/>
                          <w:szCs w:val="20"/>
                        </w:rPr>
                        <w:t>(</w:t>
                      </w:r>
                      <w:r w:rsidRPr="00A203AC">
                        <w:rPr>
                          <w:b/>
                          <w:bCs/>
                          <w:i/>
                          <w:iCs/>
                          <w:sz w:val="20"/>
                          <w:szCs w:val="20"/>
                        </w:rPr>
                        <w:t>p</w:t>
                      </w:r>
                      <w:r w:rsidRPr="00A203AC">
                        <w:rPr>
                          <w:b/>
                          <w:bCs/>
                          <w:sz w:val="20"/>
                          <w:szCs w:val="20"/>
                        </w:rPr>
                        <w:t xml:space="preserve"> = 0.033</w:t>
                      </w:r>
                      <w:r>
                        <w:rPr>
                          <w:b/>
                          <w:bCs/>
                          <w:sz w:val="20"/>
                          <w:szCs w:val="20"/>
                        </w:rPr>
                        <w:t>*</w:t>
                      </w:r>
                      <w:r w:rsidRPr="00B64C33">
                        <w:rPr>
                          <w:sz w:val="20"/>
                          <w:szCs w:val="20"/>
                        </w:rPr>
                        <w:t>).</w:t>
                      </w:r>
                      <w:r w:rsidRPr="000E4F4A">
                        <w:rPr>
                          <w:sz w:val="20"/>
                          <w:szCs w:val="20"/>
                        </w:rPr>
                        <w:t xml:space="preserve"> </w:t>
                      </w:r>
                      <w:r w:rsidRPr="000E4F4A">
                        <w:rPr>
                          <w:b/>
                          <w:bCs/>
                          <w:sz w:val="20"/>
                          <w:szCs w:val="20"/>
                        </w:rPr>
                        <w:t xml:space="preserve">B </w:t>
                      </w:r>
                      <w:r>
                        <w:rPr>
                          <w:rFonts w:cs="Mangal" w:hint="cs"/>
                          <w:sz w:val="20"/>
                          <w:szCs w:val="20"/>
                          <w:cs/>
                          <w:lang w:bidi="mr-IN"/>
                        </w:rPr>
                        <w:t>-</w:t>
                      </w:r>
                      <w:r w:rsidRPr="000E4F4A">
                        <w:rPr>
                          <w:sz w:val="20"/>
                          <w:szCs w:val="20"/>
                        </w:rPr>
                        <w:t xml:space="preserve"> Consumption of alcohol during treatment is associated with higher </w:t>
                      </w:r>
                      <w:r>
                        <w:rPr>
                          <w:sz w:val="20"/>
                          <w:szCs w:val="20"/>
                        </w:rPr>
                        <w:t>g</w:t>
                      </w:r>
                      <w:r w:rsidRPr="000E4F4A">
                        <w:rPr>
                          <w:sz w:val="20"/>
                          <w:szCs w:val="20"/>
                        </w:rPr>
                        <w:t xml:space="preserve">rade </w:t>
                      </w:r>
                      <w:r>
                        <w:rPr>
                          <w:sz w:val="20"/>
                          <w:szCs w:val="20"/>
                        </w:rPr>
                        <w:t xml:space="preserve">of </w:t>
                      </w:r>
                      <w:r w:rsidRPr="000E4F4A">
                        <w:rPr>
                          <w:sz w:val="20"/>
                          <w:szCs w:val="20"/>
                        </w:rPr>
                        <w:t xml:space="preserve">fibrosis </w:t>
                      </w:r>
                      <w:r w:rsidRPr="00B64C33">
                        <w:rPr>
                          <w:sz w:val="20"/>
                          <w:szCs w:val="20"/>
                        </w:rPr>
                        <w:t>(</w:t>
                      </w:r>
                      <w:r w:rsidRPr="00A203AC">
                        <w:rPr>
                          <w:b/>
                          <w:bCs/>
                          <w:i/>
                          <w:iCs/>
                          <w:sz w:val="20"/>
                          <w:szCs w:val="20"/>
                        </w:rPr>
                        <w:t>p</w:t>
                      </w:r>
                      <w:r w:rsidRPr="00A203AC">
                        <w:rPr>
                          <w:b/>
                          <w:bCs/>
                          <w:sz w:val="20"/>
                          <w:szCs w:val="20"/>
                        </w:rPr>
                        <w:t xml:space="preserve"> = 0.013</w:t>
                      </w:r>
                      <w:r>
                        <w:rPr>
                          <w:b/>
                          <w:bCs/>
                          <w:sz w:val="20"/>
                          <w:szCs w:val="20"/>
                        </w:rPr>
                        <w:t>*</w:t>
                      </w:r>
                      <w:r w:rsidRPr="00B64C33">
                        <w:rPr>
                          <w:sz w:val="20"/>
                          <w:szCs w:val="20"/>
                        </w:rPr>
                        <w:t>).</w:t>
                      </w:r>
                      <w:r w:rsidRPr="00A203AC">
                        <w:rPr>
                          <w:b/>
                          <w:bCs/>
                          <w:sz w:val="20"/>
                          <w:szCs w:val="20"/>
                        </w:rPr>
                        <w:t xml:space="preserve"> </w:t>
                      </w:r>
                      <w:r w:rsidRPr="000E4F4A">
                        <w:rPr>
                          <w:b/>
                          <w:bCs/>
                          <w:sz w:val="20"/>
                          <w:szCs w:val="20"/>
                        </w:rPr>
                        <w:t xml:space="preserve">C </w:t>
                      </w:r>
                      <w:r w:rsidRPr="000E4F4A">
                        <w:rPr>
                          <w:sz w:val="20"/>
                          <w:szCs w:val="20"/>
                        </w:rPr>
                        <w:t xml:space="preserve">- HNC patients younger than 60 experience higher </w:t>
                      </w:r>
                      <w:r>
                        <w:rPr>
                          <w:sz w:val="20"/>
                          <w:szCs w:val="20"/>
                        </w:rPr>
                        <w:t>g</w:t>
                      </w:r>
                      <w:r w:rsidRPr="000E4F4A">
                        <w:rPr>
                          <w:sz w:val="20"/>
                          <w:szCs w:val="20"/>
                        </w:rPr>
                        <w:t>rade</w:t>
                      </w:r>
                      <w:r>
                        <w:rPr>
                          <w:sz w:val="20"/>
                          <w:szCs w:val="20"/>
                        </w:rPr>
                        <w:t xml:space="preserve"> of</w:t>
                      </w:r>
                      <w:r w:rsidRPr="000E4F4A">
                        <w:rPr>
                          <w:sz w:val="20"/>
                          <w:szCs w:val="20"/>
                        </w:rPr>
                        <w:t xml:space="preserve"> fibrosis </w:t>
                      </w:r>
                      <w:r w:rsidRPr="00B64C33">
                        <w:rPr>
                          <w:sz w:val="20"/>
                          <w:szCs w:val="20"/>
                        </w:rPr>
                        <w:t>(</w:t>
                      </w:r>
                      <w:r w:rsidRPr="00A203AC">
                        <w:rPr>
                          <w:b/>
                          <w:bCs/>
                          <w:i/>
                          <w:iCs/>
                          <w:sz w:val="20"/>
                          <w:szCs w:val="20"/>
                        </w:rPr>
                        <w:t>p</w:t>
                      </w:r>
                      <w:r w:rsidRPr="00A203AC">
                        <w:rPr>
                          <w:b/>
                          <w:bCs/>
                          <w:sz w:val="20"/>
                          <w:szCs w:val="20"/>
                        </w:rPr>
                        <w:t xml:space="preserve"> = 0.018</w:t>
                      </w:r>
                      <w:r>
                        <w:rPr>
                          <w:b/>
                          <w:bCs/>
                          <w:sz w:val="20"/>
                          <w:szCs w:val="20"/>
                        </w:rPr>
                        <w:t>*</w:t>
                      </w:r>
                      <w:r w:rsidRPr="00B64C33">
                        <w:rPr>
                          <w:sz w:val="20"/>
                          <w:szCs w:val="20"/>
                        </w:rPr>
                        <w:t xml:space="preserve">). </w:t>
                      </w:r>
                      <w:r w:rsidRPr="000E4F4A">
                        <w:rPr>
                          <w:b/>
                          <w:bCs/>
                          <w:sz w:val="20"/>
                          <w:szCs w:val="20"/>
                        </w:rPr>
                        <w:t xml:space="preserve">D </w:t>
                      </w:r>
                      <w:r w:rsidRPr="000E4F4A">
                        <w:rPr>
                          <w:sz w:val="20"/>
                          <w:szCs w:val="20"/>
                        </w:rPr>
                        <w:t>-</w:t>
                      </w:r>
                      <w:r w:rsidRPr="000E4F4A">
                        <w:rPr>
                          <w:b/>
                          <w:bCs/>
                          <w:sz w:val="20"/>
                          <w:szCs w:val="20"/>
                        </w:rPr>
                        <w:t xml:space="preserve"> </w:t>
                      </w:r>
                      <w:r w:rsidRPr="000E4F4A">
                        <w:rPr>
                          <w:sz w:val="20"/>
                          <w:szCs w:val="20"/>
                        </w:rPr>
                        <w:t xml:space="preserve">Smoking during treatment is associated with increased </w:t>
                      </w:r>
                      <w:r>
                        <w:rPr>
                          <w:sz w:val="20"/>
                          <w:szCs w:val="20"/>
                        </w:rPr>
                        <w:t>g</w:t>
                      </w:r>
                      <w:r w:rsidRPr="000E4F4A">
                        <w:rPr>
                          <w:sz w:val="20"/>
                          <w:szCs w:val="20"/>
                        </w:rPr>
                        <w:t>rade of fibrosis (</w:t>
                      </w:r>
                      <w:r w:rsidRPr="000E4F4A">
                        <w:rPr>
                          <w:i/>
                          <w:iCs/>
                          <w:sz w:val="20"/>
                          <w:szCs w:val="20"/>
                        </w:rPr>
                        <w:t>p</w:t>
                      </w:r>
                      <w:r w:rsidRPr="000E4F4A">
                        <w:rPr>
                          <w:sz w:val="20"/>
                          <w:szCs w:val="20"/>
                        </w:rPr>
                        <w:t xml:space="preserve"> = </w:t>
                      </w:r>
                      <w:r w:rsidRPr="00A203AC">
                        <w:rPr>
                          <w:b/>
                          <w:bCs/>
                          <w:sz w:val="20"/>
                          <w:szCs w:val="20"/>
                        </w:rPr>
                        <w:t>&lt;0.001</w:t>
                      </w:r>
                      <w:r>
                        <w:rPr>
                          <w:b/>
                          <w:bCs/>
                          <w:sz w:val="20"/>
                          <w:szCs w:val="20"/>
                        </w:rPr>
                        <w:t>*</w:t>
                      </w:r>
                      <w:r w:rsidRPr="00B64C33">
                        <w:rPr>
                          <w:sz w:val="20"/>
                          <w:szCs w:val="20"/>
                        </w:rPr>
                        <w:t xml:space="preserve">). </w:t>
                      </w:r>
                      <w:r w:rsidRPr="000E4F4A">
                        <w:rPr>
                          <w:b/>
                          <w:bCs/>
                          <w:sz w:val="20"/>
                          <w:szCs w:val="20"/>
                        </w:rPr>
                        <w:t xml:space="preserve">E </w:t>
                      </w:r>
                      <w:r>
                        <w:rPr>
                          <w:rFonts w:cs="Mangal" w:hint="cs"/>
                          <w:sz w:val="20"/>
                          <w:szCs w:val="20"/>
                          <w:cs/>
                          <w:lang w:bidi="mr-IN"/>
                        </w:rPr>
                        <w:t xml:space="preserve">- </w:t>
                      </w:r>
                      <w:r w:rsidRPr="000E4F4A">
                        <w:rPr>
                          <w:sz w:val="20"/>
                          <w:szCs w:val="20"/>
                        </w:rPr>
                        <w:t xml:space="preserve">Non-Caucasian race is associated with increased </w:t>
                      </w:r>
                      <w:r>
                        <w:rPr>
                          <w:sz w:val="20"/>
                          <w:szCs w:val="20"/>
                        </w:rPr>
                        <w:t>g</w:t>
                      </w:r>
                      <w:r w:rsidRPr="000E4F4A">
                        <w:rPr>
                          <w:sz w:val="20"/>
                          <w:szCs w:val="20"/>
                        </w:rPr>
                        <w:t xml:space="preserve">rade of fibrosis </w:t>
                      </w:r>
                      <w:r w:rsidRPr="00B64C33">
                        <w:rPr>
                          <w:sz w:val="20"/>
                          <w:szCs w:val="20"/>
                        </w:rPr>
                        <w:t>(</w:t>
                      </w:r>
                      <w:r w:rsidRPr="00A203AC">
                        <w:rPr>
                          <w:b/>
                          <w:bCs/>
                          <w:i/>
                          <w:iCs/>
                          <w:sz w:val="20"/>
                          <w:szCs w:val="20"/>
                        </w:rPr>
                        <w:t xml:space="preserve">p = </w:t>
                      </w:r>
                      <w:r w:rsidRPr="00A203AC">
                        <w:rPr>
                          <w:b/>
                          <w:bCs/>
                          <w:sz w:val="20"/>
                          <w:szCs w:val="20"/>
                        </w:rPr>
                        <w:t>0.012</w:t>
                      </w:r>
                      <w:r>
                        <w:rPr>
                          <w:b/>
                          <w:bCs/>
                          <w:sz w:val="20"/>
                          <w:szCs w:val="20"/>
                        </w:rPr>
                        <w:t>*</w:t>
                      </w:r>
                      <w:r w:rsidRPr="00B64C33">
                        <w:rPr>
                          <w:sz w:val="20"/>
                          <w:szCs w:val="20"/>
                        </w:rPr>
                        <w:t>).</w:t>
                      </w:r>
                      <w:r w:rsidRPr="000E4F4A">
                        <w:rPr>
                          <w:sz w:val="20"/>
                          <w:szCs w:val="20"/>
                        </w:rPr>
                        <w:t xml:space="preserve"> </w:t>
                      </w:r>
                      <w:r w:rsidRPr="000E4F4A">
                        <w:rPr>
                          <w:b/>
                          <w:bCs/>
                          <w:sz w:val="20"/>
                          <w:szCs w:val="20"/>
                        </w:rPr>
                        <w:t xml:space="preserve">F </w:t>
                      </w:r>
                      <w:r>
                        <w:rPr>
                          <w:rFonts w:cs="Mangal" w:hint="cs"/>
                          <w:sz w:val="20"/>
                          <w:szCs w:val="20"/>
                          <w:cs/>
                          <w:lang w:bidi="mr-IN"/>
                        </w:rPr>
                        <w:t>-</w:t>
                      </w:r>
                      <w:r w:rsidRPr="000E4F4A">
                        <w:rPr>
                          <w:sz w:val="20"/>
                          <w:szCs w:val="20"/>
                        </w:rPr>
                        <w:t xml:space="preserve"> Grade of fibrosis in uninsured patients or patients with Medicaid approaches significance (</w:t>
                      </w:r>
                      <w:r w:rsidRPr="000E4F4A">
                        <w:rPr>
                          <w:i/>
                          <w:iCs/>
                          <w:sz w:val="20"/>
                          <w:szCs w:val="20"/>
                        </w:rPr>
                        <w:t>p</w:t>
                      </w:r>
                      <w:r w:rsidRPr="000E4F4A">
                        <w:rPr>
                          <w:sz w:val="20"/>
                          <w:szCs w:val="20"/>
                        </w:rPr>
                        <w:t xml:space="preserve"> = 0.054). </w:t>
                      </w:r>
                      <w:r>
                        <w:rPr>
                          <w:b/>
                          <w:bCs/>
                          <w:sz w:val="20"/>
                          <w:szCs w:val="20"/>
                        </w:rPr>
                        <w:t>* = significant</w:t>
                      </w:r>
                    </w:p>
                    <w:p w14:paraId="61A17BE5" w14:textId="77777777" w:rsidR="001D34AA" w:rsidRPr="000E4F4A" w:rsidRDefault="001D34AA" w:rsidP="002C1212">
                      <w:pPr>
                        <w:rPr>
                          <w:sz w:val="20"/>
                          <w:szCs w:val="20"/>
                        </w:rPr>
                      </w:pPr>
                    </w:p>
                  </w:txbxContent>
                </v:textbox>
              </v:shape>
            </w:pict>
          </mc:Fallback>
        </mc:AlternateContent>
      </w:r>
      <w:r w:rsidRPr="002C1212">
        <w:rPr>
          <w:rFonts w:ascii="Calibri" w:eastAsia="Calibri" w:hAnsi="Calibri" w:cs="Times New Roman"/>
          <w:noProof/>
          <w:szCs w:val="24"/>
        </w:rPr>
        <mc:AlternateContent>
          <mc:Choice Requires="wps">
            <w:drawing>
              <wp:anchor distT="0" distB="0" distL="114300" distR="114300" simplePos="0" relativeHeight="251661312" behindDoc="0" locked="0" layoutInCell="1" allowOverlap="1" wp14:anchorId="147A017A" wp14:editId="27974F0F">
                <wp:simplePos x="0" y="0"/>
                <wp:positionH relativeFrom="column">
                  <wp:posOffset>1407352</wp:posOffset>
                </wp:positionH>
                <wp:positionV relativeFrom="paragraph">
                  <wp:posOffset>1341120</wp:posOffset>
                </wp:positionV>
                <wp:extent cx="369642" cy="190882"/>
                <wp:effectExtent l="0" t="0" r="0" b="0"/>
                <wp:wrapNone/>
                <wp:docPr id="16" name="Text Box 1"/>
                <wp:cNvGraphicFramePr/>
                <a:graphic xmlns:a="http://schemas.openxmlformats.org/drawingml/2006/main">
                  <a:graphicData uri="http://schemas.microsoft.com/office/word/2010/wordprocessingShape">
                    <wps:wsp>
                      <wps:cNvSpPr txBox="1"/>
                      <wps:spPr>
                        <a:xfrm>
                          <a:off x="0" y="0"/>
                          <a:ext cx="369642" cy="190882"/>
                        </a:xfrm>
                        <a:prstGeom prst="rect">
                          <a:avLst/>
                        </a:prstGeom>
                      </wps:spPr>
                      <wps:txbx>
                        <w:txbxContent>
                          <w:p w14:paraId="23C30D32" w14:textId="77777777" w:rsidR="001D34AA" w:rsidRPr="002C1212" w:rsidRDefault="001D34AA" w:rsidP="002C1212">
                            <w:pPr>
                              <w:rPr>
                                <w:color w:val="000000"/>
                              </w:rPr>
                            </w:pPr>
                            <w:r w:rsidRPr="002C1212">
                              <w:rPr>
                                <w:rFonts w:hAnsi="Calibri"/>
                                <w:color w:val="000000"/>
                                <w:sz w:val="12"/>
                                <w:szCs w:val="12"/>
                              </w:rPr>
                              <w:t>n=1</w:t>
                            </w:r>
                          </w:p>
                        </w:txbxContent>
                      </wps:txbx>
                      <wps:bodyPr vertOverflow="clip" wrap="square" rtlCol="0"/>
                    </wps:wsp>
                  </a:graphicData>
                </a:graphic>
              </wp:anchor>
            </w:drawing>
          </mc:Choice>
          <mc:Fallback>
            <w:pict>
              <v:shape w14:anchorId="147A017A" id="_x0000_s1029" type="#_x0000_t202" style="position:absolute;margin-left:110.8pt;margin-top:105.6pt;width:29.1pt;height:15.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" filled="f" stroked="f">
                <v:textbox>
                  <w:txbxContent>
                    <w:p w14:paraId="23C30D32" w14:textId="77777777" w:rsidR="001D34AA" w:rsidRPr="002C1212" w:rsidRDefault="001D34AA" w:rsidP="002C1212">
                      <w:pPr>
                        <w:rPr>
                          <w:color w:val="000000"/>
                        </w:rPr>
                      </w:pPr>
                      <w:r w:rsidRPr="002C1212">
                        <w:rPr>
                          <w:rFonts w:hAnsi="Calibri"/>
                          <w:color w:val="000000"/>
                          <w:sz w:val="12"/>
                          <w:szCs w:val="12"/>
                        </w:rPr>
                        <w:t>n=1</w:t>
                      </w:r>
                    </w:p>
                  </w:txbxContent>
                </v:textbox>
              </v:shape>
            </w:pict>
          </mc:Fallback>
        </mc:AlternateContent>
      </w:r>
      <w:r w:rsidRPr="002C1212">
        <w:rPr>
          <w:rFonts w:ascii="Calibri" w:eastAsia="Calibri" w:hAnsi="Calibri" w:cs="Times New Roman"/>
          <w:noProof/>
          <w:szCs w:val="24"/>
        </w:rPr>
        <w:drawing>
          <wp:inline distT="0" distB="0" distL="0" distR="0" wp14:anchorId="72C0AC97" wp14:editId="64AA1B42">
            <wp:extent cx="2830830" cy="2083324"/>
            <wp:effectExtent l="0" t="0" r="127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2C1212">
        <w:rPr>
          <w:rFonts w:ascii="Calibri" w:eastAsia="Calibri" w:hAnsi="Calibri" w:cs="Times New Roman"/>
          <w:noProof/>
          <w:szCs w:val="24"/>
        </w:rPr>
        <w:drawing>
          <wp:inline distT="0" distB="0" distL="0" distR="0" wp14:anchorId="6CE49D4C" wp14:editId="19736326">
            <wp:extent cx="2830830" cy="2083324"/>
            <wp:effectExtent l="0" t="0" r="127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ACBE2C3" w14:textId="77777777" w:rsidR="002C1212" w:rsidRPr="002C1212" w:rsidRDefault="002C1212" w:rsidP="002C1212">
      <w:pPr>
        <w:spacing w:before="0" w:after="0"/>
        <w:rPr>
          <w:rFonts w:ascii="Calibri" w:eastAsia="Calibri" w:hAnsi="Calibri" w:cs="Times New Roman"/>
          <w:szCs w:val="24"/>
        </w:rPr>
      </w:pPr>
    </w:p>
    <w:p w14:paraId="0AC722B8" w14:textId="77777777" w:rsidR="002C1212" w:rsidRPr="002C1212" w:rsidRDefault="002C1212" w:rsidP="002C1212">
      <w:pPr>
        <w:spacing w:before="0" w:after="0"/>
        <w:rPr>
          <w:rFonts w:ascii="Calibri" w:eastAsia="Calibri" w:hAnsi="Calibri" w:cs="Times New Roman"/>
          <w:szCs w:val="24"/>
        </w:rPr>
      </w:pPr>
    </w:p>
    <w:p w14:paraId="76C99D2D" w14:textId="6F4B0CE6" w:rsidR="002C1212" w:rsidRPr="002C1212" w:rsidRDefault="002C1212" w:rsidP="002C1212">
      <w:pPr>
        <w:spacing w:before="0" w:after="0"/>
        <w:rPr>
          <w:rFonts w:ascii="Calibri" w:eastAsia="Calibri" w:hAnsi="Calibri" w:cs="Times New Roman"/>
          <w:b/>
          <w:bCs/>
          <w:szCs w:val="24"/>
        </w:rPr>
      </w:pPr>
    </w:p>
    <w:sectPr w:rsidR="002C1212" w:rsidRPr="002C1212" w:rsidSect="00D537FA">
      <w:headerReference w:type="even" r:id="rId14"/>
      <w:headerReference w:type="default" r:id="rId15"/>
      <w:footerReference w:type="even" r:id="rId16"/>
      <w:footerReference w:type="default" r:id="rId17"/>
      <w:headerReference w:type="first" r:id="rId18"/>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6BFE1C" w14:textId="77777777" w:rsidR="00346543" w:rsidRDefault="00346543" w:rsidP="00117666">
      <w:pPr>
        <w:spacing w:after="0"/>
      </w:pPr>
      <w:r>
        <w:separator/>
      </w:r>
    </w:p>
  </w:endnote>
  <w:endnote w:type="continuationSeparator" w:id="0">
    <w:p w14:paraId="23CC66EE" w14:textId="77777777" w:rsidR="00346543" w:rsidRDefault="00346543"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Headings)">
    <w:panose1 w:val="00000000000000000000"/>
    <w:charset w:val="00"/>
    <w:family w:val="roman"/>
    <w:notTrueType/>
    <w:pitch w:val="default"/>
  </w:font>
  <w:font w:name="Mangal">
    <w:altName w:val="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D3D87" w14:textId="77777777" w:rsidR="001D34AA" w:rsidRPr="00577C4C" w:rsidRDefault="001D34AA">
    <w:pPr>
      <w:pStyle w:val="Footer"/>
      <w:rPr>
        <w:color w:val="C00000"/>
        <w:szCs w:val="24"/>
      </w:rPr>
    </w:pPr>
    <w:r w:rsidRPr="00577C4C">
      <w:rPr>
        <w:noProof/>
        <w:color w:val="C00000"/>
        <w:szCs w:val="24"/>
        <w:lang w:val="en-GB" w:eastAsia="en-GB"/>
      </w:rPr>
      <mc:AlternateContent>
        <mc:Choice Requires="wps">
          <w:drawing>
            <wp:anchor distT="0" distB="0" distL="114300" distR="114300" simplePos="0" relativeHeight="251683840" behindDoc="0" locked="0" layoutInCell="1" allowOverlap="1" wp14:anchorId="31D8D0F9" wp14:editId="65D5B02E">
              <wp:simplePos x="0" y="0"/>
              <wp:positionH relativeFrom="column">
                <wp:posOffset>-108280</wp:posOffset>
              </wp:positionH>
              <wp:positionV relativeFrom="paragraph">
                <wp:posOffset>-58420</wp:posOffset>
              </wp:positionV>
              <wp:extent cx="3672231"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headEnd/>
                        <a:tailEnd/>
                      </a:ln>
                    </wps:spPr>
                    <wps:txbx>
                      <w:txbxContent>
                        <w:p w14:paraId="462EE841" w14:textId="77777777" w:rsidR="001D34AA" w:rsidRPr="00E9561B" w:rsidRDefault="001D34AA">
                          <w:pPr>
                            <w:rPr>
                              <w:color w:val="C00000"/>
                            </w:rPr>
                          </w:pPr>
                          <w:r w:rsidRPr="00E9561B">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D8D0F9" id="_x0000_t202" coordsize="21600,21600" o:spt="202" path="m,l,21600r21600,l21600,xe">
              <v:stroke joinstyle="miter"/>
              <v:path gradientshapeok="t" o:connecttype="rect"/>
            </v:shapetype>
            <v:shape id="Text Box 2" o:spid="_x0000_s1030" type="#_x0000_t202" style="position:absolute;margin-left:-8.55pt;margin-top:-4.6pt;width:289.1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" stroked="f">
              <v:textbox style="mso-fit-shape-to-text:t">
                <w:txbxContent>
                  <w:p w14:paraId="462EE841" w14:textId="77777777" w:rsidR="001D34AA" w:rsidRPr="00E9561B" w:rsidRDefault="001D34AA">
                    <w:pPr>
                      <w:rPr>
                        <w:color w:val="C00000"/>
                      </w:rPr>
                    </w:pPr>
                    <w:r w:rsidRPr="00E9561B">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51D4B8BD" wp14:editId="68C0174E">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14951C5" w14:textId="77777777" w:rsidR="001D34AA" w:rsidRPr="00577C4C" w:rsidRDefault="001D34A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1D4B8BD" id="_x0000_s1031"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MjG5lo1AgAAZgQAAA4AAAAAAAAAAAAAAAAALgIA&#10;AGRycy9lMm9Eb2MueG1sUEsBAi0AFAAGAAgAAAAhADiwEsPZAAAABAEAAA8AAAAAAAAAAAAAAAAA&#10;jwQAAGRycy9kb3ducmV2LnhtbFBLBQYAAAAABAAEAPMAAACVBQAAAAA=&#10;" filled="f" stroked="f" strokeweight=".5pt">
              <v:textbox style="mso-fit-shape-to-text:t">
                <w:txbxContent>
                  <w:p w14:paraId="214951C5" w14:textId="77777777" w:rsidR="001D34AA" w:rsidRPr="00577C4C" w:rsidRDefault="001D34A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0BFF2" w14:textId="77777777" w:rsidR="001D34AA" w:rsidRPr="00577C4C" w:rsidRDefault="001D34AA">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4D070C5" w14:textId="77777777" w:rsidR="001D34AA" w:rsidRPr="00577C4C" w:rsidRDefault="001D34A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4AF3B6" id="_x0000_t202" coordsize="21600,21600" o:spt="202" path="m,l,21600r21600,l21600,xe">
              <v:stroke joinstyle="miter"/>
              <v:path gradientshapeok="t" o:connecttype="rect"/>
            </v:shapetype>
            <v:shape id="Text Box 56" o:spid="_x0000_s1032"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" filled="f" stroked="f" strokeweight=".5pt">
              <v:textbox style="mso-fit-shape-to-text:t">
                <w:txbxContent>
                  <w:p w14:paraId="74D070C5" w14:textId="77777777" w:rsidR="001D34AA" w:rsidRPr="00577C4C" w:rsidRDefault="001D34A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3CFC1F" w14:textId="77777777" w:rsidR="00346543" w:rsidRDefault="00346543" w:rsidP="00117666">
      <w:pPr>
        <w:spacing w:after="0"/>
      </w:pPr>
      <w:r>
        <w:separator/>
      </w:r>
    </w:p>
  </w:footnote>
  <w:footnote w:type="continuationSeparator" w:id="0">
    <w:p w14:paraId="4CB920BD" w14:textId="77777777" w:rsidR="00346543" w:rsidRDefault="00346543"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13A34" w14:textId="5F90BC80" w:rsidR="001D34AA" w:rsidRPr="007E3148" w:rsidRDefault="001D34AA" w:rsidP="00A53000">
    <w:pPr>
      <w:pStyle w:val="Header"/>
    </w:pPr>
    <w:r w:rsidRPr="007E3148">
      <w:ptab w:relativeTo="margin" w:alignment="center" w:leader="none"/>
    </w:r>
    <w:r w:rsidRPr="007E3148">
      <w:ptab w:relativeTo="margin" w:alignment="right" w:leader="none"/>
    </w:r>
    <w:r>
      <w:t>Neck Fibrosis – Demographic Factors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8A4BC" w14:textId="1E9312EA" w:rsidR="001D34AA" w:rsidRPr="002C1212" w:rsidRDefault="001D34AA" w:rsidP="002C1212">
    <w:pPr>
      <w:pStyle w:val="Header"/>
    </w:pPr>
    <w:r w:rsidRPr="007E3148">
      <w:ptab w:relativeTo="margin" w:alignment="center" w:leader="none"/>
    </w:r>
    <w:r w:rsidRPr="007E3148">
      <w:ptab w:relativeTo="margin" w:alignment="right" w:leader="none"/>
    </w:r>
    <w:r>
      <w:t>Neck Fibrosis – Demographic Factors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F27F1" w14:textId="6B229810" w:rsidR="001D34AA" w:rsidRDefault="001D34AA" w:rsidP="00A53000">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D4C3D"/>
    <w:multiLevelType w:val="hybridMultilevel"/>
    <w:tmpl w:val="021A0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653952"/>
    <w:multiLevelType w:val="hybridMultilevel"/>
    <w:tmpl w:val="9F144AEE"/>
    <w:lvl w:ilvl="0" w:tplc="6BC8526E">
      <w:start w:val="1"/>
      <w:numFmt w:val="decimal"/>
      <w:lvlText w:val="%1."/>
      <w:lvlJc w:val="left"/>
      <w:pPr>
        <w:ind w:left="432" w:hanging="36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6"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302A7CAC"/>
    <w:multiLevelType w:val="multilevel"/>
    <w:tmpl w:val="C6A8CCEA"/>
    <w:numStyleLink w:val="Headings"/>
  </w:abstractNum>
  <w:abstractNum w:abstractNumId="8"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BC6F29"/>
    <w:multiLevelType w:val="multilevel"/>
    <w:tmpl w:val="C6A8CCEA"/>
    <w:numStyleLink w:val="Headings"/>
  </w:abstractNum>
  <w:abstractNum w:abstractNumId="19"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5"/>
  </w:num>
  <w:num w:numId="3">
    <w:abstractNumId w:val="1"/>
  </w:num>
  <w:num w:numId="4">
    <w:abstractNumId w:val="17"/>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8"/>
  </w:num>
  <w:num w:numId="9">
    <w:abstractNumId w:val="11"/>
  </w:num>
  <w:num w:numId="10">
    <w:abstractNumId w:val="9"/>
  </w:num>
  <w:num w:numId="11">
    <w:abstractNumId w:val="4"/>
  </w:num>
  <w:num w:numId="12">
    <w:abstractNumId w:val="19"/>
  </w:num>
  <w:num w:numId="13">
    <w:abstractNumId w:val="14"/>
  </w:num>
  <w:num w:numId="14">
    <w:abstractNumId w:val="6"/>
  </w:num>
  <w:num w:numId="15">
    <w:abstractNumId w:val="13"/>
  </w:num>
  <w:num w:numId="16">
    <w:abstractNumId w:val="16"/>
  </w:num>
  <w:num w:numId="17">
    <w:abstractNumId w:val="5"/>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8"/>
  </w:num>
  <w:num w:numId="21">
    <w:abstractNumId w:val="5"/>
  </w:num>
  <w:num w:numId="22">
    <w:abstractNumId w:val="5"/>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BC285AF-7813-45F1-A4DA-99906BAEE277}"/>
    <w:docVar w:name="dgnword-eventsink" w:val="398232656"/>
  </w:docVars>
  <w:rsids>
    <w:rsidRoot w:val="00681821"/>
    <w:rsid w:val="00000A5A"/>
    <w:rsid w:val="000242D5"/>
    <w:rsid w:val="00034304"/>
    <w:rsid w:val="00035434"/>
    <w:rsid w:val="00044A41"/>
    <w:rsid w:val="00045678"/>
    <w:rsid w:val="000458E4"/>
    <w:rsid w:val="00063D84"/>
    <w:rsid w:val="000650CE"/>
    <w:rsid w:val="0006636D"/>
    <w:rsid w:val="00073D79"/>
    <w:rsid w:val="000748E6"/>
    <w:rsid w:val="00077D53"/>
    <w:rsid w:val="00081394"/>
    <w:rsid w:val="000A5EB9"/>
    <w:rsid w:val="000B0425"/>
    <w:rsid w:val="000B14F7"/>
    <w:rsid w:val="000B34BD"/>
    <w:rsid w:val="000C628F"/>
    <w:rsid w:val="000C7E2A"/>
    <w:rsid w:val="000D63A4"/>
    <w:rsid w:val="000F4CFB"/>
    <w:rsid w:val="00116887"/>
    <w:rsid w:val="00117666"/>
    <w:rsid w:val="001223A7"/>
    <w:rsid w:val="00123D28"/>
    <w:rsid w:val="00134256"/>
    <w:rsid w:val="001356A2"/>
    <w:rsid w:val="00142F3D"/>
    <w:rsid w:val="00147395"/>
    <w:rsid w:val="001552C9"/>
    <w:rsid w:val="00162C9F"/>
    <w:rsid w:val="001654B3"/>
    <w:rsid w:val="001704E5"/>
    <w:rsid w:val="00177D84"/>
    <w:rsid w:val="00185656"/>
    <w:rsid w:val="00196136"/>
    <w:rsid w:val="001964EF"/>
    <w:rsid w:val="001A77F3"/>
    <w:rsid w:val="001B1A2C"/>
    <w:rsid w:val="001B3536"/>
    <w:rsid w:val="001B3DEC"/>
    <w:rsid w:val="001D1EEA"/>
    <w:rsid w:val="001D34AA"/>
    <w:rsid w:val="001D56D2"/>
    <w:rsid w:val="001D5C23"/>
    <w:rsid w:val="001D6BDB"/>
    <w:rsid w:val="001F053F"/>
    <w:rsid w:val="001F486F"/>
    <w:rsid w:val="001F4C07"/>
    <w:rsid w:val="002012C6"/>
    <w:rsid w:val="00220AEA"/>
    <w:rsid w:val="0022280F"/>
    <w:rsid w:val="00226954"/>
    <w:rsid w:val="00233160"/>
    <w:rsid w:val="00237C89"/>
    <w:rsid w:val="00240B12"/>
    <w:rsid w:val="00247A36"/>
    <w:rsid w:val="00252E19"/>
    <w:rsid w:val="00257B33"/>
    <w:rsid w:val="00261647"/>
    <w:rsid w:val="002629A3"/>
    <w:rsid w:val="00265660"/>
    <w:rsid w:val="00267D18"/>
    <w:rsid w:val="002868E2"/>
    <w:rsid w:val="002869C3"/>
    <w:rsid w:val="00292F0E"/>
    <w:rsid w:val="002936E4"/>
    <w:rsid w:val="00296B88"/>
    <w:rsid w:val="002A3DEA"/>
    <w:rsid w:val="002C073C"/>
    <w:rsid w:val="002C1212"/>
    <w:rsid w:val="002C2959"/>
    <w:rsid w:val="002C74CA"/>
    <w:rsid w:val="002D2C6F"/>
    <w:rsid w:val="002D678C"/>
    <w:rsid w:val="002E6781"/>
    <w:rsid w:val="002F744D"/>
    <w:rsid w:val="00303DE6"/>
    <w:rsid w:val="003078C0"/>
    <w:rsid w:val="00310124"/>
    <w:rsid w:val="003452A3"/>
    <w:rsid w:val="00345D54"/>
    <w:rsid w:val="00346543"/>
    <w:rsid w:val="003544FB"/>
    <w:rsid w:val="00364746"/>
    <w:rsid w:val="00365D63"/>
    <w:rsid w:val="0036793B"/>
    <w:rsid w:val="00372682"/>
    <w:rsid w:val="00376CC5"/>
    <w:rsid w:val="0039693B"/>
    <w:rsid w:val="003A3EC8"/>
    <w:rsid w:val="003A5E21"/>
    <w:rsid w:val="003B0528"/>
    <w:rsid w:val="003C4081"/>
    <w:rsid w:val="003D2F2D"/>
    <w:rsid w:val="003D5A33"/>
    <w:rsid w:val="003D6E68"/>
    <w:rsid w:val="003E1E19"/>
    <w:rsid w:val="003E20C6"/>
    <w:rsid w:val="003F6290"/>
    <w:rsid w:val="00401590"/>
    <w:rsid w:val="00420C0F"/>
    <w:rsid w:val="00422C94"/>
    <w:rsid w:val="00435EDA"/>
    <w:rsid w:val="00462612"/>
    <w:rsid w:val="00463E3D"/>
    <w:rsid w:val="00464420"/>
    <w:rsid w:val="004645AE"/>
    <w:rsid w:val="00485B73"/>
    <w:rsid w:val="00493BBB"/>
    <w:rsid w:val="004A5DDD"/>
    <w:rsid w:val="004C71E4"/>
    <w:rsid w:val="004D3E33"/>
    <w:rsid w:val="004D501B"/>
    <w:rsid w:val="004D71B1"/>
    <w:rsid w:val="004E0CA1"/>
    <w:rsid w:val="004E6617"/>
    <w:rsid w:val="005144F2"/>
    <w:rsid w:val="005250F2"/>
    <w:rsid w:val="00571C1C"/>
    <w:rsid w:val="00587512"/>
    <w:rsid w:val="005A1D84"/>
    <w:rsid w:val="005A353A"/>
    <w:rsid w:val="005A70EA"/>
    <w:rsid w:val="005B377B"/>
    <w:rsid w:val="005C2C33"/>
    <w:rsid w:val="005C3963"/>
    <w:rsid w:val="005D1840"/>
    <w:rsid w:val="005D1A5B"/>
    <w:rsid w:val="005D35E4"/>
    <w:rsid w:val="005D3F3E"/>
    <w:rsid w:val="005D7910"/>
    <w:rsid w:val="005E6D02"/>
    <w:rsid w:val="005E74AE"/>
    <w:rsid w:val="00616984"/>
    <w:rsid w:val="00617365"/>
    <w:rsid w:val="0062154F"/>
    <w:rsid w:val="00631A8C"/>
    <w:rsid w:val="00634AC3"/>
    <w:rsid w:val="00651CA2"/>
    <w:rsid w:val="00653D60"/>
    <w:rsid w:val="00660D05"/>
    <w:rsid w:val="00671D9A"/>
    <w:rsid w:val="00673952"/>
    <w:rsid w:val="00681821"/>
    <w:rsid w:val="006831EE"/>
    <w:rsid w:val="00686823"/>
    <w:rsid w:val="00686C9D"/>
    <w:rsid w:val="006B17FE"/>
    <w:rsid w:val="006B2D5B"/>
    <w:rsid w:val="006B7D14"/>
    <w:rsid w:val="006D2B03"/>
    <w:rsid w:val="006D5B93"/>
    <w:rsid w:val="007040DF"/>
    <w:rsid w:val="00723BF0"/>
    <w:rsid w:val="00725A7D"/>
    <w:rsid w:val="0073085C"/>
    <w:rsid w:val="00733784"/>
    <w:rsid w:val="00746505"/>
    <w:rsid w:val="007620EE"/>
    <w:rsid w:val="00771415"/>
    <w:rsid w:val="007757FB"/>
    <w:rsid w:val="00784FBC"/>
    <w:rsid w:val="0078735C"/>
    <w:rsid w:val="00790BB3"/>
    <w:rsid w:val="00792043"/>
    <w:rsid w:val="00797EDD"/>
    <w:rsid w:val="007A402C"/>
    <w:rsid w:val="007A7965"/>
    <w:rsid w:val="007B0322"/>
    <w:rsid w:val="007C0E3F"/>
    <w:rsid w:val="007C206C"/>
    <w:rsid w:val="007C250A"/>
    <w:rsid w:val="007C5729"/>
    <w:rsid w:val="007E4404"/>
    <w:rsid w:val="007E5AC1"/>
    <w:rsid w:val="007F4571"/>
    <w:rsid w:val="007F66DB"/>
    <w:rsid w:val="00807CC5"/>
    <w:rsid w:val="008111E4"/>
    <w:rsid w:val="008128A0"/>
    <w:rsid w:val="0081301C"/>
    <w:rsid w:val="00817DD6"/>
    <w:rsid w:val="00832E1C"/>
    <w:rsid w:val="00844DEE"/>
    <w:rsid w:val="00861788"/>
    <w:rsid w:val="008629A9"/>
    <w:rsid w:val="00863D61"/>
    <w:rsid w:val="008655A1"/>
    <w:rsid w:val="00884F7C"/>
    <w:rsid w:val="0088513A"/>
    <w:rsid w:val="00893C19"/>
    <w:rsid w:val="00897F90"/>
    <w:rsid w:val="008C6734"/>
    <w:rsid w:val="008C6B98"/>
    <w:rsid w:val="008D6C8D"/>
    <w:rsid w:val="008E0460"/>
    <w:rsid w:val="008E2B54"/>
    <w:rsid w:val="008E4404"/>
    <w:rsid w:val="008E58C7"/>
    <w:rsid w:val="008F35C4"/>
    <w:rsid w:val="008F5021"/>
    <w:rsid w:val="00927754"/>
    <w:rsid w:val="00943573"/>
    <w:rsid w:val="00955E20"/>
    <w:rsid w:val="00956C5D"/>
    <w:rsid w:val="00963E08"/>
    <w:rsid w:val="00971B61"/>
    <w:rsid w:val="00980C31"/>
    <w:rsid w:val="009955FF"/>
    <w:rsid w:val="009A5FDF"/>
    <w:rsid w:val="009D259D"/>
    <w:rsid w:val="00A01A49"/>
    <w:rsid w:val="00A0593D"/>
    <w:rsid w:val="00A12982"/>
    <w:rsid w:val="00A159D4"/>
    <w:rsid w:val="00A17C5E"/>
    <w:rsid w:val="00A20DAD"/>
    <w:rsid w:val="00A211E7"/>
    <w:rsid w:val="00A26683"/>
    <w:rsid w:val="00A50D9D"/>
    <w:rsid w:val="00A53000"/>
    <w:rsid w:val="00A5375E"/>
    <w:rsid w:val="00A545C6"/>
    <w:rsid w:val="00A54E0A"/>
    <w:rsid w:val="00A652D0"/>
    <w:rsid w:val="00A75F87"/>
    <w:rsid w:val="00A8760F"/>
    <w:rsid w:val="00A91774"/>
    <w:rsid w:val="00A917E3"/>
    <w:rsid w:val="00A95D8B"/>
    <w:rsid w:val="00A973F6"/>
    <w:rsid w:val="00AC0270"/>
    <w:rsid w:val="00AC3B72"/>
    <w:rsid w:val="00AC3EA3"/>
    <w:rsid w:val="00AC792D"/>
    <w:rsid w:val="00AC79FA"/>
    <w:rsid w:val="00B154B0"/>
    <w:rsid w:val="00B46A98"/>
    <w:rsid w:val="00B56D2B"/>
    <w:rsid w:val="00B57A13"/>
    <w:rsid w:val="00B63C2B"/>
    <w:rsid w:val="00B64C33"/>
    <w:rsid w:val="00B657B8"/>
    <w:rsid w:val="00B84920"/>
    <w:rsid w:val="00B8556A"/>
    <w:rsid w:val="00BA3AA5"/>
    <w:rsid w:val="00BA5713"/>
    <w:rsid w:val="00BB054B"/>
    <w:rsid w:val="00BB115F"/>
    <w:rsid w:val="00BC671B"/>
    <w:rsid w:val="00BE0933"/>
    <w:rsid w:val="00BE2A8A"/>
    <w:rsid w:val="00BE4E1A"/>
    <w:rsid w:val="00BF5942"/>
    <w:rsid w:val="00C012A3"/>
    <w:rsid w:val="00C16F19"/>
    <w:rsid w:val="00C17ED4"/>
    <w:rsid w:val="00C22654"/>
    <w:rsid w:val="00C22828"/>
    <w:rsid w:val="00C27B38"/>
    <w:rsid w:val="00C31B2F"/>
    <w:rsid w:val="00C357DF"/>
    <w:rsid w:val="00C52A7B"/>
    <w:rsid w:val="00C61928"/>
    <w:rsid w:val="00C6324C"/>
    <w:rsid w:val="00C64088"/>
    <w:rsid w:val="00C679AA"/>
    <w:rsid w:val="00C71B98"/>
    <w:rsid w:val="00C724CF"/>
    <w:rsid w:val="00C75972"/>
    <w:rsid w:val="00C82792"/>
    <w:rsid w:val="00C87E54"/>
    <w:rsid w:val="00C90E8D"/>
    <w:rsid w:val="00C91446"/>
    <w:rsid w:val="00C948FD"/>
    <w:rsid w:val="00CB43D5"/>
    <w:rsid w:val="00CB57A5"/>
    <w:rsid w:val="00CC76F9"/>
    <w:rsid w:val="00CC7FAE"/>
    <w:rsid w:val="00CD066B"/>
    <w:rsid w:val="00CD46E2"/>
    <w:rsid w:val="00CD521D"/>
    <w:rsid w:val="00CF1E31"/>
    <w:rsid w:val="00D00782"/>
    <w:rsid w:val="00D00D0B"/>
    <w:rsid w:val="00D04B69"/>
    <w:rsid w:val="00D1797F"/>
    <w:rsid w:val="00D17E6B"/>
    <w:rsid w:val="00D537FA"/>
    <w:rsid w:val="00D5547D"/>
    <w:rsid w:val="00D57BFC"/>
    <w:rsid w:val="00D71AE3"/>
    <w:rsid w:val="00D80D99"/>
    <w:rsid w:val="00D9503C"/>
    <w:rsid w:val="00DA2FB5"/>
    <w:rsid w:val="00DB0ECA"/>
    <w:rsid w:val="00DC1716"/>
    <w:rsid w:val="00DC38CF"/>
    <w:rsid w:val="00DD73EF"/>
    <w:rsid w:val="00DE23E8"/>
    <w:rsid w:val="00E0076C"/>
    <w:rsid w:val="00E0128B"/>
    <w:rsid w:val="00E0433E"/>
    <w:rsid w:val="00E260CD"/>
    <w:rsid w:val="00E64E17"/>
    <w:rsid w:val="00E93A24"/>
    <w:rsid w:val="00E97C76"/>
    <w:rsid w:val="00EA3D3C"/>
    <w:rsid w:val="00EC2915"/>
    <w:rsid w:val="00EC7CC3"/>
    <w:rsid w:val="00EF1E8A"/>
    <w:rsid w:val="00F20458"/>
    <w:rsid w:val="00F41831"/>
    <w:rsid w:val="00F4354F"/>
    <w:rsid w:val="00F46494"/>
    <w:rsid w:val="00F558AB"/>
    <w:rsid w:val="00F56CD9"/>
    <w:rsid w:val="00F61D89"/>
    <w:rsid w:val="00F703EE"/>
    <w:rsid w:val="00F77E4B"/>
    <w:rsid w:val="00F86ABB"/>
    <w:rsid w:val="00F968BE"/>
    <w:rsid w:val="00FA6B0E"/>
    <w:rsid w:val="00FB0D7B"/>
    <w:rsid w:val="00FB30C3"/>
    <w:rsid w:val="00FD7648"/>
    <w:rsid w:val="00FF6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A59A7"/>
  <w15:docId w15:val="{B98209AD-3451-4824-82E1-1DFAFFB1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C2B"/>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table" w:customStyle="1" w:styleId="TableGrid1">
    <w:name w:val="Table Grid1"/>
    <w:basedOn w:val="TableNormal"/>
    <w:next w:val="TableGrid"/>
    <w:uiPriority w:val="39"/>
    <w:rsid w:val="00B63C2B"/>
    <w:pPr>
      <w:spacing w:after="0" w:line="240"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97C76"/>
    <w:pPr>
      <w:spacing w:after="0" w:line="240"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23595192">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chartUserShapes" Target="../drawings/drawing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5" Type="http://schemas.openxmlformats.org/officeDocument/2006/relationships/chartUserShapes" Target="../drawings/drawing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5" Type="http://schemas.openxmlformats.org/officeDocument/2006/relationships/chartUserShapes" Target="../drawings/drawing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5" Type="http://schemas.openxmlformats.org/officeDocument/2006/relationships/chartUserShapes" Target="../drawings/drawing5.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5" Type="http://schemas.openxmlformats.org/officeDocument/2006/relationships/chartUserShapes" Target="../drawings/drawing6.xml"/><Relationship Id="rId4"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r>
              <a:rPr lang="en-US" sz="1000">
                <a:solidFill>
                  <a:schemeClr val="tx1"/>
                </a:solidFill>
              </a:rPr>
              <a:t>(a)</a:t>
            </a:r>
            <a:r>
              <a:rPr lang="en-US" sz="1000" baseline="0">
                <a:solidFill>
                  <a:schemeClr val="tx1"/>
                </a:solidFill>
              </a:rPr>
              <a:t> </a:t>
            </a:r>
            <a:endParaRPr lang="en-US" sz="1000">
              <a:solidFill>
                <a:schemeClr val="tx1"/>
              </a:solidFill>
            </a:endParaRPr>
          </a:p>
        </c:rich>
      </c:tx>
      <c:layout>
        <c:manualLayout>
          <c:xMode val="edge"/>
          <c:yMode val="edge"/>
          <c:x val="5.2792643853569438E-2"/>
          <c:y val="0.83579988477050127"/>
        </c:manualLayout>
      </c:layout>
      <c:overlay val="1"/>
      <c:spPr>
        <a:noFill/>
        <a:ln>
          <a:noFill/>
        </a:ln>
        <a:effectLst/>
      </c:spPr>
      <c:txPr>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No Recurrence</c:v>
                </c:pt>
              </c:strCache>
            </c:strRef>
          </c:tx>
          <c:spPr>
            <a:solidFill>
              <a:schemeClr val="tx1"/>
            </a:solidFill>
            <a:ln w="9525" cap="flat" cmpd="sng" algn="ctr">
              <a:solidFill>
                <a:schemeClr val="dk1">
                  <a:tint val="885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Sheet1!$B$2:$B$4</c:f>
              <c:numCache>
                <c:formatCode>0%</c:formatCode>
                <c:ptCount val="3"/>
                <c:pt idx="0">
                  <c:v>0.9</c:v>
                </c:pt>
                <c:pt idx="1">
                  <c:v>0.1</c:v>
                </c:pt>
                <c:pt idx="2">
                  <c:v>0</c:v>
                </c:pt>
              </c:numCache>
            </c:numRef>
          </c:val>
          <c:extLst>
            <c:ext xmlns:c16="http://schemas.microsoft.com/office/drawing/2014/chart" uri="{C3380CC4-5D6E-409C-BE32-E72D297353CC}">
              <c16:uniqueId val="{00000000-E25D-4EA6-ACFB-27077F48D3C0}"/>
            </c:ext>
          </c:extLst>
        </c:ser>
        <c:ser>
          <c:idx val="1"/>
          <c:order val="1"/>
          <c:tx>
            <c:strRef>
              <c:f>Sheet1!$C$1</c:f>
              <c:strCache>
                <c:ptCount val="1"/>
                <c:pt idx="0">
                  <c:v>Recurrence</c:v>
                </c:pt>
              </c:strCache>
            </c:strRef>
          </c:tx>
          <c:spPr>
            <a:gradFill rotWithShape="1">
              <a:gsLst>
                <a:gs pos="0">
                  <a:schemeClr val="dk1">
                    <a:tint val="55000"/>
                    <a:lumMod val="110000"/>
                    <a:satMod val="105000"/>
                    <a:tint val="67000"/>
                  </a:schemeClr>
                </a:gs>
                <a:gs pos="50000">
                  <a:schemeClr val="dk1">
                    <a:tint val="55000"/>
                    <a:lumMod val="105000"/>
                    <a:satMod val="103000"/>
                    <a:tint val="73000"/>
                  </a:schemeClr>
                </a:gs>
                <a:gs pos="100000">
                  <a:schemeClr val="dk1">
                    <a:tint val="55000"/>
                    <a:lumMod val="105000"/>
                    <a:satMod val="109000"/>
                    <a:tint val="81000"/>
                  </a:schemeClr>
                </a:gs>
              </a:gsLst>
              <a:lin ang="5400000" scaled="0"/>
            </a:gradFill>
            <a:ln w="9525" cap="flat" cmpd="sng" algn="ctr">
              <a:solidFill>
                <a:schemeClr val="dk1">
                  <a:tint val="550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Sheet1!$C$2:$C$4</c:f>
              <c:numCache>
                <c:formatCode>0%</c:formatCode>
                <c:ptCount val="3"/>
                <c:pt idx="0">
                  <c:v>0.79</c:v>
                </c:pt>
                <c:pt idx="1">
                  <c:v>0.08</c:v>
                </c:pt>
                <c:pt idx="2">
                  <c:v>0.13</c:v>
                </c:pt>
              </c:numCache>
            </c:numRef>
          </c:val>
          <c:extLst>
            <c:ext xmlns:c16="http://schemas.microsoft.com/office/drawing/2014/chart" uri="{C3380CC4-5D6E-409C-BE32-E72D297353CC}">
              <c16:uniqueId val="{00000001-E25D-4EA6-ACFB-27077F48D3C0}"/>
            </c:ext>
          </c:extLst>
        </c:ser>
        <c:dLbls>
          <c:dLblPos val="outEnd"/>
          <c:showLegendKey val="0"/>
          <c:showVal val="1"/>
          <c:showCatName val="0"/>
          <c:showSerName val="0"/>
          <c:showPercent val="0"/>
          <c:showBubbleSize val="0"/>
        </c:dLbls>
        <c:gapWidth val="100"/>
        <c:overlap val="-24"/>
        <c:axId val="1900758927"/>
        <c:axId val="1917638191"/>
      </c:barChart>
      <c:catAx>
        <c:axId val="1900758927"/>
        <c:scaling>
          <c:orientation val="minMax"/>
        </c:scaling>
        <c:delete val="0"/>
        <c:axPos val="b"/>
        <c:title>
          <c:tx>
            <c:rich>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r>
                  <a:rPr lang="en-US" sz="1000">
                    <a:solidFill>
                      <a:schemeClr val="tx1"/>
                    </a:solidFill>
                  </a:rPr>
                  <a:t>CTCAE Grade</a:t>
                </a:r>
              </a:p>
            </c:rich>
          </c:tx>
          <c:layout>
            <c:manualLayout>
              <c:xMode val="edge"/>
              <c:yMode val="edge"/>
              <c:x val="0.45447342298901744"/>
              <c:y val="0.82192049164586134"/>
            </c:manualLayout>
          </c:layout>
          <c:overlay val="0"/>
          <c:spPr>
            <a:noFill/>
            <a:ln>
              <a:noFill/>
            </a:ln>
            <a:effectLst/>
          </c:spPr>
          <c:txPr>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17638191"/>
        <c:crosses val="autoZero"/>
        <c:auto val="1"/>
        <c:lblAlgn val="ctr"/>
        <c:lblOffset val="100"/>
        <c:noMultiLvlLbl val="0"/>
      </c:catAx>
      <c:valAx>
        <c:axId val="1917638191"/>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r>
                  <a:rPr lang="en-US" sz="800">
                    <a:solidFill>
                      <a:schemeClr val="tx1"/>
                    </a:solidFill>
                  </a:rPr>
                  <a:t>Percentage of Patients</a:t>
                </a:r>
              </a:p>
            </c:rich>
          </c:tx>
          <c:overlay val="0"/>
          <c:spPr>
            <a:noFill/>
            <a:ln>
              <a:noFill/>
            </a:ln>
            <a:effectLst/>
          </c:spPr>
          <c:txPr>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00758927"/>
        <c:crosses val="autoZero"/>
        <c:crossBetween val="between"/>
      </c:valAx>
      <c:spPr>
        <a:noFill/>
        <a:ln>
          <a:noFill/>
        </a:ln>
        <a:effectLst/>
      </c:spPr>
    </c:plotArea>
    <c:legend>
      <c:legendPos val="tr"/>
      <c:overlay val="1"/>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r>
              <a:rPr lang="en-US" sz="1000">
                <a:solidFill>
                  <a:schemeClr val="tx1"/>
                </a:solidFill>
              </a:rPr>
              <a:t>(b)</a:t>
            </a:r>
            <a:r>
              <a:rPr lang="en-US" sz="1000" baseline="0">
                <a:solidFill>
                  <a:schemeClr val="tx1"/>
                </a:solidFill>
              </a:rPr>
              <a:t> </a:t>
            </a:r>
            <a:endParaRPr lang="en-US" sz="1000">
              <a:solidFill>
                <a:schemeClr val="tx1"/>
              </a:solidFill>
            </a:endParaRPr>
          </a:p>
        </c:rich>
      </c:tx>
      <c:layout>
        <c:manualLayout>
          <c:xMode val="edge"/>
          <c:yMode val="edge"/>
          <c:x val="5.2792643853569438E-2"/>
          <c:y val="0.83579988477050127"/>
        </c:manualLayout>
      </c:layout>
      <c:overlay val="1"/>
      <c:spPr>
        <a:noFill/>
        <a:ln>
          <a:noFill/>
        </a:ln>
        <a:effectLst/>
      </c:spPr>
      <c:txPr>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No Alcohol</c:v>
                </c:pt>
              </c:strCache>
            </c:strRef>
          </c:tx>
          <c:spPr>
            <a:solidFill>
              <a:schemeClr val="tx1"/>
            </a:solidFill>
            <a:ln w="9525" cap="flat" cmpd="sng" algn="ctr">
              <a:solidFill>
                <a:schemeClr val="dk1">
                  <a:tint val="885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Sheet1!$B$2:$B$4</c:f>
              <c:numCache>
                <c:formatCode>0%</c:formatCode>
                <c:ptCount val="3"/>
                <c:pt idx="0">
                  <c:v>0.92</c:v>
                </c:pt>
                <c:pt idx="1">
                  <c:v>0.04</c:v>
                </c:pt>
                <c:pt idx="2">
                  <c:v>0.04</c:v>
                </c:pt>
              </c:numCache>
            </c:numRef>
          </c:val>
          <c:extLst>
            <c:ext xmlns:c16="http://schemas.microsoft.com/office/drawing/2014/chart" uri="{C3380CC4-5D6E-409C-BE32-E72D297353CC}">
              <c16:uniqueId val="{00000000-F439-4172-A641-261F40A82942}"/>
            </c:ext>
          </c:extLst>
        </c:ser>
        <c:ser>
          <c:idx val="1"/>
          <c:order val="1"/>
          <c:tx>
            <c:strRef>
              <c:f>Sheet1!$C$1</c:f>
              <c:strCache>
                <c:ptCount val="1"/>
                <c:pt idx="0">
                  <c:v>Active Alcohol Use</c:v>
                </c:pt>
              </c:strCache>
            </c:strRef>
          </c:tx>
          <c:spPr>
            <a:gradFill rotWithShape="1">
              <a:gsLst>
                <a:gs pos="0">
                  <a:schemeClr val="dk1">
                    <a:tint val="55000"/>
                    <a:lumMod val="110000"/>
                    <a:satMod val="105000"/>
                    <a:tint val="67000"/>
                  </a:schemeClr>
                </a:gs>
                <a:gs pos="50000">
                  <a:schemeClr val="dk1">
                    <a:tint val="55000"/>
                    <a:lumMod val="105000"/>
                    <a:satMod val="103000"/>
                    <a:tint val="73000"/>
                  </a:schemeClr>
                </a:gs>
                <a:gs pos="100000">
                  <a:schemeClr val="dk1">
                    <a:tint val="55000"/>
                    <a:lumMod val="105000"/>
                    <a:satMod val="109000"/>
                    <a:tint val="81000"/>
                  </a:schemeClr>
                </a:gs>
              </a:gsLst>
              <a:lin ang="5400000" scaled="0"/>
            </a:gradFill>
            <a:ln w="9525" cap="flat" cmpd="sng" algn="ctr">
              <a:solidFill>
                <a:schemeClr val="dk1">
                  <a:tint val="550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Sheet1!$C$2:$C$4</c:f>
              <c:numCache>
                <c:formatCode>0%</c:formatCode>
                <c:ptCount val="3"/>
                <c:pt idx="0">
                  <c:v>0.64</c:v>
                </c:pt>
                <c:pt idx="1">
                  <c:v>0.28999999999999998</c:v>
                </c:pt>
                <c:pt idx="2">
                  <c:v>7.0000000000000007E-2</c:v>
                </c:pt>
              </c:numCache>
            </c:numRef>
          </c:val>
          <c:extLst>
            <c:ext xmlns:c16="http://schemas.microsoft.com/office/drawing/2014/chart" uri="{C3380CC4-5D6E-409C-BE32-E72D297353CC}">
              <c16:uniqueId val="{00000001-F439-4172-A641-261F40A82942}"/>
            </c:ext>
          </c:extLst>
        </c:ser>
        <c:dLbls>
          <c:dLblPos val="outEnd"/>
          <c:showLegendKey val="0"/>
          <c:showVal val="1"/>
          <c:showCatName val="0"/>
          <c:showSerName val="0"/>
          <c:showPercent val="0"/>
          <c:showBubbleSize val="0"/>
        </c:dLbls>
        <c:gapWidth val="100"/>
        <c:overlap val="-24"/>
        <c:axId val="1900758927"/>
        <c:axId val="1917638191"/>
      </c:barChart>
      <c:catAx>
        <c:axId val="1900758927"/>
        <c:scaling>
          <c:orientation val="minMax"/>
        </c:scaling>
        <c:delete val="0"/>
        <c:axPos val="b"/>
        <c:title>
          <c:tx>
            <c:rich>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r>
                  <a:rPr lang="en-US" sz="1000">
                    <a:solidFill>
                      <a:schemeClr val="tx1"/>
                    </a:solidFill>
                  </a:rPr>
                  <a:t>CTCAE Grade</a:t>
                </a:r>
              </a:p>
            </c:rich>
          </c:tx>
          <c:layout>
            <c:manualLayout>
              <c:xMode val="edge"/>
              <c:yMode val="edge"/>
              <c:x val="0.45447342298901744"/>
              <c:y val="0.82192049164586134"/>
            </c:manualLayout>
          </c:layout>
          <c:overlay val="0"/>
          <c:spPr>
            <a:noFill/>
            <a:ln>
              <a:noFill/>
            </a:ln>
            <a:effectLst/>
          </c:spPr>
          <c:txPr>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17638191"/>
        <c:crosses val="autoZero"/>
        <c:auto val="1"/>
        <c:lblAlgn val="ctr"/>
        <c:lblOffset val="100"/>
        <c:noMultiLvlLbl val="0"/>
      </c:catAx>
      <c:valAx>
        <c:axId val="1917638191"/>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r>
                  <a:rPr lang="en-US" sz="800">
                    <a:solidFill>
                      <a:schemeClr val="tx1"/>
                    </a:solidFill>
                  </a:rPr>
                  <a:t>Percentage of Patients</a:t>
                </a:r>
              </a:p>
            </c:rich>
          </c:tx>
          <c:overlay val="0"/>
          <c:spPr>
            <a:noFill/>
            <a:ln>
              <a:noFill/>
            </a:ln>
            <a:effectLst/>
          </c:spPr>
          <c:txPr>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00758927"/>
        <c:crosses val="autoZero"/>
        <c:crossBetween val="between"/>
      </c:valAx>
      <c:spPr>
        <a:noFill/>
        <a:ln>
          <a:noFill/>
        </a:ln>
        <a:effectLst/>
      </c:spPr>
    </c:plotArea>
    <c:legend>
      <c:legendPos val="tr"/>
      <c:layout>
        <c:manualLayout>
          <c:xMode val="edge"/>
          <c:yMode val="edge"/>
          <c:x val="0.54327105477898707"/>
          <c:y val="4.878048780487805E-2"/>
          <c:w val="0.42981104481724441"/>
          <c:h val="0.27031496062992127"/>
        </c:manualLayout>
      </c:layout>
      <c:overlay val="1"/>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r>
              <a:rPr lang="en-US" sz="1000">
                <a:solidFill>
                  <a:schemeClr val="tx1"/>
                </a:solidFill>
              </a:rPr>
              <a:t>(c)</a:t>
            </a:r>
            <a:r>
              <a:rPr lang="en-US" sz="1000" baseline="0">
                <a:solidFill>
                  <a:schemeClr val="tx1"/>
                </a:solidFill>
              </a:rPr>
              <a:t> </a:t>
            </a:r>
            <a:endParaRPr lang="en-US" sz="1000">
              <a:solidFill>
                <a:schemeClr val="tx1"/>
              </a:solidFill>
            </a:endParaRPr>
          </a:p>
        </c:rich>
      </c:tx>
      <c:layout>
        <c:manualLayout>
          <c:xMode val="edge"/>
          <c:yMode val="edge"/>
          <c:x val="5.2792643853569438E-2"/>
          <c:y val="0.83579988477050127"/>
        </c:manualLayout>
      </c:layout>
      <c:overlay val="1"/>
      <c:spPr>
        <a:noFill/>
        <a:ln>
          <a:noFill/>
        </a:ln>
        <a:effectLst/>
      </c:spPr>
      <c:txPr>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&gt; 60 years old</c:v>
                </c:pt>
              </c:strCache>
            </c:strRef>
          </c:tx>
          <c:spPr>
            <a:solidFill>
              <a:schemeClr val="tx1"/>
            </a:solidFill>
            <a:ln w="9525" cap="flat" cmpd="sng" algn="ctr">
              <a:solidFill>
                <a:schemeClr val="dk1">
                  <a:tint val="885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Sheet1!$B$2:$B$4</c:f>
              <c:numCache>
                <c:formatCode>0%</c:formatCode>
                <c:ptCount val="3"/>
                <c:pt idx="0">
                  <c:v>0.95</c:v>
                </c:pt>
                <c:pt idx="1">
                  <c:v>0.03</c:v>
                </c:pt>
                <c:pt idx="2">
                  <c:v>0.03</c:v>
                </c:pt>
              </c:numCache>
            </c:numRef>
          </c:val>
          <c:extLst>
            <c:ext xmlns:c16="http://schemas.microsoft.com/office/drawing/2014/chart" uri="{C3380CC4-5D6E-409C-BE32-E72D297353CC}">
              <c16:uniqueId val="{00000000-88B5-4F02-B0EF-791625475E29}"/>
            </c:ext>
          </c:extLst>
        </c:ser>
        <c:ser>
          <c:idx val="1"/>
          <c:order val="1"/>
          <c:tx>
            <c:strRef>
              <c:f>Sheet1!$C$1</c:f>
              <c:strCache>
                <c:ptCount val="1"/>
                <c:pt idx="0">
                  <c:v>&lt; 60 years old</c:v>
                </c:pt>
              </c:strCache>
            </c:strRef>
          </c:tx>
          <c:spPr>
            <a:gradFill rotWithShape="1">
              <a:gsLst>
                <a:gs pos="0">
                  <a:schemeClr val="dk1">
                    <a:tint val="55000"/>
                    <a:lumMod val="110000"/>
                    <a:satMod val="105000"/>
                    <a:tint val="67000"/>
                  </a:schemeClr>
                </a:gs>
                <a:gs pos="50000">
                  <a:schemeClr val="dk1">
                    <a:tint val="55000"/>
                    <a:lumMod val="105000"/>
                    <a:satMod val="103000"/>
                    <a:tint val="73000"/>
                  </a:schemeClr>
                </a:gs>
                <a:gs pos="100000">
                  <a:schemeClr val="dk1">
                    <a:tint val="55000"/>
                    <a:lumMod val="105000"/>
                    <a:satMod val="109000"/>
                    <a:tint val="81000"/>
                  </a:schemeClr>
                </a:gs>
              </a:gsLst>
              <a:lin ang="5400000" scaled="0"/>
            </a:gradFill>
            <a:ln w="9525" cap="flat" cmpd="sng" algn="ctr">
              <a:solidFill>
                <a:schemeClr val="dk1">
                  <a:tint val="550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Sheet1!$C$2:$C$4</c:f>
              <c:numCache>
                <c:formatCode>0%</c:formatCode>
                <c:ptCount val="3"/>
                <c:pt idx="0">
                  <c:v>0.73</c:v>
                </c:pt>
                <c:pt idx="1">
                  <c:v>0.19</c:v>
                </c:pt>
                <c:pt idx="2">
                  <c:v>0.08</c:v>
                </c:pt>
              </c:numCache>
            </c:numRef>
          </c:val>
          <c:extLst>
            <c:ext xmlns:c16="http://schemas.microsoft.com/office/drawing/2014/chart" uri="{C3380CC4-5D6E-409C-BE32-E72D297353CC}">
              <c16:uniqueId val="{00000001-88B5-4F02-B0EF-791625475E29}"/>
            </c:ext>
          </c:extLst>
        </c:ser>
        <c:dLbls>
          <c:dLblPos val="outEnd"/>
          <c:showLegendKey val="0"/>
          <c:showVal val="1"/>
          <c:showCatName val="0"/>
          <c:showSerName val="0"/>
          <c:showPercent val="0"/>
          <c:showBubbleSize val="0"/>
        </c:dLbls>
        <c:gapWidth val="100"/>
        <c:overlap val="-24"/>
        <c:axId val="1900758927"/>
        <c:axId val="1917638191"/>
      </c:barChart>
      <c:catAx>
        <c:axId val="1900758927"/>
        <c:scaling>
          <c:orientation val="minMax"/>
        </c:scaling>
        <c:delete val="0"/>
        <c:axPos val="b"/>
        <c:title>
          <c:tx>
            <c:rich>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r>
                  <a:rPr lang="en-US" sz="1000">
                    <a:solidFill>
                      <a:schemeClr val="tx1"/>
                    </a:solidFill>
                  </a:rPr>
                  <a:t>CTCAE Grade</a:t>
                </a:r>
              </a:p>
            </c:rich>
          </c:tx>
          <c:layout>
            <c:manualLayout>
              <c:xMode val="edge"/>
              <c:yMode val="edge"/>
              <c:x val="0.45447342298901744"/>
              <c:y val="0.82192049164586134"/>
            </c:manualLayout>
          </c:layout>
          <c:overlay val="0"/>
          <c:spPr>
            <a:noFill/>
            <a:ln>
              <a:noFill/>
            </a:ln>
            <a:effectLst/>
          </c:spPr>
          <c:txPr>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17638191"/>
        <c:crosses val="autoZero"/>
        <c:auto val="1"/>
        <c:lblAlgn val="ctr"/>
        <c:lblOffset val="100"/>
        <c:noMultiLvlLbl val="0"/>
      </c:catAx>
      <c:valAx>
        <c:axId val="1917638191"/>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r>
                  <a:rPr lang="en-US" sz="800">
                    <a:solidFill>
                      <a:schemeClr val="tx1"/>
                    </a:solidFill>
                  </a:rPr>
                  <a:t>Percentage of Patients</a:t>
                </a:r>
              </a:p>
            </c:rich>
          </c:tx>
          <c:overlay val="0"/>
          <c:spPr>
            <a:noFill/>
            <a:ln>
              <a:noFill/>
            </a:ln>
            <a:effectLst/>
          </c:spPr>
          <c:txPr>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00758927"/>
        <c:crosses val="autoZero"/>
        <c:crossBetween val="between"/>
      </c:valAx>
      <c:spPr>
        <a:noFill/>
        <a:ln>
          <a:noFill/>
        </a:ln>
        <a:effectLst/>
      </c:spPr>
    </c:plotArea>
    <c:legend>
      <c:legendPos val="tr"/>
      <c:overlay val="1"/>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r>
              <a:rPr lang="en-US" sz="1000">
                <a:solidFill>
                  <a:schemeClr val="tx1"/>
                </a:solidFill>
              </a:rPr>
              <a:t>(d)</a:t>
            </a:r>
            <a:r>
              <a:rPr lang="en-US" sz="1000" baseline="0">
                <a:solidFill>
                  <a:schemeClr val="tx1"/>
                </a:solidFill>
              </a:rPr>
              <a:t> </a:t>
            </a:r>
            <a:endParaRPr lang="en-US" sz="1000">
              <a:solidFill>
                <a:schemeClr val="tx1"/>
              </a:solidFill>
            </a:endParaRPr>
          </a:p>
        </c:rich>
      </c:tx>
      <c:layout>
        <c:manualLayout>
          <c:xMode val="edge"/>
          <c:yMode val="edge"/>
          <c:x val="5.2792643853569438E-2"/>
          <c:y val="0.83579988477050127"/>
        </c:manualLayout>
      </c:layout>
      <c:overlay val="1"/>
      <c:spPr>
        <a:noFill/>
        <a:ln>
          <a:noFill/>
        </a:ln>
        <a:effectLst/>
      </c:spPr>
      <c:txPr>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Non-smokers</c:v>
                </c:pt>
              </c:strCache>
            </c:strRef>
          </c:tx>
          <c:spPr>
            <a:solidFill>
              <a:schemeClr val="tx1"/>
            </a:solidFill>
            <a:ln w="9525" cap="flat" cmpd="sng" algn="ctr">
              <a:solidFill>
                <a:schemeClr val="dk1">
                  <a:tint val="885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Sheet1!$B$2:$B$4</c:f>
              <c:numCache>
                <c:formatCode>0%</c:formatCode>
                <c:ptCount val="3"/>
                <c:pt idx="0">
                  <c:v>0.94</c:v>
                </c:pt>
                <c:pt idx="1">
                  <c:v>0.04</c:v>
                </c:pt>
                <c:pt idx="2">
                  <c:v>0.02</c:v>
                </c:pt>
              </c:numCache>
            </c:numRef>
          </c:val>
          <c:extLst>
            <c:ext xmlns:c16="http://schemas.microsoft.com/office/drawing/2014/chart" uri="{C3380CC4-5D6E-409C-BE32-E72D297353CC}">
              <c16:uniqueId val="{00000000-C8EA-4388-B3C1-F772FAA18688}"/>
            </c:ext>
          </c:extLst>
        </c:ser>
        <c:ser>
          <c:idx val="1"/>
          <c:order val="1"/>
          <c:tx>
            <c:strRef>
              <c:f>Sheet1!$C$1</c:f>
              <c:strCache>
                <c:ptCount val="1"/>
                <c:pt idx="0">
                  <c:v>Active Smokers</c:v>
                </c:pt>
              </c:strCache>
            </c:strRef>
          </c:tx>
          <c:spPr>
            <a:gradFill rotWithShape="1">
              <a:gsLst>
                <a:gs pos="0">
                  <a:schemeClr val="dk1">
                    <a:tint val="55000"/>
                    <a:lumMod val="110000"/>
                    <a:satMod val="105000"/>
                    <a:tint val="67000"/>
                  </a:schemeClr>
                </a:gs>
                <a:gs pos="50000">
                  <a:schemeClr val="dk1">
                    <a:tint val="55000"/>
                    <a:lumMod val="105000"/>
                    <a:satMod val="103000"/>
                    <a:tint val="73000"/>
                  </a:schemeClr>
                </a:gs>
                <a:gs pos="100000">
                  <a:schemeClr val="dk1">
                    <a:tint val="55000"/>
                    <a:lumMod val="105000"/>
                    <a:satMod val="109000"/>
                    <a:tint val="81000"/>
                  </a:schemeClr>
                </a:gs>
              </a:gsLst>
              <a:lin ang="5400000" scaled="0"/>
            </a:gradFill>
            <a:ln w="9525" cap="flat" cmpd="sng" algn="ctr">
              <a:solidFill>
                <a:schemeClr val="dk1">
                  <a:tint val="550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Sheet1!$C$2:$C$4</c:f>
              <c:numCache>
                <c:formatCode>0%</c:formatCode>
                <c:ptCount val="3"/>
                <c:pt idx="0">
                  <c:v>0.67</c:v>
                </c:pt>
                <c:pt idx="1">
                  <c:v>0.22</c:v>
                </c:pt>
                <c:pt idx="2">
                  <c:v>0.11</c:v>
                </c:pt>
              </c:numCache>
            </c:numRef>
          </c:val>
          <c:extLst>
            <c:ext xmlns:c16="http://schemas.microsoft.com/office/drawing/2014/chart" uri="{C3380CC4-5D6E-409C-BE32-E72D297353CC}">
              <c16:uniqueId val="{00000001-C8EA-4388-B3C1-F772FAA18688}"/>
            </c:ext>
          </c:extLst>
        </c:ser>
        <c:dLbls>
          <c:dLblPos val="outEnd"/>
          <c:showLegendKey val="0"/>
          <c:showVal val="1"/>
          <c:showCatName val="0"/>
          <c:showSerName val="0"/>
          <c:showPercent val="0"/>
          <c:showBubbleSize val="0"/>
        </c:dLbls>
        <c:gapWidth val="100"/>
        <c:overlap val="-24"/>
        <c:axId val="1900758927"/>
        <c:axId val="1917638191"/>
      </c:barChart>
      <c:catAx>
        <c:axId val="1900758927"/>
        <c:scaling>
          <c:orientation val="minMax"/>
        </c:scaling>
        <c:delete val="0"/>
        <c:axPos val="b"/>
        <c:title>
          <c:tx>
            <c:rich>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r>
                  <a:rPr lang="en-US" sz="1000">
                    <a:solidFill>
                      <a:schemeClr val="tx1"/>
                    </a:solidFill>
                  </a:rPr>
                  <a:t>CTCAE Grade</a:t>
                </a:r>
              </a:p>
            </c:rich>
          </c:tx>
          <c:layout>
            <c:manualLayout>
              <c:xMode val="edge"/>
              <c:yMode val="edge"/>
              <c:x val="0.45447342298901744"/>
              <c:y val="0.82192049164586134"/>
            </c:manualLayout>
          </c:layout>
          <c:overlay val="0"/>
          <c:spPr>
            <a:noFill/>
            <a:ln>
              <a:noFill/>
            </a:ln>
            <a:effectLst/>
          </c:spPr>
          <c:txPr>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17638191"/>
        <c:crosses val="autoZero"/>
        <c:auto val="1"/>
        <c:lblAlgn val="ctr"/>
        <c:lblOffset val="100"/>
        <c:noMultiLvlLbl val="0"/>
      </c:catAx>
      <c:valAx>
        <c:axId val="1917638191"/>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r>
                  <a:rPr lang="en-US" sz="800">
                    <a:solidFill>
                      <a:schemeClr val="tx1"/>
                    </a:solidFill>
                  </a:rPr>
                  <a:t>Percentage of Patients</a:t>
                </a:r>
              </a:p>
            </c:rich>
          </c:tx>
          <c:overlay val="0"/>
          <c:spPr>
            <a:noFill/>
            <a:ln>
              <a:noFill/>
            </a:ln>
            <a:effectLst/>
          </c:spPr>
          <c:txPr>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00758927"/>
        <c:crosses val="autoZero"/>
        <c:crossBetween val="between"/>
      </c:valAx>
      <c:spPr>
        <a:noFill/>
        <a:ln>
          <a:noFill/>
        </a:ln>
        <a:effectLst/>
      </c:spPr>
    </c:plotArea>
    <c:legend>
      <c:legendPos val="tr"/>
      <c:layout>
        <c:manualLayout>
          <c:xMode val="edge"/>
          <c:yMode val="edge"/>
          <c:x val="0.6226120960990239"/>
          <c:y val="6.097560975609756E-2"/>
          <c:w val="0.35047000349720758"/>
          <c:h val="0.23372959477626271"/>
        </c:manualLayout>
      </c:layout>
      <c:overlay val="1"/>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r>
              <a:rPr lang="en-US" sz="1000">
                <a:solidFill>
                  <a:schemeClr val="tx1"/>
                </a:solidFill>
              </a:rPr>
              <a:t>(e)</a:t>
            </a:r>
            <a:r>
              <a:rPr lang="en-US" sz="1000" baseline="0">
                <a:solidFill>
                  <a:schemeClr val="tx1"/>
                </a:solidFill>
              </a:rPr>
              <a:t> </a:t>
            </a:r>
            <a:endParaRPr lang="en-US" sz="1000">
              <a:solidFill>
                <a:schemeClr val="tx1"/>
              </a:solidFill>
            </a:endParaRPr>
          </a:p>
        </c:rich>
      </c:tx>
      <c:layout>
        <c:manualLayout>
          <c:xMode val="edge"/>
          <c:yMode val="edge"/>
          <c:x val="5.2792643853569438E-2"/>
          <c:y val="0.83579988477050127"/>
        </c:manualLayout>
      </c:layout>
      <c:overlay val="1"/>
      <c:spPr>
        <a:noFill/>
        <a:ln>
          <a:noFill/>
        </a:ln>
        <a:effectLst/>
      </c:spPr>
      <c:txPr>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Caucasian</c:v>
                </c:pt>
              </c:strCache>
            </c:strRef>
          </c:tx>
          <c:spPr>
            <a:solidFill>
              <a:schemeClr val="tx1"/>
            </a:solidFill>
            <a:ln w="9525" cap="flat" cmpd="sng" algn="ctr">
              <a:solidFill>
                <a:schemeClr val="dk1">
                  <a:tint val="885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Sheet1!$B$2:$B$4</c:f>
              <c:numCache>
                <c:formatCode>0%</c:formatCode>
                <c:ptCount val="3"/>
                <c:pt idx="0">
                  <c:v>0.97</c:v>
                </c:pt>
                <c:pt idx="1">
                  <c:v>0.03</c:v>
                </c:pt>
                <c:pt idx="2">
                  <c:v>0</c:v>
                </c:pt>
              </c:numCache>
            </c:numRef>
          </c:val>
          <c:extLst>
            <c:ext xmlns:c16="http://schemas.microsoft.com/office/drawing/2014/chart" uri="{C3380CC4-5D6E-409C-BE32-E72D297353CC}">
              <c16:uniqueId val="{00000000-7726-4A37-8058-7E340DD3271C}"/>
            </c:ext>
          </c:extLst>
        </c:ser>
        <c:ser>
          <c:idx val="1"/>
          <c:order val="1"/>
          <c:tx>
            <c:strRef>
              <c:f>Sheet1!$C$1</c:f>
              <c:strCache>
                <c:ptCount val="1"/>
                <c:pt idx="0">
                  <c:v>Non-Caucasian</c:v>
                </c:pt>
              </c:strCache>
            </c:strRef>
          </c:tx>
          <c:spPr>
            <a:gradFill rotWithShape="1">
              <a:gsLst>
                <a:gs pos="0">
                  <a:schemeClr val="dk1">
                    <a:tint val="55000"/>
                    <a:lumMod val="110000"/>
                    <a:satMod val="105000"/>
                    <a:tint val="67000"/>
                  </a:schemeClr>
                </a:gs>
                <a:gs pos="50000">
                  <a:schemeClr val="dk1">
                    <a:tint val="55000"/>
                    <a:lumMod val="105000"/>
                    <a:satMod val="103000"/>
                    <a:tint val="73000"/>
                  </a:schemeClr>
                </a:gs>
                <a:gs pos="100000">
                  <a:schemeClr val="dk1">
                    <a:tint val="55000"/>
                    <a:lumMod val="105000"/>
                    <a:satMod val="109000"/>
                    <a:tint val="81000"/>
                  </a:schemeClr>
                </a:gs>
              </a:gsLst>
              <a:lin ang="5400000" scaled="0"/>
            </a:gradFill>
            <a:ln w="9525" cap="flat" cmpd="sng" algn="ctr">
              <a:solidFill>
                <a:schemeClr val="dk1">
                  <a:tint val="550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Sheet1!$C$2:$C$4</c:f>
              <c:numCache>
                <c:formatCode>0%</c:formatCode>
                <c:ptCount val="3"/>
                <c:pt idx="0">
                  <c:v>0.75</c:v>
                </c:pt>
                <c:pt idx="1">
                  <c:v>0.16</c:v>
                </c:pt>
                <c:pt idx="2">
                  <c:v>0.09</c:v>
                </c:pt>
              </c:numCache>
            </c:numRef>
          </c:val>
          <c:extLst>
            <c:ext xmlns:c16="http://schemas.microsoft.com/office/drawing/2014/chart" uri="{C3380CC4-5D6E-409C-BE32-E72D297353CC}">
              <c16:uniqueId val="{00000001-7726-4A37-8058-7E340DD3271C}"/>
            </c:ext>
          </c:extLst>
        </c:ser>
        <c:dLbls>
          <c:dLblPos val="outEnd"/>
          <c:showLegendKey val="0"/>
          <c:showVal val="1"/>
          <c:showCatName val="0"/>
          <c:showSerName val="0"/>
          <c:showPercent val="0"/>
          <c:showBubbleSize val="0"/>
        </c:dLbls>
        <c:gapWidth val="100"/>
        <c:overlap val="-24"/>
        <c:axId val="1900758927"/>
        <c:axId val="1917638191"/>
      </c:barChart>
      <c:catAx>
        <c:axId val="1900758927"/>
        <c:scaling>
          <c:orientation val="minMax"/>
        </c:scaling>
        <c:delete val="0"/>
        <c:axPos val="b"/>
        <c:title>
          <c:tx>
            <c:rich>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r>
                  <a:rPr lang="en-US" sz="1000">
                    <a:solidFill>
                      <a:schemeClr val="tx1"/>
                    </a:solidFill>
                  </a:rPr>
                  <a:t>CTCAE Grade</a:t>
                </a:r>
              </a:p>
            </c:rich>
          </c:tx>
          <c:layout>
            <c:manualLayout>
              <c:xMode val="edge"/>
              <c:yMode val="edge"/>
              <c:x val="0.45447342298901744"/>
              <c:y val="0.82192049164586134"/>
            </c:manualLayout>
          </c:layout>
          <c:overlay val="0"/>
          <c:spPr>
            <a:noFill/>
            <a:ln>
              <a:noFill/>
            </a:ln>
            <a:effectLst/>
          </c:spPr>
          <c:txPr>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17638191"/>
        <c:crosses val="autoZero"/>
        <c:auto val="1"/>
        <c:lblAlgn val="ctr"/>
        <c:lblOffset val="100"/>
        <c:noMultiLvlLbl val="0"/>
      </c:catAx>
      <c:valAx>
        <c:axId val="1917638191"/>
        <c:scaling>
          <c:orientation val="minMax"/>
          <c:max val="1"/>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r>
                  <a:rPr lang="en-US" sz="800">
                    <a:solidFill>
                      <a:schemeClr val="tx1"/>
                    </a:solidFill>
                  </a:rPr>
                  <a:t>Percentage of Patients</a:t>
                </a:r>
              </a:p>
            </c:rich>
          </c:tx>
          <c:overlay val="0"/>
          <c:spPr>
            <a:noFill/>
            <a:ln>
              <a:noFill/>
            </a:ln>
            <a:effectLst/>
          </c:spPr>
          <c:txPr>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00758927"/>
        <c:crosses val="autoZero"/>
        <c:crossBetween val="between"/>
      </c:valAx>
      <c:spPr>
        <a:noFill/>
        <a:ln>
          <a:noFill/>
        </a:ln>
        <a:effectLst/>
      </c:spPr>
    </c:plotArea>
    <c:legend>
      <c:legendPos val="tr"/>
      <c:overlay val="1"/>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r>
              <a:rPr lang="en-US" sz="1000">
                <a:solidFill>
                  <a:schemeClr val="tx1"/>
                </a:solidFill>
              </a:rPr>
              <a:t>(f)</a:t>
            </a:r>
            <a:r>
              <a:rPr lang="en-US" sz="1000" baseline="0">
                <a:solidFill>
                  <a:schemeClr val="tx1"/>
                </a:solidFill>
              </a:rPr>
              <a:t> </a:t>
            </a:r>
            <a:endParaRPr lang="en-US" sz="1000">
              <a:solidFill>
                <a:schemeClr val="tx1"/>
              </a:solidFill>
            </a:endParaRPr>
          </a:p>
        </c:rich>
      </c:tx>
      <c:layout>
        <c:manualLayout>
          <c:xMode val="edge"/>
          <c:yMode val="edge"/>
          <c:x val="5.2792643853569438E-2"/>
          <c:y val="0.83579988477050127"/>
        </c:manualLayout>
      </c:layout>
      <c:overlay val="1"/>
      <c:spPr>
        <a:noFill/>
        <a:ln>
          <a:noFill/>
        </a:ln>
        <a:effectLst/>
      </c:spPr>
      <c:txPr>
        <a:bodyPr rot="0" spcFirstLastPara="1" vertOverflow="ellipsis" vert="horz" wrap="square" anchor="ctr" anchorCtr="1"/>
        <a:lstStyle/>
        <a:p>
          <a:pPr>
            <a:defRPr sz="1000" b="0" i="0" u="none" strike="noStrike" kern="1200" cap="none" spc="20" baseline="0">
              <a:solidFill>
                <a:schemeClr val="tx1"/>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Other Insurance</c:v>
                </c:pt>
              </c:strCache>
            </c:strRef>
          </c:tx>
          <c:spPr>
            <a:solidFill>
              <a:schemeClr val="tx1"/>
            </a:solidFill>
            <a:ln w="9525" cap="flat" cmpd="sng" algn="ctr">
              <a:solidFill>
                <a:schemeClr val="dk1">
                  <a:tint val="885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Sheet1!$B$2:$B$4</c:f>
              <c:numCache>
                <c:formatCode>0%</c:formatCode>
                <c:ptCount val="3"/>
                <c:pt idx="0">
                  <c:v>0.95</c:v>
                </c:pt>
                <c:pt idx="1">
                  <c:v>0.02</c:v>
                </c:pt>
                <c:pt idx="2">
                  <c:v>0.02</c:v>
                </c:pt>
              </c:numCache>
            </c:numRef>
          </c:val>
          <c:extLst>
            <c:ext xmlns:c16="http://schemas.microsoft.com/office/drawing/2014/chart" uri="{C3380CC4-5D6E-409C-BE32-E72D297353CC}">
              <c16:uniqueId val="{00000000-DE9F-45B7-9B23-83D24CA07EEA}"/>
            </c:ext>
          </c:extLst>
        </c:ser>
        <c:ser>
          <c:idx val="1"/>
          <c:order val="1"/>
          <c:tx>
            <c:strRef>
              <c:f>Sheet1!$C$1</c:f>
              <c:strCache>
                <c:ptCount val="1"/>
                <c:pt idx="0">
                  <c:v>Medicaid/Uninsured</c:v>
                </c:pt>
              </c:strCache>
            </c:strRef>
          </c:tx>
          <c:spPr>
            <a:gradFill rotWithShape="1">
              <a:gsLst>
                <a:gs pos="0">
                  <a:schemeClr val="dk1">
                    <a:tint val="55000"/>
                    <a:lumMod val="110000"/>
                    <a:satMod val="105000"/>
                    <a:tint val="67000"/>
                  </a:schemeClr>
                </a:gs>
                <a:gs pos="50000">
                  <a:schemeClr val="dk1">
                    <a:tint val="55000"/>
                    <a:lumMod val="105000"/>
                    <a:satMod val="103000"/>
                    <a:tint val="73000"/>
                  </a:schemeClr>
                </a:gs>
                <a:gs pos="100000">
                  <a:schemeClr val="dk1">
                    <a:tint val="55000"/>
                    <a:lumMod val="105000"/>
                    <a:satMod val="109000"/>
                    <a:tint val="81000"/>
                  </a:schemeClr>
                </a:gs>
              </a:gsLst>
              <a:lin ang="5400000" scaled="0"/>
            </a:gradFill>
            <a:ln w="9525" cap="flat" cmpd="sng" algn="ctr">
              <a:solidFill>
                <a:schemeClr val="dk1">
                  <a:tint val="55000"/>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Sheet1!$A$2:$A$4</c:f>
              <c:numCache>
                <c:formatCode>General</c:formatCode>
                <c:ptCount val="3"/>
                <c:pt idx="0">
                  <c:v>0</c:v>
                </c:pt>
                <c:pt idx="1">
                  <c:v>1</c:v>
                </c:pt>
                <c:pt idx="2">
                  <c:v>2</c:v>
                </c:pt>
              </c:numCache>
            </c:numRef>
          </c:cat>
          <c:val>
            <c:numRef>
              <c:f>Sheet1!$C$2:$C$4</c:f>
              <c:numCache>
                <c:formatCode>0%</c:formatCode>
                <c:ptCount val="3"/>
                <c:pt idx="0">
                  <c:v>0.71</c:v>
                </c:pt>
                <c:pt idx="1">
                  <c:v>0.21</c:v>
                </c:pt>
                <c:pt idx="2">
                  <c:v>0.08</c:v>
                </c:pt>
              </c:numCache>
            </c:numRef>
          </c:val>
          <c:extLst>
            <c:ext xmlns:c16="http://schemas.microsoft.com/office/drawing/2014/chart" uri="{C3380CC4-5D6E-409C-BE32-E72D297353CC}">
              <c16:uniqueId val="{00000001-DE9F-45B7-9B23-83D24CA07EEA}"/>
            </c:ext>
          </c:extLst>
        </c:ser>
        <c:dLbls>
          <c:dLblPos val="outEnd"/>
          <c:showLegendKey val="0"/>
          <c:showVal val="1"/>
          <c:showCatName val="0"/>
          <c:showSerName val="0"/>
          <c:showPercent val="0"/>
          <c:showBubbleSize val="0"/>
        </c:dLbls>
        <c:gapWidth val="100"/>
        <c:overlap val="-24"/>
        <c:axId val="1900758927"/>
        <c:axId val="1917638191"/>
      </c:barChart>
      <c:catAx>
        <c:axId val="1900758927"/>
        <c:scaling>
          <c:orientation val="minMax"/>
        </c:scaling>
        <c:delete val="0"/>
        <c:axPos val="b"/>
        <c:title>
          <c:tx>
            <c:rich>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r>
                  <a:rPr lang="en-US" sz="1000">
                    <a:solidFill>
                      <a:schemeClr val="tx1"/>
                    </a:solidFill>
                  </a:rPr>
                  <a:t>CTCAE Grade</a:t>
                </a:r>
              </a:p>
            </c:rich>
          </c:tx>
          <c:layout>
            <c:manualLayout>
              <c:xMode val="edge"/>
              <c:yMode val="edge"/>
              <c:x val="0.45447342298901744"/>
              <c:y val="0.82192049164586134"/>
            </c:manualLayout>
          </c:layout>
          <c:overlay val="0"/>
          <c:spPr>
            <a:noFill/>
            <a:ln>
              <a:noFill/>
            </a:ln>
            <a:effectLst/>
          </c:spPr>
          <c:txPr>
            <a:bodyPr rot="0" spcFirstLastPara="1" vertOverflow="ellipsis" vert="horz" wrap="square" anchor="ctr" anchorCtr="1"/>
            <a:lstStyle/>
            <a:p>
              <a:pPr>
                <a:defRPr sz="1000" b="0" i="0" u="none" strike="noStrike" kern="1200" cap="all"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17638191"/>
        <c:crosses val="autoZero"/>
        <c:auto val="1"/>
        <c:lblAlgn val="ctr"/>
        <c:lblOffset val="100"/>
        <c:noMultiLvlLbl val="0"/>
      </c:catAx>
      <c:valAx>
        <c:axId val="1917638191"/>
        <c:scaling>
          <c:orientation val="minMax"/>
          <c:max val="1"/>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r>
                  <a:rPr lang="en-US" sz="800">
                    <a:solidFill>
                      <a:schemeClr val="tx1"/>
                    </a:solidFill>
                  </a:rPr>
                  <a:t>Percentage of Patients</a:t>
                </a:r>
              </a:p>
            </c:rich>
          </c:tx>
          <c:overlay val="0"/>
          <c:spPr>
            <a:noFill/>
            <a:ln>
              <a:noFill/>
            </a:ln>
            <a:effectLst/>
          </c:spPr>
          <c:txPr>
            <a:bodyPr rot="-5400000" spcFirstLastPara="1" vertOverflow="ellipsis" vert="horz" wrap="square" anchor="ctr" anchorCtr="1"/>
            <a:lstStyle/>
            <a:p>
              <a:pPr>
                <a:defRPr sz="800" b="0" i="0" u="none" strike="noStrike" kern="1200" cap="all" baseline="0">
                  <a:solidFill>
                    <a:schemeClr val="tx1"/>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1900758927"/>
        <c:crosses val="autoZero"/>
        <c:crossBetween val="between"/>
      </c:valAx>
      <c:spPr>
        <a:noFill/>
        <a:ln>
          <a:noFill/>
        </a:ln>
        <a:effectLst/>
      </c:spPr>
    </c:plotArea>
    <c:legend>
      <c:legendPos val="tr"/>
      <c:layout>
        <c:manualLayout>
          <c:xMode val="edge"/>
          <c:yMode val="edge"/>
          <c:x val="0.47824136384028704"/>
          <c:y val="4.878048780487805E-2"/>
          <c:w val="0.49484073575594439"/>
          <c:h val="0.27031496062992127"/>
        </c:manualLayout>
      </c:layout>
      <c:overlay val="1"/>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4.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5.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6.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0.26115</cdr:x>
      <cdr:y>0.12325</cdr:y>
    </cdr:from>
    <cdr:to>
      <cdr:x>0.33741</cdr:x>
      <cdr:y>0.2149</cdr:y>
    </cdr:to>
    <cdr:sp macro="" textlink="">
      <cdr:nvSpPr>
        <cdr:cNvPr id="3" name="Text Box 2"/>
        <cdr:cNvSpPr txBox="1"/>
      </cdr:nvSpPr>
      <cdr:spPr>
        <a:xfrm xmlns:a="http://schemas.openxmlformats.org/drawingml/2006/main">
          <a:off x="834307" y="260304"/>
          <a:ext cx="243617" cy="19355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0.25327</cdr:x>
      <cdr:y>0.11308</cdr:y>
    </cdr:from>
    <cdr:to>
      <cdr:x>0.38385</cdr:x>
      <cdr:y>0.20473</cdr:y>
    </cdr:to>
    <cdr:sp macro="" textlink="">
      <cdr:nvSpPr>
        <cdr:cNvPr id="4" name="Text Box 3"/>
        <cdr:cNvSpPr txBox="1"/>
      </cdr:nvSpPr>
      <cdr:spPr>
        <a:xfrm xmlns:a="http://schemas.openxmlformats.org/drawingml/2006/main">
          <a:off x="716977" y="201782"/>
          <a:ext cx="369642" cy="16353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600">
              <a:solidFill>
                <a:schemeClr val="bg1"/>
              </a:solidFill>
            </a:rPr>
            <a:t>n=38</a:t>
          </a:r>
        </a:p>
      </cdr:txBody>
    </cdr:sp>
  </cdr:relSizeAnchor>
  <cdr:relSizeAnchor xmlns:cdr="http://schemas.openxmlformats.org/drawingml/2006/chartDrawing">
    <cdr:from>
      <cdr:x>0.49704</cdr:x>
      <cdr:y>0.44006</cdr:y>
    </cdr:from>
    <cdr:to>
      <cdr:x>0.62762</cdr:x>
      <cdr:y>0.53171</cdr:y>
    </cdr:to>
    <cdr:sp macro="" textlink="">
      <cdr:nvSpPr>
        <cdr:cNvPr id="6" name="Text Box 1"/>
        <cdr:cNvSpPr txBox="1"/>
      </cdr:nvSpPr>
      <cdr:spPr>
        <a:xfrm xmlns:a="http://schemas.openxmlformats.org/drawingml/2006/main">
          <a:off x="1407031" y="785221"/>
          <a:ext cx="369642" cy="1635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bg1"/>
              </a:solidFill>
            </a:rPr>
            <a:t>n=4</a:t>
          </a:r>
        </a:p>
      </cdr:txBody>
    </cdr:sp>
  </cdr:relSizeAnchor>
  <cdr:relSizeAnchor xmlns:cdr="http://schemas.openxmlformats.org/drawingml/2006/chartDrawing">
    <cdr:from>
      <cdr:x>0.34284</cdr:x>
      <cdr:y>0.18597</cdr:y>
    </cdr:from>
    <cdr:to>
      <cdr:x>0.47342</cdr:x>
      <cdr:y>0.27762</cdr:y>
    </cdr:to>
    <cdr:sp macro="" textlink="">
      <cdr:nvSpPr>
        <cdr:cNvPr id="7" name="Text Box 1"/>
        <cdr:cNvSpPr txBox="1"/>
      </cdr:nvSpPr>
      <cdr:spPr>
        <a:xfrm xmlns:a="http://schemas.openxmlformats.org/drawingml/2006/main">
          <a:off x="970526" y="387348"/>
          <a:ext cx="369641" cy="19088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n=19</a:t>
          </a:r>
        </a:p>
      </cdr:txBody>
    </cdr:sp>
  </cdr:relSizeAnchor>
  <cdr:relSizeAnchor xmlns:cdr="http://schemas.openxmlformats.org/drawingml/2006/chartDrawing">
    <cdr:from>
      <cdr:x>0.58509</cdr:x>
      <cdr:y>0.6503</cdr:y>
    </cdr:from>
    <cdr:to>
      <cdr:x>0.71567</cdr:x>
      <cdr:y>0.74195</cdr:y>
    </cdr:to>
    <cdr:sp macro="" textlink="">
      <cdr:nvSpPr>
        <cdr:cNvPr id="8" name="Text Box 1"/>
        <cdr:cNvSpPr txBox="1"/>
      </cdr:nvSpPr>
      <cdr:spPr>
        <a:xfrm xmlns:a="http://schemas.openxmlformats.org/drawingml/2006/main">
          <a:off x="1656287" y="1354455"/>
          <a:ext cx="369641" cy="19088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n=2</a:t>
          </a:r>
        </a:p>
      </cdr:txBody>
    </cdr:sp>
  </cdr:relSizeAnchor>
  <cdr:relSizeAnchor xmlns:cdr="http://schemas.openxmlformats.org/drawingml/2006/chartDrawing">
    <cdr:from>
      <cdr:x>0.82428</cdr:x>
      <cdr:y>0.62382</cdr:y>
    </cdr:from>
    <cdr:to>
      <cdr:x>0.95486</cdr:x>
      <cdr:y>0.71546</cdr:y>
    </cdr:to>
    <cdr:sp macro="" textlink="">
      <cdr:nvSpPr>
        <cdr:cNvPr id="9" name="Text Box 1"/>
        <cdr:cNvSpPr txBox="1"/>
      </cdr:nvSpPr>
      <cdr:spPr>
        <a:xfrm xmlns:a="http://schemas.openxmlformats.org/drawingml/2006/main">
          <a:off x="2333395" y="1299282"/>
          <a:ext cx="369642" cy="19088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n=3</a:t>
          </a:r>
        </a:p>
      </cdr:txBody>
    </cdr:sp>
  </cdr:relSizeAnchor>
  <cdr:relSizeAnchor xmlns:cdr="http://schemas.openxmlformats.org/drawingml/2006/chartDrawing">
    <cdr:from>
      <cdr:x>0.73112</cdr:x>
      <cdr:y>0.66744</cdr:y>
    </cdr:from>
    <cdr:to>
      <cdr:x>0.8617</cdr:x>
      <cdr:y>0.75909</cdr:y>
    </cdr:to>
    <cdr:sp macro="" textlink="">
      <cdr:nvSpPr>
        <cdr:cNvPr id="10" name="Text Box 1"/>
        <cdr:cNvSpPr txBox="1"/>
      </cdr:nvSpPr>
      <cdr:spPr>
        <a:xfrm xmlns:a="http://schemas.openxmlformats.org/drawingml/2006/main">
          <a:off x="2069687" y="1390150"/>
          <a:ext cx="369642" cy="19088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n=0</a:t>
          </a:r>
        </a:p>
      </cdr:txBody>
    </cdr:sp>
  </cdr:relSizeAnchor>
</c:userShapes>
</file>

<file path=word/drawings/drawing2.xml><?xml version="1.0" encoding="utf-8"?>
<c:userShapes xmlns:c="http://schemas.openxmlformats.org/drawingml/2006/chart">
  <cdr:relSizeAnchor xmlns:cdr="http://schemas.openxmlformats.org/drawingml/2006/chartDrawing">
    <cdr:from>
      <cdr:x>0.26115</cdr:x>
      <cdr:y>0.12325</cdr:y>
    </cdr:from>
    <cdr:to>
      <cdr:x>0.33741</cdr:x>
      <cdr:y>0.2149</cdr:y>
    </cdr:to>
    <cdr:sp macro="" textlink="">
      <cdr:nvSpPr>
        <cdr:cNvPr id="3" name="Text Box 2"/>
        <cdr:cNvSpPr txBox="1"/>
      </cdr:nvSpPr>
      <cdr:spPr>
        <a:xfrm xmlns:a="http://schemas.openxmlformats.org/drawingml/2006/main">
          <a:off x="834307" y="260304"/>
          <a:ext cx="243617" cy="19355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0.25327</cdr:x>
      <cdr:y>0.11308</cdr:y>
    </cdr:from>
    <cdr:to>
      <cdr:x>0.38385</cdr:x>
      <cdr:y>0.20473</cdr:y>
    </cdr:to>
    <cdr:sp macro="" textlink="">
      <cdr:nvSpPr>
        <cdr:cNvPr id="4" name="Text Box 3"/>
        <cdr:cNvSpPr txBox="1"/>
      </cdr:nvSpPr>
      <cdr:spPr>
        <a:xfrm xmlns:a="http://schemas.openxmlformats.org/drawingml/2006/main">
          <a:off x="716977" y="201782"/>
          <a:ext cx="369642" cy="16353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600">
              <a:solidFill>
                <a:schemeClr val="bg1"/>
              </a:solidFill>
            </a:rPr>
            <a:t>n=48</a:t>
          </a:r>
        </a:p>
      </cdr:txBody>
    </cdr:sp>
  </cdr:relSizeAnchor>
  <cdr:relSizeAnchor xmlns:cdr="http://schemas.openxmlformats.org/drawingml/2006/chartDrawing">
    <cdr:from>
      <cdr:x>0.49704</cdr:x>
      <cdr:y>0.44006</cdr:y>
    </cdr:from>
    <cdr:to>
      <cdr:x>0.62762</cdr:x>
      <cdr:y>0.53171</cdr:y>
    </cdr:to>
    <cdr:sp macro="" textlink="">
      <cdr:nvSpPr>
        <cdr:cNvPr id="6" name="Text Box 1"/>
        <cdr:cNvSpPr txBox="1"/>
      </cdr:nvSpPr>
      <cdr:spPr>
        <a:xfrm xmlns:a="http://schemas.openxmlformats.org/drawingml/2006/main">
          <a:off x="1407031" y="785221"/>
          <a:ext cx="369642" cy="1635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bg1"/>
              </a:solidFill>
            </a:rPr>
            <a:t>n=4</a:t>
          </a:r>
        </a:p>
      </cdr:txBody>
    </cdr:sp>
  </cdr:relSizeAnchor>
  <cdr:relSizeAnchor xmlns:cdr="http://schemas.openxmlformats.org/drawingml/2006/chartDrawing">
    <cdr:from>
      <cdr:x>0.34814</cdr:x>
      <cdr:y>0.29753</cdr:y>
    </cdr:from>
    <cdr:to>
      <cdr:x>0.47872</cdr:x>
      <cdr:y>0.38918</cdr:y>
    </cdr:to>
    <cdr:sp macro="" textlink="">
      <cdr:nvSpPr>
        <cdr:cNvPr id="7" name="Text Box 1"/>
        <cdr:cNvSpPr txBox="1"/>
      </cdr:nvSpPr>
      <cdr:spPr>
        <a:xfrm xmlns:a="http://schemas.openxmlformats.org/drawingml/2006/main">
          <a:off x="985512" y="619686"/>
          <a:ext cx="369650" cy="190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n=9</a:t>
          </a:r>
        </a:p>
      </cdr:txBody>
    </cdr:sp>
  </cdr:relSizeAnchor>
  <cdr:relSizeAnchor xmlns:cdr="http://schemas.openxmlformats.org/drawingml/2006/chartDrawing">
    <cdr:from>
      <cdr:x>0.49772</cdr:x>
      <cdr:y>0.62871</cdr:y>
    </cdr:from>
    <cdr:to>
      <cdr:x>0.6283</cdr:x>
      <cdr:y>0.72036</cdr:y>
    </cdr:to>
    <cdr:sp macro="" textlink="">
      <cdr:nvSpPr>
        <cdr:cNvPr id="8" name="Text Box 1"/>
        <cdr:cNvSpPr txBox="1"/>
      </cdr:nvSpPr>
      <cdr:spPr>
        <a:xfrm xmlns:a="http://schemas.openxmlformats.org/drawingml/2006/main">
          <a:off x="1408952" y="1309474"/>
          <a:ext cx="369650" cy="190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n=2</a:t>
          </a:r>
        </a:p>
      </cdr:txBody>
    </cdr:sp>
  </cdr:relSizeAnchor>
  <cdr:relSizeAnchor xmlns:cdr="http://schemas.openxmlformats.org/drawingml/2006/chartDrawing">
    <cdr:from>
      <cdr:x>0.82693</cdr:x>
      <cdr:y>0.66573</cdr:y>
    </cdr:from>
    <cdr:to>
      <cdr:x>0.95751</cdr:x>
      <cdr:y>0.75737</cdr:y>
    </cdr:to>
    <cdr:sp macro="" textlink="">
      <cdr:nvSpPr>
        <cdr:cNvPr id="9" name="Text Box 1"/>
        <cdr:cNvSpPr txBox="1"/>
      </cdr:nvSpPr>
      <cdr:spPr>
        <a:xfrm xmlns:a="http://schemas.openxmlformats.org/drawingml/2006/main">
          <a:off x="2340892" y="1386590"/>
          <a:ext cx="369649" cy="1908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n=1</a:t>
          </a:r>
        </a:p>
      </cdr:txBody>
    </cdr:sp>
  </cdr:relSizeAnchor>
  <cdr:relSizeAnchor xmlns:cdr="http://schemas.openxmlformats.org/drawingml/2006/chartDrawing">
    <cdr:from>
      <cdr:x>0.73112</cdr:x>
      <cdr:y>0.66744</cdr:y>
    </cdr:from>
    <cdr:to>
      <cdr:x>0.8617</cdr:x>
      <cdr:y>0.75909</cdr:y>
    </cdr:to>
    <cdr:sp macro="" textlink="">
      <cdr:nvSpPr>
        <cdr:cNvPr id="10" name="Text Box 1"/>
        <cdr:cNvSpPr txBox="1"/>
      </cdr:nvSpPr>
      <cdr:spPr>
        <a:xfrm xmlns:a="http://schemas.openxmlformats.org/drawingml/2006/main">
          <a:off x="2069687" y="1390150"/>
          <a:ext cx="369642" cy="19088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n=0</a:t>
          </a:r>
        </a:p>
      </cdr:txBody>
    </cdr:sp>
  </cdr:relSizeAnchor>
  <cdr:relSizeAnchor xmlns:cdr="http://schemas.openxmlformats.org/drawingml/2006/chartDrawing">
    <cdr:from>
      <cdr:x>0.5845</cdr:x>
      <cdr:y>0.51995</cdr:y>
    </cdr:from>
    <cdr:to>
      <cdr:x>0.71508</cdr:x>
      <cdr:y>0.6116</cdr:y>
    </cdr:to>
    <cdr:sp macro="" textlink="">
      <cdr:nvSpPr>
        <cdr:cNvPr id="11" name="Text Box 1"/>
        <cdr:cNvSpPr txBox="1"/>
      </cdr:nvSpPr>
      <cdr:spPr>
        <a:xfrm xmlns:a="http://schemas.openxmlformats.org/drawingml/2006/main">
          <a:off x="1654624" y="1082956"/>
          <a:ext cx="369650" cy="190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n=4</a:t>
          </a:r>
        </a:p>
        <a:p xmlns:a="http://schemas.openxmlformats.org/drawingml/2006/main">
          <a:endParaRPr lang="en-US" sz="600">
            <a:solidFill>
              <a:schemeClr val="tx1"/>
            </a:solidFill>
          </a:endParaRPr>
        </a:p>
      </cdr:txBody>
    </cdr:sp>
  </cdr:relSizeAnchor>
  <cdr:relSizeAnchor xmlns:cdr="http://schemas.openxmlformats.org/drawingml/2006/chartDrawing">
    <cdr:from>
      <cdr:x>0.73012</cdr:x>
      <cdr:y>0.62791</cdr:y>
    </cdr:from>
    <cdr:to>
      <cdr:x>0.8607</cdr:x>
      <cdr:y>0.71956</cdr:y>
    </cdr:to>
    <cdr:sp macro="" textlink="">
      <cdr:nvSpPr>
        <cdr:cNvPr id="12" name="Text Box 1"/>
        <cdr:cNvSpPr txBox="1"/>
      </cdr:nvSpPr>
      <cdr:spPr>
        <a:xfrm xmlns:a="http://schemas.openxmlformats.org/drawingml/2006/main">
          <a:off x="2066854" y="1307809"/>
          <a:ext cx="369650" cy="190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n=2</a:t>
          </a:r>
        </a:p>
      </cdr:txBody>
    </cdr:sp>
  </cdr:relSizeAnchor>
</c:userShapes>
</file>

<file path=word/drawings/drawing3.xml><?xml version="1.0" encoding="utf-8"?>
<c:userShapes xmlns:c="http://schemas.openxmlformats.org/drawingml/2006/chart">
  <cdr:relSizeAnchor xmlns:cdr="http://schemas.openxmlformats.org/drawingml/2006/chartDrawing">
    <cdr:from>
      <cdr:x>0.27467</cdr:x>
      <cdr:y>0.11508</cdr:y>
    </cdr:from>
    <cdr:to>
      <cdr:x>0.35093</cdr:x>
      <cdr:y>0.20673</cdr:y>
    </cdr:to>
    <cdr:sp macro="" textlink="">
      <cdr:nvSpPr>
        <cdr:cNvPr id="3" name="Text Box 2"/>
        <cdr:cNvSpPr txBox="1"/>
      </cdr:nvSpPr>
      <cdr:spPr>
        <a:xfrm xmlns:a="http://schemas.openxmlformats.org/drawingml/2006/main">
          <a:off x="777548" y="239693"/>
          <a:ext cx="215879" cy="1908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0.25327</cdr:x>
      <cdr:y>0.08858</cdr:y>
    </cdr:from>
    <cdr:to>
      <cdr:x>0.38385</cdr:x>
      <cdr:y>0.18023</cdr:y>
    </cdr:to>
    <cdr:sp macro="" textlink="">
      <cdr:nvSpPr>
        <cdr:cNvPr id="4" name="Text Box 3"/>
        <cdr:cNvSpPr txBox="1"/>
      </cdr:nvSpPr>
      <cdr:spPr>
        <a:xfrm xmlns:a="http://schemas.openxmlformats.org/drawingml/2006/main">
          <a:off x="716964" y="184486"/>
          <a:ext cx="369650" cy="1908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600">
              <a:solidFill>
                <a:schemeClr val="bg1"/>
              </a:solidFill>
            </a:rPr>
            <a:t>n=38</a:t>
          </a:r>
        </a:p>
      </cdr:txBody>
    </cdr:sp>
  </cdr:relSizeAnchor>
  <cdr:relSizeAnchor xmlns:cdr="http://schemas.openxmlformats.org/drawingml/2006/chartDrawing">
    <cdr:from>
      <cdr:x>0.34434</cdr:x>
      <cdr:y>0.22681</cdr:y>
    </cdr:from>
    <cdr:to>
      <cdr:x>0.47492</cdr:x>
      <cdr:y>0.31846</cdr:y>
    </cdr:to>
    <cdr:sp macro="" textlink="">
      <cdr:nvSpPr>
        <cdr:cNvPr id="7" name="Text Box 1"/>
        <cdr:cNvSpPr txBox="1"/>
      </cdr:nvSpPr>
      <cdr:spPr>
        <a:xfrm xmlns:a="http://schemas.openxmlformats.org/drawingml/2006/main">
          <a:off x="974775" y="472398"/>
          <a:ext cx="369650" cy="190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n=19</a:t>
          </a:r>
        </a:p>
      </cdr:txBody>
    </cdr:sp>
  </cdr:relSizeAnchor>
  <cdr:relSizeAnchor xmlns:cdr="http://schemas.openxmlformats.org/drawingml/2006/chartDrawing">
    <cdr:from>
      <cdr:x>0.58659</cdr:x>
      <cdr:y>0.58087</cdr:y>
    </cdr:from>
    <cdr:to>
      <cdr:x>0.71717</cdr:x>
      <cdr:y>0.67252</cdr:y>
    </cdr:to>
    <cdr:sp macro="" textlink="">
      <cdr:nvSpPr>
        <cdr:cNvPr id="8" name="Text Box 1"/>
        <cdr:cNvSpPr txBox="1"/>
      </cdr:nvSpPr>
      <cdr:spPr>
        <a:xfrm xmlns:a="http://schemas.openxmlformats.org/drawingml/2006/main">
          <a:off x="1660543" y="1209842"/>
          <a:ext cx="369650" cy="190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n=5</a:t>
          </a:r>
        </a:p>
      </cdr:txBody>
    </cdr:sp>
  </cdr:relSizeAnchor>
  <cdr:relSizeAnchor xmlns:cdr="http://schemas.openxmlformats.org/drawingml/2006/chartDrawing">
    <cdr:from>
      <cdr:x>0.82578</cdr:x>
      <cdr:y>0.65649</cdr:y>
    </cdr:from>
    <cdr:to>
      <cdr:x>0.95636</cdr:x>
      <cdr:y>0.74813</cdr:y>
    </cdr:to>
    <cdr:sp macro="" textlink="">
      <cdr:nvSpPr>
        <cdr:cNvPr id="9" name="Text Box 1"/>
        <cdr:cNvSpPr txBox="1"/>
      </cdr:nvSpPr>
      <cdr:spPr>
        <a:xfrm xmlns:a="http://schemas.openxmlformats.org/drawingml/2006/main">
          <a:off x="2337650" y="1367340"/>
          <a:ext cx="369649" cy="1908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n=2</a:t>
          </a:r>
        </a:p>
      </cdr:txBody>
    </cdr:sp>
  </cdr:relSizeAnchor>
  <cdr:relSizeAnchor xmlns:cdr="http://schemas.openxmlformats.org/drawingml/2006/chartDrawing">
    <cdr:from>
      <cdr:x>0.73112</cdr:x>
      <cdr:y>0.64322</cdr:y>
    </cdr:from>
    <cdr:to>
      <cdr:x>0.8617</cdr:x>
      <cdr:y>0.73487</cdr:y>
    </cdr:to>
    <cdr:sp macro="" textlink="">
      <cdr:nvSpPr>
        <cdr:cNvPr id="10" name="Text Box 1"/>
        <cdr:cNvSpPr txBox="1"/>
      </cdr:nvSpPr>
      <cdr:spPr>
        <a:xfrm xmlns:a="http://schemas.openxmlformats.org/drawingml/2006/main">
          <a:off x="2069676" y="1339703"/>
          <a:ext cx="369650" cy="190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n=1</a:t>
          </a:r>
        </a:p>
      </cdr:txBody>
    </cdr:sp>
  </cdr:relSizeAnchor>
</c:userShapes>
</file>

<file path=word/drawings/drawing4.xml><?xml version="1.0" encoding="utf-8"?>
<c:userShapes xmlns:c="http://schemas.openxmlformats.org/drawingml/2006/chart">
  <cdr:relSizeAnchor xmlns:cdr="http://schemas.openxmlformats.org/drawingml/2006/chartDrawing">
    <cdr:from>
      <cdr:x>0.26115</cdr:x>
      <cdr:y>0.12325</cdr:y>
    </cdr:from>
    <cdr:to>
      <cdr:x>0.33741</cdr:x>
      <cdr:y>0.2149</cdr:y>
    </cdr:to>
    <cdr:sp macro="" textlink="">
      <cdr:nvSpPr>
        <cdr:cNvPr id="3" name="Text Box 2"/>
        <cdr:cNvSpPr txBox="1"/>
      </cdr:nvSpPr>
      <cdr:spPr>
        <a:xfrm xmlns:a="http://schemas.openxmlformats.org/drawingml/2006/main">
          <a:off x="834307" y="260304"/>
          <a:ext cx="243617" cy="19355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0.25327</cdr:x>
      <cdr:y>0.11308</cdr:y>
    </cdr:from>
    <cdr:to>
      <cdr:x>0.38385</cdr:x>
      <cdr:y>0.20473</cdr:y>
    </cdr:to>
    <cdr:sp macro="" textlink="">
      <cdr:nvSpPr>
        <cdr:cNvPr id="4" name="Text Box 3"/>
        <cdr:cNvSpPr txBox="1"/>
      </cdr:nvSpPr>
      <cdr:spPr>
        <a:xfrm xmlns:a="http://schemas.openxmlformats.org/drawingml/2006/main">
          <a:off x="716977" y="201782"/>
          <a:ext cx="369642" cy="16353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600">
              <a:solidFill>
                <a:schemeClr val="bg1"/>
              </a:solidFill>
            </a:rPr>
            <a:t>n=45</a:t>
          </a:r>
        </a:p>
      </cdr:txBody>
    </cdr:sp>
  </cdr:relSizeAnchor>
  <cdr:relSizeAnchor xmlns:cdr="http://schemas.openxmlformats.org/drawingml/2006/chartDrawing">
    <cdr:from>
      <cdr:x>0.49704</cdr:x>
      <cdr:y>0.44006</cdr:y>
    </cdr:from>
    <cdr:to>
      <cdr:x>0.62762</cdr:x>
      <cdr:y>0.53171</cdr:y>
    </cdr:to>
    <cdr:sp macro="" textlink="">
      <cdr:nvSpPr>
        <cdr:cNvPr id="6" name="Text Box 1"/>
        <cdr:cNvSpPr txBox="1"/>
      </cdr:nvSpPr>
      <cdr:spPr>
        <a:xfrm xmlns:a="http://schemas.openxmlformats.org/drawingml/2006/main">
          <a:off x="1407031" y="785221"/>
          <a:ext cx="369642" cy="1635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bg1"/>
              </a:solidFill>
            </a:rPr>
            <a:t>n=4</a:t>
          </a:r>
        </a:p>
      </cdr:txBody>
    </cdr:sp>
  </cdr:relSizeAnchor>
  <cdr:relSizeAnchor xmlns:cdr="http://schemas.openxmlformats.org/drawingml/2006/chartDrawing">
    <cdr:from>
      <cdr:x>0.34814</cdr:x>
      <cdr:y>0.28528</cdr:y>
    </cdr:from>
    <cdr:to>
      <cdr:x>0.47872</cdr:x>
      <cdr:y>0.37693</cdr:y>
    </cdr:to>
    <cdr:sp macro="" textlink="">
      <cdr:nvSpPr>
        <cdr:cNvPr id="7" name="Text Box 1"/>
        <cdr:cNvSpPr txBox="1"/>
      </cdr:nvSpPr>
      <cdr:spPr>
        <a:xfrm xmlns:a="http://schemas.openxmlformats.org/drawingml/2006/main">
          <a:off x="985525" y="594177"/>
          <a:ext cx="369650" cy="190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n=12</a:t>
          </a:r>
        </a:p>
      </cdr:txBody>
    </cdr:sp>
  </cdr:relSizeAnchor>
  <cdr:relSizeAnchor xmlns:cdr="http://schemas.openxmlformats.org/drawingml/2006/chartDrawing">
    <cdr:from>
      <cdr:x>0.49772</cdr:x>
      <cdr:y>0.63279</cdr:y>
    </cdr:from>
    <cdr:to>
      <cdr:x>0.6283</cdr:x>
      <cdr:y>0.72444</cdr:y>
    </cdr:to>
    <cdr:sp macro="" textlink="">
      <cdr:nvSpPr>
        <cdr:cNvPr id="8" name="Text Box 1"/>
        <cdr:cNvSpPr txBox="1"/>
      </cdr:nvSpPr>
      <cdr:spPr>
        <a:xfrm xmlns:a="http://schemas.openxmlformats.org/drawingml/2006/main">
          <a:off x="1408961" y="1317983"/>
          <a:ext cx="369649" cy="190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n=2</a:t>
          </a:r>
        </a:p>
      </cdr:txBody>
    </cdr:sp>
  </cdr:relSizeAnchor>
  <cdr:relSizeAnchor xmlns:cdr="http://schemas.openxmlformats.org/drawingml/2006/chartDrawing">
    <cdr:from>
      <cdr:x>0.82693</cdr:x>
      <cdr:y>0.64322</cdr:y>
    </cdr:from>
    <cdr:to>
      <cdr:x>0.95751</cdr:x>
      <cdr:y>0.73486</cdr:y>
    </cdr:to>
    <cdr:sp macro="" textlink="">
      <cdr:nvSpPr>
        <cdr:cNvPr id="9" name="Text Box 1"/>
        <cdr:cNvSpPr txBox="1"/>
      </cdr:nvSpPr>
      <cdr:spPr>
        <a:xfrm xmlns:a="http://schemas.openxmlformats.org/drawingml/2006/main">
          <a:off x="2340898" y="1339703"/>
          <a:ext cx="369650" cy="1908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n=2</a:t>
          </a:r>
        </a:p>
      </cdr:txBody>
    </cdr:sp>
  </cdr:relSizeAnchor>
  <cdr:relSizeAnchor xmlns:cdr="http://schemas.openxmlformats.org/drawingml/2006/chartDrawing">
    <cdr:from>
      <cdr:x>0.72962</cdr:x>
      <cdr:y>0.68173</cdr:y>
    </cdr:from>
    <cdr:to>
      <cdr:x>0.8602</cdr:x>
      <cdr:y>0.77338</cdr:y>
    </cdr:to>
    <cdr:sp macro="" textlink="">
      <cdr:nvSpPr>
        <cdr:cNvPr id="10" name="Text Box 1"/>
        <cdr:cNvSpPr txBox="1"/>
      </cdr:nvSpPr>
      <cdr:spPr>
        <a:xfrm xmlns:a="http://schemas.openxmlformats.org/drawingml/2006/main">
          <a:off x="2065423" y="1419915"/>
          <a:ext cx="369650" cy="190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endParaRPr lang="en-US" sz="600">
            <a:solidFill>
              <a:schemeClr val="tx1"/>
            </a:solidFill>
          </a:endParaRPr>
        </a:p>
      </cdr:txBody>
    </cdr:sp>
  </cdr:relSizeAnchor>
  <cdr:relSizeAnchor xmlns:cdr="http://schemas.openxmlformats.org/drawingml/2006/chartDrawing">
    <cdr:from>
      <cdr:x>0.5845</cdr:x>
      <cdr:y>0.51995</cdr:y>
    </cdr:from>
    <cdr:to>
      <cdr:x>0.71508</cdr:x>
      <cdr:y>0.6116</cdr:y>
    </cdr:to>
    <cdr:sp macro="" textlink="">
      <cdr:nvSpPr>
        <cdr:cNvPr id="11" name="Text Box 1"/>
        <cdr:cNvSpPr txBox="1"/>
      </cdr:nvSpPr>
      <cdr:spPr>
        <a:xfrm xmlns:a="http://schemas.openxmlformats.org/drawingml/2006/main">
          <a:off x="1654624" y="1082956"/>
          <a:ext cx="369650" cy="190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n=4</a:t>
          </a:r>
        </a:p>
        <a:p xmlns:a="http://schemas.openxmlformats.org/drawingml/2006/main">
          <a:endParaRPr lang="en-US" sz="600">
            <a:solidFill>
              <a:schemeClr val="tx1"/>
            </a:solidFill>
          </a:endParaRPr>
        </a:p>
      </cdr:txBody>
    </cdr:sp>
  </cdr:relSizeAnchor>
  <cdr:relSizeAnchor xmlns:cdr="http://schemas.openxmlformats.org/drawingml/2006/chartDrawing">
    <cdr:from>
      <cdr:x>0.73162</cdr:x>
      <cdr:y>0.64322</cdr:y>
    </cdr:from>
    <cdr:to>
      <cdr:x>0.8622</cdr:x>
      <cdr:y>0.73487</cdr:y>
    </cdr:to>
    <cdr:sp macro="" textlink="">
      <cdr:nvSpPr>
        <cdr:cNvPr id="12" name="Text Box 1"/>
        <cdr:cNvSpPr txBox="1"/>
      </cdr:nvSpPr>
      <cdr:spPr>
        <a:xfrm xmlns:a="http://schemas.openxmlformats.org/drawingml/2006/main">
          <a:off x="2071099" y="1339703"/>
          <a:ext cx="369649" cy="190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n=1</a:t>
          </a:r>
        </a:p>
      </cdr:txBody>
    </cdr:sp>
  </cdr:relSizeAnchor>
</c:userShapes>
</file>

<file path=word/drawings/drawing5.xml><?xml version="1.0" encoding="utf-8"?>
<c:userShapes xmlns:c="http://schemas.openxmlformats.org/drawingml/2006/chart">
  <cdr:relSizeAnchor xmlns:cdr="http://schemas.openxmlformats.org/drawingml/2006/chartDrawing">
    <cdr:from>
      <cdr:x>0.27467</cdr:x>
      <cdr:y>0.11508</cdr:y>
    </cdr:from>
    <cdr:to>
      <cdr:x>0.35093</cdr:x>
      <cdr:y>0.20673</cdr:y>
    </cdr:to>
    <cdr:sp macro="" textlink="">
      <cdr:nvSpPr>
        <cdr:cNvPr id="3" name="Text Box 2"/>
        <cdr:cNvSpPr txBox="1"/>
      </cdr:nvSpPr>
      <cdr:spPr>
        <a:xfrm xmlns:a="http://schemas.openxmlformats.org/drawingml/2006/main">
          <a:off x="777548" y="239693"/>
          <a:ext cx="215879" cy="1908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0.25327</cdr:x>
      <cdr:y>0.08698</cdr:y>
    </cdr:from>
    <cdr:to>
      <cdr:x>0.38385</cdr:x>
      <cdr:y>0.17863</cdr:y>
    </cdr:to>
    <cdr:sp macro="" textlink="">
      <cdr:nvSpPr>
        <cdr:cNvPr id="4" name="Text Box 3"/>
        <cdr:cNvSpPr txBox="1"/>
      </cdr:nvSpPr>
      <cdr:spPr>
        <a:xfrm xmlns:a="http://schemas.openxmlformats.org/drawingml/2006/main">
          <a:off x="716964" y="181170"/>
          <a:ext cx="369650" cy="1908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600">
              <a:solidFill>
                <a:schemeClr val="bg1"/>
              </a:solidFill>
            </a:rPr>
            <a:t>n=33</a:t>
          </a:r>
        </a:p>
      </cdr:txBody>
    </cdr:sp>
  </cdr:relSizeAnchor>
  <cdr:relSizeAnchor xmlns:cdr="http://schemas.openxmlformats.org/drawingml/2006/chartDrawing">
    <cdr:from>
      <cdr:x>0.34616</cdr:x>
      <cdr:y>0.23454</cdr:y>
    </cdr:from>
    <cdr:to>
      <cdr:x>0.47674</cdr:x>
      <cdr:y>0.32619</cdr:y>
    </cdr:to>
    <cdr:sp macro="" textlink="">
      <cdr:nvSpPr>
        <cdr:cNvPr id="7" name="Text Box 1"/>
        <cdr:cNvSpPr txBox="1"/>
      </cdr:nvSpPr>
      <cdr:spPr>
        <a:xfrm xmlns:a="http://schemas.openxmlformats.org/drawingml/2006/main">
          <a:off x="979906" y="488491"/>
          <a:ext cx="369650" cy="190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n=24</a:t>
          </a:r>
        </a:p>
      </cdr:txBody>
    </cdr:sp>
  </cdr:relSizeAnchor>
  <cdr:relSizeAnchor xmlns:cdr="http://schemas.openxmlformats.org/drawingml/2006/chartDrawing">
    <cdr:from>
      <cdr:x>0.58659</cdr:x>
      <cdr:y>0.6228</cdr:y>
    </cdr:from>
    <cdr:to>
      <cdr:x>0.71717</cdr:x>
      <cdr:y>0.71445</cdr:y>
    </cdr:to>
    <cdr:sp macro="" textlink="">
      <cdr:nvSpPr>
        <cdr:cNvPr id="8" name="Text Box 1"/>
        <cdr:cNvSpPr txBox="1"/>
      </cdr:nvSpPr>
      <cdr:spPr>
        <a:xfrm xmlns:a="http://schemas.openxmlformats.org/drawingml/2006/main">
          <a:off x="1660537" y="1297167"/>
          <a:ext cx="369649" cy="190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n=5</a:t>
          </a:r>
        </a:p>
      </cdr:txBody>
    </cdr:sp>
  </cdr:relSizeAnchor>
  <cdr:relSizeAnchor xmlns:cdr="http://schemas.openxmlformats.org/drawingml/2006/chartDrawing">
    <cdr:from>
      <cdr:x>0.82578</cdr:x>
      <cdr:y>0.65649</cdr:y>
    </cdr:from>
    <cdr:to>
      <cdr:x>0.95636</cdr:x>
      <cdr:y>0.74813</cdr:y>
    </cdr:to>
    <cdr:sp macro="" textlink="">
      <cdr:nvSpPr>
        <cdr:cNvPr id="9" name="Text Box 1"/>
        <cdr:cNvSpPr txBox="1"/>
      </cdr:nvSpPr>
      <cdr:spPr>
        <a:xfrm xmlns:a="http://schemas.openxmlformats.org/drawingml/2006/main">
          <a:off x="2337650" y="1367340"/>
          <a:ext cx="369649" cy="1908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n=3</a:t>
          </a:r>
        </a:p>
      </cdr:txBody>
    </cdr:sp>
  </cdr:relSizeAnchor>
  <cdr:relSizeAnchor xmlns:cdr="http://schemas.openxmlformats.org/drawingml/2006/chartDrawing">
    <cdr:from>
      <cdr:x>0.73112</cdr:x>
      <cdr:y>0.66049</cdr:y>
    </cdr:from>
    <cdr:to>
      <cdr:x>0.8617</cdr:x>
      <cdr:y>0.75214</cdr:y>
    </cdr:to>
    <cdr:sp macro="" textlink="">
      <cdr:nvSpPr>
        <cdr:cNvPr id="10" name="Text Box 1"/>
        <cdr:cNvSpPr txBox="1"/>
      </cdr:nvSpPr>
      <cdr:spPr>
        <a:xfrm xmlns:a="http://schemas.openxmlformats.org/drawingml/2006/main">
          <a:off x="2069676" y="1375659"/>
          <a:ext cx="369650" cy="190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n=0</a:t>
          </a:r>
        </a:p>
      </cdr:txBody>
    </cdr:sp>
  </cdr:relSizeAnchor>
</c:userShapes>
</file>

<file path=word/drawings/drawing6.xml><?xml version="1.0" encoding="utf-8"?>
<c:userShapes xmlns:c="http://schemas.openxmlformats.org/drawingml/2006/chart">
  <cdr:relSizeAnchor xmlns:cdr="http://schemas.openxmlformats.org/drawingml/2006/chartDrawing">
    <cdr:from>
      <cdr:x>0.27467</cdr:x>
      <cdr:y>0.11508</cdr:y>
    </cdr:from>
    <cdr:to>
      <cdr:x>0.35093</cdr:x>
      <cdr:y>0.20673</cdr:y>
    </cdr:to>
    <cdr:sp macro="" textlink="">
      <cdr:nvSpPr>
        <cdr:cNvPr id="3" name="Text Box 2"/>
        <cdr:cNvSpPr txBox="1"/>
      </cdr:nvSpPr>
      <cdr:spPr>
        <a:xfrm xmlns:a="http://schemas.openxmlformats.org/drawingml/2006/main">
          <a:off x="777548" y="239693"/>
          <a:ext cx="215879" cy="1908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0.25327</cdr:x>
      <cdr:y>0.08698</cdr:y>
    </cdr:from>
    <cdr:to>
      <cdr:x>0.38385</cdr:x>
      <cdr:y>0.17863</cdr:y>
    </cdr:to>
    <cdr:sp macro="" textlink="">
      <cdr:nvSpPr>
        <cdr:cNvPr id="4" name="Text Box 3"/>
        <cdr:cNvSpPr txBox="1"/>
      </cdr:nvSpPr>
      <cdr:spPr>
        <a:xfrm xmlns:a="http://schemas.openxmlformats.org/drawingml/2006/main">
          <a:off x="716964" y="181170"/>
          <a:ext cx="369650" cy="1908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600">
              <a:solidFill>
                <a:schemeClr val="bg1"/>
              </a:solidFill>
            </a:rPr>
            <a:t>n=40</a:t>
          </a:r>
        </a:p>
      </cdr:txBody>
    </cdr:sp>
  </cdr:relSizeAnchor>
  <cdr:relSizeAnchor xmlns:cdr="http://schemas.openxmlformats.org/drawingml/2006/chartDrawing">
    <cdr:from>
      <cdr:x>0.34616</cdr:x>
      <cdr:y>0.24955</cdr:y>
    </cdr:from>
    <cdr:to>
      <cdr:x>0.47674</cdr:x>
      <cdr:y>0.3412</cdr:y>
    </cdr:to>
    <cdr:sp macro="" textlink="">
      <cdr:nvSpPr>
        <cdr:cNvPr id="7" name="Text Box 1"/>
        <cdr:cNvSpPr txBox="1"/>
      </cdr:nvSpPr>
      <cdr:spPr>
        <a:xfrm xmlns:a="http://schemas.openxmlformats.org/drawingml/2006/main">
          <a:off x="979920" y="519761"/>
          <a:ext cx="369650" cy="190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n=17</a:t>
          </a:r>
        </a:p>
        <a:p xmlns:a="http://schemas.openxmlformats.org/drawingml/2006/main">
          <a:endParaRPr lang="en-US" sz="600">
            <a:solidFill>
              <a:schemeClr val="tx1"/>
            </a:solidFill>
          </a:endParaRPr>
        </a:p>
      </cdr:txBody>
    </cdr:sp>
  </cdr:relSizeAnchor>
  <cdr:relSizeAnchor xmlns:cdr="http://schemas.openxmlformats.org/drawingml/2006/chartDrawing">
    <cdr:from>
      <cdr:x>0.58659</cdr:x>
      <cdr:y>0.58152</cdr:y>
    </cdr:from>
    <cdr:to>
      <cdr:x>0.71717</cdr:x>
      <cdr:y>0.67317</cdr:y>
    </cdr:to>
    <cdr:sp macro="" textlink="">
      <cdr:nvSpPr>
        <cdr:cNvPr id="8" name="Text Box 1"/>
        <cdr:cNvSpPr txBox="1"/>
      </cdr:nvSpPr>
      <cdr:spPr>
        <a:xfrm xmlns:a="http://schemas.openxmlformats.org/drawingml/2006/main">
          <a:off x="1660537" y="1211199"/>
          <a:ext cx="369649" cy="190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n=5</a:t>
          </a:r>
        </a:p>
      </cdr:txBody>
    </cdr:sp>
  </cdr:relSizeAnchor>
  <cdr:relSizeAnchor xmlns:cdr="http://schemas.openxmlformats.org/drawingml/2006/chartDrawing">
    <cdr:from>
      <cdr:x>0.82578</cdr:x>
      <cdr:y>0.65649</cdr:y>
    </cdr:from>
    <cdr:to>
      <cdr:x>0.95636</cdr:x>
      <cdr:y>0.74813</cdr:y>
    </cdr:to>
    <cdr:sp macro="" textlink="">
      <cdr:nvSpPr>
        <cdr:cNvPr id="9" name="Text Box 1"/>
        <cdr:cNvSpPr txBox="1"/>
      </cdr:nvSpPr>
      <cdr:spPr>
        <a:xfrm xmlns:a="http://schemas.openxmlformats.org/drawingml/2006/main">
          <a:off x="2337650" y="1367340"/>
          <a:ext cx="369649" cy="1908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n=2</a:t>
          </a:r>
        </a:p>
      </cdr:txBody>
    </cdr:sp>
  </cdr:relSizeAnchor>
  <cdr:relSizeAnchor xmlns:cdr="http://schemas.openxmlformats.org/drawingml/2006/chartDrawing">
    <cdr:from>
      <cdr:x>0.73473</cdr:x>
      <cdr:y>0.64505</cdr:y>
    </cdr:from>
    <cdr:to>
      <cdr:x>0.86531</cdr:x>
      <cdr:y>0.7367</cdr:y>
    </cdr:to>
    <cdr:sp macro="" textlink="">
      <cdr:nvSpPr>
        <cdr:cNvPr id="10" name="Text Box 1"/>
        <cdr:cNvSpPr txBox="1"/>
      </cdr:nvSpPr>
      <cdr:spPr>
        <a:xfrm xmlns:a="http://schemas.openxmlformats.org/drawingml/2006/main">
          <a:off x="2079893" y="1343504"/>
          <a:ext cx="369650" cy="190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n=1</a:t>
          </a:r>
        </a:p>
      </cdr:txBody>
    </cdr:sp>
  </cdr:relSizeAnchor>
  <cdr:relSizeAnchor xmlns:cdr="http://schemas.openxmlformats.org/drawingml/2006/chartDrawing">
    <cdr:from>
      <cdr:x>0.49626</cdr:x>
      <cdr:y>0.64505</cdr:y>
    </cdr:from>
    <cdr:to>
      <cdr:x>0.62684</cdr:x>
      <cdr:y>0.7367</cdr:y>
    </cdr:to>
    <cdr:sp macro="" textlink="">
      <cdr:nvSpPr>
        <cdr:cNvPr id="11" name="Text Box 1"/>
        <cdr:cNvSpPr txBox="1"/>
      </cdr:nvSpPr>
      <cdr:spPr>
        <a:xfrm xmlns:a="http://schemas.openxmlformats.org/drawingml/2006/main">
          <a:off x="1404834" y="1343504"/>
          <a:ext cx="369649" cy="190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600">
              <a:solidFill>
                <a:schemeClr val="tx1"/>
              </a:solidFill>
            </a:rPr>
            <a:t>n=1</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B8B29C5-C39B-41C8-9567-444369AD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Template>
  <TotalTime>319</TotalTime>
  <Pages>10</Pages>
  <Words>3103</Words>
  <Characters>17692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dc:creator>
  <cp:keywords/>
  <dc:description/>
  <cp:lastModifiedBy>Michael L</cp:lastModifiedBy>
  <cp:revision>59</cp:revision>
  <cp:lastPrinted>2013-10-03T12:51:00Z</cp:lastPrinted>
  <dcterms:created xsi:type="dcterms:W3CDTF">2021-03-24T15:33:00Z</dcterms:created>
  <dcterms:modified xsi:type="dcterms:W3CDTF">2021-05-04T12:08:00Z</dcterms:modified>
</cp:coreProperties>
</file>