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7AE85" w14:textId="4BB2D552" w:rsidR="00A42AD3" w:rsidRDefault="009A159C" w:rsidP="009A159C">
      <w:pPr>
        <w:jc w:val="center"/>
      </w:pPr>
      <w:r>
        <w:rPr>
          <w:rFonts w:asciiTheme="majorBidi" w:hAnsiTheme="majorBidi" w:cstheme="majorBidi"/>
          <w:noProof/>
          <w:rtl/>
          <w:lang w:val="fa-IR" w:bidi="fa-IR"/>
        </w:rPr>
        <w:drawing>
          <wp:inline distT="0" distB="0" distL="0" distR="0" wp14:anchorId="3CC3D546" wp14:editId="3FD9C335">
            <wp:extent cx="4273219" cy="3079873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85" t="7406" r="10350" b="5626"/>
                    <a:stretch/>
                  </pic:blipFill>
                  <pic:spPr bwMode="auto">
                    <a:xfrm>
                      <a:off x="0" y="0"/>
                      <a:ext cx="4324571" cy="31168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6AE7CEA" w14:textId="0EFAD37C" w:rsidR="009A159C" w:rsidRDefault="009A159C"/>
    <w:p w14:paraId="478FF18C" w14:textId="783255DB" w:rsidR="009A159C" w:rsidRDefault="009A159C"/>
    <w:p w14:paraId="3B9C0EB1" w14:textId="77777777" w:rsidR="009A159C" w:rsidRPr="00142A04" w:rsidRDefault="009A159C" w:rsidP="009A159C">
      <w:pPr>
        <w:pStyle w:val="Caption"/>
        <w:rPr>
          <w:rFonts w:asciiTheme="majorBidi" w:hAnsiTheme="majorBidi" w:cstheme="majorBidi"/>
          <w:noProof/>
          <w:color w:val="000000" w:themeColor="text1"/>
          <w:sz w:val="20"/>
          <w:szCs w:val="20"/>
          <w:lang w:bidi="fa-IR"/>
        </w:rPr>
      </w:pPr>
      <w:r w:rsidRPr="001A1116">
        <w:rPr>
          <w:rFonts w:asciiTheme="majorBidi" w:hAnsiTheme="majorBidi" w:cstheme="majorBidi"/>
          <w:b/>
          <w:bCs/>
          <w:color w:val="000000" w:themeColor="text1"/>
          <w:sz w:val="20"/>
          <w:szCs w:val="20"/>
        </w:rPr>
        <w:t>Figure 2</w:t>
      </w:r>
      <w:r w:rsidRPr="00142A04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| Kaplan–Meier graphs on the survival of the whole study population showing a one-year survival rate of 45% and median survival time of </w:t>
      </w:r>
      <w:r w:rsidRPr="001102C7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12.88 ± 14.14 </w:t>
      </w:r>
      <w:r w:rsidRPr="00142A04">
        <w:rPr>
          <w:rFonts w:asciiTheme="majorBidi" w:hAnsiTheme="majorBidi" w:cstheme="majorBidi"/>
          <w:color w:val="000000" w:themeColor="text1"/>
          <w:sz w:val="20"/>
          <w:szCs w:val="20"/>
        </w:rPr>
        <w:t>months for all patients.</w:t>
      </w:r>
    </w:p>
    <w:p w14:paraId="3E14B622" w14:textId="77777777" w:rsidR="009A159C" w:rsidRDefault="009A159C"/>
    <w:sectPr w:rsidR="009A159C" w:rsidSect="00CE4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59C"/>
    <w:rsid w:val="0016403A"/>
    <w:rsid w:val="009A159C"/>
    <w:rsid w:val="00A42AD3"/>
    <w:rsid w:val="00CE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A01F93"/>
  <w15:chartTrackingRefBased/>
  <w15:docId w15:val="{36872857-E759-8A46-A46F-54E628F27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9A159C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2023-12-26T08:20:00Z</dcterms:created>
  <dcterms:modified xsi:type="dcterms:W3CDTF">2023-12-26T08:21:00Z</dcterms:modified>
</cp:coreProperties>
</file>