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79A32" w14:textId="72378831" w:rsidR="00A42AD3" w:rsidRPr="005A01A3" w:rsidRDefault="005A01A3">
      <w:pPr>
        <w:rPr>
          <w:noProof/>
        </w:rPr>
      </w:pPr>
      <w:r w:rsidRPr="005A01A3">
        <w:rPr>
          <w:noProof/>
        </w:rPr>
        <w:drawing>
          <wp:inline distT="0" distB="0" distL="0" distR="0" wp14:anchorId="071A7550" wp14:editId="2E65E816">
            <wp:extent cx="5656729" cy="28587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5" t="16377" r="2382" b="14889"/>
                    <a:stretch/>
                  </pic:blipFill>
                  <pic:spPr bwMode="auto">
                    <a:xfrm>
                      <a:off x="0" y="0"/>
                      <a:ext cx="5658536" cy="28596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70A8C6" w14:textId="1807A034" w:rsidR="005A01A3" w:rsidRPr="005A01A3" w:rsidRDefault="005A01A3" w:rsidP="005A01A3">
      <w:pPr>
        <w:rPr>
          <w:noProof/>
        </w:rPr>
      </w:pPr>
    </w:p>
    <w:p w14:paraId="75C8FA66" w14:textId="51657719" w:rsidR="005A01A3" w:rsidRPr="0051686B" w:rsidRDefault="005A01A3" w:rsidP="0051686B">
      <w:pPr>
        <w:pStyle w:val="Caption"/>
        <w:rPr>
          <w:rFonts w:asciiTheme="majorBidi" w:hAnsiTheme="majorBidi" w:cstheme="majorBidi"/>
          <w:color w:val="000000" w:themeColor="text1"/>
          <w:sz w:val="22"/>
          <w:szCs w:val="22"/>
        </w:rPr>
      </w:pPr>
      <w:r w:rsidRPr="0051686B">
        <w:rPr>
          <w:rFonts w:asciiTheme="majorBidi" w:hAnsiTheme="majorBidi" w:cstheme="majorBidi"/>
          <w:b/>
          <w:bCs/>
          <w:color w:val="000000" w:themeColor="text1"/>
          <w:sz w:val="22"/>
          <w:szCs w:val="22"/>
        </w:rPr>
        <w:t>Figure 3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| </w:t>
      </w:r>
      <w:r w:rsidR="0051686B">
        <w:rPr>
          <w:rFonts w:asciiTheme="majorBidi" w:hAnsiTheme="majorBidi" w:cstheme="majorBidi"/>
          <w:color w:val="000000" w:themeColor="text1"/>
          <w:sz w:val="22"/>
          <w:szCs w:val="22"/>
        </w:rPr>
        <w:t>(</w:t>
      </w:r>
      <w:r w:rsidRPr="0051686B">
        <w:rPr>
          <w:rFonts w:asciiTheme="majorBidi" w:hAnsiTheme="majorBidi" w:cstheme="majorBidi"/>
          <w:b/>
          <w:bCs/>
          <w:color w:val="000000" w:themeColor="text1"/>
          <w:sz w:val="22"/>
          <w:szCs w:val="22"/>
        </w:rPr>
        <w:t>a</w:t>
      </w:r>
      <w:r w:rsidR="0051686B">
        <w:rPr>
          <w:rFonts w:asciiTheme="majorBidi" w:hAnsiTheme="majorBidi" w:cstheme="majorBidi"/>
          <w:b/>
          <w:bCs/>
          <w:color w:val="000000" w:themeColor="text1"/>
          <w:sz w:val="22"/>
          <w:szCs w:val="22"/>
        </w:rPr>
        <w:t>)</w:t>
      </w:r>
      <w:r w:rsidRPr="0051686B">
        <w:rPr>
          <w:rFonts w:asciiTheme="majorBidi" w:hAnsiTheme="majorBidi" w:cstheme="majorBidi"/>
          <w:b/>
          <w:bCs/>
          <w:color w:val="000000" w:themeColor="text1"/>
          <w:sz w:val="22"/>
          <w:szCs w:val="22"/>
        </w:rPr>
        <w:t xml:space="preserve"> 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Kaplan-Meier graphs of survival exhibiting a significantly higher survival </w:t>
      </w:r>
      <w:r w:rsidR="0022797D">
        <w:rPr>
          <w:rFonts w:asciiTheme="majorBidi" w:hAnsiTheme="majorBidi" w:cstheme="majorBidi"/>
          <w:color w:val="000000" w:themeColor="text1"/>
          <w:sz w:val="22"/>
          <w:szCs w:val="22"/>
        </w:rPr>
        <w:t>time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in female patients with a median survival of 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  <w:lang w:bidi="fa-IR"/>
        </w:rPr>
        <w:t xml:space="preserve">16.14 ± 17.35 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months, in contrast to 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  <w:lang w:bidi="fa-IR"/>
        </w:rPr>
        <w:t xml:space="preserve">10.75 ± 11.15 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months in </w:t>
      </w:r>
      <w:r w:rsidR="00196700">
        <w:rPr>
          <w:rFonts w:asciiTheme="majorBidi" w:hAnsiTheme="majorBidi" w:cstheme="majorBidi"/>
          <w:color w:val="000000" w:themeColor="text1"/>
          <w:sz w:val="22"/>
          <w:szCs w:val="22"/>
        </w:rPr>
        <w:t>males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(P-value: 0.023</w:t>
      </w:r>
      <w:proofErr w:type="gramStart"/>
      <w:r w:rsidRPr="0051686B">
        <w:rPr>
          <w:rFonts w:asciiTheme="majorBidi" w:hAnsiTheme="majorBidi" w:cstheme="majorBidi"/>
          <w:color w:val="000000" w:themeColor="text1"/>
          <w:sz w:val="22"/>
          <w:szCs w:val="22"/>
        </w:rPr>
        <w:t>)</w:t>
      </w:r>
      <w:r w:rsidR="0051686B">
        <w:rPr>
          <w:rFonts w:asciiTheme="majorBidi" w:hAnsiTheme="majorBidi" w:cstheme="majorBidi"/>
          <w:color w:val="000000" w:themeColor="text1"/>
          <w:sz w:val="22"/>
          <w:szCs w:val="22"/>
        </w:rPr>
        <w:t>.(</w:t>
      </w:r>
      <w:proofErr w:type="gramEnd"/>
      <w:r w:rsidRPr="0051686B">
        <w:rPr>
          <w:rFonts w:asciiTheme="majorBidi" w:hAnsiTheme="majorBidi" w:cstheme="majorBidi"/>
          <w:b/>
          <w:bCs/>
          <w:color w:val="000000" w:themeColor="text1"/>
          <w:sz w:val="22"/>
          <w:szCs w:val="22"/>
        </w:rPr>
        <w:t>b</w:t>
      </w:r>
      <w:r w:rsidR="0051686B">
        <w:rPr>
          <w:rFonts w:asciiTheme="majorBidi" w:hAnsiTheme="majorBidi" w:cstheme="majorBidi"/>
          <w:b/>
          <w:bCs/>
          <w:color w:val="000000" w:themeColor="text1"/>
          <w:sz w:val="22"/>
          <w:szCs w:val="22"/>
        </w:rPr>
        <w:t>)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Kaplan-Meier graphs of survival </w:t>
      </w:r>
      <w:r w:rsidR="0051686B">
        <w:rPr>
          <w:rFonts w:asciiTheme="majorBidi" w:hAnsiTheme="majorBidi" w:cstheme="majorBidi"/>
          <w:color w:val="000000" w:themeColor="text1"/>
          <w:sz w:val="22"/>
          <w:szCs w:val="22"/>
        </w:rPr>
        <w:t>show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patients aged 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  <w:lang w:bidi="fa-IR"/>
        </w:rPr>
        <w:t>≤60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years with a significantly higher one-year survival time (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  <w:lang w:bidi="fa-IR"/>
        </w:rPr>
        <w:t>15.9 ± 16.21 months)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than patients aged 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  <w:lang w:bidi="fa-IR"/>
        </w:rPr>
        <w:t>&gt;60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years (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  <w:lang w:bidi="fa-IR"/>
        </w:rPr>
        <w:t>7.48 ±7.06 months).</w:t>
      </w:r>
      <w:r w:rsidRPr="0051686B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</w:t>
      </w:r>
    </w:p>
    <w:p w14:paraId="7799B06C" w14:textId="3A3B242D" w:rsidR="005A01A3" w:rsidRPr="005A01A3" w:rsidRDefault="005A01A3" w:rsidP="005A01A3">
      <w:pPr>
        <w:tabs>
          <w:tab w:val="left" w:pos="960"/>
        </w:tabs>
      </w:pPr>
    </w:p>
    <w:sectPr w:rsidR="005A01A3" w:rsidRPr="005A01A3" w:rsidSect="00CE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1A3"/>
    <w:rsid w:val="0016403A"/>
    <w:rsid w:val="00196700"/>
    <w:rsid w:val="0022797D"/>
    <w:rsid w:val="0051686B"/>
    <w:rsid w:val="005A01A3"/>
    <w:rsid w:val="00A42AD3"/>
    <w:rsid w:val="00CE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29363C"/>
  <w15:chartTrackingRefBased/>
  <w15:docId w15:val="{D9290CB7-6E67-844A-B789-2E1766DC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A01A3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2023-12-26T08:22:00Z</dcterms:created>
  <dcterms:modified xsi:type="dcterms:W3CDTF">2023-12-26T16:59:00Z</dcterms:modified>
</cp:coreProperties>
</file>