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51FA1D" w14:textId="1FED9C21" w:rsidR="00122D94" w:rsidRPr="00122D94" w:rsidRDefault="00122D94" w:rsidP="00122D94">
      <w:pPr>
        <w:tabs>
          <w:tab w:val="left" w:pos="3906"/>
        </w:tabs>
        <w:sectPr w:rsidR="00122D94" w:rsidRPr="00122D94" w:rsidSect="00E31404">
          <w:headerReference w:type="default" r:id="rId8"/>
          <w:footerReference w:type="default" r:id="rId9"/>
          <w:headerReference w:type="first" r:id="rId10"/>
          <w:pgSz w:w="12240" w:h="15840"/>
          <w:pgMar w:top="1440" w:right="1440" w:bottom="1440" w:left="1440" w:header="432" w:footer="720" w:gutter="0"/>
          <w:cols w:space="720"/>
          <w:docGrid w:linePitch="360"/>
        </w:sectPr>
      </w:pPr>
    </w:p>
    <w:p w14:paraId="21393704" w14:textId="77777777" w:rsidR="008B593D" w:rsidRPr="008B593D" w:rsidRDefault="008B593D" w:rsidP="008B593D">
      <w:pPr>
        <w:pStyle w:val="Authors"/>
        <w:rPr>
          <w:rFonts w:eastAsiaTheme="majorEastAsia" w:cstheme="majorBidi"/>
          <w:bCs/>
          <w:color w:val="000000" w:themeColor="text1"/>
          <w:spacing w:val="-10"/>
          <w:kern w:val="28"/>
          <w:sz w:val="28"/>
          <w:szCs w:val="56"/>
        </w:rPr>
      </w:pPr>
      <w:r w:rsidRPr="008B593D">
        <w:rPr>
          <w:rFonts w:eastAsiaTheme="majorEastAsia" w:cstheme="majorBidi"/>
          <w:bCs/>
          <w:color w:val="000000" w:themeColor="text1"/>
          <w:spacing w:val="-10"/>
          <w:kern w:val="28"/>
          <w:sz w:val="28"/>
          <w:szCs w:val="56"/>
        </w:rPr>
        <w:t>Projecting Global Mercury Emissions and Deposition Under the Shared Socioeconomic Pathways</w:t>
      </w:r>
    </w:p>
    <w:p w14:paraId="7A044DF7" w14:textId="5C0A9910" w:rsidR="00F2196F" w:rsidRPr="00DA7651" w:rsidRDefault="00F2196F" w:rsidP="00F2196F">
      <w:pPr>
        <w:pStyle w:val="Authors"/>
        <w:rPr>
          <w:b w:val="0"/>
          <w:bCs/>
          <w:vertAlign w:val="superscript"/>
        </w:rPr>
      </w:pPr>
      <w:r w:rsidRPr="00DA7651">
        <w:rPr>
          <w:b w:val="0"/>
          <w:bCs/>
        </w:rPr>
        <w:t>Benjamin M. Geyman</w:t>
      </w:r>
      <w:r w:rsidRPr="00DA7651">
        <w:rPr>
          <w:b w:val="0"/>
          <w:bCs/>
          <w:vertAlign w:val="superscript"/>
        </w:rPr>
        <w:t>1</w:t>
      </w:r>
      <w:r w:rsidRPr="00DA7651">
        <w:rPr>
          <w:b w:val="0"/>
          <w:bCs/>
        </w:rPr>
        <w:t>, David G. Streets</w:t>
      </w:r>
      <w:r>
        <w:rPr>
          <w:b w:val="0"/>
          <w:bCs/>
          <w:vertAlign w:val="superscript"/>
        </w:rPr>
        <w:t>1</w:t>
      </w:r>
      <w:r w:rsidRPr="00DA7651">
        <w:rPr>
          <w:b w:val="0"/>
          <w:bCs/>
        </w:rPr>
        <w:t xml:space="preserve">, </w:t>
      </w:r>
      <w:r w:rsidR="004B5AAE" w:rsidRPr="00DA7651">
        <w:rPr>
          <w:b w:val="0"/>
          <w:bCs/>
        </w:rPr>
        <w:t>Colin P. Thackray</w:t>
      </w:r>
      <w:r w:rsidR="004B5AAE">
        <w:rPr>
          <w:b w:val="0"/>
          <w:bCs/>
        </w:rPr>
        <w:t>,</w:t>
      </w:r>
      <w:r w:rsidR="004B5AAE" w:rsidRPr="00DA7651">
        <w:rPr>
          <w:b w:val="0"/>
          <w:bCs/>
          <w:vertAlign w:val="superscript"/>
        </w:rPr>
        <w:t>1</w:t>
      </w:r>
      <w:r w:rsidR="004B5AAE">
        <w:rPr>
          <w:b w:val="0"/>
          <w:bCs/>
          <w:vertAlign w:val="superscript"/>
        </w:rPr>
        <w:t xml:space="preserve"> </w:t>
      </w:r>
      <w:r w:rsidRPr="00DA7651">
        <w:rPr>
          <w:b w:val="0"/>
          <w:bCs/>
        </w:rPr>
        <w:t xml:space="preserve">Christine </w:t>
      </w:r>
      <w:r>
        <w:rPr>
          <w:b w:val="0"/>
          <w:bCs/>
        </w:rPr>
        <w:t xml:space="preserve">L. </w:t>
      </w:r>
      <w:r w:rsidRPr="00DA7651">
        <w:rPr>
          <w:b w:val="0"/>
          <w:bCs/>
        </w:rPr>
        <w:t>Olson</w:t>
      </w:r>
      <w:r>
        <w:rPr>
          <w:b w:val="0"/>
          <w:bCs/>
          <w:vertAlign w:val="superscript"/>
        </w:rPr>
        <w:t>2</w:t>
      </w:r>
      <w:r w:rsidRPr="00DA7651">
        <w:rPr>
          <w:b w:val="0"/>
          <w:bCs/>
        </w:rPr>
        <w:t>, Kevin Scha</w:t>
      </w:r>
      <w:r>
        <w:rPr>
          <w:b w:val="0"/>
          <w:bCs/>
        </w:rPr>
        <w:t>e</w:t>
      </w:r>
      <w:r w:rsidRPr="00DA7651">
        <w:rPr>
          <w:b w:val="0"/>
          <w:bCs/>
        </w:rPr>
        <w:t>fer</w:t>
      </w:r>
      <w:r>
        <w:rPr>
          <w:b w:val="0"/>
          <w:bCs/>
          <w:vertAlign w:val="superscript"/>
        </w:rPr>
        <w:t>2</w:t>
      </w:r>
      <w:r w:rsidRPr="00DA7651">
        <w:rPr>
          <w:b w:val="0"/>
          <w:bCs/>
        </w:rPr>
        <w:t>, and Elsie M. Sunderland</w:t>
      </w:r>
      <w:r w:rsidRPr="00DA7651">
        <w:rPr>
          <w:b w:val="0"/>
          <w:bCs/>
          <w:vertAlign w:val="superscript"/>
        </w:rPr>
        <w:t>1,3</w:t>
      </w:r>
    </w:p>
    <w:p w14:paraId="1050E2CC" w14:textId="77777777" w:rsidR="00F2196F" w:rsidRPr="00F2196F" w:rsidRDefault="00F2196F" w:rsidP="00F2196F">
      <w:pPr>
        <w:pStyle w:val="Affiliation"/>
        <w:spacing w:before="0"/>
        <w:rPr>
          <w:color w:val="262626" w:themeColor="text1" w:themeTint="D9"/>
          <w:sz w:val="20"/>
          <w:szCs w:val="20"/>
        </w:rPr>
      </w:pPr>
      <w:r w:rsidRPr="00F2196F">
        <w:rPr>
          <w:color w:val="262626" w:themeColor="text1" w:themeTint="D9"/>
          <w:sz w:val="20"/>
          <w:szCs w:val="20"/>
          <w:vertAlign w:val="superscript"/>
        </w:rPr>
        <w:t xml:space="preserve">1 </w:t>
      </w:r>
      <w:r w:rsidRPr="00F2196F">
        <w:rPr>
          <w:color w:val="262626" w:themeColor="text1" w:themeTint="D9"/>
          <w:sz w:val="20"/>
          <w:szCs w:val="20"/>
        </w:rPr>
        <w:t>Harvard John A. Paulson School of Engineering and Applied Sciences, Cambridge, MA 01238, USA.</w:t>
      </w:r>
    </w:p>
    <w:p w14:paraId="0A19692E" w14:textId="4636E42C" w:rsidR="00F2196F" w:rsidRPr="00F2196F" w:rsidRDefault="00F2196F" w:rsidP="00F2196F">
      <w:pPr>
        <w:pStyle w:val="Affiliation"/>
        <w:spacing w:before="0"/>
        <w:rPr>
          <w:i/>
          <w:iCs/>
          <w:color w:val="262626" w:themeColor="text1" w:themeTint="D9"/>
          <w:sz w:val="20"/>
          <w:szCs w:val="20"/>
        </w:rPr>
      </w:pPr>
      <w:r w:rsidRPr="00F2196F">
        <w:rPr>
          <w:color w:val="262626" w:themeColor="text1" w:themeTint="D9"/>
          <w:sz w:val="20"/>
          <w:szCs w:val="20"/>
          <w:vertAlign w:val="superscript"/>
        </w:rPr>
        <w:t xml:space="preserve">2 </w:t>
      </w:r>
      <w:r w:rsidRPr="00F2196F">
        <w:rPr>
          <w:color w:val="262626" w:themeColor="text1" w:themeTint="D9"/>
          <w:sz w:val="20"/>
          <w:szCs w:val="20"/>
        </w:rPr>
        <w:t>National Snow and Ice Data Center, Cooperative Institute for Research in Environmental Sciences, University of Colorado Boulder, Boulder, CO, USA.</w:t>
      </w:r>
    </w:p>
    <w:p w14:paraId="0BE4BE9D" w14:textId="77777777" w:rsidR="00F2196F" w:rsidRPr="00F2196F" w:rsidRDefault="00F2196F" w:rsidP="00491D21">
      <w:pPr>
        <w:pStyle w:val="Affiliation"/>
        <w:spacing w:before="0" w:after="240"/>
        <w:rPr>
          <w:i/>
          <w:iCs/>
          <w:color w:val="262626" w:themeColor="text1" w:themeTint="D9"/>
          <w:sz w:val="20"/>
          <w:szCs w:val="20"/>
        </w:rPr>
      </w:pPr>
      <w:r w:rsidRPr="00F2196F">
        <w:rPr>
          <w:color w:val="262626" w:themeColor="text1" w:themeTint="D9"/>
          <w:sz w:val="20"/>
          <w:szCs w:val="20"/>
          <w:vertAlign w:val="superscript"/>
        </w:rPr>
        <w:t xml:space="preserve">3 </w:t>
      </w:r>
      <w:r w:rsidRPr="00F2196F">
        <w:rPr>
          <w:color w:val="262626" w:themeColor="text1" w:themeTint="D9"/>
          <w:sz w:val="20"/>
          <w:szCs w:val="20"/>
        </w:rPr>
        <w:t>Department of Environmental Health, Harvard School of Public Health, Boston, Massachusetts 02115, USA.</w:t>
      </w:r>
    </w:p>
    <w:p w14:paraId="5614852F" w14:textId="4B68CF80" w:rsidR="00DE3F91" w:rsidRDefault="008A6077" w:rsidP="00491D21">
      <w:pPr>
        <w:pStyle w:val="Affiliation"/>
        <w:spacing w:after="240"/>
      </w:pPr>
      <w:r>
        <w:t>Correspond</w:t>
      </w:r>
      <w:r w:rsidR="00DE3F91">
        <w:t>ing</w:t>
      </w:r>
      <w:r>
        <w:t xml:space="preserve"> </w:t>
      </w:r>
      <w:r w:rsidR="006F662E">
        <w:t>author:</w:t>
      </w:r>
      <w:r>
        <w:t xml:space="preserve"> </w:t>
      </w:r>
      <w:r w:rsidR="00F2196F">
        <w:t>Benjamin</w:t>
      </w:r>
      <w:r w:rsidR="00DE3F91">
        <w:t xml:space="preserve"> </w:t>
      </w:r>
      <w:r w:rsidR="00F2196F">
        <w:t>Geyman</w:t>
      </w:r>
      <w:r w:rsidR="00DE3F91">
        <w:t xml:space="preserve"> (</w:t>
      </w:r>
      <w:hyperlink r:id="rId11" w:history="1">
        <w:r w:rsidR="00681223" w:rsidRPr="00681223">
          <w:rPr>
            <w:rStyle w:val="Hyperlink"/>
          </w:rPr>
          <w:t>bgeyman</w:t>
        </w:r>
        <w:r w:rsidR="00DE3F91" w:rsidRPr="00681223">
          <w:rPr>
            <w:rStyle w:val="Hyperlink"/>
          </w:rPr>
          <w:t>@</w:t>
        </w:r>
        <w:r w:rsidR="00681223" w:rsidRPr="00681223">
          <w:rPr>
            <w:rStyle w:val="Hyperlink"/>
          </w:rPr>
          <w:t>fas.harvard</w:t>
        </w:r>
        <w:r w:rsidR="00DE3F91" w:rsidRPr="00681223">
          <w:rPr>
            <w:rStyle w:val="Hyperlink"/>
          </w:rPr>
          <w:t>.edu</w:t>
        </w:r>
      </w:hyperlink>
      <w:r w:rsidR="00DE3F91" w:rsidRPr="00681223">
        <w:t>)</w:t>
      </w:r>
      <w:r w:rsidR="00DE3F91">
        <w:t xml:space="preserve"> </w:t>
      </w:r>
    </w:p>
    <w:p w14:paraId="52EAA876" w14:textId="0F4D9CB3" w:rsidR="00C94AA5" w:rsidRDefault="00C94AA5" w:rsidP="005358D5">
      <w:pPr>
        <w:pStyle w:val="Heading-Main"/>
      </w:pPr>
      <w:r>
        <w:t>Key Points:</w:t>
      </w:r>
    </w:p>
    <w:p w14:paraId="1795F977" w14:textId="4E6EE8AE" w:rsidR="009759E4" w:rsidRDefault="009759E4" w:rsidP="00C81368">
      <w:pPr>
        <w:pStyle w:val="KeyPoints"/>
        <w:numPr>
          <w:ilvl w:val="0"/>
          <w:numId w:val="9"/>
        </w:numPr>
      </w:pPr>
      <w:r>
        <w:t xml:space="preserve">Future (2010-2300) anthropogenic Hg </w:t>
      </w:r>
      <w:r w:rsidR="00147018">
        <w:t>releases</w:t>
      </w:r>
      <w:r>
        <w:t xml:space="preserve"> to air, </w:t>
      </w:r>
      <w:proofErr w:type="gramStart"/>
      <w:r>
        <w:t>land</w:t>
      </w:r>
      <w:proofErr w:type="gramEnd"/>
      <w:r>
        <w:t xml:space="preserve"> and water (</w:t>
      </w:r>
      <w:r w:rsidR="0006013B">
        <w:t>0.</w:t>
      </w:r>
      <w:r>
        <w:t>7-1</w:t>
      </w:r>
      <w:r w:rsidR="0006013B">
        <w:t>.</w:t>
      </w:r>
      <w:r>
        <w:t xml:space="preserve">7 </w:t>
      </w:r>
      <w:proofErr w:type="spellStart"/>
      <w:r w:rsidR="00147018">
        <w:t>T</w:t>
      </w:r>
      <w:r>
        <w:t>g</w:t>
      </w:r>
      <w:proofErr w:type="spellEnd"/>
      <w:r>
        <w:t xml:space="preserve">) are </w:t>
      </w:r>
      <w:r w:rsidR="00DC28D8">
        <w:t>similar</w:t>
      </w:r>
      <w:r>
        <w:t xml:space="preserve"> to historical (1510-2010) </w:t>
      </w:r>
      <w:r w:rsidR="00147018">
        <w:t xml:space="preserve">releases (1.1-2.8 </w:t>
      </w:r>
      <w:proofErr w:type="spellStart"/>
      <w:r w:rsidR="00147018">
        <w:t>Tg</w:t>
      </w:r>
      <w:proofErr w:type="spellEnd"/>
      <w:r w:rsidR="00147018">
        <w:t>)</w:t>
      </w:r>
    </w:p>
    <w:p w14:paraId="02BB4FFB" w14:textId="01E05747" w:rsidR="00C94AA5" w:rsidRDefault="009759E4" w:rsidP="00C81368">
      <w:pPr>
        <w:pStyle w:val="KeyPoints"/>
        <w:numPr>
          <w:ilvl w:val="0"/>
          <w:numId w:val="9"/>
        </w:numPr>
      </w:pPr>
      <w:r>
        <w:t xml:space="preserve">Cumulative anthropogenic </w:t>
      </w:r>
      <w:r w:rsidR="00282DB6">
        <w:t xml:space="preserve">Hg </w:t>
      </w:r>
      <w:r>
        <w:t>emissions to air (2010-2300) vary by a factor of two across scenarios (110-230 Gg)</w:t>
      </w:r>
    </w:p>
    <w:p w14:paraId="67B45DA6" w14:textId="2287D58F" w:rsidR="003242AD" w:rsidRDefault="00C04181" w:rsidP="00C81368">
      <w:pPr>
        <w:pStyle w:val="KeyPoints"/>
        <w:numPr>
          <w:ilvl w:val="0"/>
          <w:numId w:val="9"/>
        </w:numPr>
      </w:pPr>
      <w:r>
        <w:t>D</w:t>
      </w:r>
      <w:r w:rsidR="00282DB6">
        <w:t xml:space="preserve">eposition </w:t>
      </w:r>
      <w:r w:rsidR="004B5AAE">
        <w:t>declines</w:t>
      </w:r>
      <w:r>
        <w:t xml:space="preserve"> from</w:t>
      </w:r>
      <w:r w:rsidR="00282DB6">
        <w:t xml:space="preserve"> near-term reductions in anthropogenic Hg emissions </w:t>
      </w:r>
      <w:r w:rsidR="004B5AAE">
        <w:t xml:space="preserve">are </w:t>
      </w:r>
      <w:r w:rsidR="00282DB6">
        <w:t xml:space="preserve">amplified by reductions in re-emissions from land and </w:t>
      </w:r>
      <w:proofErr w:type="gramStart"/>
      <w:r w:rsidR="00282DB6">
        <w:t>ocean</w:t>
      </w:r>
      <w:proofErr w:type="gramEnd"/>
    </w:p>
    <w:p w14:paraId="2659CCE1" w14:textId="77777777" w:rsidR="002F3B11" w:rsidRDefault="008A6077" w:rsidP="00C81368">
      <w:pPr>
        <w:pStyle w:val="Heading-Main"/>
      </w:pPr>
      <w:r w:rsidRPr="00987EE5">
        <w:t>Abstract</w:t>
      </w:r>
    </w:p>
    <w:p w14:paraId="233187AE" w14:textId="1CF4F580" w:rsidR="00681223" w:rsidRDefault="00681223" w:rsidP="00DE3F91">
      <w:pPr>
        <w:pStyle w:val="Abstract"/>
      </w:pPr>
      <w:r w:rsidRPr="00681223">
        <w:t>Mercury (Hg) is a naturally occurring element that has been greatly enriched in the environment by activities like mining and fossil fuel combustion. Despite commonalities in some CO</w:t>
      </w:r>
      <w:r w:rsidRPr="00681223">
        <w:rPr>
          <w:vertAlign w:val="subscript"/>
        </w:rPr>
        <w:t>2</w:t>
      </w:r>
      <w:r w:rsidRPr="00681223">
        <w:t xml:space="preserve"> and Hg emission sources, the implications of long-range climate scenarios for anthropogenic Hg emissions have yet to be explored. Here, we present comprehensive projections of anthropogenic Hg emissions (2020</w:t>
      </w:r>
      <w:r w:rsidR="00B56720" w:rsidRPr="00B56720">
        <w:t>-</w:t>
      </w:r>
      <w:r w:rsidRPr="00681223">
        <w:t>2300) and evaluate impacts on global atmospheric Hg deposition. Projections are based on four shared socioeconomic pathway (SSP) narratives ranging from sustainable reductions in resource and energy intensity to rapid economic growth driven by abundant fossil fuel exploitation. There is a greater than two-fold difference in cumulative anthropogenic Hg emissions between the lower-bound (110 Gg) and upper-bound (230 Gg) scenarios. Hg releases to land and water are approximately six times those of direct emissions to air (600</w:t>
      </w:r>
      <w:r w:rsidR="00B56720">
        <w:t>-</w:t>
      </w:r>
      <w:r w:rsidRPr="00681223">
        <w:t>1470 Gg). At their peak, anthropogenic Hg emissions reach 2200</w:t>
      </w:r>
      <w:r w:rsidR="00B56720" w:rsidRPr="00B56720">
        <w:t>-</w:t>
      </w:r>
      <w:r w:rsidRPr="00681223">
        <w:t>2600 Mg a</w:t>
      </w:r>
      <w:r w:rsidRPr="00681223">
        <w:rPr>
          <w:vertAlign w:val="superscript"/>
        </w:rPr>
        <w:t>-1</w:t>
      </w:r>
      <w:r w:rsidRPr="00681223">
        <w:t xml:space="preserve"> sometime between 2010 (baseline) and </w:t>
      </w:r>
      <w:r w:rsidR="00491D21">
        <w:t>2030</w:t>
      </w:r>
      <w:r w:rsidRPr="00681223">
        <w:t xml:space="preserve">, depending on </w:t>
      </w:r>
      <w:r w:rsidR="004B5AAE">
        <w:t xml:space="preserve">the </w:t>
      </w:r>
      <w:r w:rsidRPr="00681223">
        <w:t xml:space="preserve">SSP scenario. Coal combustion is the largest determinant of </w:t>
      </w:r>
      <w:r w:rsidR="004B5AAE" w:rsidRPr="00681223">
        <w:t xml:space="preserve">differences </w:t>
      </w:r>
      <w:r w:rsidR="004B5AAE">
        <w:t>in</w:t>
      </w:r>
      <w:r w:rsidR="004B5AAE" w:rsidRPr="00681223">
        <w:t xml:space="preserve"> Hg</w:t>
      </w:r>
      <w:r w:rsidR="004B5AAE">
        <w:t xml:space="preserve"> </w:t>
      </w:r>
      <w:r w:rsidRPr="00681223">
        <w:t>emission</w:t>
      </w:r>
      <w:r w:rsidR="004B5AAE">
        <w:t>s</w:t>
      </w:r>
      <w:r w:rsidRPr="00681223">
        <w:t xml:space="preserve"> among scenarios. Decoupling of Hg and CO</w:t>
      </w:r>
      <w:r w:rsidRPr="00681223">
        <w:rPr>
          <w:vertAlign w:val="subscript"/>
        </w:rPr>
        <w:t>2</w:t>
      </w:r>
      <w:r w:rsidRPr="00681223">
        <w:t xml:space="preserve"> emissions </w:t>
      </w:r>
      <w:r w:rsidR="00DC28D8">
        <w:t>sources</w:t>
      </w:r>
      <w:r w:rsidRPr="00681223">
        <w:t xml:space="preserve"> occurs under low- to mid-range scenarios, though contributions from artisanal and small-scale gold mining remain uncertain. A projected </w:t>
      </w:r>
      <w:r w:rsidR="008B4658">
        <w:t xml:space="preserve">future </w:t>
      </w:r>
      <w:r w:rsidRPr="00681223">
        <w:t xml:space="preserve">shift in speciation </w:t>
      </w:r>
      <w:r w:rsidR="004B5AAE">
        <w:t xml:space="preserve">of Hg emissions </w:t>
      </w:r>
      <w:r w:rsidRPr="00681223">
        <w:t>toward lower gaseous elemental Hg (Hg</w:t>
      </w:r>
      <w:r w:rsidRPr="00681223">
        <w:rPr>
          <w:vertAlign w:val="superscript"/>
        </w:rPr>
        <w:t>0</w:t>
      </w:r>
      <w:r w:rsidRPr="00681223">
        <w:t>) and higher divalent Hg (Hg</w:t>
      </w:r>
      <w:r w:rsidRPr="00681223">
        <w:rPr>
          <w:vertAlign w:val="superscript"/>
        </w:rPr>
        <w:t>II</w:t>
      </w:r>
      <w:r w:rsidRPr="00681223">
        <w:t xml:space="preserve">) will result in a higher fraction of </w:t>
      </w:r>
      <w:proofErr w:type="gramStart"/>
      <w:r w:rsidRPr="00681223">
        <w:t>locally</w:t>
      </w:r>
      <w:r w:rsidR="008B4658">
        <w:t>-</w:t>
      </w:r>
      <w:r w:rsidRPr="00681223">
        <w:t>sourced</w:t>
      </w:r>
      <w:proofErr w:type="gramEnd"/>
      <w:r w:rsidRPr="00681223">
        <w:t xml:space="preserve"> Hg deposition. Projected </w:t>
      </w:r>
      <w:r w:rsidR="00B921F9">
        <w:t>re-emissions</w:t>
      </w:r>
      <w:r w:rsidRPr="00681223">
        <w:t xml:space="preserve"> of previously deposited anthropogenic Hg </w:t>
      </w:r>
      <w:r w:rsidR="008B4658">
        <w:t>follow a similar temporal trajectory to</w:t>
      </w:r>
      <w:r w:rsidRPr="00681223">
        <w:t xml:space="preserve"> primary emissions, amplifying benefits of primary Hg emissions reductions under the most stringent </w:t>
      </w:r>
      <w:r w:rsidR="008B4658">
        <w:t xml:space="preserve">mitigation </w:t>
      </w:r>
      <w:r w:rsidRPr="00681223">
        <w:t xml:space="preserve">scenarios. </w:t>
      </w:r>
    </w:p>
    <w:p w14:paraId="20498CF0" w14:textId="546ABF9C" w:rsidR="00C333FB" w:rsidRDefault="00C333FB" w:rsidP="00C81368">
      <w:pPr>
        <w:pStyle w:val="Heading-Main"/>
      </w:pPr>
      <w:r>
        <w:lastRenderedPageBreak/>
        <w:t>Plain Language Summary</w:t>
      </w:r>
    </w:p>
    <w:p w14:paraId="7064D97B" w14:textId="08F97A7C" w:rsidR="00C333FB" w:rsidRPr="00C333FB" w:rsidRDefault="00C333FB" w:rsidP="00C81368">
      <w:pPr>
        <w:pStyle w:val="Heading-Main"/>
        <w:rPr>
          <w:b w:val="0"/>
          <w:bCs w:val="0"/>
        </w:rPr>
      </w:pPr>
      <w:r w:rsidRPr="00C333FB">
        <w:rPr>
          <w:b w:val="0"/>
          <w:bCs w:val="0"/>
        </w:rPr>
        <w:t xml:space="preserve">Mercury is a global pollutant that is emitted </w:t>
      </w:r>
      <w:r>
        <w:rPr>
          <w:b w:val="0"/>
          <w:bCs w:val="0"/>
        </w:rPr>
        <w:t xml:space="preserve">alongside </w:t>
      </w:r>
      <w:r w:rsidRPr="00C333FB">
        <w:rPr>
          <w:b w:val="0"/>
          <w:bCs w:val="0"/>
        </w:rPr>
        <w:t>greenhouse gases like carbon dioxide (CO</w:t>
      </w:r>
      <w:r w:rsidRPr="00C333FB">
        <w:rPr>
          <w:b w:val="0"/>
          <w:bCs w:val="0"/>
          <w:vertAlign w:val="subscript"/>
        </w:rPr>
        <w:t>2</w:t>
      </w:r>
      <w:r w:rsidRPr="00C333FB">
        <w:rPr>
          <w:b w:val="0"/>
          <w:bCs w:val="0"/>
        </w:rPr>
        <w:t xml:space="preserve">) when fossil fuels </w:t>
      </w:r>
      <w:r>
        <w:rPr>
          <w:b w:val="0"/>
          <w:bCs w:val="0"/>
        </w:rPr>
        <w:t>such as</w:t>
      </w:r>
      <w:r w:rsidRPr="00C333FB">
        <w:rPr>
          <w:b w:val="0"/>
          <w:bCs w:val="0"/>
        </w:rPr>
        <w:t xml:space="preserve"> coal are burned. </w:t>
      </w:r>
      <w:r>
        <w:rPr>
          <w:b w:val="0"/>
          <w:bCs w:val="0"/>
        </w:rPr>
        <w:t>R</w:t>
      </w:r>
      <w:r w:rsidRPr="00C333FB">
        <w:rPr>
          <w:b w:val="0"/>
          <w:bCs w:val="0"/>
        </w:rPr>
        <w:t xml:space="preserve">esearchers have projected how emissions of greenhouse gases and climate are likely to change in the future, but relatively little is known about future Hg releases. Here, we project future Hg emissions between 2020 and 2300 using growth scenarios developed by climate change researchers. </w:t>
      </w:r>
      <w:r>
        <w:rPr>
          <w:b w:val="0"/>
          <w:bCs w:val="0"/>
        </w:rPr>
        <w:t xml:space="preserve">Under low emission scenarios, </w:t>
      </w:r>
      <w:r w:rsidRPr="00C333FB">
        <w:rPr>
          <w:b w:val="0"/>
          <w:bCs w:val="0"/>
        </w:rPr>
        <w:t>Hg emissions are projected to peak between 2010 and 2030.</w:t>
      </w:r>
      <w:r>
        <w:rPr>
          <w:b w:val="0"/>
          <w:bCs w:val="0"/>
        </w:rPr>
        <w:t xml:space="preserve"> Under the high emission scenario, Hg releases continue near present</w:t>
      </w:r>
      <w:r w:rsidR="006F1419">
        <w:rPr>
          <w:b w:val="0"/>
          <w:bCs w:val="0"/>
        </w:rPr>
        <w:t>-day</w:t>
      </w:r>
      <w:r>
        <w:rPr>
          <w:b w:val="0"/>
          <w:bCs w:val="0"/>
        </w:rPr>
        <w:t xml:space="preserve"> levels until after 2060, and decline more slowly than other scenarios thereafter.</w:t>
      </w:r>
      <w:r w:rsidRPr="00C333FB">
        <w:rPr>
          <w:b w:val="0"/>
          <w:bCs w:val="0"/>
        </w:rPr>
        <w:t xml:space="preserve"> </w:t>
      </w:r>
      <w:proofErr w:type="gramStart"/>
      <w:r w:rsidRPr="00C333FB">
        <w:rPr>
          <w:b w:val="0"/>
          <w:bCs w:val="0"/>
        </w:rPr>
        <w:t>Large</w:t>
      </w:r>
      <w:proofErr w:type="gramEnd"/>
      <w:r w:rsidRPr="00C333FB">
        <w:rPr>
          <w:b w:val="0"/>
          <w:bCs w:val="0"/>
        </w:rPr>
        <w:t xml:space="preserve"> variability in projected releases (cumulatively a two-fold difference) is apparent across the low and high scenarios. Globally, the intensity of coal combustion and how quickly it is phased out is the largest driver of future Hg releases. </w:t>
      </w:r>
      <w:r w:rsidR="006F1419">
        <w:rPr>
          <w:b w:val="0"/>
          <w:bCs w:val="0"/>
        </w:rPr>
        <w:t xml:space="preserve">We then use global models to simulate future atmospheric Hg deposition, identifying multiple factors responsible for changing deposition patterns and amounts. </w:t>
      </w:r>
      <w:r w:rsidR="0040718C">
        <w:rPr>
          <w:b w:val="0"/>
          <w:bCs w:val="0"/>
        </w:rPr>
        <w:t>W</w:t>
      </w:r>
      <w:r w:rsidRPr="00C333FB">
        <w:rPr>
          <w:b w:val="0"/>
          <w:bCs w:val="0"/>
        </w:rPr>
        <w:t xml:space="preserve">e find there is a penalty for delaying reductions in Hg emissions </w:t>
      </w:r>
      <w:r w:rsidR="006F1419">
        <w:rPr>
          <w:b w:val="0"/>
          <w:bCs w:val="0"/>
        </w:rPr>
        <w:t>because of</w:t>
      </w:r>
      <w:r w:rsidRPr="00C333FB">
        <w:rPr>
          <w:b w:val="0"/>
          <w:bCs w:val="0"/>
        </w:rPr>
        <w:t xml:space="preserve"> increased reemissions from the land and ocean in the future. This work emphasizes the benefits of near-term stringent global reductions in anthropogenic Hg </w:t>
      </w:r>
      <w:r w:rsidR="0040718C">
        <w:rPr>
          <w:b w:val="0"/>
          <w:bCs w:val="0"/>
        </w:rPr>
        <w:t>releases</w:t>
      </w:r>
      <w:r w:rsidRPr="00C333FB">
        <w:rPr>
          <w:b w:val="0"/>
          <w:bCs w:val="0"/>
        </w:rPr>
        <w:t>.</w:t>
      </w:r>
    </w:p>
    <w:p w14:paraId="16752E20" w14:textId="779EC070" w:rsidR="002F3B11" w:rsidRDefault="002F3B11" w:rsidP="00C81368">
      <w:pPr>
        <w:pStyle w:val="Heading-Main"/>
      </w:pPr>
      <w:r>
        <w:t>1 Introduction</w:t>
      </w:r>
    </w:p>
    <w:p w14:paraId="08CF3961" w14:textId="6A018175" w:rsidR="00681223" w:rsidRPr="00681223" w:rsidRDefault="00681223" w:rsidP="00681223">
      <w:pPr>
        <w:pStyle w:val="Heading-Main"/>
        <w:rPr>
          <w:b w:val="0"/>
          <w:bCs w:val="0"/>
        </w:rPr>
      </w:pPr>
      <w:r w:rsidRPr="00681223">
        <w:rPr>
          <w:b w:val="0"/>
          <w:bCs w:val="0"/>
        </w:rPr>
        <w:t xml:space="preserve">Mercury (Hg) is a naturally occurring element, but human activities such as mining and fossil-fuel combustion have released approximately 1.5 </w:t>
      </w:r>
      <w:proofErr w:type="spellStart"/>
      <w:r w:rsidRPr="00681223">
        <w:rPr>
          <w:b w:val="0"/>
          <w:bCs w:val="0"/>
        </w:rPr>
        <w:t>Tg</w:t>
      </w:r>
      <w:proofErr w:type="spellEnd"/>
      <w:r w:rsidRPr="00681223">
        <w:rPr>
          <w:b w:val="0"/>
          <w:bCs w:val="0"/>
        </w:rPr>
        <w:t xml:space="preserve"> of Hg from stable geologic reservoirs to the atmosphere, land, and water over the past 500 years (1510</w:t>
      </w:r>
      <w:r w:rsidR="006A2773">
        <w:rPr>
          <w:b w:val="0"/>
          <w:bCs w:val="0"/>
        </w:rPr>
        <w:t>-</w:t>
      </w:r>
      <w:r w:rsidRPr="00681223">
        <w:rPr>
          <w:b w:val="0"/>
          <w:bCs w:val="0"/>
        </w:rPr>
        <w:t xml:space="preserve">2010) </w:t>
      </w:r>
      <w:r w:rsidRPr="00681223">
        <w:rPr>
          <w:b w:val="0"/>
          <w:bCs w:val="0"/>
        </w:rPr>
        <w:fldChar w:fldCharType="begin"/>
      </w:r>
      <w:r w:rsidRPr="00681223">
        <w:rPr>
          <w:b w:val="0"/>
          <w:bCs w:val="0"/>
        </w:rPr>
        <w:instrText xml:space="preserve"> ADDIN ZOTERO_ITEM CSL_CITATION {"citationID":"4UWMjefB","properties":{"formattedCitation":"(Streets et al., 2019a)","plainCitation":"(Streets et al., 2019a)","noteIndex":0},"citationItems":[{"id":586,"uris":["http://zotero.org/users/local/VbtpDxdA/items/KKDCXK4A","http://zotero.org/users/11937628/items/KKDCXK4A"],"itemData":{"id":586,"type":"article-journal","abstract":"&lt;p&gt; When released to the biosphere, mercury (Hg) is very mobile and can take millennia to be returned to a secure, long-term repository. Understanding where and when Hg was released as a result of human activities allows better quantification of present-day reemissions and future trajectories of environmental concentrations. In this work, we estimate the time-varying releases of Hg in seven world regions over the 500 year period, 1510–2010. By our estimation, this comprises 95% of all-time anthropogenic releases. Globally, 1.47 Tg of Hg were released in this period, 23% directly to the atmosphere and 77% to land and water bodies. Cumulative releases have been largest in Europe (427 Gg) and North America (413 Gg). In some world regions (Africa/Middle East and Oceania), almost all (&amp;gt;99%) of the Hg is relatively recent (emitted since 1850), whereas in South America it is mostly of older vintage (63% emitted before 1850). Asia was the greatest-emitting region in 2010, while releases in Europe and North America have declined since the 1970s, as recognition of the risks posed by Hg have led to its phase-out in commercial usage. The continued use of Hg in artisanal and small-scale gold mining means that the Africa/Middle East region is now a major contributor. We estimate that 72% of cumulative Hg emissions to air has been in the form of elemental mercury (Hg &lt;sup&gt;0&lt;/sup&gt; ), which has a long lifetime in the atmosphere and can therefore be transported long distances. Our results show that 83% of the total Hg has been released to local water bodies, onto land, or quickly deposited from the air in divalent (Hg &lt;sup&gt;II&lt;/sup&gt; ) form. Regionally, this value ranges from 77% in Africa/Middle East and Oceania to 89% in South America. Results from global biogeochemical modeling indicate improved agreement of the refined emission estimates in this study with archival records of Hg accumulation in estuarine and deep ocean sediment. &lt;/p&gt;","container-title":"Environmental Research Letters","DOI":"10.1088/1748-9326/ab281f","ISSN":"1748-9326","issue":"8","note":"Citation Key: Streets2019b","page":"084004","title":"Five hundred years of anthropogenic mercury: spatial and temporal release profiles*","volume":"14","author":[{"family":"Streets","given":"David G"},{"family":"Horowitz","given":"Hannah M"},{"family":"Lu","given":"Zifeng"},{"family":"Levin","given":"Leonard"},{"family":"Thackray","given":"Colin P"},{"family":"Sunderland","given":"Elsie M"}],"issued":{"date-parts":[["2019",8,1]]}}}],"schema":"https://github.com/citation-style-language/schema/raw/master/csl-citation.json"} </w:instrText>
      </w:r>
      <w:r w:rsidRPr="00681223">
        <w:rPr>
          <w:b w:val="0"/>
          <w:bCs w:val="0"/>
        </w:rPr>
        <w:fldChar w:fldCharType="separate"/>
      </w:r>
      <w:r w:rsidRPr="00681223">
        <w:rPr>
          <w:b w:val="0"/>
          <w:bCs w:val="0"/>
        </w:rPr>
        <w:t>(Streets et al., 2019a)</w:t>
      </w:r>
      <w:r w:rsidRPr="00681223">
        <w:rPr>
          <w:b w:val="0"/>
          <w:bCs w:val="0"/>
        </w:rPr>
        <w:fldChar w:fldCharType="end"/>
      </w:r>
      <w:r w:rsidRPr="00681223">
        <w:rPr>
          <w:b w:val="0"/>
          <w:bCs w:val="0"/>
        </w:rPr>
        <w:t xml:space="preserve">. This has significantly altered the natural biogeochemical Hg cycle </w:t>
      </w:r>
      <w:r w:rsidRPr="00681223">
        <w:rPr>
          <w:b w:val="0"/>
          <w:bCs w:val="0"/>
        </w:rPr>
        <w:fldChar w:fldCharType="begin"/>
      </w:r>
      <w:r w:rsidRPr="00681223">
        <w:rPr>
          <w:b w:val="0"/>
          <w:bCs w:val="0"/>
        </w:rPr>
        <w:instrText xml:space="preserve"> ADDIN ZOTERO_ITEM CSL_CITATION {"citationID":"GIVf3YRL","properties":{"formattedCitation":"(Geyman et al., 2023; Streets et al., 2019a)","plainCitation":"(Geyman et al., 2023; Streets et al., 2019a)","noteIndex":0},"citationItems":[{"id":1583,"uris":["http://zotero.org/users/11937628/items/83ZEP7CV"],"itemData":{"id":1583,"type":"article-journal","container-title":"Geophysical Research Letters","DOI":"https://doi.org/10.1029/2023GL104667","page":"e2023GRL104667","title":"Impacts of Volcanic Emissions on the Global Biogeochemical Mercury Cycle: Insights from Satellite Observations and Chemical Transport Modeling","volume":"50","author":[{"family":"Geyman","given":"Benjamin M"},{"family":"Thackray","given":"Colin P"},{"family":"Jacob","given":"Daniel J"},{"family":"Sunderland","given":"Elsie M"}],"issued":{"date-parts":[["2023",10,20]]}}},{"id":586,"uris":["http://zotero.org/users/local/VbtpDxdA/items/KKDCXK4A","http://zotero.org/users/11937628/items/KKDCXK4A"],"itemData":{"id":586,"type":"article-journal","abstract":"&lt;p&gt; When released to the biosphere, mercury (Hg) is very mobile and can take millennia to be returned to a secure, long-term repository. Understanding where and when Hg was released as a result of human activities allows better quantification of present-day reemissions and future trajectories of environmental concentrations. In this work, we estimate the time-varying releases of Hg in seven world regions over the 500 year period, 1510–2010. By our estimation, this comprises 95% of all-time anthropogenic releases. Globally, 1.47 Tg of Hg were released in this period, 23% directly to the atmosphere and 77% to land and water bodies. Cumulative releases have been largest in Europe (427 Gg) and North America (413 Gg). In some world regions (Africa/Middle East and Oceania), almost all (&amp;gt;99%) of the Hg is relatively recent (emitted since 1850), whereas in South America it is mostly of older vintage (63% emitted before 1850). Asia was the greatest-emitting region in 2010, while releases in Europe and North America have declined since the 1970s, as recognition of the risks posed by Hg have led to its phase-out in commercial usage. The continued use of Hg in artisanal and small-scale gold mining means that the Africa/Middle East region is now a major contributor. We estimate that 72% of cumulative Hg emissions to air has been in the form of elemental mercury (Hg &lt;sup&gt;0&lt;/sup&gt; ), which has a long lifetime in the atmosphere and can therefore be transported long distances. Our results show that 83% of the total Hg has been released to local water bodies, onto land, or quickly deposited from the air in divalent (Hg &lt;sup&gt;II&lt;/sup&gt; ) form. Regionally, this value ranges from 77% in Africa/Middle East and Oceania to 89% in South America. Results from global biogeochemical modeling indicate improved agreement of the refined emission estimates in this study with archival records of Hg accumulation in estuarine and deep ocean sediment. &lt;/p&gt;","container-title":"Environmental Research Letters","DOI":"10.1088/1748-9326/ab281f","ISSN":"1748-9326","issue":"8","note":"Citation Key: Streets2019b","page":"084004","title":"Five hundred years of anthropogenic mercury: spatial and temporal release profiles*","volume":"14","author":[{"family":"Streets","given":"David G"},{"family":"Horowitz","given":"Hannah M"},{"family":"Lu","given":"Zifeng"},{"family":"Levin","given":"Leonard"},{"family":"Thackray","given":"Colin P"},{"family":"Sunderland","given":"Elsie M"}],"issued":{"date-parts":[["2019",8,1]]}}}],"schema":"https://github.com/citation-style-language/schema/raw/master/csl-citation.json"} </w:instrText>
      </w:r>
      <w:r w:rsidRPr="00681223">
        <w:rPr>
          <w:b w:val="0"/>
          <w:bCs w:val="0"/>
        </w:rPr>
        <w:fldChar w:fldCharType="separate"/>
      </w:r>
      <w:r w:rsidRPr="00681223">
        <w:rPr>
          <w:b w:val="0"/>
          <w:bCs w:val="0"/>
        </w:rPr>
        <w:t>(Geyman et al., 2023; Streets et al., 2019a)</w:t>
      </w:r>
      <w:r w:rsidRPr="00681223">
        <w:rPr>
          <w:b w:val="0"/>
          <w:bCs w:val="0"/>
        </w:rPr>
        <w:fldChar w:fldCharType="end"/>
      </w:r>
      <w:r w:rsidRPr="00681223">
        <w:rPr>
          <w:b w:val="0"/>
          <w:bCs w:val="0"/>
        </w:rPr>
        <w:t xml:space="preserve"> and adversely affected the health of exposed humans and wildlife </w:t>
      </w:r>
      <w:r w:rsidRPr="00681223">
        <w:rPr>
          <w:b w:val="0"/>
          <w:bCs w:val="0"/>
        </w:rPr>
        <w:fldChar w:fldCharType="begin"/>
      </w:r>
      <w:r w:rsidRPr="00681223">
        <w:rPr>
          <w:b w:val="0"/>
          <w:bCs w:val="0"/>
        </w:rPr>
        <w:instrText xml:space="preserve"> ADDIN ZOTERO_ITEM CSL_CITATION {"citationID":"OaLq8YjM","properties":{"formattedCitation":"(Basu et al., 2023)","plainCitation":"(Basu et al., 2023)","noteIndex":0},"citationItems":[{"id":1454,"uris":["http://zotero.org/users/local/VbtpDxdA/items/KKV546RX","http://zotero.org/users/11937628/items/KKV546RX"],"itemData":{"id":1454,"type":"article-journal","abstract":"&lt;p&gt;Mercury (Hg) is a chemical of health concern worldwide that is now being acted upon through the Minamata Convention. Operationalizing the Convention and tracking its effectiveness requires empathy of the diversity and variation of mercury exposure and risk in populations worldwide. As part of the health plenary for the 15th International Conference on Mercury as a Global Pollutant (ICMGP), this review paper details how scientific understandings have evolved over time, from tragic poisoning events in the mid-twentieth century to important epidemiological studies in the late-twentieth century in the Seychelles and Faroe Islands, the Arctic and Amazon. Entering the twenty-first century, studies on diverse source-exposure scenarios (e.g., ASGM, amalgams, contaminated sites, cosmetics, electronic waste) from across global regions have expanded understandings and exemplified the need to consider socio-environmental variables and local contexts when conducting health studies. We conclude with perspectives on next steps for mercury health research in the post-Minamata Convention era.&lt;/p&gt;","container-title":"Ambio","DOI":"10.1007/s13280-023-01831-6","ISSN":"0044-7447","issue":"5","note":"publisher: Springer Science and Business Media B.V.","page":"877-896","title":"Our evolved understanding of the human health risks of mercury","volume":"52","author":[{"family":"Basu","given":"Niladri"},{"family":"Bastiansz","given":"Ashley"},{"family":"Dórea","given":"José G."},{"family":"Fujimura","given":"Masatake"},{"family":"Horvat","given":"Milena"},{"family":"Shroff","given":"Emelyn"},{"family":"Weihe","given":"Pál"},{"family":"Zastenskaya","given":"Irina"}],"issued":{"date-parts":[["2023",5,15]]}}}],"schema":"https://github.com/citation-style-language/schema/raw/master/csl-citation.json"} </w:instrText>
      </w:r>
      <w:r w:rsidRPr="00681223">
        <w:rPr>
          <w:b w:val="0"/>
          <w:bCs w:val="0"/>
        </w:rPr>
        <w:fldChar w:fldCharType="separate"/>
      </w:r>
      <w:r w:rsidRPr="00681223">
        <w:rPr>
          <w:b w:val="0"/>
          <w:bCs w:val="0"/>
        </w:rPr>
        <w:t>(Basu et al., 2023)</w:t>
      </w:r>
      <w:r w:rsidRPr="00681223">
        <w:rPr>
          <w:b w:val="0"/>
          <w:bCs w:val="0"/>
        </w:rPr>
        <w:fldChar w:fldCharType="end"/>
      </w:r>
      <w:r w:rsidRPr="00681223">
        <w:rPr>
          <w:b w:val="0"/>
          <w:bCs w:val="0"/>
        </w:rPr>
        <w:t xml:space="preserve">. Reemission of anthropogenic Hg from terrestrial and aquatic ecosystems extends its lifetime in the biosphere (referred to as “legacy Hg”). Past work has quantified the impacts of historical emissions and legacy Hg cycling on the global Hg cycle </w:t>
      </w:r>
      <w:r w:rsidRPr="00681223">
        <w:rPr>
          <w:b w:val="0"/>
          <w:bCs w:val="0"/>
        </w:rPr>
        <w:fldChar w:fldCharType="begin"/>
      </w:r>
      <w:r w:rsidRPr="00681223">
        <w:rPr>
          <w:b w:val="0"/>
          <w:bCs w:val="0"/>
        </w:rPr>
        <w:instrText xml:space="preserve"> ADDIN ZOTERO_ITEM CSL_CITATION {"citationID":"7r6uHHzU","properties":{"formattedCitation":"(Amos et al., 2013; Angot et al., 2018; Guerrero &amp; Schneider, 2023; Nriagu, 1994)","plainCitation":"(Amos et al., 2013; Angot et al., 2018; Guerrero &amp; Schneider, 2023; Nriagu, 1994)","noteIndex":0},"citationItems":[{"id":612,"uris":["http://zotero.org/users/local/VbtpDxdA/items/7P2UKX4T","http://zotero.org/users/11937628/items/7P2UKX4T"],"itemData":{"id":612,"type":"article-journal","abstract":"Elevated mercury (Hg) in marine and terrestrial ecosystems is a global health concern because of the formation of toxic methylmercury. Humans have emitted Hg to the atmosphere for millennia, and this Hg has deposited and accumulated into ecosystems globally. Here we present a global biogeochemical model with fully coupled atmospheric, terrestrial, and oceanic Hg reservoirs to better understand human influence on Hg cycling and timescales for responses. We drive the model with a historical inventory of anthropogenic emissions from 2000 BC to present. Results show that anthropogenic perturbations introduced to surface reservoirs (atmosphere, ocean, or terrestrial) accumulate and persist in the subsurface ocean for decades to centuries. The simulated present-day atmosphere is enriched by a factor of 2.6 relative to 1840 levels, consistent with sediment archives, and by a factor of 7.5 relative to natural levels (2000 BC). Legacy anthropogenic Hg re-emitted from surface reservoirs accounts for 60% of present-day atmospheric deposition, compared to 27% from primary anthropogenic emissions, and 13% from natural sources. We find that only 17% of the present-day Hg in the surface ocean is natural and that half of its anthropogenic enrichment originates from pre-1950 emissions. Although Asia is presently the dominant contributor to primary anthropogenic emissions, only 17% of the surface ocean reservoir is of Asian anthropogenic origin, as compared to 30% of North American and European origin. The accumulated burden of legacy anthropogenic Hg means that future deposition will increase even if primary anthropogenic emissions are held constant. Aggressive global Hg emission reductions will be necessary just to maintain oceanic Hg concentrations at present levels. ©2013. American Geophysical Union. All Rights Reserved.","container-title":"Global Biogeochemical Cycles","DOI":"10.1002/gbc.20040","ISSN":"08866236","issue":"2","note":"Citation Key: Amos2013","page":"410-421","title":"Legacy impacts of all-time anthropogenic emissions on the global mercury cycle","volume":"27","author":[{"family":"Amos","given":"Helen M."},{"family":"Jacob","given":"Daniel J."},{"family":"Streets","given":"David G."},{"family":"Sunderland","given":"Elsie M."}],"issued":{"date-parts":[["2013",6]]}}},{"id":510,"uris":["http://zotero.org/users/local/VbtpDxdA/items/E59SCICZ","http://zotero.org/users/11937628/items/E59SCICZ"],"itemData":{"id":510,"type":"article-journal","abstract":"Mercury (Hg) is emitted to air by natural and anthropogenic sources, transports and deposits globally, and bioaccumulates to toxic levels in food webs. It is addressed under the global 2017 Minamata Convention, for which periodic effectiveness evaluation is required. Previous analyses have estimated the impact of different regulatory strategies for future mercury deposition. However, analyses using atmospheric models traditionally hold legacy emissions (recycling of previously deposited Hg) constant, and do not account for their possible future growth. Here, using an integrated modeling approach, we investigate how delays in implementing emissions reductions and the associated growing legacy reservoir affect deposition fluxes to ecosystems in different global regions. Assuming nearly constant yearly emissions relative to 2010, each 5-year delay in peak emissions defers by additional extra ca. 4 years the return to year 2010 global deposition. On a global average, each 5-year delay leads to a 14% decrease in policy impacts on local-scale Hg deposition. We also investigate the response of fish contamination in remote lakes to delayed action. We quantify the consequences of delay for limiting the Hg burden of future generations and show that traditional analyses of policy impacts provide best-case estimates.","container-title":"Environmental Science and Technology","DOI":"10.1021/acs.est.8b04542","ISSN":"15205851","issue":"22","note":"PMID: 30376303\nCitation Key: Angot2018","page":"12968-12977","title":"Global and Local Impacts of Delayed Mercury Mitigation Efforts","volume":"52","author":[{"family":"Angot","given":"Hélène"},{"family":"Hoffman","given":"Nicholas"},{"family":"Giang","given":"Amanda"},{"family":"Thackray","given":"Colin P"},{"family":"Hendricks","given":"Ashley N"},{"family":"Urban","given":"Noel R"},{"family":"Selin","given":"Noelle E"}],"issued":{"date-parts":[["2018"]]}}},{"id":1525,"uris":["http://zotero.org/users/11937628/items/5939ESTP"],"itemData":{"id":1525,"type":"article-journal","abstract":"During the nineteenth century, a major change took place in the trade, production, and use of mercury that altered its nearly exclusive link to silver refining in the Hispanic New World. We track the global expansion of mercury markets in chronological detail from 1511 to 1900 using historical archives on production and trade, a detailed country-by-country accounting of the pool of anthropogenic mercury from which legacy mercury was ultimately generated. The nature and profile of pre-1900 legacy mercury extends beyond silver refining, mercury production, and gold extraction, and includes alternate sources (vermilion, felt, mercury fulminate) and new regions that were not major silver or gold producers (China, India, United Kingdom, France, among others), that accounted for approximately 50% of total mercury consumed in the nineteenth century. The nature of the pre-1900 mercury market requires a quantitative distinction between legacy mercury and historic anthropogenic mercury production and use, since the chemistry of its end-uses determines the pathways and timelines for its incorporation into the global biogeochemical cycle. We thus introduce the concept of a mercury source pool to account for total historic anthropogenic mercury within and outside this cycle. Together with a critical review of previous assumptions used to reconstruct the historical use and loss of mercury, a much lower level of emissions of pre-1900 legacy mercury is proposed. A coordinated effort across disciplines is needed, to complete a historically accurate scenario that can guide the multilateral policies adopted under the United Nations Minamata Convention to control mercury in the environment.","container-title":"Proceedings of the National Academy of Sciences","DOI":"10.1073/pnas.2304059120","ISSN":"0027-8424, 1091-6490","issue":"31","journalAbbreviation":"Proc. Natl. Acad. Sci. U.S.A.","language":"en","page":"e2304059120","source":"DOI.org (Crossref)","title":"The global roots of pre-1900 legacy mercury","volume":"120","author":[{"family":"Guerrero","given":"Saul"},{"family":"Schneider","given":"Larissa"}],"issued":{"date-parts":[["2023",8]]}}},{"id":1444,"uris":["http://zotero.org/users/11937628/items/IEY2P7HL"],"itemData":{"id":1444,"type":"article-journal","abstract":"The development of the patio amalgamation process into an industrial scale operation in 1554 stimulated the massive production of silver in the New World but left behind an unprecedented quantity of mercury pollution. The annual loss of mercury in the silver mines of Spanish America averaged 612 tonnes/year (range 292-1085 tonnes/year) between 1580 and 1900. The production and importation of mercury into the United States ranged from 268 to 2820 tonnes/year and averaged-1360 tonnes/year between 1850 and 1900. Approximately 90% of the mercury consumed in the United States during this period was employed in gold and silver extraction. The cumulative losses of mercury to the environment due to the production of precious metals in the Americas totalled-257 400 tonnes, with 196 000 tonnes dispersed in South and Central America and 61 380 tonnes in the United States. Approximately 60-65% of the mercury lost is believed to have been released to the atmosphere, suggesting that gold and silver mines were a dominant source of atmospheric mercury pollution. Because of its high volatility, any deposited mercury can readily be re-emitted to the atmosphere. The continuing recycling of this large mass of mercury may partly be responsible for the high fluxes of mercury in many parts of North and South America and the high background levels of mercury in the global environment .","container-title":"Science of The Total Environment","DOI":"10.1016/0048-9697(94)90177-5","ISSN":"00489697","issue":"3","page":"167-181","title":"Mercury pollution from the past mining of gold and silver in the Americas","volume":"149","author":[{"family":"Nriagu","given":"Jerome O."}],"issued":{"date-parts":[["1994",6]]}}}],"schema":"https://github.com/citation-style-language/schema/raw/master/csl-citation.json"} </w:instrText>
      </w:r>
      <w:r w:rsidRPr="00681223">
        <w:rPr>
          <w:b w:val="0"/>
          <w:bCs w:val="0"/>
        </w:rPr>
        <w:fldChar w:fldCharType="separate"/>
      </w:r>
      <w:r w:rsidRPr="00681223">
        <w:rPr>
          <w:b w:val="0"/>
          <w:bCs w:val="0"/>
        </w:rPr>
        <w:t>(Amos et al., 2013; Angot et al., 2018; Guerrero &amp; Schneider, 2023; Nriagu, 1994)</w:t>
      </w:r>
      <w:r w:rsidRPr="00681223">
        <w:rPr>
          <w:b w:val="0"/>
          <w:bCs w:val="0"/>
        </w:rPr>
        <w:fldChar w:fldCharType="end"/>
      </w:r>
      <w:r w:rsidRPr="00681223">
        <w:rPr>
          <w:b w:val="0"/>
          <w:bCs w:val="0"/>
        </w:rPr>
        <w:t xml:space="preserve">. However, </w:t>
      </w:r>
      <w:r w:rsidR="00FC1F5E">
        <w:rPr>
          <w:b w:val="0"/>
          <w:bCs w:val="0"/>
        </w:rPr>
        <w:t xml:space="preserve">estimates of </w:t>
      </w:r>
      <w:r w:rsidRPr="00681223">
        <w:rPr>
          <w:b w:val="0"/>
          <w:bCs w:val="0"/>
        </w:rPr>
        <w:t>future</w:t>
      </w:r>
      <w:r w:rsidR="00FC1F5E">
        <w:rPr>
          <w:b w:val="0"/>
          <w:bCs w:val="0"/>
        </w:rPr>
        <w:t xml:space="preserve"> anthropogenic</w:t>
      </w:r>
      <w:r w:rsidRPr="00681223">
        <w:rPr>
          <w:b w:val="0"/>
          <w:bCs w:val="0"/>
        </w:rPr>
        <w:t xml:space="preserve"> Hg emissions </w:t>
      </w:r>
      <w:r w:rsidR="00FC1F5E">
        <w:rPr>
          <w:b w:val="0"/>
          <w:bCs w:val="0"/>
        </w:rPr>
        <w:t xml:space="preserve">based on the most </w:t>
      </w:r>
      <w:r w:rsidR="00FC1F5E" w:rsidRPr="00681223">
        <w:rPr>
          <w:b w:val="0"/>
          <w:bCs w:val="0"/>
        </w:rPr>
        <w:t xml:space="preserve">recent future growth scenarios adopted by the Intergovernmental Panel on Climate Change (IPCC) </w:t>
      </w:r>
      <w:r w:rsidRPr="00681223">
        <w:rPr>
          <w:b w:val="0"/>
          <w:bCs w:val="0"/>
        </w:rPr>
        <w:t>and their drivers</w:t>
      </w:r>
      <w:r w:rsidR="00FC1F5E">
        <w:rPr>
          <w:b w:val="0"/>
          <w:bCs w:val="0"/>
        </w:rPr>
        <w:t xml:space="preserve"> are not presently available </w:t>
      </w:r>
      <w:r w:rsidRPr="00681223">
        <w:rPr>
          <w:b w:val="0"/>
          <w:bCs w:val="0"/>
        </w:rPr>
        <w:t>(O’Neill et al., 2016)</w:t>
      </w:r>
      <w:r w:rsidR="00FC1F5E">
        <w:rPr>
          <w:b w:val="0"/>
          <w:bCs w:val="0"/>
        </w:rPr>
        <w:t>, limiting our ability to project future scenarios of Hg pollution</w:t>
      </w:r>
      <w:r w:rsidRPr="00681223">
        <w:rPr>
          <w:b w:val="0"/>
          <w:bCs w:val="0"/>
        </w:rPr>
        <w:t>.</w:t>
      </w:r>
    </w:p>
    <w:p w14:paraId="10D8EC79" w14:textId="76E6661A" w:rsidR="00681223" w:rsidRPr="00681223" w:rsidRDefault="00681223" w:rsidP="00681223">
      <w:pPr>
        <w:pStyle w:val="Heading-Main"/>
        <w:rPr>
          <w:b w:val="0"/>
          <w:bCs w:val="0"/>
        </w:rPr>
      </w:pPr>
      <w:r w:rsidRPr="00681223">
        <w:rPr>
          <w:b w:val="0"/>
          <w:bCs w:val="0"/>
        </w:rPr>
        <w:t xml:space="preserve">Shared Socioeconomic Pathways (SSPs) </w:t>
      </w:r>
      <w:r w:rsidR="002F1A8D">
        <w:rPr>
          <w:b w:val="0"/>
          <w:bCs w:val="0"/>
        </w:rPr>
        <w:t xml:space="preserve">and associated emission scenarios </w:t>
      </w:r>
      <w:r w:rsidRPr="00681223">
        <w:rPr>
          <w:b w:val="0"/>
          <w:bCs w:val="0"/>
        </w:rPr>
        <w:t xml:space="preserve">offer unified narratives ranging from sustainable development to fossil fuel-driven growth </w:t>
      </w:r>
      <w:r w:rsidRPr="00681223">
        <w:rPr>
          <w:b w:val="0"/>
          <w:bCs w:val="0"/>
        </w:rPr>
        <w:fldChar w:fldCharType="begin"/>
      </w:r>
      <w:r w:rsidR="006803B5" w:rsidRPr="006803B5">
        <w:rPr>
          <w:b w:val="0"/>
          <w:bCs w:val="0"/>
        </w:rPr>
        <w:instrText xml:space="preserve"> ADDIN ZOTERO_ITEM CSL_CITATION {"citationID":"XHvGThX3","properties":{"formattedCitation":"(O\\uc0\\u8217{}Neill et al., 2016, 2017)","plainCitation":"(O’Neill et al., 2016, 2017)","noteIndex":0},"citationItems":[{"id":1116,"uris":["http://zotero.org/users/local/VbtpDxdA/items/G5RR5XS2","http://zotero.org/users/11937628/items/G5RR5XS2"],"itemData":{"id":1116,"type":"article-journal","abstract":"Abstract. Projections of future climate change play a fundamental role in improving understanding of the climate system as well as characterizing societal risks and response options. The Scenario Model Intercomparison Project (ScenarioMIP) is the primary activity within Phase 6 of the Coupled Model Intercomparison Project (CMIP6) that will provide multi-model climate projections based on alternative scenarios of future emissions and land use changes produced with integrated assessment models. In this paper, we describe ScenarioMIP's objectives, experimental design, and its relation to other activities within CMIP6. The ScenarioMIP design is one component of a larger scenario process that aims to facilitate a wide range of integrated studies across the climate science, integrated assessment modeling, and impacts, adaptation, and vulnerability communities, and will form an important part of the evidence base in the forthcoming Intergovernmental Panel on Climate Change (IPCC) assessments. At the same time, it will provide the basis for investigating a number of targeted science and policy questions that are especially relevant to scenario-based analysis, including the role of specific forcings such as land use and aerosols, the effect of a peak and decline in forcing, the consequences of scenarios that limit warming to below 2 °C, the relative contributions to uncertainty from scenarios, climate models, and internal variability, and long-term climate system outcomes beyond the 21st century. To serve this wide range of scientific communities and address these questions, a design has been identified consisting of eight alternative 21st century scenarios plus one large initial condition ensemble and a set of long-term extensions, divided into two tiers defined by relative priority. Some of these scenarios will also provide a basis for variants planned to be run in other CMIP6-Endorsed MIPs to investigate questions related to specific forcings. Harmonized, spatially explicit emissions and land use scenarios generated with integrated assessment models will be provided to participating climate modeling groups by late 2016, with the climate model simulations run within the 2017–2018 time frame, and output from the climate model projections made available and analyses performed over the 2018–2020 period.","container-title":"Geoscientific Model Development","DOI":"10.5194/gmd-9-3461-2016","ISSN":"1991-9603","issue":"9","note":"Citation Key: ONeill2016","page":"3461-3482","title":"The Scenario Model Intercomparison Project (ScenarioMIP) for CMIP6","volume":"9","author":[{"family":"O'Neill","given":"Brian C."},{"family":"Tebaldi","given":"Claudia"},{"family":"Vuuren","given":"Detlef P.","non-dropping-particle":"van"},{"family":"Eyring","given":"Veronika"},{"family":"Friedlingstein","given":"Pierre"},{"family":"Hurtt","given":"George"},{"family":"Knutti","given":"Reto"},{"family":"Kriegler","given":"Elmar"},{"family":"Lamarque","given":"Jean-Francois"},{"family":"Lowe","given":"Jason"},{"family":"Meehl","given":"Gerald A."},{"family":"Moss","given":"Richard"},{"family":"Riahi","given":"Keywan"},{"family":"Sanderson","given":"Benjamin M."}],"issued":{"date-parts":[["2016",9,28]]}}},{"id":1450,"uris":["http://zotero.org/users/11937628/items/KIDHEDJM"],"itemData":{"id":1450,"type":"article-journal","abstract":"Long-term scenarios play an important role in research on global environmental change. The climate change research community is developing new scenarios integrating future changes in climate and society to investigate climate impacts as well as options for mitigation and adaptation. One component of these new scenarios is a set of alternative futures of societal development known as the shared socioeconomic pathways (SSPs). The conceptual framework for the design and use of the SSPs calls for the development of global pathways describing the future evolution of key aspects of society that would together imply a range of challenges for mitigating and adapting to climate change. Here we present one component of these pathways: the SSP narratives, a set of five qualitative descriptions of future changes in demographics, human development, economy and lifestyle, policies and institutions, technology, and environment and natural resources. We describe the methods used to develop the narratives as well as how these pathways are hypothesized to produce particular combinations of challenges to mitigation and adaptation. Development of the narratives drew on expert opinion to (1) identify key determinants of these challenges that were essential to incorporate in the narratives and (2) combine these elements in the narratives in a manner consistent with scholarship on their inter-relationships. The narratives are intended as a description of plausible future conditions at the level of large world regions that can serve as a basis for integrated scenarios of emissions and land use, as well as climate impact, adaptation and vulnerability analyses.","container-title":"Global Environmental Change","DOI":"10.1016/j.gloenvcha.2015.01.004","ISSN":"09593780","note":"publisher: Elsevier Ltd","page":"169-180","title":"The roads ahead: Narratives for shared socioeconomic pathways describing world futures in the 21st century","volume":"42","author":[{"family":"O’Neill","given":"Brian C."},{"family":"Kriegler","given":"Elmar"},{"family":"Ebi","given":"Kristie L."},{"family":"Kemp-Benedict","given":"Eric"},{"family":"Riahi","given":"Keywan"},{"family":"Rothman","given":"Dale S."},{"family":"Ruijven","given":"Bas J.","non-dropping-particle":"van"},{"family":"Vuuren","given":"Detlef P.","non-dropping-particle":"van"},{"family":"Birkmann","given":"Joern"},{"family":"Kok","given":"Kasper"},{"family":"Levy","given":"Marc"},{"family":"Solecki","given":"William"}],"issued":{"date-parts":[["2017",1,1]]}}}],"schema":"https://github.com/citation-style-language/schema/raw/master/csl-citation.json"} </w:instrText>
      </w:r>
      <w:r w:rsidRPr="00681223">
        <w:rPr>
          <w:b w:val="0"/>
          <w:bCs w:val="0"/>
        </w:rPr>
        <w:fldChar w:fldCharType="separate"/>
      </w:r>
      <w:r w:rsidR="006803B5" w:rsidRPr="006803B5">
        <w:rPr>
          <w:b w:val="0"/>
          <w:bCs w:val="0"/>
          <w:kern w:val="0"/>
        </w:rPr>
        <w:t>(O’Neill et al., 2016, 2017)</w:t>
      </w:r>
      <w:r w:rsidRPr="00681223">
        <w:rPr>
          <w:b w:val="0"/>
          <w:bCs w:val="0"/>
        </w:rPr>
        <w:fldChar w:fldCharType="end"/>
      </w:r>
      <w:r w:rsidR="00FC1F5E">
        <w:rPr>
          <w:b w:val="0"/>
          <w:bCs w:val="0"/>
        </w:rPr>
        <w:t>.</w:t>
      </w:r>
      <w:r w:rsidRPr="00681223">
        <w:rPr>
          <w:b w:val="0"/>
          <w:bCs w:val="0"/>
        </w:rPr>
        <w:t xml:space="preserve"> </w:t>
      </w:r>
      <w:r w:rsidR="00FC1F5E">
        <w:rPr>
          <w:b w:val="0"/>
          <w:bCs w:val="0"/>
        </w:rPr>
        <w:t xml:space="preserve">They </w:t>
      </w:r>
      <w:r w:rsidRPr="00681223">
        <w:rPr>
          <w:b w:val="0"/>
          <w:bCs w:val="0"/>
        </w:rPr>
        <w:t xml:space="preserve">provide a framework for bounding development and greenhouse gas trajectories </w:t>
      </w:r>
      <w:r w:rsidR="008B4658">
        <w:rPr>
          <w:b w:val="0"/>
          <w:bCs w:val="0"/>
        </w:rPr>
        <w:t xml:space="preserve">extending </w:t>
      </w:r>
      <w:r w:rsidRPr="00681223">
        <w:rPr>
          <w:b w:val="0"/>
          <w:bCs w:val="0"/>
        </w:rPr>
        <w:t xml:space="preserve">to the year 2300 </w:t>
      </w:r>
      <w:r w:rsidRPr="00681223">
        <w:rPr>
          <w:b w:val="0"/>
          <w:bCs w:val="0"/>
        </w:rPr>
        <w:fldChar w:fldCharType="begin"/>
      </w:r>
      <w:r w:rsidRPr="00681223">
        <w:rPr>
          <w:b w:val="0"/>
          <w:bCs w:val="0"/>
        </w:rPr>
        <w:instrText xml:space="preserve"> ADDIN ZOTERO_ITEM CSL_CITATION {"citationID":"KL0gk0lf","properties":{"formattedCitation":"(Meinshausen et al., 2020)","plainCitation":"(Meinshausen et al., 2020)","noteIndex":0},"citationItems":[{"id":1456,"uris":["http://zotero.org/users/local/VbtpDxdA/items/6H8AH4MN","http://zotero.org/users/11937628/items/6H8AH4MN"],"itemData":{"id":1456,"type":"article-journal","abstract":"&lt;p&gt;&lt;![CDATA[Abstract. Anthropogenic increases in atmospheric greenhouse gas concentrations are the main driver of current and future climate change. The integrated assessment community has quantified anthropogenic emissions for the shared socio-economic pathway (SSP) scenarios, each of which represents a different future socio-economic projection and political environment. Here, we provide the greenhouse gas concentrations for these SSP scenarios – using the reduced-complexity climate–carbon-cycle model MAGICC7.0. We extend historical, observationally based concentration data with SSP concentration projections from 2015 to 2500 for 43 greenhouse gases with monthly and latitudinal resolution. CO2 concentrations by 2100 range from 393 to 1135 ppm for the lowest (SSP1-1.9) and highest (SSP5-8.5) emission scenarios, respectively. We also provide the concentration extensions beyond 2100 based on assumptions regarding the trajectories of fossil fuels and land use change emissions, net negative emissions, and the fraction of non-CO2 emissions. By 2150, CO2 concentrations in the lowest emission scenario are approximately 350 ppm and approximately plateau at that level until 2500, whereas the highest fossil-fuel-driven scenario projects CO2 concentrations of 1737 ppm and reaches concentrations beyond 2000 ppm by 2250. We estimate that the share of CO2 in the total radiative forcing contribution of all considered 43 long-lived greenhouse gases increases from 66 % for the present day to roughly 68 % to 85 % by the time of maximum forcing in the 21st century. For this estimation, we updated simple radiative forcing parameterizations that reflect the Oslo Line-By-Line model results. In comparison to the representative concentration pathways (RCPs), the five main SSPs (SSP1-1.9, SSP1-2.6, SSP2-4.5, SSP3-7.0, and SSP5-8.5) are more evenly spaced and extend to lower 2100 radiative forcing and temperatures. Performing two pairs of six-member historical ensembles with CESM1.2.2, we estimate the effect on surface air temperatures of applying latitudinally and seasonally resolved GHG concentrations. We find that the ensemble differences in the March–April–May (MAM) season provide a regional warming in higher northern latitudes of up to 0.4 K over the historical period, latitudinally averaged of about 0.1 K, which we estimate to be comparable to the upper bound (</w:instrText>
      </w:r>
      <w:r w:rsidRPr="00681223">
        <w:rPr>
          <w:rFonts w:ascii="Cambria Math" w:hAnsi="Cambria Math" w:cs="Cambria Math"/>
          <w:b w:val="0"/>
          <w:bCs w:val="0"/>
        </w:rPr>
        <w:instrText>∼</w:instrText>
      </w:r>
      <w:r w:rsidRPr="00681223">
        <w:rPr>
          <w:b w:val="0"/>
          <w:bCs w:val="0"/>
        </w:rPr>
        <w:instrText>5 % level) of natural variability. In comparison to the comparatively straight line of the last 2000 years, the greenhouse gas concentrations since the onset of the industrial period and this studies' projections over the next 100 to 500 years unequivocally depict a “hockey-stick” upwards shape. The SSP concentration time series derived in this study provide a harmonized set of input assumptions for long-term climate science analysis; they also provide an indication of the wide set of futures that societal developments and policy implementations can lead to – ranging from multiple degrees of future warming on the one side to approximately 1.5 </w:instrText>
      </w:r>
      <w:r w:rsidRPr="00681223">
        <w:rPr>
          <w:rFonts w:ascii="Cambria Math" w:hAnsi="Cambria Math" w:cs="Cambria Math"/>
          <w:b w:val="0"/>
          <w:bCs w:val="0"/>
        </w:rPr>
        <w:instrText>∘</w:instrText>
      </w:r>
      <w:r w:rsidRPr="00681223">
        <w:rPr>
          <w:b w:val="0"/>
          <w:bCs w:val="0"/>
        </w:rPr>
        <w:instrText xml:space="preserve">C warming on the other.]]&gt;&lt;/p&gt;","container-title":"Geoscientific Model Development","DOI":"10.5194/gmd-13-3571-2020","ISSN":"1991-9603","issue":"8","note":"publisher: Copernicus GmbH","page":"3571-3605","title":"The shared socio-economic pathway (SSP) greenhouse gas concentrations and their extensions to 2500","volume":"13","author":[{"family":"Meinshausen","given":"Malte"},{"family":"Nicholls","given":"Zebedee R. J."},{"family":"Lewis","given":"Jared"},{"family":"Gidden","given":"Matthew J."},{"family":"Vogel","given":"Elisabeth"},{"family":"Freund","given":"Mandy"},{"family":"Beyerle","given":"Urs"},{"family":"Gessner","given":"Claudia"},{"family":"Nauels","given":"Alexander"},{"family":"Bauer","given":"Nico"},{"family":"Canadell","given":"Josep G."},{"family":"Daniel","given":"John S."},{"family":"John","given":"Andrew"},{"family":"Krummel","given":"Paul B."},{"family":"Luderer","given":"Gunnar"},{"family":"Meinshausen","given":"Nicolai"},{"family":"Montzka","given":"Stephen A."},{"family":"Rayner","given":"Peter J."},{"family":"Reimann","given":"Stefan"},{"family":"Smith","given":"Steven J."},{"family":"Berg","given":"Marten","non-dropping-particle":"van den"},{"family":"Velders","given":"Guus J. M."},{"family":"Vollmer","given":"Martin K."},{"family":"Wang","given":"Ray H. J."}],"issued":{"date-parts":[["2020",8,13]]}}}],"schema":"https://github.com/citation-style-language/schema/raw/master/csl-citation.json"} </w:instrText>
      </w:r>
      <w:r w:rsidRPr="00681223">
        <w:rPr>
          <w:b w:val="0"/>
          <w:bCs w:val="0"/>
        </w:rPr>
        <w:fldChar w:fldCharType="separate"/>
      </w:r>
      <w:r w:rsidRPr="00681223">
        <w:rPr>
          <w:b w:val="0"/>
          <w:bCs w:val="0"/>
        </w:rPr>
        <w:t>(Meinshausen et al., 2020)</w:t>
      </w:r>
      <w:r w:rsidRPr="00681223">
        <w:rPr>
          <w:b w:val="0"/>
          <w:bCs w:val="0"/>
        </w:rPr>
        <w:fldChar w:fldCharType="end"/>
      </w:r>
      <w:r w:rsidRPr="00681223">
        <w:rPr>
          <w:b w:val="0"/>
          <w:bCs w:val="0"/>
        </w:rPr>
        <w:t xml:space="preserve">. However, these narratives do not explicitly address Hg emissions or the technological transformations underpinning future changes in Hg emission intensity. We fill this gap by developing a methodology for projecting time-dependent change in activity-specific Hg emission factors. This approach is built upon detailed parameterizations developed for historical emission inventories </w:t>
      </w:r>
      <w:r w:rsidRPr="00681223">
        <w:rPr>
          <w:b w:val="0"/>
          <w:bCs w:val="0"/>
        </w:rPr>
        <w:fldChar w:fldCharType="begin"/>
      </w:r>
      <w:r w:rsidRPr="00681223">
        <w:rPr>
          <w:b w:val="0"/>
          <w:bCs w:val="0"/>
        </w:rPr>
        <w:instrText xml:space="preserve"> ADDIN ZOTERO_ITEM CSL_CITATION {"citationID":"UwChyqxC","properties":{"formattedCitation":"(Streets et al., 2011, 2019a)","plainCitation":"(Streets et al., 2011, 2019a)","noteIndex":0},"citationItems":[{"id":590,"uris":["http://zotero.org/users/local/VbtpDxdA/items/GIAEH7GT","http://zotero.org/users/11937628/items/GIAEH7GT"],"itemData":{"id":590,"type":"article-journal","abstract":"Understanding the biogeochemical cycling of mercury is critical for explaining the presence of mercury in remote regions of the world, such as the Arctic and the Himalayas, as well as local concentrations. While we have good knowledge of present-day fluxes of mercury to the atmosphere, we have little knowledge of what emission levels were like in the past. Here we develop a trend of anthropogenic emissions of mercury to the atmosphere from 1850 to 2008-for which relatively complete data are available-and supplement that trend with an estimate of anthropogenic emissions prior to 1850. Global mercury emissions peaked in 1890 at 2600 Mg yr-1, fell to 700-800 Mg yr-1 in the interwar years, then rose steadily after 1950 to present-day levels of 2000 Mg yr-1. Our estimate for total mercury emissions from human activities over all time is 350 Gg, of which 39% was emitted before 1850 and 61% after 1850. Using an eight-compartment global box-model of mercury biogeochemical cycling, we show that these emission trends successfully reproduce present-day atmospheric enrichment in mercury. © 2011 American Chemical Society.","container-title":"Environmental Science and Technology","DOI":"10.1021/es202765m","ISSN":"0013936X","issue":"24","note":"PMID: 22070723\nCitation Key: Streets2011","page":"10485-10491","title":"All-time releases of mercury to the atmosphere from human activities","volume":"45","author":[{"family":"Streets","given":"David G."},{"family":"Devane","given":"Molly K."},{"family":"Lu","given":"Zifeng"},{"family":"Bond","given":"Tami C."},{"family":"Sunderland","given":"Elsie M."},{"family":"Jacob","given":"Daniel J."}],"issued":{"date-parts":[["2011"]]}}},{"id":586,"uris":["http://zotero.org/users/local/VbtpDxdA/items/KKDCXK4A","http://zotero.org/users/11937628/items/KKDCXK4A"],"itemData":{"id":586,"type":"article-journal","abstract":"&lt;p&gt; When released to the biosphere, mercury (Hg) is very mobile and can take millennia to be returned to a secure, long-term repository. Understanding where and when Hg was released as a result of human activities allows better quantification of present-day reemissions and future trajectories of environmental concentrations. In this work, we estimate the time-varying releases of Hg in seven world regions over the 500 year period, 1510–2010. By our estimation, this comprises 95% of all-time anthropogenic releases. Globally, 1.47 Tg of Hg were released in this period, 23% directly to the atmosphere and 77% to land and water bodies. Cumulative releases have been largest in Europe (427 Gg) and North America (413 Gg). In some world regions (Africa/Middle East and Oceania), almost all (&amp;gt;99%) of the Hg is relatively recent (emitted since 1850), whereas in South America it is mostly of older vintage (63% emitted before 1850). Asia was the greatest-emitting region in 2010, while releases in Europe and North America have declined since the 1970s, as recognition of the risks posed by Hg have led to its phase-out in commercial usage. The continued use of Hg in artisanal and small-scale gold mining means that the Africa/Middle East region is now a major contributor. We estimate that 72% of cumulative Hg emissions to air has been in the form of elemental mercury (Hg &lt;sup&gt;0&lt;/sup&gt; ), which has a long lifetime in the atmosphere and can therefore be transported long distances. Our results show that 83% of the total Hg has been released to local water bodies, onto land, or quickly deposited from the air in divalent (Hg &lt;sup&gt;II&lt;/sup&gt; ) form. Regionally, this value ranges from 77% in Africa/Middle East and Oceania to 89% in South America. Results from global biogeochemical modeling indicate improved agreement of the refined emission estimates in this study with archival records of Hg accumulation in estuarine and deep ocean sediment. &lt;/p&gt;","container-title":"Environmental Research Letters","DOI":"10.1088/1748-9326/ab281f","ISSN":"1748-9326","issue":"8","note":"Citation Key: Streets2019b","page":"084004","title":"Five hundred years of anthropogenic mercury: spatial and temporal release profiles*","volume":"14","author":[{"family":"Streets","given":"David G"},{"family":"Horowitz","given":"Hannah M"},{"family":"Lu","given":"Zifeng"},{"family":"Levin","given":"Leonard"},{"family":"Thackray","given":"Colin P"},{"family":"Sunderland","given":"Elsie M"}],"issued":{"date-parts":[["2019",8,1]]}}}],"schema":"https://github.com/citation-style-language/schema/raw/master/csl-citation.json"} </w:instrText>
      </w:r>
      <w:r w:rsidRPr="00681223">
        <w:rPr>
          <w:b w:val="0"/>
          <w:bCs w:val="0"/>
        </w:rPr>
        <w:fldChar w:fldCharType="separate"/>
      </w:r>
      <w:r w:rsidRPr="00681223">
        <w:rPr>
          <w:b w:val="0"/>
          <w:bCs w:val="0"/>
        </w:rPr>
        <w:t>(Streets et al., 2011, 2019a)</w:t>
      </w:r>
      <w:r w:rsidRPr="00681223">
        <w:rPr>
          <w:b w:val="0"/>
          <w:bCs w:val="0"/>
        </w:rPr>
        <w:fldChar w:fldCharType="end"/>
      </w:r>
      <w:r w:rsidRPr="00681223">
        <w:rPr>
          <w:b w:val="0"/>
          <w:bCs w:val="0"/>
        </w:rPr>
        <w:t>, which facilitates intercomparison of past and future emissions.</w:t>
      </w:r>
    </w:p>
    <w:p w14:paraId="6CF49434" w14:textId="0B183964" w:rsidR="00681223" w:rsidRPr="00681223" w:rsidRDefault="00681223" w:rsidP="00681223">
      <w:pPr>
        <w:pStyle w:val="Heading-Main"/>
        <w:rPr>
          <w:b w:val="0"/>
          <w:bCs w:val="0"/>
        </w:rPr>
      </w:pPr>
      <w:r w:rsidRPr="00681223">
        <w:rPr>
          <w:b w:val="0"/>
          <w:bCs w:val="0"/>
        </w:rPr>
        <w:t>Anthropogenic Hg is released to the atmosphere in both</w:t>
      </w:r>
      <w:r w:rsidR="00FC1F5E">
        <w:rPr>
          <w:b w:val="0"/>
          <w:bCs w:val="0"/>
        </w:rPr>
        <w:t xml:space="preserve"> the</w:t>
      </w:r>
      <w:r w:rsidRPr="00681223">
        <w:rPr>
          <w:b w:val="0"/>
          <w:bCs w:val="0"/>
        </w:rPr>
        <w:t xml:space="preserve"> elemental (Hg</w:t>
      </w:r>
      <w:r w:rsidRPr="00681223">
        <w:rPr>
          <w:b w:val="0"/>
          <w:bCs w:val="0"/>
          <w:vertAlign w:val="superscript"/>
        </w:rPr>
        <w:t>0</w:t>
      </w:r>
      <w:r w:rsidRPr="00681223">
        <w:rPr>
          <w:b w:val="0"/>
          <w:bCs w:val="0"/>
        </w:rPr>
        <w:t>) and oxidized (Hg</w:t>
      </w:r>
      <w:r w:rsidRPr="00681223">
        <w:rPr>
          <w:b w:val="0"/>
          <w:bCs w:val="0"/>
          <w:vertAlign w:val="superscript"/>
        </w:rPr>
        <w:t>II</w:t>
      </w:r>
      <w:r w:rsidRPr="00681223">
        <w:rPr>
          <w:b w:val="0"/>
          <w:bCs w:val="0"/>
        </w:rPr>
        <w:t>) forms. Hg</w:t>
      </w:r>
      <w:r w:rsidRPr="00681223">
        <w:rPr>
          <w:b w:val="0"/>
          <w:bCs w:val="0"/>
          <w:vertAlign w:val="superscript"/>
        </w:rPr>
        <w:t>II</w:t>
      </w:r>
      <w:r w:rsidRPr="00681223">
        <w:rPr>
          <w:b w:val="0"/>
          <w:bCs w:val="0"/>
        </w:rPr>
        <w:t xml:space="preserve"> has an atmospheric lifetime against deposition of a few days </w:t>
      </w:r>
      <w:r w:rsidRPr="00681223">
        <w:rPr>
          <w:b w:val="0"/>
          <w:bCs w:val="0"/>
        </w:rPr>
        <w:fldChar w:fldCharType="begin"/>
      </w:r>
      <w:r w:rsidRPr="00681223">
        <w:rPr>
          <w:b w:val="0"/>
          <w:bCs w:val="0"/>
        </w:rPr>
        <w:instrText xml:space="preserve"> ADDIN ZOTERO_ITEM CSL_CITATION {"citationID":"MAmj6mKr","properties":{"formattedCitation":"(Corbitt et al., 2011)","plainCitation":"(Corbitt et al., 2011)","noteIndex":0},"citationItems":[{"id":136,"uris":["http://zotero.org/users/local/VbtpDxdA/items/ALK2BLYM","http://zotero.org/users/11937628/items/ALK2BLYM"],"itemData":{"id":136,"type":"article-journal","abstract":"Global policies regulating anthropogenic mercury require an understanding of the relationship between emitted and deposited mercury on intercontinental scales. Here, we examine source-receptor relationships for present-day conditions and four 2050 IPCC scenarios encompassing a range of economic development and environmental regulation projections. We use the GEOS-Chem global model to track mercury from its point of emission through rapid cycling in surface ocean and land reservoirs to its accumulation in longer lived ocean and soil pools. Deposited mercury has a local component (emitted Hg II, lifetime of 3.7 days against deposition) and a global component (emitted Hg0, lifetime of 6 months against deposition). Fast recycling of deposited mercury through photoreduction of HgII and re-emission of Hg0 from surface reservoirs (ice, land, surface ocean) increases the effective lifetime of anthropogenic mercury to 9 months against loss to legacy reservoirs (soil pools and the subsurface ocean). This lifetime is still sufficiently short that source-receptor relationships have a strong hemispheric signature. Asian emissions are the largest source of anthropogenic deposition to all ocean basins, though there is also regional source influence from upwind continents. Current anthropogenic emissions account for only about one-third of mercury deposition to the global ocean with the remainder from natural and legacy sources. However, controls on anthropogenic emissions would have the added benefit of reducing the legacy mercury re-emitted to the atmosphere. Better understanding is needed of the time scales for transfer of mercury from active pools to stable geochemical reservoirs. © 2011 American Chemical Society.","container-title":"Environmental Science and Technology","DOI":"10.1021/es202496y","ISSN":"0013936X","issue":"24","note":"PMID: 22050654\nCitation Key: Corbitt2011","page":"10477-10484","title":"Global source-receptor relationships for mercury deposition under present-day and 2050 emissions scenarios","volume":"45","author":[{"family":"Corbitt","given":"Elizabeth S"},{"family":"Jacob","given":"Daniel J"},{"family":"Holmes","given":"Christopher D"},{"family":"Streets","given":"David G"},{"family":"Sunderland","given":"Elsie M"}],"issued":{"date-parts":[["2011"]]}}}],"schema":"https://github.com/citation-style-language/schema/raw/master/csl-citation.json"} </w:instrText>
      </w:r>
      <w:r w:rsidRPr="00681223">
        <w:rPr>
          <w:b w:val="0"/>
          <w:bCs w:val="0"/>
        </w:rPr>
        <w:fldChar w:fldCharType="separate"/>
      </w:r>
      <w:r w:rsidRPr="00681223">
        <w:rPr>
          <w:b w:val="0"/>
          <w:bCs w:val="0"/>
        </w:rPr>
        <w:t>(Corbitt et al., 2011)</w:t>
      </w:r>
      <w:r w:rsidRPr="00681223">
        <w:rPr>
          <w:b w:val="0"/>
          <w:bCs w:val="0"/>
        </w:rPr>
        <w:fldChar w:fldCharType="end"/>
      </w:r>
      <w:r w:rsidRPr="00681223">
        <w:rPr>
          <w:b w:val="0"/>
          <w:bCs w:val="0"/>
        </w:rPr>
        <w:t>, while the lifetime of Hg</w:t>
      </w:r>
      <w:r w:rsidRPr="00681223">
        <w:rPr>
          <w:b w:val="0"/>
          <w:bCs w:val="0"/>
          <w:vertAlign w:val="superscript"/>
        </w:rPr>
        <w:t>0</w:t>
      </w:r>
      <w:r w:rsidRPr="00681223">
        <w:rPr>
          <w:b w:val="0"/>
          <w:bCs w:val="0"/>
        </w:rPr>
        <w:t xml:space="preserve"> is greater than one year </w:t>
      </w:r>
      <w:r w:rsidRPr="00681223">
        <w:rPr>
          <w:b w:val="0"/>
          <w:bCs w:val="0"/>
        </w:rPr>
        <w:fldChar w:fldCharType="begin"/>
      </w:r>
      <w:r w:rsidR="00E8561E">
        <w:rPr>
          <w:b w:val="0"/>
          <w:bCs w:val="0"/>
        </w:rPr>
        <w:instrText xml:space="preserve"> ADDIN ZOTERO_ITEM CSL_CITATION {"citationID":"xbArdHrw","properties":{"formattedCitation":"(Corbitt et al., 2011; H M Horowitz et al., 2017; Shah et al., 2021)","plainCitation":"(Corbitt et al., 2011; H M Horowitz et al., 2017; Shah et al., 2021)","dontUpdate":true,"noteIndex":0},"citationItems":[{"id":136,"uris":["http://zotero.org/users/local/VbtpDxdA/items/ALK2BLYM","http://zotero.org/users/11937628/items/ALK2BLYM"],"itemData":{"id":136,"type":"article-journal","abstract":"Global policies regulating anthropogenic mercury require an understanding of the relationship between emitted and deposited mercury on intercontinental scales. Here, we examine source-receptor relationships for present-day conditions and four 2050 IPCC scenarios encompassing a range of economic development and environmental regulation projections. We use the GEOS-Chem global model to track mercury from its point of emission through rapid cycling in surface ocean and land reservoirs to its accumulation in longer lived ocean and soil pools. Deposited mercury has a local component (emitted Hg II, lifetime of 3.7 days against deposition) and a global component (emitted Hg0, lifetime of 6 months against deposition). Fast recycling of deposited mercury through photoreduction of HgII and re-emission of Hg0 from surface reservoirs (ice, land, surface ocean) increases the effective lifetime of anthropogenic mercury to 9 months against loss to legacy reservoirs (soil pools and the subsurface ocean). This lifetime is still sufficiently short that source-receptor relationships have a strong hemispheric signature. Asian emissions are the largest source of anthropogenic deposition to all ocean basins, though there is also regional source influence from upwind continents. Current anthropogenic emissions account for only about one-third of mercury deposition to the global ocean with the remainder from natural and legacy sources. However, controls on anthropogenic emissions would have the added benefit of reducing the legacy mercury re-emitted to the atmosphere. Better understanding is needed of the time scales for transfer of mercury from active pools to stable geochemical reservoirs. © 2011 American Chemical Society.","container-title":"Environmental Science and Technology","DOI":"10.1021/es202496y","ISSN":"0013936X","issue":"24","note":"PMID: 22050654\nCitation Key: Corbitt2011","page":"10477-10484","title":"Global source-receptor relationships for mercury deposition under present-day and 2050 emissions scenarios","volume":"45","author":[{"family":"Corbitt","given":"Elizabeth S"},{"family":"Jacob","given":"Daniel J"},{"family":"Holmes","given":"Christopher D"},{"family":"Streets","given":"David G"},{"family":"Sunderland","given":"Elsie M"}],"issued":{"date-parts":[["2011"]]}}},{"id":"yb0nB2Hz/nIPePvBO","uris":["http://zotero.org/users/local/VbtpDxdA/items/HDSP9EEA"],"itemData":{"id":"YdS0twl0/pjcQESFA","type":"article-journal","container-title":"Atmos. Chem. Phys.","DOI":"10.5194/acp-17-6353-2017","ISSN":"1680-7324","issue":"10","note":"publisher: Copernicus Publications\nCitation Key: Horowitz2017","page":"6353-6371","title":"A new mechanism for atmospheric mercury redox chemistry: implications for the global mercury budget","volume":"17","author":[{"family":"Horowitz","given":"H M"},{"family":"Jacob","given":"D J"},{"family":"Zhang","given":"Y"},{"family":"Dibble","given":"T S"},{"family":"Slemr","given":"F"},{"family":"Amos","given":"H M"},{"family":"Schmidt","given":"J A"},{"family":"Corbitt","given":"E S"},{"family":"Marais","given":"E A"},{"family":"Sunderland","given":"E M"}],"issued":{"date-parts":[["2017",5,29]]}}},{"id":785,"uris":["http://zotero.org/users/local/VbtpDxdA/items/MMQBJJRY","http://zotero.org/users/11937628/items/MMQBJJRY"],"itemData":{"id":785,"type":"article-journal","abstract":"We present a new chemical mechanism for Hg0/HgI/HgII atmospheric cycling, including recent laboratory and computational data, and implement it in the GEOS-Chem global atmospheric chemistry model fo...","container-title":"Environmental Science &amp; Technology","DOI":"10.1021/acs.est.1c03160","ISSN":"0013-936X","note":"publisher: American Chemical Society\nCitation Key: Shah2021","page":"acs.est.1c03160","title":"Improved Mechanistic Model of the Atmospheric Redox Chemistry of Mercury","author":[{"family":"Shah","given":"Viral"},{"family":"Jacob","given":"Daniel J."},{"family":"Thackray","given":"Colin P."},{"family":"Wang","given":"Xuan"},{"family":"Sunderland","given":"Elsie M."},{"family":"Dibble","given":"Theodore S."},{"family":"Saiz-Lopez","given":"Alfonso"},{"family":"Černušák","given":"Ivan"},{"family":"Kellö","given":"Vladimir"},{"family":"Castro","given":"Pedro J."},{"family":"Wu","given":"Rongrong"},{"family":"Wang","given":"Chuji"}],"issued":{"date-parts":[["2021",8,17]]}}}],"schema":"https://github.com/citation-style-language/schema/raw/master/csl-citation.json"} </w:instrText>
      </w:r>
      <w:r w:rsidRPr="00681223">
        <w:rPr>
          <w:b w:val="0"/>
          <w:bCs w:val="0"/>
        </w:rPr>
        <w:fldChar w:fldCharType="separate"/>
      </w:r>
      <w:r w:rsidRPr="00681223">
        <w:rPr>
          <w:b w:val="0"/>
          <w:bCs w:val="0"/>
        </w:rPr>
        <w:t>(Horowitz et al., 2017; Shah et al., 2021)</w:t>
      </w:r>
      <w:r w:rsidRPr="00681223">
        <w:rPr>
          <w:b w:val="0"/>
          <w:bCs w:val="0"/>
        </w:rPr>
        <w:fldChar w:fldCharType="end"/>
      </w:r>
      <w:r w:rsidRPr="00681223">
        <w:rPr>
          <w:b w:val="0"/>
          <w:bCs w:val="0"/>
        </w:rPr>
        <w:t>. Previous studies projected Hg deposition</w:t>
      </w:r>
      <w:r w:rsidR="008C0C97">
        <w:rPr>
          <w:b w:val="0"/>
          <w:bCs w:val="0"/>
        </w:rPr>
        <w:t xml:space="preserve"> in 2035 and</w:t>
      </w:r>
      <w:r w:rsidRPr="00681223">
        <w:rPr>
          <w:b w:val="0"/>
          <w:bCs w:val="0"/>
        </w:rPr>
        <w:t xml:space="preserve"> 2050 based on anthropogenic Hg emissions estimated from older IPCC S</w:t>
      </w:r>
      <w:r w:rsidR="008B4658">
        <w:rPr>
          <w:b w:val="0"/>
          <w:bCs w:val="0"/>
        </w:rPr>
        <w:t xml:space="preserve">pecial </w:t>
      </w:r>
      <w:r w:rsidRPr="00681223">
        <w:rPr>
          <w:b w:val="0"/>
          <w:bCs w:val="0"/>
        </w:rPr>
        <w:t>R</w:t>
      </w:r>
      <w:r w:rsidR="008B4658">
        <w:rPr>
          <w:b w:val="0"/>
          <w:bCs w:val="0"/>
        </w:rPr>
        <w:t xml:space="preserve">eport </w:t>
      </w:r>
      <w:r w:rsidR="006803B5">
        <w:rPr>
          <w:b w:val="0"/>
          <w:bCs w:val="0"/>
        </w:rPr>
        <w:t xml:space="preserve">on </w:t>
      </w:r>
      <w:r w:rsidRPr="00681223">
        <w:rPr>
          <w:b w:val="0"/>
          <w:bCs w:val="0"/>
        </w:rPr>
        <w:t>E</w:t>
      </w:r>
      <w:r w:rsidR="008B4658">
        <w:rPr>
          <w:b w:val="0"/>
          <w:bCs w:val="0"/>
        </w:rPr>
        <w:t xml:space="preserve">mission </w:t>
      </w:r>
      <w:r w:rsidRPr="00681223">
        <w:rPr>
          <w:b w:val="0"/>
          <w:bCs w:val="0"/>
        </w:rPr>
        <w:t>Scenarios</w:t>
      </w:r>
      <w:r w:rsidR="008C0C97">
        <w:rPr>
          <w:b w:val="0"/>
          <w:bCs w:val="0"/>
        </w:rPr>
        <w:t xml:space="preserve"> (SRES)</w:t>
      </w:r>
      <w:r w:rsidRPr="00681223">
        <w:rPr>
          <w:b w:val="0"/>
          <w:bCs w:val="0"/>
        </w:rPr>
        <w:t xml:space="preserve"> </w:t>
      </w:r>
      <w:r w:rsidR="008C0C97">
        <w:rPr>
          <w:b w:val="0"/>
          <w:bCs w:val="0"/>
        </w:rPr>
        <w:t xml:space="preserve">and </w:t>
      </w:r>
      <w:r w:rsidR="008C0C97">
        <w:rPr>
          <w:b w:val="0"/>
          <w:bCs w:val="0"/>
        </w:rPr>
        <w:lastRenderedPageBreak/>
        <w:t xml:space="preserve">independent estimates </w:t>
      </w:r>
      <w:r w:rsidR="008C0C97">
        <w:rPr>
          <w:b w:val="0"/>
          <w:bCs w:val="0"/>
        </w:rPr>
        <w:fldChar w:fldCharType="begin"/>
      </w:r>
      <w:r w:rsidR="008C0C97">
        <w:rPr>
          <w:b w:val="0"/>
          <w:bCs w:val="0"/>
        </w:rPr>
        <w:instrText xml:space="preserve"> ADDIN ZOTERO_ITEM CSL_CITATION {"citationID":"CoD3djAd","properties":{"formattedCitation":"(Corbitt et al., 2011; Pacyna et al., 2016; Streets et al., 2009)","plainCitation":"(Corbitt et al., 2011; Pacyna et al., 2016; Streets et al., 2009)","noteIndex":0},"citationItems":[{"id":136,"uris":["http://zotero.org/users/local/VbtpDxdA/items/ALK2BLYM","http://zotero.org/users/11937628/items/ALK2BLYM"],"itemData":{"id":136,"type":"article-journal","abstract":"Global policies regulating anthropogenic mercury require an understanding of the relationship between emitted and deposited mercury on intercontinental scales. Here, we examine source-receptor relationships for present-day conditions and four 2050 IPCC scenarios encompassing a range of economic development and environmental regulation projections. We use the GEOS-Chem global model to track mercury from its point of emission through rapid cycling in surface ocean and land reservoirs to its accumulation in longer lived ocean and soil pools. Deposited mercury has a local component (emitted Hg II, lifetime of 3.7 days against deposition) and a global component (emitted Hg0, lifetime of 6 months against deposition). Fast recycling of deposited mercury through photoreduction of HgII and re-emission of Hg0 from surface reservoirs (ice, land, surface ocean) increases the effective lifetime of anthropogenic mercury to 9 months against loss to legacy reservoirs (soil pools and the subsurface ocean). This lifetime is still sufficiently short that source-receptor relationships have a strong hemispheric signature. Asian emissions are the largest source of anthropogenic deposition to all ocean basins, though there is also regional source influence from upwind continents. Current anthropogenic emissions account for only about one-third of mercury deposition to the global ocean with the remainder from natural and legacy sources. However, controls on anthropogenic emissions would have the added benefit of reducing the legacy mercury re-emitted to the atmosphere. Better understanding is needed of the time scales for transfer of mercury from active pools to stable geochemical reservoirs. © 2011 American Chemical Society.","container-title":"Environmental Science and Technology","DOI":"10.1021/es202496y","ISSN":"0013936X","issue":"24","note":"PMID: 22050654\nCitation Key: Corbitt2011","page":"10477-10484","title":"Global source-receptor relationships for mercury deposition under present-day and 2050 emissions scenarios","volume":"45","author":[{"family":"Corbitt","given":"Elizabeth S"},{"family":"Jacob","given":"Daniel J"},{"family":"Holmes","given":"Christopher D"},{"family":"Streets","given":"David G"},{"family":"Sunderland","given":"Elsie M"}],"issued":{"date-parts":[["2011"]]}}},{"id":1104,"uris":["http://zotero.org/users/11937628/items/G4E5VC9V"],"itemData":{"id":1104,"type":"article-journal","abstract":"An assessment of current and future emissions, air concentrations, and atmospheric deposition of mercury worldwide is presented on the basis of results obtained during the performance of the EU GMOS (Global Mercury Observation System) project. Emission estimates for mercury were prepared with the main goal of applying them in models to assess current (2013) and future (2035) air concentrations and atmospheric deposition of this contaminant. The combustion of fossil fuels (mainly coal) for energy and heat production in power plants and in industrial and residential boilers, as well as artisanal and small-scale gold mining, is one of the major anthropogenic sources of Hg emissions to the atmosphere at present. These sources account for about 37 and 25% of the total anthropogenic Hg emissions globally, estimated to be about 2000 t. Emissions in Asian countries, particularly in China and India, dominate the total emissions of Hg. The current estimates of mercury emissions from natural processes (primary mercury emissions and re-emissions), including mercury depletion events, were estimated to be 5207 t year-1, which represents nearly 70% of the global mercury emission budget. Oceans are the most important sources (36 %), followed by biomass burning (9 %). A comparison of the 2035 anthropogenic emissions estimated for three different scenarios with current anthropogenic emissions indicates a reduction of these emissions in 2035 up to 85% for the best-case scenario. Two global chemical transport models (GLEMOS and ECHMERIT) have been used for the evaluation of future mercury pollution levels considering future emission scenarios. Projections of future changes in mercury deposition on a global scale simulated by these models for three anthropogenic emissions scenarios of 2035 indicate a decrease in up to 50% deposition in the Northern Hemisphere and up to 35% in Southern Hemisphere for the best-case scenario. The EU GMOS project has proved to be a very important research instrument for supporting the scientific justification for the Minamata Convention and monitoring of the implementation of targets of this convention, as well as the EU Mercury Strategy. This project provided the state of the art with regard to the development of the latest emission inventories for mercury, future emission scenarios, dispersion modelling of atmospheric mercury on a global and regional scale, and source-receptor techniques for mercury emission apportionment on a global scale.","container-title":"Atmospheric Chemistry and Physics","DOI":"10.5194/acp-16-12495-2016","ISSN":"16807324","issue":"19","note":"publisher: Copernicus GmbH\nCitation Key: Pacyna2016","page":"12495-12511","title":"Current and future levels of mercury atmospheric pollution on a global scale","volume":"16","author":[{"family":"Pacyna","given":"Jozef M."},{"family":"Travnikov","given":"Oleg"},{"family":"Simone","given":"Francesco De"},{"family":"Hedgecock","given":"Ian M."},{"family":"Sundseth","given":"Kyrre"},{"family":"Pacyna","given":"Elisabeth G."},{"family":"Steenhuisen","given":"Frits"},{"family":"Pirrone","given":"Nicola"},{"family":"Munthe","given":"John"},{"family":"Kindbom","given":"Karin"}],"issued":{"date-parts":[["2016",10,6]]}}},{"id":1106,"uris":["http://zotero.org/users/local/VbtpDxdA/items/HCH7JTD8","http://zotero.org/users/11937628/items/HCH7JTD8"],"itemData":{"id":1106,"type":"article-journal","abstract":"Global Hg emissions are presented for the year 2050 under a variety of assumptions about socioeconomic and technology development. We find it likely that Hg emissions will increase in the future. The range of 2050 global Hg emissions is projected to be 2390-4860 Mg, compared to 2006 levels of 2480 Mg, reflecting a change of -4% to +96%. The main driving force for increased emissions is the expansion of coal-fired electricity generation in the developing world, particularly Asia. Our ability to arrest the growth in Hg emissions is limited by the relatively low Hg removal efficiency of the current generation of emission control technologies for coal-fired power plants (flue-gas desulfurization). Large-scale deployment of advanced Hg sorbent technologies, such as Activated Carbon Injection, offers the promise of lowering the 2050 emissions range to 1670-3480 Mg, but these technologies are not yet in commercial use. The share of elemental Hg in total emissions will decline from today's levels of </w:instrText>
      </w:r>
      <w:r w:rsidR="008C0C97">
        <w:rPr>
          <w:rFonts w:ascii="Cambria Math" w:hAnsi="Cambria Math" w:cs="Cambria Math"/>
          <w:b w:val="0"/>
          <w:bCs w:val="0"/>
        </w:rPr>
        <w:instrText>∼</w:instrText>
      </w:r>
      <w:r w:rsidR="008C0C97">
        <w:rPr>
          <w:b w:val="0"/>
          <w:bCs w:val="0"/>
        </w:rPr>
        <w:instrText xml:space="preserve">65% to </w:instrText>
      </w:r>
      <w:r w:rsidR="008C0C97">
        <w:rPr>
          <w:rFonts w:ascii="Cambria Math" w:hAnsi="Cambria Math" w:cs="Cambria Math"/>
          <w:b w:val="0"/>
          <w:bCs w:val="0"/>
        </w:rPr>
        <w:instrText>∼</w:instrText>
      </w:r>
      <w:r w:rsidR="008C0C97">
        <w:rPr>
          <w:b w:val="0"/>
          <w:bCs w:val="0"/>
        </w:rPr>
        <w:instrText xml:space="preserve">50-55% by 2050, while the share of divalent Hg will increase. This signals a shift from long-range transport of elemental Hg to local deposition of Hg compounds - though emissions of both species could increase under the worst case. © 2009 American Chemical Society.","container-title":"Environmental Science and Technology","DOI":"10.1021/es802474j","ISSN":"0013936X","issue":"8","note":"PMID: 19475981\nCitation Key: Streets2009\nISBN: 1208.92386.2","page":"2983-2988","title":"Projections of global mercury emissions in 2050","volume":"43","author":[{"family":"Streets","given":"David G."},{"family":"Zhang","given":"Qiang"},{"family":"Wu","given":"Ye"}],"issued":{"date-parts":[["2009"]]}}}],"schema":"https://github.com/citation-style-language/schema/raw/master/csl-citation.json"} </w:instrText>
      </w:r>
      <w:r w:rsidR="008C0C97">
        <w:rPr>
          <w:b w:val="0"/>
          <w:bCs w:val="0"/>
        </w:rPr>
        <w:fldChar w:fldCharType="separate"/>
      </w:r>
      <w:r w:rsidR="008C0C97">
        <w:rPr>
          <w:b w:val="0"/>
          <w:bCs w:val="0"/>
          <w:noProof/>
        </w:rPr>
        <w:t>(Corbitt et al., 2011; Pacyna et al., 2016; Streets et al., 2009)</w:t>
      </w:r>
      <w:r w:rsidR="008C0C97">
        <w:rPr>
          <w:b w:val="0"/>
          <w:bCs w:val="0"/>
        </w:rPr>
        <w:fldChar w:fldCharType="end"/>
      </w:r>
      <w:r w:rsidRPr="00681223">
        <w:rPr>
          <w:b w:val="0"/>
          <w:bCs w:val="0"/>
        </w:rPr>
        <w:t xml:space="preserve">. </w:t>
      </w:r>
      <w:r w:rsidR="008C0C97" w:rsidRPr="00681223">
        <w:rPr>
          <w:b w:val="0"/>
          <w:bCs w:val="0"/>
        </w:rPr>
        <w:t>Results suggested future increases in Hg</w:t>
      </w:r>
      <w:r w:rsidR="008C0C97" w:rsidRPr="00681223">
        <w:rPr>
          <w:b w:val="0"/>
          <w:bCs w:val="0"/>
          <w:vertAlign w:val="superscript"/>
        </w:rPr>
        <w:t>II</w:t>
      </w:r>
      <w:r w:rsidR="008C0C97" w:rsidRPr="00681223">
        <w:rPr>
          <w:b w:val="0"/>
          <w:bCs w:val="0"/>
        </w:rPr>
        <w:t xml:space="preserve"> emissions relative to Hg</w:t>
      </w:r>
      <w:r w:rsidR="008C0C97" w:rsidRPr="00681223">
        <w:rPr>
          <w:b w:val="0"/>
          <w:bCs w:val="0"/>
          <w:vertAlign w:val="superscript"/>
        </w:rPr>
        <w:t>0</w:t>
      </w:r>
      <w:r w:rsidR="008C0C97" w:rsidRPr="00681223">
        <w:rPr>
          <w:b w:val="0"/>
          <w:bCs w:val="0"/>
        </w:rPr>
        <w:t xml:space="preserve"> are likely to increase the proportion of regional Hg deposition from emitting countries.</w:t>
      </w:r>
      <w:r w:rsidR="008C0C97">
        <w:rPr>
          <w:b w:val="0"/>
          <w:bCs w:val="0"/>
        </w:rPr>
        <w:t xml:space="preserve"> The SRES e</w:t>
      </w:r>
      <w:r w:rsidRPr="00681223">
        <w:rPr>
          <w:b w:val="0"/>
          <w:bCs w:val="0"/>
        </w:rPr>
        <w:t xml:space="preserve">mission trajectories ranged from a best-case scenario that showed relatively flat anthropogenic Hg emissions between 2006 and 2050, to a scenario characterized by higher energy and economic growth (A1B) that approximately doubled 2006 emissions levels </w:t>
      </w:r>
      <w:r w:rsidRPr="00681223">
        <w:rPr>
          <w:b w:val="0"/>
          <w:bCs w:val="0"/>
        </w:rPr>
        <w:fldChar w:fldCharType="begin"/>
      </w:r>
      <w:r w:rsidRPr="00681223">
        <w:rPr>
          <w:b w:val="0"/>
          <w:bCs w:val="0"/>
        </w:rPr>
        <w:instrText xml:space="preserve"> ADDIN ZOTERO_ITEM CSL_CITATION {"citationID":"GEPhwjsr","properties":{"formattedCitation":"(Streets et al., 2009)","plainCitation":"(Streets et al., 2009)","noteIndex":0},"citationItems":[{"id":1106,"uris":["http://zotero.org/users/local/VbtpDxdA/items/HCH7JTD8","http://zotero.org/users/11937628/items/HCH7JTD8"],"itemData":{"id":1106,"type":"article-journal","abstract":"Global Hg emissions are presented for the year 2050 under a variety of assumptions about socioeconomic and technology development. We find it likely that Hg emissions will increase in the future. The range of 2050 global Hg emissions is projected to be 2390-4860 Mg, compared to 2006 levels of 2480 Mg, reflecting a change of -4% to +96%. The main driving force for increased emissions is the expansion of coal-fired electricity generation in the developing world, particularly Asia. Our ability to arrest the growth in Hg emissions is limited by the relatively low Hg removal efficiency of the current generation of emission control technologies for coal-fired power plants (flue-gas desulfurization). Large-scale deployment of advanced Hg sorbent technologies, such as Activated Carbon Injection, offers the promise of lowering the 2050 emissions range to 1670-3480 Mg, but these technologies are not yet in commercial use. The share of elemental Hg in total emissions will decline from today's levels of </w:instrText>
      </w:r>
      <w:r w:rsidRPr="00681223">
        <w:rPr>
          <w:rFonts w:ascii="Cambria Math" w:hAnsi="Cambria Math" w:cs="Cambria Math"/>
          <w:b w:val="0"/>
          <w:bCs w:val="0"/>
        </w:rPr>
        <w:instrText>∼</w:instrText>
      </w:r>
      <w:r w:rsidRPr="00681223">
        <w:rPr>
          <w:b w:val="0"/>
          <w:bCs w:val="0"/>
        </w:rPr>
        <w:instrText xml:space="preserve">65% to </w:instrText>
      </w:r>
      <w:r w:rsidRPr="00681223">
        <w:rPr>
          <w:rFonts w:ascii="Cambria Math" w:hAnsi="Cambria Math" w:cs="Cambria Math"/>
          <w:b w:val="0"/>
          <w:bCs w:val="0"/>
        </w:rPr>
        <w:instrText>∼</w:instrText>
      </w:r>
      <w:r w:rsidRPr="00681223">
        <w:rPr>
          <w:b w:val="0"/>
          <w:bCs w:val="0"/>
        </w:rPr>
        <w:instrText xml:space="preserve">50-55% by 2050, while the share of divalent Hg will increase. This signals a shift from long-range transport of elemental Hg to local deposition of Hg compounds - though emissions of both species could increase under the worst case. © 2009 American Chemical Society.","container-title":"Environmental Science and Technology","DOI":"10.1021/es802474j","ISSN":"0013936X","issue":"8","note":"PMID: 19475981\nCitation Key: Streets2009\nISBN: 1208.92386.2","page":"2983-2988","title":"Projections of global mercury emissions in 2050","volume":"43","author":[{"family":"Streets","given":"David G."},{"family":"Zhang","given":"Qiang"},{"family":"Wu","given":"Ye"}],"issued":{"date-parts":[["2009"]]}}}],"schema":"https://github.com/citation-style-language/schema/raw/master/csl-citation.json"} </w:instrText>
      </w:r>
      <w:r w:rsidRPr="00681223">
        <w:rPr>
          <w:b w:val="0"/>
          <w:bCs w:val="0"/>
        </w:rPr>
        <w:fldChar w:fldCharType="separate"/>
      </w:r>
      <w:r w:rsidRPr="00681223">
        <w:rPr>
          <w:b w:val="0"/>
          <w:bCs w:val="0"/>
        </w:rPr>
        <w:t>(Streets et al., 2009)</w:t>
      </w:r>
      <w:r w:rsidRPr="00681223">
        <w:rPr>
          <w:b w:val="0"/>
          <w:bCs w:val="0"/>
        </w:rPr>
        <w:fldChar w:fldCharType="end"/>
      </w:r>
      <w:r w:rsidRPr="00681223">
        <w:rPr>
          <w:b w:val="0"/>
          <w:bCs w:val="0"/>
        </w:rPr>
        <w:t xml:space="preserve">. </w:t>
      </w:r>
      <w:r w:rsidR="008C0C97">
        <w:rPr>
          <w:b w:val="0"/>
          <w:bCs w:val="0"/>
        </w:rPr>
        <w:t xml:space="preserve">Results from </w:t>
      </w:r>
      <w:r w:rsidR="008C0C97">
        <w:rPr>
          <w:b w:val="0"/>
          <w:bCs w:val="0"/>
        </w:rPr>
        <w:fldChar w:fldCharType="begin"/>
      </w:r>
      <w:r w:rsidR="008C0C97">
        <w:rPr>
          <w:b w:val="0"/>
          <w:bCs w:val="0"/>
        </w:rPr>
        <w:instrText xml:space="preserve"> ADDIN ZOTERO_ITEM CSL_CITATION {"citationID":"pcfDGllg","properties":{"formattedCitation":"(Pacyna et al., 2016)","plainCitation":"(Pacyna et al., 2016)","noteIndex":0},"citationItems":[{"id":1104,"uris":["http://zotero.org/users/11937628/items/G4E5VC9V"],"itemData":{"id":1104,"type":"article-journal","abstract":"An assessment of current and future emissions, air concentrations, and atmospheric deposition of mercury worldwide is presented on the basis of results obtained during the performance of the EU GMOS (Global Mercury Observation System) project. Emission estimates for mercury were prepared with the main goal of applying them in models to assess current (2013) and future (2035) air concentrations and atmospheric deposition of this contaminant. The combustion of fossil fuels (mainly coal) for energy and heat production in power plants and in industrial and residential boilers, as well as artisanal and small-scale gold mining, is one of the major anthropogenic sources of Hg emissions to the atmosphere at present. These sources account for about 37 and 25% of the total anthropogenic Hg emissions globally, estimated to be about 2000 t. Emissions in Asian countries, particularly in China and India, dominate the total emissions of Hg. The current estimates of mercury emissions from natural processes (primary mercury emissions and re-emissions), including mercury depletion events, were estimated to be 5207 t year-1, which represents nearly 70% of the global mercury emission budget. Oceans are the most important sources (36 %), followed by biomass burning (9 %). A comparison of the 2035 anthropogenic emissions estimated for three different scenarios with current anthropogenic emissions indicates a reduction of these emissions in 2035 up to 85% for the best-case scenario. Two global chemical transport models (GLEMOS and ECHMERIT) have been used for the evaluation of future mercury pollution levels considering future emission scenarios. Projections of future changes in mercury deposition on a global scale simulated by these models for three anthropogenic emissions scenarios of 2035 indicate a decrease in up to 50% deposition in the Northern Hemisphere and up to 35% in Southern Hemisphere for the best-case scenario. The EU GMOS project has proved to be a very important research instrument for supporting the scientific justification for the Minamata Convention and monitoring of the implementation of targets of this convention, as well as the EU Mercury Strategy. This project provided the state of the art with regard to the development of the latest emission inventories for mercury, future emission scenarios, dispersion modelling of atmospheric mercury on a global and regional scale, and source-receptor techniques for mercury emission apportionment on a global scale.","container-title":"Atmospheric Chemistry and Physics","DOI":"10.5194/acp-16-12495-2016","ISSN":"16807324","issue":"19","note":"publisher: Copernicus GmbH\nCitation Key: Pacyna2016","page":"12495-12511","title":"Current and future levels of mercury atmospheric pollution on a global scale","volume":"16","author":[{"family":"Pacyna","given":"Jozef M."},{"family":"Travnikov","given":"Oleg"},{"family":"Simone","given":"Francesco De"},{"family":"Hedgecock","given":"Ian M."},{"family":"Sundseth","given":"Kyrre"},{"family":"Pacyna","given":"Elisabeth G."},{"family":"Steenhuisen","given":"Frits"},{"family":"Pirrone","given":"Nicola"},{"family":"Munthe","given":"John"},{"family":"Kindbom","given":"Karin"}],"issued":{"date-parts":[["2016",10,6]]}}}],"schema":"https://github.com/citation-style-language/schema/raw/master/csl-citation.json"} </w:instrText>
      </w:r>
      <w:r w:rsidR="008C0C97">
        <w:rPr>
          <w:b w:val="0"/>
          <w:bCs w:val="0"/>
        </w:rPr>
        <w:fldChar w:fldCharType="separate"/>
      </w:r>
      <w:r w:rsidR="008C0C97">
        <w:rPr>
          <w:b w:val="0"/>
          <w:bCs w:val="0"/>
          <w:noProof/>
        </w:rPr>
        <w:t>Pacyna et al. (2016)</w:t>
      </w:r>
      <w:r w:rsidR="008C0C97">
        <w:rPr>
          <w:b w:val="0"/>
          <w:bCs w:val="0"/>
        </w:rPr>
        <w:fldChar w:fldCharType="end"/>
      </w:r>
      <w:r w:rsidR="008C0C97">
        <w:rPr>
          <w:b w:val="0"/>
          <w:bCs w:val="0"/>
        </w:rPr>
        <w:t xml:space="preserve"> ranged from </w:t>
      </w:r>
      <w:r w:rsidR="00F06E50">
        <w:rPr>
          <w:b w:val="0"/>
          <w:bCs w:val="0"/>
        </w:rPr>
        <w:t>a slight increase under a current policy scenario</w:t>
      </w:r>
      <w:r w:rsidR="008C0C97">
        <w:rPr>
          <w:b w:val="0"/>
          <w:bCs w:val="0"/>
        </w:rPr>
        <w:t xml:space="preserve"> to -85% under a maximum feasible reduction case. </w:t>
      </w:r>
      <w:r w:rsidRPr="00681223">
        <w:rPr>
          <w:b w:val="0"/>
          <w:bCs w:val="0"/>
        </w:rPr>
        <w:t xml:space="preserve">However, </w:t>
      </w:r>
      <w:r w:rsidR="008C0C97">
        <w:rPr>
          <w:b w:val="0"/>
          <w:bCs w:val="0"/>
        </w:rPr>
        <w:t>these past studies</w:t>
      </w:r>
      <w:r w:rsidRPr="00681223">
        <w:rPr>
          <w:b w:val="0"/>
          <w:bCs w:val="0"/>
        </w:rPr>
        <w:t xml:space="preserve"> did not consider future changes in marine and terrestrial Hg reservoirs that affect reemission of Hg</w:t>
      </w:r>
      <w:r w:rsidRPr="00681223">
        <w:rPr>
          <w:b w:val="0"/>
          <w:bCs w:val="0"/>
          <w:vertAlign w:val="superscript"/>
        </w:rPr>
        <w:t>0</w:t>
      </w:r>
      <w:r w:rsidRPr="00681223">
        <w:rPr>
          <w:b w:val="0"/>
          <w:bCs w:val="0"/>
        </w:rPr>
        <w:t xml:space="preserve"> </w:t>
      </w:r>
      <w:r w:rsidRPr="00681223">
        <w:rPr>
          <w:b w:val="0"/>
          <w:bCs w:val="0"/>
        </w:rPr>
        <w:fldChar w:fldCharType="begin"/>
      </w:r>
      <w:r w:rsidRPr="00681223">
        <w:rPr>
          <w:b w:val="0"/>
          <w:bCs w:val="0"/>
        </w:rPr>
        <w:instrText xml:space="preserve"> ADDIN ZOTERO_ITEM CSL_CITATION {"citationID":"OCRuKK9I","properties":{"formattedCitation":"(Amos et al., 2013, 2014)","plainCitation":"(Amos et al., 2013, 2014)","noteIndex":0},"citationItems":[{"id":612,"uris":["http://zotero.org/users/local/VbtpDxdA/items/7P2UKX4T","http://zotero.org/users/11937628/items/7P2UKX4T"],"itemData":{"id":612,"type":"article-journal","abstract":"Elevated mercury (Hg) in marine and terrestrial ecosystems is a global health concern because of the formation of toxic methylmercury. Humans have emitted Hg to the atmosphere for millennia, and this Hg has deposited and accumulated into ecosystems globally. Here we present a global biogeochemical model with fully coupled atmospheric, terrestrial, and oceanic Hg reservoirs to better understand human influence on Hg cycling and timescales for responses. We drive the model with a historical inventory of anthropogenic emissions from 2000 BC to present. Results show that anthropogenic perturbations introduced to surface reservoirs (atmosphere, ocean, or terrestrial) accumulate and persist in the subsurface ocean for decades to centuries. The simulated present-day atmosphere is enriched by a factor of 2.6 relative to 1840 levels, consistent with sediment archives, and by a factor of 7.5 relative to natural levels (2000 BC). Legacy anthropogenic Hg re-emitted from surface reservoirs accounts for 60% of present-day atmospheric deposition, compared to 27% from primary anthropogenic emissions, and 13% from natural sources. We find that only 17% of the present-day Hg in the surface ocean is natural and that half of its anthropogenic enrichment originates from pre-1950 emissions. Although Asia is presently the dominant contributor to primary anthropogenic emissions, only 17% of the surface ocean reservoir is of Asian anthropogenic origin, as compared to 30% of North American and European origin. The accumulated burden of legacy anthropogenic Hg means that future deposition will increase even if primary anthropogenic emissions are held constant. Aggressive global Hg emission reductions will be necessary just to maintain oceanic Hg concentrations at present levels. ©2013. American Geophysical Union. All Rights Reserved.","container-title":"Global Biogeochemical Cycles","DOI":"10.1002/gbc.20040","ISSN":"08866236","issue":"2","note":"Citation Key: Amos2013","page":"410-421","title":"Legacy impacts of all-time anthropogenic emissions on the global mercury cycle","volume":"27","author":[{"family":"Amos","given":"Helen M."},{"family":"Jacob","given":"Daniel J."},{"family":"Streets","given":"David G."},{"family":"Sunderland","given":"Elsie M."}],"issued":{"date-parts":[["2013",6]]}}},{"id":96,"uris":["http://zotero.org/users/11937628/items/SSPT7MHQ"],"itemData":{"id":96,"type":"article-journal","abstract":"Predicting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 enhancing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approach.","container-title":"Environmental Science &amp; Technology","DOI":"10.1021/es502134t","ISSN":"0013-936X","issue":"16","note":"Citation Key: Amos2014","page":"9514-9522","title":"Global Biogeochemical Implications of Mercury Discharges from Rivers and Sediment Burial","volume":"48","author":[{"family":"Amos","given":"Helen M."},{"family":"Jacob","given":"Daniel J."},{"family":"Kocman","given":"David"},{"family":"Horowitz","given":"Hannah M."},{"family":"Zhang","given":"Yanxu"},{"family":"Dutkiewicz","given":"Stephanie"},{"family":"Horvat","given":"Milena"},{"family":"Corbitt","given":"Elizabeth S."},{"family":"Krabbenhoft","given":"David P."},{"family":"Sunderland","given":"Elsie M."}],"issued":{"date-parts":[["2014",8,19]]}}}],"schema":"https://github.com/citation-style-language/schema/raw/master/csl-citation.json"} </w:instrText>
      </w:r>
      <w:r w:rsidRPr="00681223">
        <w:rPr>
          <w:b w:val="0"/>
          <w:bCs w:val="0"/>
        </w:rPr>
        <w:fldChar w:fldCharType="separate"/>
      </w:r>
      <w:r w:rsidRPr="00681223">
        <w:rPr>
          <w:b w:val="0"/>
          <w:bCs w:val="0"/>
        </w:rPr>
        <w:t>(Amos et al., 2013, 2014)</w:t>
      </w:r>
      <w:r w:rsidRPr="00681223">
        <w:rPr>
          <w:b w:val="0"/>
          <w:bCs w:val="0"/>
        </w:rPr>
        <w:fldChar w:fldCharType="end"/>
      </w:r>
      <w:r w:rsidRPr="00681223">
        <w:rPr>
          <w:b w:val="0"/>
          <w:bCs w:val="0"/>
        </w:rPr>
        <w:t>. This is important because terrestrial and marine Hg</w:t>
      </w:r>
      <w:r w:rsidRPr="00681223">
        <w:rPr>
          <w:b w:val="0"/>
          <w:bCs w:val="0"/>
          <w:vertAlign w:val="superscript"/>
        </w:rPr>
        <w:t>0</w:t>
      </w:r>
      <w:r w:rsidRPr="00681223">
        <w:rPr>
          <w:b w:val="0"/>
          <w:bCs w:val="0"/>
        </w:rPr>
        <w:t xml:space="preserve"> evasion are thought to account for large fractions of the atmospheric Hg undergoing contemporary and future deposition (e.g., ~60% of 2050 deposition to the contiguous United States) </w:t>
      </w:r>
      <w:r w:rsidRPr="00681223">
        <w:rPr>
          <w:b w:val="0"/>
          <w:bCs w:val="0"/>
        </w:rPr>
        <w:fldChar w:fldCharType="begin"/>
      </w:r>
      <w:r w:rsidRPr="00681223">
        <w:rPr>
          <w:b w:val="0"/>
          <w:bCs w:val="0"/>
        </w:rPr>
        <w:instrText xml:space="preserve"> ADDIN ZOTERO_ITEM CSL_CITATION {"citationID":"DA8pRMTC","properties":{"formattedCitation":"(Corbitt et al., 2011)","plainCitation":"(Corbitt et al., 2011)","noteIndex":0},"citationItems":[{"id":136,"uris":["http://zotero.org/users/local/VbtpDxdA/items/ALK2BLYM","http://zotero.org/users/11937628/items/ALK2BLYM"],"itemData":{"id":136,"type":"article-journal","abstract":"Global policies regulating anthropogenic mercury require an understanding of the relationship between emitted and deposited mercury on intercontinental scales. Here, we examine source-receptor relationships for present-day conditions and four 2050 IPCC scenarios encompassing a range of economic development and environmental regulation projections. We use the GEOS-Chem global model to track mercury from its point of emission through rapid cycling in surface ocean and land reservoirs to its accumulation in longer lived ocean and soil pools. Deposited mercury has a local component (emitted Hg II, lifetime of 3.7 days against deposition) and a global component (emitted Hg0, lifetime of 6 months against deposition). Fast recycling of deposited mercury through photoreduction of HgII and re-emission of Hg0 from surface reservoirs (ice, land, surface ocean) increases the effective lifetime of anthropogenic mercury to 9 months against loss to legacy reservoirs (soil pools and the subsurface ocean). This lifetime is still sufficiently short that source-receptor relationships have a strong hemispheric signature. Asian emissions are the largest source of anthropogenic deposition to all ocean basins, though there is also regional source influence from upwind continents. Current anthropogenic emissions account for only about one-third of mercury deposition to the global ocean with the remainder from natural and legacy sources. However, controls on anthropogenic emissions would have the added benefit of reducing the legacy mercury re-emitted to the atmosphere. Better understanding is needed of the time scales for transfer of mercury from active pools to stable geochemical reservoirs. © 2011 American Chemical Society.","container-title":"Environmental Science and Technology","DOI":"10.1021/es202496y","ISSN":"0013936X","issue":"24","note":"PMID: 22050654\nCitation Key: Corbitt2011","page":"10477-10484","title":"Global source-receptor relationships for mercury deposition under present-day and 2050 emissions scenarios","volume":"45","author":[{"family":"Corbitt","given":"Elizabeth S"},{"family":"Jacob","given":"Daniel J"},{"family":"Holmes","given":"Christopher D"},{"family":"Streets","given":"David G"},{"family":"Sunderland","given":"Elsie M"}],"issued":{"date-parts":[["2011"]]}}}],"schema":"https://github.com/citation-style-language/schema/raw/master/csl-citation.json"} </w:instrText>
      </w:r>
      <w:r w:rsidRPr="00681223">
        <w:rPr>
          <w:b w:val="0"/>
          <w:bCs w:val="0"/>
        </w:rPr>
        <w:fldChar w:fldCharType="separate"/>
      </w:r>
      <w:r w:rsidRPr="00681223">
        <w:rPr>
          <w:b w:val="0"/>
          <w:bCs w:val="0"/>
        </w:rPr>
        <w:t>(Corbitt et al., 2011)</w:t>
      </w:r>
      <w:r w:rsidRPr="00681223">
        <w:rPr>
          <w:b w:val="0"/>
          <w:bCs w:val="0"/>
        </w:rPr>
        <w:fldChar w:fldCharType="end"/>
      </w:r>
      <w:r w:rsidRPr="00681223">
        <w:rPr>
          <w:b w:val="0"/>
          <w:bCs w:val="0"/>
        </w:rPr>
        <w:t>.</w:t>
      </w:r>
    </w:p>
    <w:p w14:paraId="7DE67C35" w14:textId="61A6B6D8" w:rsidR="00681223" w:rsidRPr="00681223" w:rsidRDefault="00681223" w:rsidP="00681223">
      <w:pPr>
        <w:pStyle w:val="Heading-Main"/>
        <w:rPr>
          <w:b w:val="0"/>
          <w:bCs w:val="0"/>
        </w:rPr>
      </w:pPr>
      <w:r w:rsidRPr="00681223">
        <w:rPr>
          <w:b w:val="0"/>
          <w:bCs w:val="0"/>
        </w:rPr>
        <w:t xml:space="preserve">The main objective of this work </w:t>
      </w:r>
      <w:r w:rsidR="00FC1F5E">
        <w:rPr>
          <w:b w:val="0"/>
          <w:bCs w:val="0"/>
        </w:rPr>
        <w:t>was</w:t>
      </w:r>
      <w:r w:rsidRPr="00681223">
        <w:rPr>
          <w:b w:val="0"/>
          <w:bCs w:val="0"/>
        </w:rPr>
        <w:t xml:space="preserve"> to better understand how future anthropogenic Hg emissions</w:t>
      </w:r>
      <w:r w:rsidRPr="00681223" w:rsidDel="00BE66CE">
        <w:rPr>
          <w:b w:val="0"/>
          <w:bCs w:val="0"/>
        </w:rPr>
        <w:t xml:space="preserve"> </w:t>
      </w:r>
      <w:r w:rsidRPr="00681223">
        <w:rPr>
          <w:b w:val="0"/>
          <w:bCs w:val="0"/>
        </w:rPr>
        <w:t>and deposition vary among the most recent socioeconomic development pathways used by the IPCC. To do this, we develop</w:t>
      </w:r>
      <w:r w:rsidR="00FC1F5E">
        <w:rPr>
          <w:b w:val="0"/>
          <w:bCs w:val="0"/>
        </w:rPr>
        <w:t>ed</w:t>
      </w:r>
      <w:r w:rsidRPr="00681223">
        <w:rPr>
          <w:b w:val="0"/>
          <w:bCs w:val="0"/>
        </w:rPr>
        <w:t xml:space="preserve"> new decadal projections of primary anthropogenic Hg emissions for the years 2020</w:t>
      </w:r>
      <w:r w:rsidR="00B56720">
        <w:rPr>
          <w:b w:val="0"/>
          <w:bCs w:val="0"/>
        </w:rPr>
        <w:t>-</w:t>
      </w:r>
      <w:r w:rsidRPr="00681223">
        <w:rPr>
          <w:b w:val="0"/>
          <w:bCs w:val="0"/>
        </w:rPr>
        <w:t>2300 based on four distinct SSPs spanning a wide range of radiative forcings. Using a suite of global modeling tools, we quantif</w:t>
      </w:r>
      <w:r w:rsidR="00FC1F5E">
        <w:rPr>
          <w:b w:val="0"/>
          <w:bCs w:val="0"/>
        </w:rPr>
        <w:t>ied</w:t>
      </w:r>
      <w:r w:rsidRPr="00681223">
        <w:rPr>
          <w:b w:val="0"/>
          <w:bCs w:val="0"/>
        </w:rPr>
        <w:t xml:space="preserve"> how changes in primary Hg emissions and </w:t>
      </w:r>
      <w:r w:rsidR="00B921F9">
        <w:rPr>
          <w:b w:val="0"/>
          <w:bCs w:val="0"/>
        </w:rPr>
        <w:t>re-emissions</w:t>
      </w:r>
      <w:r w:rsidRPr="00681223">
        <w:rPr>
          <w:b w:val="0"/>
          <w:bCs w:val="0"/>
        </w:rPr>
        <w:t xml:space="preserve"> from terrestrial and marine ecosystems affect regional magnitudes and global patterns in atmospheric deposition. This work provides insights into how different fossil fuel use scenarios are likely to affect global Hg burdens and the potential effects of different pollution control efforts.</w:t>
      </w:r>
    </w:p>
    <w:p w14:paraId="7A8760A4" w14:textId="27A3A03D" w:rsidR="002F3B11" w:rsidRDefault="002F3B11" w:rsidP="00C81368">
      <w:pPr>
        <w:pStyle w:val="Heading-Main"/>
      </w:pPr>
      <w:r>
        <w:t>2 Methods</w:t>
      </w:r>
    </w:p>
    <w:p w14:paraId="1676BAD2" w14:textId="77777777" w:rsidR="00681223" w:rsidRPr="00681223" w:rsidRDefault="00681223" w:rsidP="00681223">
      <w:pPr>
        <w:pStyle w:val="Heading-Main"/>
        <w:rPr>
          <w:b w:val="0"/>
          <w:bCs w:val="0"/>
        </w:rPr>
      </w:pPr>
      <w:r w:rsidRPr="00681223">
        <w:rPr>
          <w:b w:val="0"/>
          <w:bCs w:val="0"/>
        </w:rPr>
        <w:t>2.1 Description of Development Narratives (SSP Scenarios)</w:t>
      </w:r>
    </w:p>
    <w:p w14:paraId="7DE8ABAE" w14:textId="07265B49" w:rsidR="00696AD4" w:rsidRDefault="00681223" w:rsidP="00681223">
      <w:pPr>
        <w:pStyle w:val="Heading-Main"/>
        <w:rPr>
          <w:b w:val="0"/>
          <w:bCs w:val="0"/>
        </w:rPr>
      </w:pPr>
      <w:r w:rsidRPr="00681223">
        <w:rPr>
          <w:b w:val="0"/>
          <w:bCs w:val="0"/>
        </w:rPr>
        <w:t xml:space="preserve">Forecasts of future anthropogenic Hg emissions </w:t>
      </w:r>
      <w:r w:rsidR="00FC1F5E">
        <w:rPr>
          <w:b w:val="0"/>
          <w:bCs w:val="0"/>
        </w:rPr>
        <w:t>were</w:t>
      </w:r>
      <w:r w:rsidR="00FC1F5E" w:rsidRPr="00681223">
        <w:rPr>
          <w:b w:val="0"/>
          <w:bCs w:val="0"/>
        </w:rPr>
        <w:t xml:space="preserve"> </w:t>
      </w:r>
      <w:r w:rsidRPr="00681223">
        <w:rPr>
          <w:b w:val="0"/>
          <w:bCs w:val="0"/>
        </w:rPr>
        <w:t xml:space="preserve">developed in accordance with the </w:t>
      </w:r>
      <w:r w:rsidR="00C77FBD">
        <w:rPr>
          <w:b w:val="0"/>
          <w:bCs w:val="0"/>
        </w:rPr>
        <w:t>scenarios</w:t>
      </w:r>
      <w:r w:rsidRPr="00681223">
        <w:rPr>
          <w:b w:val="0"/>
          <w:bCs w:val="0"/>
        </w:rPr>
        <w:t xml:space="preserve"> </w:t>
      </w:r>
      <w:r w:rsidR="00C77FBD">
        <w:rPr>
          <w:b w:val="0"/>
          <w:bCs w:val="0"/>
        </w:rPr>
        <w:t>used in</w:t>
      </w:r>
      <w:r w:rsidRPr="00681223">
        <w:rPr>
          <w:b w:val="0"/>
          <w:bCs w:val="0"/>
        </w:rPr>
        <w:t xml:space="preserve"> Phase 6 of the Coupled Model Intercomparison Project (CMIP6)</w:t>
      </w:r>
      <w:r w:rsidR="00C77FBD">
        <w:rPr>
          <w:b w:val="0"/>
          <w:bCs w:val="0"/>
        </w:rPr>
        <w:t>, organized</w:t>
      </w:r>
      <w:r w:rsidRPr="00681223">
        <w:rPr>
          <w:b w:val="0"/>
          <w:bCs w:val="0"/>
        </w:rPr>
        <w:t xml:space="preserve"> under the auspices of the IPCC </w:t>
      </w:r>
      <w:r w:rsidRPr="00681223">
        <w:rPr>
          <w:b w:val="0"/>
          <w:bCs w:val="0"/>
        </w:rPr>
        <w:fldChar w:fldCharType="begin"/>
      </w:r>
      <w:r w:rsidRPr="00681223">
        <w:rPr>
          <w:b w:val="0"/>
          <w:bCs w:val="0"/>
        </w:rPr>
        <w:instrText xml:space="preserve"> ADDIN ZOTERO_ITEM CSL_CITATION {"citationID":"vX0jqfo4","properties":{"formattedCitation":"(O\\uc0\\u8217{}Neill et al., 2016)","plainCitation":"(O’Neill et al., 2016)","noteIndex":0},"citationItems":[{"id":1116,"uris":["http://zotero.org/users/local/VbtpDxdA/items/G5RR5XS2","http://zotero.org/users/11937628/items/G5RR5XS2"],"itemData":{"id":1116,"type":"article-journal","abstract":"Abstract. Projections of future climate change play a fundamental role in improving understanding of the climate system as well as characterizing societal risks and response options. The Scenario Model Intercomparison Project (ScenarioMIP) is the primary activity within Phase 6 of the Coupled Model Intercomparison Project (CMIP6) that will provide multi-model climate projections based on alternative scenarios of future emissions and land use changes produced with integrated assessment models. In this paper, we describe ScenarioMIP's objectives, experimental design, and its relation to other activities within CMIP6. The ScenarioMIP design is one component of a larger scenario process that aims to facilitate a wide range of integrated studies across the climate science, integrated assessment modeling, and impacts, adaptation, and vulnerability communities, and will form an important part of the evidence base in the forthcoming Intergovernmental Panel on Climate Change (IPCC) assessments. At the same time, it will provide the basis for investigating a number of targeted science and policy questions that are especially relevant to scenario-based analysis, including the role of specific forcings such as land use and aerosols, the effect of a peak and decline in forcing, the consequences of scenarios that limit warming to below 2 °C, the relative contributions to uncertainty from scenarios, climate models, and internal variability, and long-term climate system outcomes beyond the 21st century. To serve this wide range of scientific communities and address these questions, a design has been identified consisting of eight alternative 21st century scenarios plus one large initial condition ensemble and a set of long-term extensions, divided into two tiers defined by relative priority. Some of these scenarios will also provide a basis for variants planned to be run in other CMIP6-Endorsed MIPs to investigate questions related to specific forcings. Harmonized, spatially explicit emissions and land use scenarios generated with integrated assessment models will be provided to participating climate modeling groups by late 2016, with the climate model simulations run within the 2017–2018 time frame, and output from the climate model projections made available and analyses performed over the 2018–2020 period.","container-title":"Geoscientific Model Development","DOI":"10.5194/gmd-9-3461-2016","ISSN":"1991-9603","issue":"9","note":"Citation Key: ONeill2016","page":"3461-3482","title":"The Scenario Model Intercomparison Project (ScenarioMIP) for CMIP6","volume":"9","author":[{"family":"O'Neill","given":"Brian C."},{"family":"Tebaldi","given":"Claudia"},{"family":"Vuuren","given":"Detlef P.","non-dropping-particle":"van"},{"family":"Eyring","given":"Veronika"},{"family":"Friedlingstein","given":"Pierre"},{"family":"Hurtt","given":"George"},{"family":"Knutti","given":"Reto"},{"family":"Kriegler","given":"Elmar"},{"family":"Lamarque","given":"Jean-Francois"},{"family":"Lowe","given":"Jason"},{"family":"Meehl","given":"Gerald A."},{"family":"Moss","given":"Richard"},{"family":"Riahi","given":"Keywan"},{"family":"Sanderson","given":"Benjamin M."}],"issued":{"date-parts":[["2016",9,28]]}}}],"schema":"https://github.com/citation-style-language/schema/raw/master/csl-citation.json"} </w:instrText>
      </w:r>
      <w:r w:rsidRPr="00681223">
        <w:rPr>
          <w:b w:val="0"/>
          <w:bCs w:val="0"/>
        </w:rPr>
        <w:fldChar w:fldCharType="separate"/>
      </w:r>
      <w:r w:rsidRPr="00681223">
        <w:rPr>
          <w:b w:val="0"/>
          <w:bCs w:val="0"/>
        </w:rPr>
        <w:t>(O’Neill et al., 2016)</w:t>
      </w:r>
      <w:r w:rsidRPr="00681223">
        <w:rPr>
          <w:b w:val="0"/>
          <w:bCs w:val="0"/>
        </w:rPr>
        <w:fldChar w:fldCharType="end"/>
      </w:r>
      <w:r w:rsidRPr="00681223">
        <w:rPr>
          <w:b w:val="0"/>
          <w:bCs w:val="0"/>
        </w:rPr>
        <w:t xml:space="preserve">. </w:t>
      </w:r>
      <w:r w:rsidR="00816F21">
        <w:rPr>
          <w:b w:val="0"/>
          <w:bCs w:val="0"/>
        </w:rPr>
        <w:t xml:space="preserve">The scenarios </w:t>
      </w:r>
      <w:r w:rsidR="00FC1F5E">
        <w:rPr>
          <w:b w:val="0"/>
          <w:bCs w:val="0"/>
        </w:rPr>
        <w:t xml:space="preserve">were </w:t>
      </w:r>
      <w:r w:rsidR="009E721A">
        <w:rPr>
          <w:b w:val="0"/>
          <w:bCs w:val="0"/>
        </w:rPr>
        <w:t>based on a framework</w:t>
      </w:r>
      <w:r w:rsidR="00816F21">
        <w:rPr>
          <w:b w:val="0"/>
          <w:bCs w:val="0"/>
        </w:rPr>
        <w:t xml:space="preserve"> </w:t>
      </w:r>
      <w:r w:rsidR="009E721A">
        <w:rPr>
          <w:b w:val="0"/>
          <w:bCs w:val="0"/>
        </w:rPr>
        <w:t>combin</w:t>
      </w:r>
      <w:r w:rsidR="00676FB0">
        <w:rPr>
          <w:b w:val="0"/>
          <w:bCs w:val="0"/>
        </w:rPr>
        <w:t>ing</w:t>
      </w:r>
      <w:r w:rsidR="00816F21">
        <w:rPr>
          <w:b w:val="0"/>
          <w:bCs w:val="0"/>
        </w:rPr>
        <w:t xml:space="preserve"> </w:t>
      </w:r>
      <w:r w:rsidR="00250A5E">
        <w:rPr>
          <w:b w:val="0"/>
          <w:bCs w:val="0"/>
        </w:rPr>
        <w:t xml:space="preserve">narratives of global development with </w:t>
      </w:r>
      <w:r w:rsidR="009E721A">
        <w:rPr>
          <w:b w:val="0"/>
          <w:bCs w:val="0"/>
        </w:rPr>
        <w:t xml:space="preserve">emissions and climate </w:t>
      </w:r>
      <w:r w:rsidR="00250A5E">
        <w:rPr>
          <w:b w:val="0"/>
          <w:bCs w:val="0"/>
        </w:rPr>
        <w:t>p</w:t>
      </w:r>
      <w:r w:rsidR="009E721A">
        <w:rPr>
          <w:b w:val="0"/>
          <w:bCs w:val="0"/>
        </w:rPr>
        <w:t>ro</w:t>
      </w:r>
      <w:r w:rsidR="00250A5E">
        <w:rPr>
          <w:b w:val="0"/>
          <w:bCs w:val="0"/>
        </w:rPr>
        <w:t xml:space="preserve">jections </w:t>
      </w:r>
      <w:r w:rsidR="009E721A">
        <w:rPr>
          <w:b w:val="0"/>
          <w:bCs w:val="0"/>
        </w:rPr>
        <w:t xml:space="preserve">from integrated assessment and climate models </w:t>
      </w:r>
      <w:r w:rsidR="009E721A" w:rsidRPr="009E721A">
        <w:rPr>
          <w:b w:val="0"/>
          <w:bCs w:val="0"/>
        </w:rPr>
        <w:fldChar w:fldCharType="begin"/>
      </w:r>
      <w:r w:rsidR="009E721A" w:rsidRPr="009E721A">
        <w:rPr>
          <w:b w:val="0"/>
          <w:bCs w:val="0"/>
        </w:rPr>
        <w:instrText xml:space="preserve"> ADDIN ZOTERO_ITEM CSL_CITATION {"citationID":"rfWbV44t","properties":{"formattedCitation":"(O\\uc0\\u8217{}Neill et al., 2016)","plainCitation":"(O’Neill et al., 2016)","noteIndex":0},"citationItems":[{"id":1116,"uris":["http://zotero.org/users/local/VbtpDxdA/items/G5RR5XS2","http://zotero.org/users/11937628/items/G5RR5XS2"],"itemData":{"id":1116,"type":"article-journal","abstract":"Abstract. Projections of future climate change play a fundamental role in improving understanding of the climate system as well as characterizing societal risks and response options. The Scenario Model Intercomparison Project (ScenarioMIP) is the primary activity within Phase 6 of the Coupled Model Intercomparison Project (CMIP6) that will provide multi-model climate projections based on alternative scenarios of future emissions and land use changes produced with integrated assessment models. In this paper, we describe ScenarioMIP's objectives, experimental design, and its relation to other activities within CMIP6. The ScenarioMIP design is one component of a larger scenario process that aims to facilitate a wide range of integrated studies across the climate science, integrated assessment modeling, and impacts, adaptation, and vulnerability communities, and will form an important part of the evidence base in the forthcoming Intergovernmental Panel on Climate Change (IPCC) assessments. At the same time, it will provide the basis for investigating a number of targeted science and policy questions that are especially relevant to scenario-based analysis, including the role of specific forcings such as land use and aerosols, the effect of a peak and decline in forcing, the consequences of scenarios that limit warming to below 2 °C, the relative contributions to uncertainty from scenarios, climate models, and internal variability, and long-term climate system outcomes beyond the 21st century. To serve this wide range of scientific communities and address these questions, a design has been identified consisting of eight alternative 21st century scenarios plus one large initial condition ensemble and a set of long-term extensions, divided into two tiers defined by relative priority. Some of these scenarios will also provide a basis for variants planned to be run in other CMIP6-Endorsed MIPs to investigate questions related to specific forcings. Harmonized, spatially explicit emissions and land use scenarios generated with integrated assessment models will be provided to participating climate modeling groups by late 2016, with the climate model simulations run within the 2017–2018 time frame, and output from the climate model projections made available and analyses performed over the 2018–2020 period.","container-title":"Geoscientific Model Development","DOI":"10.5194/gmd-9-3461-2016","ISSN":"1991-9603","issue":"9","note":"Citation Key: ONeill2016","page":"3461-3482","title":"The Scenario Model Intercomparison Project (ScenarioMIP) for CMIP6","volume":"9","author":[{"family":"O'Neill","given":"Brian C."},{"family":"Tebaldi","given":"Claudia"},{"family":"Vuuren","given":"Detlef P.","non-dropping-particle":"van"},{"family":"Eyring","given":"Veronika"},{"family":"Friedlingstein","given":"Pierre"},{"family":"Hurtt","given":"George"},{"family":"Knutti","given":"Reto"},{"family":"Kriegler","given":"Elmar"},{"family":"Lamarque","given":"Jean-Francois"},{"family":"Lowe","given":"Jason"},{"family":"Meehl","given":"Gerald A."},{"family":"Moss","given":"Richard"},{"family":"Riahi","given":"Keywan"},{"family":"Sanderson","given":"Benjamin M."}],"issued":{"date-parts":[["2016",9,28]]}}}],"schema":"https://github.com/citation-style-language/schema/raw/master/csl-citation.json"} </w:instrText>
      </w:r>
      <w:r w:rsidR="009E721A" w:rsidRPr="009E721A">
        <w:rPr>
          <w:b w:val="0"/>
          <w:bCs w:val="0"/>
        </w:rPr>
        <w:fldChar w:fldCharType="separate"/>
      </w:r>
      <w:r w:rsidR="009E721A" w:rsidRPr="009E721A">
        <w:rPr>
          <w:b w:val="0"/>
          <w:bCs w:val="0"/>
          <w:kern w:val="0"/>
        </w:rPr>
        <w:t>(O’Neill et al., 2016)</w:t>
      </w:r>
      <w:r w:rsidR="009E721A" w:rsidRPr="009E721A">
        <w:rPr>
          <w:b w:val="0"/>
          <w:bCs w:val="0"/>
        </w:rPr>
        <w:fldChar w:fldCharType="end"/>
      </w:r>
      <w:r w:rsidR="00CC3037">
        <w:rPr>
          <w:b w:val="0"/>
          <w:bCs w:val="0"/>
        </w:rPr>
        <w:t xml:space="preserve">. </w:t>
      </w:r>
      <w:r w:rsidR="009E721A">
        <w:rPr>
          <w:b w:val="0"/>
          <w:bCs w:val="0"/>
        </w:rPr>
        <w:t xml:space="preserve">The </w:t>
      </w:r>
      <w:r w:rsidR="007A7642">
        <w:rPr>
          <w:b w:val="0"/>
          <w:bCs w:val="0"/>
        </w:rPr>
        <w:t xml:space="preserve">first component, the </w:t>
      </w:r>
      <w:r w:rsidR="009E721A">
        <w:rPr>
          <w:b w:val="0"/>
          <w:bCs w:val="0"/>
        </w:rPr>
        <w:t>SSPs</w:t>
      </w:r>
      <w:r w:rsidR="007A7642">
        <w:rPr>
          <w:b w:val="0"/>
          <w:bCs w:val="0"/>
        </w:rPr>
        <w:t>,</w:t>
      </w:r>
      <w:r w:rsidR="009E721A">
        <w:rPr>
          <w:b w:val="0"/>
          <w:bCs w:val="0"/>
        </w:rPr>
        <w:t xml:space="preserve"> </w:t>
      </w:r>
      <w:r w:rsidR="00676FB0">
        <w:rPr>
          <w:b w:val="0"/>
          <w:bCs w:val="0"/>
        </w:rPr>
        <w:t xml:space="preserve">are </w:t>
      </w:r>
      <w:r w:rsidR="009E721A">
        <w:rPr>
          <w:b w:val="0"/>
          <w:bCs w:val="0"/>
        </w:rPr>
        <w:t>comprise</w:t>
      </w:r>
      <w:r w:rsidR="00676FB0">
        <w:rPr>
          <w:b w:val="0"/>
          <w:bCs w:val="0"/>
        </w:rPr>
        <w:t>d of</w:t>
      </w:r>
      <w:r w:rsidR="009E721A">
        <w:rPr>
          <w:b w:val="0"/>
          <w:bCs w:val="0"/>
        </w:rPr>
        <w:t xml:space="preserve"> five distinct narratives describing alternative courses of societal development, as well as quantitative descriptions of population, economic growth, and urbanization</w:t>
      </w:r>
      <w:r w:rsidR="00DC28D8">
        <w:rPr>
          <w:b w:val="0"/>
          <w:bCs w:val="0"/>
        </w:rPr>
        <w:t xml:space="preserve"> </w:t>
      </w:r>
      <w:r w:rsidR="00DC28D8" w:rsidRPr="00DC28D8">
        <w:rPr>
          <w:b w:val="0"/>
          <w:bCs w:val="0"/>
        </w:rPr>
        <w:fldChar w:fldCharType="begin"/>
      </w:r>
      <w:r w:rsidR="00DC28D8" w:rsidRPr="00DC28D8">
        <w:rPr>
          <w:b w:val="0"/>
          <w:bCs w:val="0"/>
        </w:rPr>
        <w:instrText xml:space="preserve"> ADDIN ZOTERO_ITEM CSL_CITATION {"citationID":"RphTIxUn","properties":{"formattedCitation":"(Dellink et al., 2017; Jiang &amp; O\\uc0\\u8217{}Neill, 2017; Kc &amp; Lutz, 2017)","plainCitation":"(Dellink et al., 2017; Jiang &amp; O’Neill, 2017; Kc &amp; Lutz, 2017)","noteIndex":0},"citationItems":[{"id":1596,"uris":["http://zotero.org/users/11937628/items/G6KTNU9G"],"itemData":{"id":1596,"type":"article-journal","container-title":"Global Environmental Change","DOI":"10.1016/j.gloenvcha.2015.06.004","ISSN":"09593780","journalAbbreviation":"Global Environmental Change","language":"en","page":"200-214","source":"DOI.org (Crossref)","title":"Long-term economic growth projections in the Shared Socioeconomic Pathways","volume":"42","author":[{"family":"Dellink","given":"Rob"},{"family":"Chateau","given":"Jean"},{"family":"Lanzi","given":"Elisa"},{"family":"Magné","given":"Bertrand"}],"issued":{"date-parts":[["2017",1]]}}},{"id":1597,"uris":["http://zotero.org/users/11937628/items/JWKDILWZ"],"itemData":{"id":1597,"type":"article-journal","container-title":"Global Environmental Change","DOI":"10.1016/j.gloenvcha.2015.03.008","ISSN":"09593780","journalAbbreviation":"Global Environmental Change","language":"en","page":"193-199","source":"DOI.org (Crossref)","title":"Global urbanization projections for the Shared Socioeconomic Pathways","volume":"42","author":[{"family":"Jiang","given":"Leiwen"},{"family":"O’Neill","given":"Brian C."}],"issued":{"date-parts":[["2017",1]]}}},{"id":1594,"uris":["http://zotero.org/users/11937628/items/ZDU3PAL6"],"itemData":{"id":1594,"type":"article-journal","container-title":"Global Environmental Change","DOI":"10.1016/j.gloenvcha.2014.06.004","ISSN":"09593780","journalAbbreviation":"Global Environmental Change","language":"en","page":"181-192","source":"DOI.org (Crossref)","title":"The human core of the shared socioeconomic pathways: Population scenarios by age, sex and level of education for all countries to 2100","title-short":"The human core of the shared socioeconomic pathways","volume":"42","author":[{"family":"Kc","given":"Samir"},{"family":"Lutz","given":"Wolfgang"}],"issued":{"date-parts":[["2017",1]]}}}],"schema":"https://github.com/citation-style-language/schema/raw/master/csl-citation.json"} </w:instrText>
      </w:r>
      <w:r w:rsidR="00DC28D8" w:rsidRPr="00DC28D8">
        <w:rPr>
          <w:b w:val="0"/>
          <w:bCs w:val="0"/>
        </w:rPr>
        <w:fldChar w:fldCharType="separate"/>
      </w:r>
      <w:r w:rsidR="00DC28D8" w:rsidRPr="00DC28D8">
        <w:rPr>
          <w:b w:val="0"/>
          <w:bCs w:val="0"/>
          <w:kern w:val="0"/>
        </w:rPr>
        <w:t>(Dellink et al., 2017; Jiang &amp; O’Neill, 2017; Kc &amp; Lutz, 2017)</w:t>
      </w:r>
      <w:r w:rsidR="00DC28D8" w:rsidRPr="00DC28D8">
        <w:rPr>
          <w:b w:val="0"/>
          <w:bCs w:val="0"/>
        </w:rPr>
        <w:fldChar w:fldCharType="end"/>
      </w:r>
      <w:r w:rsidR="00827E22" w:rsidRPr="00DC28D8">
        <w:rPr>
          <w:b w:val="0"/>
          <w:bCs w:val="0"/>
        </w:rPr>
        <w:t>.</w:t>
      </w:r>
      <w:r w:rsidR="009E721A" w:rsidRPr="00DC28D8">
        <w:rPr>
          <w:b w:val="0"/>
          <w:bCs w:val="0"/>
        </w:rPr>
        <w:t xml:space="preserve"> </w:t>
      </w:r>
      <w:r w:rsidR="007A7642">
        <w:rPr>
          <w:b w:val="0"/>
          <w:bCs w:val="0"/>
        </w:rPr>
        <w:t xml:space="preserve">The SSPs were elaborated </w:t>
      </w:r>
      <w:r w:rsidR="00285B31">
        <w:rPr>
          <w:b w:val="0"/>
          <w:bCs w:val="0"/>
        </w:rPr>
        <w:t xml:space="preserve">using integrated assessment models (IAMs) </w:t>
      </w:r>
      <w:r w:rsidR="007A7642">
        <w:rPr>
          <w:b w:val="0"/>
          <w:bCs w:val="0"/>
        </w:rPr>
        <w:t xml:space="preserve">to </w:t>
      </w:r>
      <w:r w:rsidR="00285B31">
        <w:rPr>
          <w:b w:val="0"/>
          <w:bCs w:val="0"/>
        </w:rPr>
        <w:t>provide</w:t>
      </w:r>
      <w:r w:rsidR="007A7642">
        <w:rPr>
          <w:b w:val="0"/>
          <w:bCs w:val="0"/>
        </w:rPr>
        <w:t xml:space="preserve"> quantitative descriptions of energy</w:t>
      </w:r>
      <w:r w:rsidR="00285B31">
        <w:rPr>
          <w:b w:val="0"/>
          <w:bCs w:val="0"/>
        </w:rPr>
        <w:t xml:space="preserve"> use</w:t>
      </w:r>
      <w:r w:rsidR="007A7642">
        <w:rPr>
          <w:b w:val="0"/>
          <w:bCs w:val="0"/>
        </w:rPr>
        <w:t xml:space="preserve">, </w:t>
      </w:r>
      <w:r w:rsidR="00285B31">
        <w:rPr>
          <w:b w:val="0"/>
          <w:bCs w:val="0"/>
        </w:rPr>
        <w:t xml:space="preserve">greenhouse gas </w:t>
      </w:r>
      <w:r w:rsidR="007A7642">
        <w:rPr>
          <w:b w:val="0"/>
          <w:bCs w:val="0"/>
        </w:rPr>
        <w:t>emissions</w:t>
      </w:r>
      <w:r w:rsidR="00285B31">
        <w:rPr>
          <w:b w:val="0"/>
          <w:bCs w:val="0"/>
        </w:rPr>
        <w:t>,</w:t>
      </w:r>
      <w:r w:rsidR="007A7642">
        <w:rPr>
          <w:b w:val="0"/>
          <w:bCs w:val="0"/>
        </w:rPr>
        <w:t xml:space="preserve"> and land-use change </w:t>
      </w:r>
      <w:r w:rsidR="007A7642" w:rsidRPr="00681223">
        <w:rPr>
          <w:b w:val="0"/>
          <w:bCs w:val="0"/>
        </w:rPr>
        <w:fldChar w:fldCharType="begin"/>
      </w:r>
      <w:r w:rsidR="007A7642" w:rsidRPr="00681223">
        <w:rPr>
          <w:b w:val="0"/>
          <w:bCs w:val="0"/>
        </w:rPr>
        <w:instrText xml:space="preserve"> ADDIN ZOTERO_ITEM CSL_CITATION {"citationID":"qe7XufIZ","properties":{"formattedCitation":"(Riahi et al., 2017)","plainCitation":"(Riahi et al., 2017)","noteIndex":0},"citationItems":[{"id":1448,"uris":["http://zotero.org/users/local/VbtpDxdA/items/AECMZNDZ","http://zotero.org/users/11937628/items/AECMZNDZ"],"itemData":{"id":1448,"type":"article-journal","abstract":"This paper presents the overview of the Shared Socioeconomic Pathways (SSPs) and their energy, land use, and emissions implications. The SSPs are part of a new scenario framework, established by the climate change research community in order to facilitate the integrated analysis of future climate impacts, vulnerabilities, adaptation, and mitigation. The pathways were developed over the last years as a joint community effort and describe plausible major global developments that together would lead in the future to different challenges for mitigation and adaptation to climate change. The SSPs are based on five narratives describing alternative socio-economic developments, including sustainable development, regional rivalry, inequality, fossil-fueled development, and middle-of-the-road development. The long-term demographic and economic projections of the SSPs depict a wide uncertainty range consistent with the scenario literature. A multi-model approach was used for the elaboration of the energy, land-use and the emissions trajectories of SSP-based scenarios. The baseline scenarios lead to global energy consumption of 400–1200 EJ in 2100, and feature vastly different land-use dynamics, ranging from a possible reduction in cropland area up to a massive expansion by more than 700 million hectares by 2100. The associated annual CO2 emissions of the baseline scenarios range from about 25 GtCO2 to more than 120 GtCO2 per year by 2100. With respect to mitigation, we find that associated costs strongly depend on three factors: (1) the policy assumptions, (2) the socio-economic narrative, and (3) the stringency of the target. The carbon price for reaching the target of 2.6 W/m2 that is consistent with a temperature change limit of 2 °C, differs in our analysis thus by about a factor of three across the SSP marker scenarios. Moreover, many models could not reach this target from the SSPs with high mitigation challenges. While the SSPs were designed to represent different mitigation and adaptation challenges, the resulting narratives and quantifications span a wide range of different futures broadly representative of the current literature. This allows their subsequent use and development in new assessments and research projects. Critical next steps for the community scenario process will, among others, involve regional and sectoral extensions, further elaboration of the adaptation and impacts dimension, as well as employing the SSP scenarios with the new generation of earth system models as part of the 6th climate model intercomparison project (CMIP6).","container-title":"Global Environmental Change","DOI":"10.1016/j.gloenvcha.2016.05.009","ISSN":"09593780","note":"publisher: Elsevier Ltd","page":"153-168","title":"The Shared Socioeconomic Pathways and their energy, land use, and greenhouse gas emissions implications: An overview","volume":"42","author":[{"family":"Riahi","given":"Keywan"},{"family":"Vuuren","given":"Detlef P.","non-dropping-particle":"van"},{"family":"Kriegler","given":"Elmar"},{"family":"Edmonds","given":"Jae"},{"family":"O’Neill","given":"Brian C."},{"family":"Fujimori","given":"Shinichiro"},{"family":"Bauer","given":"Nico"},{"family":"Calvin","given":"Katherine"},{"family":"Dellink","given":"Rob"},{"family":"Fricko","given":"Oliver"},{"family":"Lutz","given":"Wolfgang"},{"family":"Popp","given":"Alexander"},{"family":"Cuaresma","given":"Jesus Crespo"},{"family":"KC","given":"Samir"},{"family":"Leimbach","given":"Marian"},{"family":"Jiang","given":"Leiwen"},{"family":"Kram","given":"Tom"},{"family":"Rao","given":"Shilpa"},{"family":"Emmerling","given":"Johannes"},{"family":"Ebi","given":"Kristie"},{"family":"Hasegawa","given":"Tomoko"},{"family":"Havlik","given":"Petr"},{"family":"Humpenöder","given":"Florian"},{"family":"Da Silva","given":"Lara Aleluia"},{"family":"Smith","given":"Steve"},{"family":"Stehfest","given":"Elke"},{"family":"Bosetti","given":"Valentina"},{"family":"Eom","given":"Jiyong"},{"family":"Gernaat","given":"David"},{"family":"Masui","given":"Toshihiko"},{"family":"Rogelj","given":"Joeri"},{"family":"Strefler","given":"Jessica"},{"family":"Drouet","given":"Laurent"},{"family":"Krey","given":"Volker"},{"family":"Luderer","given":"Gunnar"},{"family":"Harmsen","given":"Mathijs"},{"family":"Takahashi","given":"Kiyoshi"},{"family":"Baumstark","given":"Lavinia"},{"family":"Doelman","given":"Jonathan C."},{"family":"Kainuma","given":"Mikiko"},{"family":"Klimont","given":"Zbigniew"},{"family":"Marangoni","given":"Giacomo"},{"family":"Lotze-Campen","given":"Hermann"},{"family":"Obersteiner","given":"Michael"},{"family":"Tabeau","given":"Andrzej"},{"family":"Tavoni","given":"Massimo"}],"issued":{"date-parts":[["2017",1,1]]}}}],"schema":"https://github.com/citation-style-language/schema/raw/master/csl-citation.json"} </w:instrText>
      </w:r>
      <w:r w:rsidR="007A7642" w:rsidRPr="00681223">
        <w:rPr>
          <w:b w:val="0"/>
          <w:bCs w:val="0"/>
        </w:rPr>
        <w:fldChar w:fldCharType="separate"/>
      </w:r>
      <w:r w:rsidR="007A7642" w:rsidRPr="00681223">
        <w:rPr>
          <w:b w:val="0"/>
          <w:bCs w:val="0"/>
        </w:rPr>
        <w:t>(Riahi et al., 2017)</w:t>
      </w:r>
      <w:r w:rsidR="007A7642" w:rsidRPr="00681223">
        <w:rPr>
          <w:b w:val="0"/>
          <w:bCs w:val="0"/>
        </w:rPr>
        <w:fldChar w:fldCharType="end"/>
      </w:r>
      <w:r w:rsidR="007A7642">
        <w:rPr>
          <w:b w:val="0"/>
          <w:bCs w:val="0"/>
        </w:rPr>
        <w:t>.</w:t>
      </w:r>
    </w:p>
    <w:p w14:paraId="67D9B93E" w14:textId="3D71F23B" w:rsidR="00285B31" w:rsidRDefault="00285B31" w:rsidP="00681223">
      <w:pPr>
        <w:pStyle w:val="Heading-Main"/>
        <w:rPr>
          <w:b w:val="0"/>
          <w:bCs w:val="0"/>
        </w:rPr>
      </w:pPr>
      <w:r>
        <w:rPr>
          <w:b w:val="0"/>
          <w:bCs w:val="0"/>
        </w:rPr>
        <w:t xml:space="preserve">For each SSP narrative, multiple IAM trajectories were defined to describe both a baseline scenario, </w:t>
      </w:r>
      <w:r w:rsidR="00696AD4">
        <w:rPr>
          <w:b w:val="0"/>
          <w:bCs w:val="0"/>
        </w:rPr>
        <w:t>which assumes</w:t>
      </w:r>
      <w:r>
        <w:rPr>
          <w:b w:val="0"/>
          <w:bCs w:val="0"/>
        </w:rPr>
        <w:t xml:space="preserve"> </w:t>
      </w:r>
      <w:r w:rsidR="00696AD4">
        <w:rPr>
          <w:b w:val="0"/>
          <w:bCs w:val="0"/>
        </w:rPr>
        <w:t>no</w:t>
      </w:r>
      <w:r>
        <w:rPr>
          <w:b w:val="0"/>
          <w:bCs w:val="0"/>
        </w:rPr>
        <w:t xml:space="preserve"> additional climate policies or climate change impacts, and mitigation scenarios</w:t>
      </w:r>
      <w:r w:rsidR="00FC1F5E">
        <w:rPr>
          <w:b w:val="0"/>
          <w:bCs w:val="0"/>
        </w:rPr>
        <w:t>,</w:t>
      </w:r>
      <w:r>
        <w:rPr>
          <w:b w:val="0"/>
          <w:bCs w:val="0"/>
        </w:rPr>
        <w:t xml:space="preserve"> in which </w:t>
      </w:r>
      <w:r w:rsidR="00696AD4">
        <w:rPr>
          <w:b w:val="0"/>
          <w:bCs w:val="0"/>
        </w:rPr>
        <w:t>further</w:t>
      </w:r>
      <w:r>
        <w:rPr>
          <w:b w:val="0"/>
          <w:bCs w:val="0"/>
        </w:rPr>
        <w:t xml:space="preserve"> policies are adopted.</w:t>
      </w:r>
      <w:r w:rsidR="00696AD4">
        <w:rPr>
          <w:b w:val="0"/>
          <w:bCs w:val="0"/>
        </w:rPr>
        <w:t xml:space="preserve"> </w:t>
      </w:r>
      <w:r w:rsidR="00872F69">
        <w:rPr>
          <w:b w:val="0"/>
          <w:bCs w:val="0"/>
        </w:rPr>
        <w:t xml:space="preserve">SSP narratives </w:t>
      </w:r>
      <w:r w:rsidR="00676FB0">
        <w:rPr>
          <w:b w:val="0"/>
          <w:bCs w:val="0"/>
        </w:rPr>
        <w:t>can be</w:t>
      </w:r>
      <w:r w:rsidR="00872F69">
        <w:rPr>
          <w:b w:val="0"/>
          <w:bCs w:val="0"/>
        </w:rPr>
        <w:t xml:space="preserve"> combined with </w:t>
      </w:r>
      <w:r w:rsidR="00676FB0">
        <w:rPr>
          <w:b w:val="0"/>
          <w:bCs w:val="0"/>
        </w:rPr>
        <w:t xml:space="preserve">different </w:t>
      </w:r>
      <w:r w:rsidR="00872F69">
        <w:rPr>
          <w:b w:val="0"/>
          <w:bCs w:val="0"/>
        </w:rPr>
        <w:t xml:space="preserve">climate forcing pathways to describe the physical response of the climate system. The climate forcing is </w:t>
      </w:r>
      <w:r w:rsidR="00676FB0">
        <w:rPr>
          <w:b w:val="0"/>
          <w:bCs w:val="0"/>
        </w:rPr>
        <w:t>defined</w:t>
      </w:r>
      <w:r w:rsidR="00872F69">
        <w:rPr>
          <w:b w:val="0"/>
          <w:bCs w:val="0"/>
        </w:rPr>
        <w:t xml:space="preserve"> </w:t>
      </w:r>
      <w:r w:rsidR="00676FB0">
        <w:rPr>
          <w:b w:val="0"/>
          <w:bCs w:val="0"/>
        </w:rPr>
        <w:t>according to</w:t>
      </w:r>
      <w:r w:rsidR="00872F69">
        <w:rPr>
          <w:b w:val="0"/>
          <w:bCs w:val="0"/>
        </w:rPr>
        <w:t xml:space="preserve"> the long-term global average radiative forcing (W m</w:t>
      </w:r>
      <w:r w:rsidR="00872F69">
        <w:rPr>
          <w:b w:val="0"/>
          <w:bCs w:val="0"/>
          <w:vertAlign w:val="superscript"/>
        </w:rPr>
        <w:t>-2</w:t>
      </w:r>
      <w:r w:rsidR="00872F69">
        <w:rPr>
          <w:b w:val="0"/>
          <w:bCs w:val="0"/>
        </w:rPr>
        <w:t xml:space="preserve">; </w:t>
      </w:r>
      <w:r w:rsidR="00D16948">
        <w:rPr>
          <w:b w:val="0"/>
          <w:bCs w:val="0"/>
        </w:rPr>
        <w:fldChar w:fldCharType="begin"/>
      </w:r>
      <w:r w:rsidR="00D16948">
        <w:rPr>
          <w:b w:val="0"/>
          <w:bCs w:val="0"/>
        </w:rPr>
        <w:instrText xml:space="preserve"> ADDIN ZOTERO_ITEM CSL_CITATION {"citationID":"5YzZ0Ty2","properties":{"formattedCitation":"(Myhre et al., 2013)","plainCitation":"(Myhre et al., 2013)","noteIndex":0},"citationItems":[{"id":1593,"uris":["http://zotero.org/users/11937628/items/XHXIEJHZ"],"itemData":{"id":1593,"type":"chapter","container-title":"Climate Change 2013: The Physical Science Basis.Contribution of Working Group I to the Fifth Assessment Report of the Intergovernmental Panel on Climate Change","event-place":"Cambridge, United Kingdom and New York, NY, USA","language":"en","publisher":"Cambridge University Press","publisher-place":"Cambridge, United Kingdom and New York, NY, USA","source":"Zotero","title":"Anthropogenic and Natural Radiative Forcing","author":[{"family":"Myhre","given":"Gunnar"},{"family":"Shindell","given":"Drew"},{"family":"Bréon","given":"François-Marie"},{"family":"Collins","given":"William"},{"family":"Fuglestvedt","given":"Jan"},{"family":"Huang","given":"Jianping"},{"family":"Koch","given":"Dorothy"},{"family":"Lamarque","given":"Jean-François"},{"family":"Lee","given":"David"},{"family":"Mendoza","given":"Blanca"},{"family":"Nakajima","given":"Teruyuki"},{"family":"Robock","given":"Alan"},{"family":"Stephens","given":"Graeme"},{"family":"Zhang","given":"Hua"}],"editor":[{"family":"Stocker","given":"T.F."},{"family":"Qin","given":"D."},{"family":"Plattner","given":"G.-K."},{"family":"Tignor","given":"M."},{"family":"Allen","given":"S.K."},{"family":"Boschung","given":"J."},{"family":"Nauels","given":"A."},{"family":"Xia","given":"Y."},{"family":"Bex","given":"V."},{"family":"Midgley","given":"P.M."}],"issued":{"date-parts":[["2013"]]}}}],"schema":"https://github.com/citation-style-language/schema/raw/master/csl-citation.json"} </w:instrText>
      </w:r>
      <w:r w:rsidR="00D16948">
        <w:rPr>
          <w:b w:val="0"/>
          <w:bCs w:val="0"/>
        </w:rPr>
        <w:fldChar w:fldCharType="separate"/>
      </w:r>
      <w:r w:rsidR="00D16948">
        <w:rPr>
          <w:b w:val="0"/>
          <w:bCs w:val="0"/>
          <w:noProof/>
        </w:rPr>
        <w:t>Myhre et al., 2013)</w:t>
      </w:r>
      <w:r w:rsidR="00D16948">
        <w:rPr>
          <w:b w:val="0"/>
          <w:bCs w:val="0"/>
        </w:rPr>
        <w:fldChar w:fldCharType="end"/>
      </w:r>
      <w:r w:rsidR="00872F69">
        <w:rPr>
          <w:b w:val="0"/>
          <w:bCs w:val="0"/>
        </w:rPr>
        <w:t xml:space="preserve">. </w:t>
      </w:r>
      <w:r w:rsidR="000C2478">
        <w:rPr>
          <w:b w:val="0"/>
          <w:bCs w:val="0"/>
        </w:rPr>
        <w:t xml:space="preserve">Following convention, the scenarios used in this work are written </w:t>
      </w:r>
      <w:r w:rsidR="00696AD4">
        <w:rPr>
          <w:b w:val="0"/>
          <w:bCs w:val="0"/>
        </w:rPr>
        <w:t>as</w:t>
      </w:r>
      <w:r w:rsidR="000C2478">
        <w:rPr>
          <w:b w:val="0"/>
          <w:bCs w:val="0"/>
        </w:rPr>
        <w:t>:</w:t>
      </w:r>
      <w:r w:rsidR="00696AD4">
        <w:rPr>
          <w:b w:val="0"/>
          <w:bCs w:val="0"/>
        </w:rPr>
        <w:t xml:space="preserve"> </w:t>
      </w:r>
      <w:proofErr w:type="spellStart"/>
      <w:r w:rsidR="00696AD4">
        <w:rPr>
          <w:b w:val="0"/>
          <w:bCs w:val="0"/>
        </w:rPr>
        <w:t>SSP</w:t>
      </w:r>
      <w:r w:rsidR="00696AD4" w:rsidRPr="00696AD4">
        <w:rPr>
          <w:b w:val="0"/>
          <w:bCs w:val="0"/>
          <w:i/>
          <w:iCs/>
          <w:vertAlign w:val="subscript"/>
        </w:rPr>
        <w:t>x</w:t>
      </w:r>
      <w:proofErr w:type="spellEnd"/>
      <w:r w:rsidR="00696AD4" w:rsidRPr="00696AD4">
        <w:rPr>
          <w:b w:val="0"/>
          <w:bCs w:val="0"/>
          <w:i/>
          <w:iCs/>
          <w:vertAlign w:val="subscript"/>
        </w:rPr>
        <w:t>-y</w:t>
      </w:r>
      <w:r w:rsidR="00696AD4">
        <w:rPr>
          <w:b w:val="0"/>
          <w:bCs w:val="0"/>
        </w:rPr>
        <w:t xml:space="preserve">, where </w:t>
      </w:r>
      <w:r w:rsidR="00696AD4" w:rsidRPr="00696AD4">
        <w:rPr>
          <w:b w:val="0"/>
          <w:bCs w:val="0"/>
          <w:i/>
          <w:iCs/>
        </w:rPr>
        <w:t>x</w:t>
      </w:r>
      <w:r w:rsidR="00696AD4">
        <w:rPr>
          <w:b w:val="0"/>
          <w:bCs w:val="0"/>
        </w:rPr>
        <w:t xml:space="preserve"> is the SSP and </w:t>
      </w:r>
      <w:r w:rsidR="00696AD4" w:rsidRPr="00696AD4">
        <w:rPr>
          <w:b w:val="0"/>
          <w:bCs w:val="0"/>
          <w:i/>
          <w:iCs/>
        </w:rPr>
        <w:t>y</w:t>
      </w:r>
      <w:r w:rsidR="00696AD4">
        <w:rPr>
          <w:b w:val="0"/>
          <w:bCs w:val="0"/>
        </w:rPr>
        <w:t xml:space="preserve"> is the radiative forcing pathway</w:t>
      </w:r>
      <w:r w:rsidR="000C2478">
        <w:rPr>
          <w:b w:val="0"/>
          <w:bCs w:val="0"/>
        </w:rPr>
        <w:t xml:space="preserve"> (W m</w:t>
      </w:r>
      <w:r w:rsidR="000C2478">
        <w:rPr>
          <w:b w:val="0"/>
          <w:bCs w:val="0"/>
          <w:vertAlign w:val="superscript"/>
        </w:rPr>
        <w:t>-2</w:t>
      </w:r>
      <w:r w:rsidR="000C2478">
        <w:rPr>
          <w:b w:val="0"/>
          <w:bCs w:val="0"/>
        </w:rPr>
        <w:t xml:space="preserve">) </w:t>
      </w:r>
      <w:r w:rsidR="00696AD4" w:rsidRPr="00816F21">
        <w:rPr>
          <w:b w:val="0"/>
          <w:bCs w:val="0"/>
        </w:rPr>
        <w:fldChar w:fldCharType="begin"/>
      </w:r>
      <w:r w:rsidR="00696AD4" w:rsidRPr="00816F21">
        <w:rPr>
          <w:b w:val="0"/>
          <w:bCs w:val="0"/>
        </w:rPr>
        <w:instrText xml:space="preserve"> ADDIN ZOTERO_ITEM CSL_CITATION {"citationID":"jtRjJIJj","properties":{"formattedCitation":"(O\\uc0\\u8217{}Neill et al., 2016)","plainCitation":"(O’Neill et al., 2016)","noteIndex":0},"citationItems":[{"id":1116,"uris":["http://zotero.org/users/local/VbtpDxdA/items/G5RR5XS2","http://zotero.org/users/11937628/items/G5RR5XS2"],"itemData":{"id":1116,"type":"article-journal","abstract":"Abstract. Projections of future climate change play a fundamental role in improving understanding of the climate system as well as characterizing societal risks and response options. The Scenario Model Intercomparison Project (ScenarioMIP) is the primary activity within Phase 6 of the Coupled Model Intercomparison Project (CMIP6) that will provide multi-model climate projections based on alternative scenarios of future emissions and land use changes produced with integrated assessment models. In this paper, we describe ScenarioMIP's objectives, experimental design, and its relation to other activities within CMIP6. The ScenarioMIP design is one component of a larger scenario process that aims to facilitate a wide range of integrated studies across the climate science, integrated assessment modeling, and impacts, adaptation, and vulnerability communities, and will form an important part of the evidence base in the forthcoming Intergovernmental Panel on Climate Change (IPCC) assessments. At the same time, it will provide the basis for investigating a number of targeted science and policy questions that are especially relevant to scenario-based analysis, including the role of specific forcings such as land use and aerosols, the effect of a peak and decline in forcing, the consequences of scenarios that limit warming to below 2 °C, the relative contributions to uncertainty from scenarios, climate models, and internal variability, and long-term climate system outcomes beyond the 21st century. To serve this wide range of scientific communities and address these questions, a design has been identified consisting of eight alternative 21st century scenarios plus one large initial condition ensemble and a set of long-term extensions, divided into two tiers defined by relative priority. Some of these scenarios will also provide a basis for variants planned to be run in other CMIP6-Endorsed MIPs to investigate questions related to specific forcings. Harmonized, spatially explicit emissions and land use scenarios generated with integrated assessment models will be provided to participating climate modeling groups by late 2016, with the climate model simulations run within the 2017–2018 time frame, and output from the climate model projections made available and analyses performed over the 2018–2020 period.","container-title":"Geoscientific Model Development","DOI":"10.5194/gmd-9-3461-2016","ISSN":"1991-9603","issue":"9","note":"Citation Key: ONeill2016","page":"3461-3482","title":"The Scenario Model Intercomparison Project (ScenarioMIP) for CMIP6","volume":"9","author":[{"family":"O'Neill","given":"Brian C."},{"family":"Tebaldi","given":"Claudia"},{"family":"Vuuren","given":"Detlef P.","non-dropping-particle":"van"},{"family":"Eyring","given":"Veronika"},{"family":"Friedlingstein","given":"Pierre"},{"family":"Hurtt","given":"George"},{"family":"Knutti","given":"Reto"},{"family":"Kriegler","given":"Elmar"},{"family":"Lamarque","given":"Jean-Francois"},{"family":"Lowe","given":"Jason"},{"family":"Meehl","given":"Gerald A."},{"family":"Moss","given":"Richard"},{"family":"Riahi","given":"Keywan"},{"family":"Sanderson","given":"Benjamin M."}],"issued":{"date-parts":[["2016",9,28]]}}}],"schema":"https://github.com/citation-style-language/schema/raw/master/csl-citation.json"} </w:instrText>
      </w:r>
      <w:r w:rsidR="00696AD4" w:rsidRPr="00816F21">
        <w:rPr>
          <w:b w:val="0"/>
          <w:bCs w:val="0"/>
        </w:rPr>
        <w:fldChar w:fldCharType="separate"/>
      </w:r>
      <w:r w:rsidR="00696AD4" w:rsidRPr="00816F21">
        <w:rPr>
          <w:b w:val="0"/>
          <w:bCs w:val="0"/>
          <w:kern w:val="0"/>
        </w:rPr>
        <w:t>(O’Neill et al., 2016)</w:t>
      </w:r>
      <w:r w:rsidR="00696AD4" w:rsidRPr="00816F21">
        <w:rPr>
          <w:b w:val="0"/>
          <w:bCs w:val="0"/>
        </w:rPr>
        <w:fldChar w:fldCharType="end"/>
      </w:r>
      <w:r w:rsidR="00696AD4">
        <w:rPr>
          <w:b w:val="0"/>
          <w:bCs w:val="0"/>
        </w:rPr>
        <w:t>.</w:t>
      </w:r>
      <w:r w:rsidR="000C2478">
        <w:rPr>
          <w:b w:val="0"/>
          <w:bCs w:val="0"/>
        </w:rPr>
        <w:t xml:space="preserve"> Throughout the </w:t>
      </w:r>
      <w:r w:rsidR="000C2478">
        <w:rPr>
          <w:b w:val="0"/>
          <w:bCs w:val="0"/>
        </w:rPr>
        <w:lastRenderedPageBreak/>
        <w:t xml:space="preserve">rest of this work, scenarios will be referred by their specific name </w:t>
      </w:r>
      <w:r w:rsidR="001C11A9">
        <w:rPr>
          <w:b w:val="0"/>
          <w:bCs w:val="0"/>
        </w:rPr>
        <w:t xml:space="preserve">(e.g., SSP1-2.6) </w:t>
      </w:r>
      <w:r w:rsidR="000C2478">
        <w:rPr>
          <w:b w:val="0"/>
          <w:bCs w:val="0"/>
        </w:rPr>
        <w:t>or collectively as “SSPs.”</w:t>
      </w:r>
    </w:p>
    <w:p w14:paraId="19473832" w14:textId="4CA0B836" w:rsidR="00681223" w:rsidRPr="00681223" w:rsidRDefault="00681223" w:rsidP="00681223">
      <w:pPr>
        <w:pStyle w:val="Heading-Main"/>
        <w:rPr>
          <w:b w:val="0"/>
          <w:bCs w:val="0"/>
        </w:rPr>
      </w:pPr>
      <w:r w:rsidRPr="00681223">
        <w:rPr>
          <w:b w:val="0"/>
          <w:bCs w:val="0"/>
        </w:rPr>
        <w:t>For this work, we adopted the three major scenarios that were initially chosen for long-term extensions (LTE) to 2300 under CMIP6</w:t>
      </w:r>
      <w:r w:rsidR="00E8561E">
        <w:rPr>
          <w:b w:val="0"/>
          <w:bCs w:val="0"/>
        </w:rPr>
        <w:t xml:space="preserve"> </w:t>
      </w:r>
      <w:r w:rsidR="00E8561E" w:rsidRPr="00E8561E">
        <w:rPr>
          <w:b w:val="0"/>
          <w:bCs w:val="0"/>
        </w:rPr>
        <w:fldChar w:fldCharType="begin"/>
      </w:r>
      <w:r w:rsidR="00E8561E" w:rsidRPr="00E8561E">
        <w:rPr>
          <w:b w:val="0"/>
          <w:bCs w:val="0"/>
        </w:rPr>
        <w:instrText xml:space="preserve"> ADDIN ZOTERO_ITEM CSL_CITATION {"citationID":"mBGzfBHo","properties":{"formattedCitation":"(O\\uc0\\u8217{}Neill et al., 2016)","plainCitation":"(O’Neill et al., 2016)","noteIndex":0},"citationItems":[{"id":1116,"uris":["http://zotero.org/users/local/VbtpDxdA/items/G5RR5XS2","http://zotero.org/users/11937628/items/G5RR5XS2"],"itemData":{"id":1116,"type":"article-journal","abstract":"Abstract. Projections of future climate change play a fundamental role in improving understanding of the climate system as well as characterizing societal risks and response options. The Scenario Model Intercomparison Project (ScenarioMIP) is the primary activity within Phase 6 of the Coupled Model Intercomparison Project (CMIP6) that will provide multi-model climate projections based on alternative scenarios of future emissions and land use changes produced with integrated assessment models. In this paper, we describe ScenarioMIP's objectives, experimental design, and its relation to other activities within CMIP6. The ScenarioMIP design is one component of a larger scenario process that aims to facilitate a wide range of integrated studies across the climate science, integrated assessment modeling, and impacts, adaptation, and vulnerability communities, and will form an important part of the evidence base in the forthcoming Intergovernmental Panel on Climate Change (IPCC) assessments. At the same time, it will provide the basis for investigating a number of targeted science and policy questions that are especially relevant to scenario-based analysis, including the role of specific forcings such as land use and aerosols, the effect of a peak and decline in forcing, the consequences of scenarios that limit warming to below 2 °C, the relative contributions to uncertainty from scenarios, climate models, and internal variability, and long-term climate system outcomes beyond the 21st century. To serve this wide range of scientific communities and address these questions, a design has been identified consisting of eight alternative 21st century scenarios plus one large initial condition ensemble and a set of long-term extensions, divided into two tiers defined by relative priority. Some of these scenarios will also provide a basis for variants planned to be run in other CMIP6-Endorsed MIPs to investigate questions related to specific forcings. Harmonized, spatially explicit emissions and land use scenarios generated with integrated assessment models will be provided to participating climate modeling groups by late 2016, with the climate model simulations run within the 2017–2018 time frame, and output from the climate model projections made available and analyses performed over the 2018–2020 period.","container-title":"Geoscientific Model Development","DOI":"10.5194/gmd-9-3461-2016","ISSN":"1991-9603","issue":"9","note":"Citation Key: ONeill2016","page":"3461-3482","title":"The Scenario Model Intercomparison Project (ScenarioMIP) for CMIP6","volume":"9","author":[{"family":"O'Neill","given":"Brian C."},{"family":"Tebaldi","given":"Claudia"},{"family":"Vuuren","given":"Detlef P.","non-dropping-particle":"van"},{"family":"Eyring","given":"Veronika"},{"family":"Friedlingstein","given":"Pierre"},{"family":"Hurtt","given":"George"},{"family":"Knutti","given":"Reto"},{"family":"Kriegler","given":"Elmar"},{"family":"Lamarque","given":"Jean-Francois"},{"family":"Lowe","given":"Jason"},{"family":"Meehl","given":"Gerald A."},{"family":"Moss","given":"Richard"},{"family":"Riahi","given":"Keywan"},{"family":"Sanderson","given":"Benjamin M."}],"issued":{"date-parts":[["2016",9,28]]}}}],"schema":"https://github.com/citation-style-language/schema/raw/master/csl-citation.json"} </w:instrText>
      </w:r>
      <w:r w:rsidR="00E8561E" w:rsidRPr="00E8561E">
        <w:rPr>
          <w:b w:val="0"/>
          <w:bCs w:val="0"/>
        </w:rPr>
        <w:fldChar w:fldCharType="separate"/>
      </w:r>
      <w:r w:rsidR="00E8561E" w:rsidRPr="00E8561E">
        <w:rPr>
          <w:b w:val="0"/>
          <w:bCs w:val="0"/>
          <w:kern w:val="0"/>
        </w:rPr>
        <w:t>(O’Neill et al., 2016)</w:t>
      </w:r>
      <w:r w:rsidR="00E8561E" w:rsidRPr="00E8561E">
        <w:rPr>
          <w:b w:val="0"/>
          <w:bCs w:val="0"/>
        </w:rPr>
        <w:fldChar w:fldCharType="end"/>
      </w:r>
      <w:r w:rsidRPr="00681223">
        <w:rPr>
          <w:b w:val="0"/>
          <w:bCs w:val="0"/>
        </w:rPr>
        <w:t>, namely, SSPs 1-2.6, 5-3.4, and 5-8.5. Scenario SSP1-2.6 is a lower-bound on future emissions, reflecting strong emphasis on sustainability and intensive control of climate-forcing agents; SSP5-3.4 is known as the “</w:t>
      </w:r>
      <w:r w:rsidRPr="00681223">
        <w:rPr>
          <w:b w:val="0"/>
          <w:bCs w:val="0"/>
          <w:i/>
          <w:iCs/>
        </w:rPr>
        <w:t>overshoot</w:t>
      </w:r>
      <w:r w:rsidRPr="00681223">
        <w:rPr>
          <w:b w:val="0"/>
          <w:bCs w:val="0"/>
        </w:rPr>
        <w:t xml:space="preserve">” scenario and reflects short-term growth in fossil-fuel use and minimal consideration of climate control measures until 2040 followed by aggressive mitigation thereafter; SSP5-8.5 is an upper bound on emissions, in which fossil-fuel use continues with little consideration of climate mitigation or transition to clean technologies. Subsequently, </w:t>
      </w:r>
      <w:r w:rsidRPr="00681223">
        <w:rPr>
          <w:b w:val="0"/>
          <w:bCs w:val="0"/>
        </w:rPr>
        <w:fldChar w:fldCharType="begin"/>
      </w:r>
      <w:r w:rsidRPr="00681223">
        <w:rPr>
          <w:b w:val="0"/>
          <w:bCs w:val="0"/>
        </w:rPr>
        <w:instrText xml:space="preserve"> ADDIN ZOTERO_ITEM CSL_CITATION {"citationID":"d5aYe0gi","properties":{"formattedCitation":"(Meinshausen et al., 2020)","plainCitation":"(Meinshausen et al., 2020)","dontUpdate":true,"noteIndex":0},"citationItems":[{"id":1456,"uris":["http://zotero.org/users/local/VbtpDxdA/items/6H8AH4MN","http://zotero.org/users/11937628/items/6H8AH4MN"],"itemData":{"id":1456,"type":"article-journal","abstract":"&lt;p&gt;&lt;![CDATA[Abstract. Anthropogenic increases in atmospheric greenhouse gas concentrations are the main driver of current and future climate change. The integrated assessment community has quantified anthropogenic emissions for the shared socio-economic pathway (SSP) scenarios, each of which represents a different future socio-economic projection and political environment. Here, we provide the greenhouse gas concentrations for these SSP scenarios – using the reduced-complexity climate–carbon-cycle model MAGICC7.0. We extend historical, observationally based concentration data with SSP concentration projections from 2015 to 2500 for 43 greenhouse gases with monthly and latitudinal resolution. CO2 concentrations by 2100 range from 393 to 1135 ppm for the lowest (SSP1-1.9) and highest (SSP5-8.5) emission scenarios, respectively. We also provide the concentration extensions beyond 2100 based on assumptions regarding the trajectories of fossil fuels and land use change emissions, net negative emissions, and the fraction of non-CO2 emissions. By 2150, CO2 concentrations in the lowest emission scenario are approximately 350 ppm and approximately plateau at that level until 2500, whereas the highest fossil-fuel-driven scenario projects CO2 concentrations of 1737 ppm and reaches concentrations beyond 2000 ppm by 2250. We estimate that the share of CO2 in the total radiative forcing contribution of all considered 43 long-lived greenhouse gases increases from 66 % for the present day to roughly 68 % to 85 % by the time of maximum forcing in the 21st century. For this estimation, we updated simple radiative forcing parameterizations that reflect the Oslo Line-By-Line model results. In comparison to the representative concentration pathways (RCPs), the five main SSPs (SSP1-1.9, SSP1-2.6, SSP2-4.5, SSP3-7.0, and SSP5-8.5) are more evenly spaced and extend to lower 2100 radiative forcing and temperatures. Performing two pairs of six-member historical ensembles with CESM1.2.2, we estimate the effect on surface air temperatures of applying latitudinally and seasonally resolved GHG concentrations. We find that the ensemble differences in the March–April–May (MAM) season provide a regional warming in higher northern latitudes of up to 0.4 K over the historical period, latitudinally averaged of about 0.1 K, which we estimate to be comparable to the upper bound (</w:instrText>
      </w:r>
      <w:r w:rsidRPr="00681223">
        <w:rPr>
          <w:rFonts w:ascii="Cambria Math" w:hAnsi="Cambria Math" w:cs="Cambria Math"/>
          <w:b w:val="0"/>
          <w:bCs w:val="0"/>
        </w:rPr>
        <w:instrText>∼</w:instrText>
      </w:r>
      <w:r w:rsidRPr="00681223">
        <w:rPr>
          <w:b w:val="0"/>
          <w:bCs w:val="0"/>
        </w:rPr>
        <w:instrText>5 % level) of natural variability. In comparison to the comparatively straight line of the last 2000 years, the greenhouse gas concentrations since the onset of the industrial period and this studies' projections over the next 100 to 500 years unequivocally depict a “hockey-stick” upwards shape. The SSP concentration time series derived in this study provide a harmonized set of input assumptions for long-term climate science analysis; they also provide an indication of the wide set of futures that societal developments and policy implementations can lead to – ranging from multiple degrees of future warming on the one side to approximately 1.5 </w:instrText>
      </w:r>
      <w:r w:rsidRPr="00681223">
        <w:rPr>
          <w:rFonts w:ascii="Cambria Math" w:hAnsi="Cambria Math" w:cs="Cambria Math"/>
          <w:b w:val="0"/>
          <w:bCs w:val="0"/>
        </w:rPr>
        <w:instrText>∘</w:instrText>
      </w:r>
      <w:r w:rsidRPr="00681223">
        <w:rPr>
          <w:b w:val="0"/>
          <w:bCs w:val="0"/>
        </w:rPr>
        <w:instrText xml:space="preserve">C warming on the other.]]&gt;&lt;/p&gt;","container-title":"Geoscientific Model Development","DOI":"10.5194/gmd-13-3571-2020","ISSN":"1991-9603","issue":"8","note":"publisher: Copernicus GmbH","page":"3571-3605","title":"The shared socio-economic pathway (SSP) greenhouse gas concentrations and their extensions to 2500","volume":"13","author":[{"family":"Meinshausen","given":"Malte"},{"family":"Nicholls","given":"Zebedee R. J."},{"family":"Lewis","given":"Jared"},{"family":"Gidden","given":"Matthew J."},{"family":"Vogel","given":"Elisabeth"},{"family":"Freund","given":"Mandy"},{"family":"Beyerle","given":"Urs"},{"family":"Gessner","given":"Claudia"},{"family":"Nauels","given":"Alexander"},{"family":"Bauer","given":"Nico"},{"family":"Canadell","given":"Josep G."},{"family":"Daniel","given":"John S."},{"family":"John","given":"Andrew"},{"family":"Krummel","given":"Paul B."},{"family":"Luderer","given":"Gunnar"},{"family":"Meinshausen","given":"Nicolai"},{"family":"Montzka","given":"Stephen A."},{"family":"Rayner","given":"Peter J."},{"family":"Reimann","given":"Stefan"},{"family":"Smith","given":"Steven J."},{"family":"Berg","given":"Marten","non-dropping-particle":"van den"},{"family":"Velders","given":"Guus J. M."},{"family":"Vollmer","given":"Martin K."},{"family":"Wang","given":"Ray H. J."}],"issued":{"date-parts":[["2020",8,13]]}}}],"schema":"https://github.com/citation-style-language/schema/raw/master/csl-citation.json"} </w:instrText>
      </w:r>
      <w:r w:rsidRPr="00681223">
        <w:rPr>
          <w:b w:val="0"/>
          <w:bCs w:val="0"/>
        </w:rPr>
        <w:fldChar w:fldCharType="separate"/>
      </w:r>
      <w:r w:rsidRPr="00681223">
        <w:rPr>
          <w:b w:val="0"/>
          <w:bCs w:val="0"/>
        </w:rPr>
        <w:t>Meinshausen et al. (2020)</w:t>
      </w:r>
      <w:r w:rsidRPr="00681223">
        <w:rPr>
          <w:b w:val="0"/>
          <w:bCs w:val="0"/>
        </w:rPr>
        <w:fldChar w:fldCharType="end"/>
      </w:r>
      <w:r w:rsidRPr="00681223">
        <w:rPr>
          <w:b w:val="0"/>
          <w:bCs w:val="0"/>
        </w:rPr>
        <w:t xml:space="preserve"> extended </w:t>
      </w:r>
      <w:r w:rsidR="002C74FF">
        <w:rPr>
          <w:b w:val="0"/>
          <w:bCs w:val="0"/>
        </w:rPr>
        <w:t>additional</w:t>
      </w:r>
      <w:r w:rsidR="002C74FF" w:rsidRPr="00681223">
        <w:rPr>
          <w:b w:val="0"/>
          <w:bCs w:val="0"/>
        </w:rPr>
        <w:t xml:space="preserve"> </w:t>
      </w:r>
      <w:r w:rsidRPr="00681223">
        <w:rPr>
          <w:b w:val="0"/>
          <w:bCs w:val="0"/>
        </w:rPr>
        <w:t>scenarios to</w:t>
      </w:r>
      <w:r w:rsidR="002C74FF">
        <w:rPr>
          <w:b w:val="0"/>
          <w:bCs w:val="0"/>
        </w:rPr>
        <w:t xml:space="preserve"> beyond 2300</w:t>
      </w:r>
      <w:r w:rsidRPr="00681223">
        <w:rPr>
          <w:b w:val="0"/>
          <w:bCs w:val="0"/>
        </w:rPr>
        <w:t>, so we added a fourth scenario to our projections, the so-called “</w:t>
      </w:r>
      <w:r w:rsidRPr="00681223">
        <w:rPr>
          <w:b w:val="0"/>
          <w:bCs w:val="0"/>
          <w:i/>
          <w:iCs/>
        </w:rPr>
        <w:t>middle-of-the-road</w:t>
      </w:r>
      <w:r w:rsidRPr="00681223">
        <w:rPr>
          <w:b w:val="0"/>
          <w:bCs w:val="0"/>
        </w:rPr>
        <w:t xml:space="preserve">” scenario, SSP2-4.5 </w:t>
      </w:r>
      <w:r w:rsidRPr="00681223">
        <w:rPr>
          <w:b w:val="0"/>
          <w:bCs w:val="0"/>
        </w:rPr>
        <w:fldChar w:fldCharType="begin"/>
      </w:r>
      <w:r w:rsidRPr="00681223">
        <w:rPr>
          <w:b w:val="0"/>
          <w:bCs w:val="0"/>
        </w:rPr>
        <w:instrText xml:space="preserve"> ADDIN ZOTERO_ITEM CSL_CITATION {"citationID":"bjs4zdPZ","properties":{"formattedCitation":"(Fricko et al., 2017)","plainCitation":"(Fricko et al., 2017)","noteIndex":0},"citationItems":[{"id":1458,"uris":["http://zotero.org/users/local/VbtpDxdA/items/WFQIP4G3","http://zotero.org/users/11937628/items/WFQIP4G3"],"itemData":{"id":1458,"type":"article-journal","abstract":"Studies of global environmental change make extensive use of scenarios to explore how the future can evolve under a consistent set of assumptions. The recently developed Shared Socioeconomic Pathways (SSPs) create a framework for the study of climate-related scenario outcomes. Their five narratives span a wide range of worlds that vary in their challenges for climate change mitigation and adaptation. Here we provide background on the quantification that has been selected to serve as the reference, or ‘marker’, implementation for SSP2. The SSP2 narrative describes a middle-of-the-road development in the mitigation and adaptation challenges space. We explain how the narrative has been translated into quantitative assumptions in the IIASA Integrated Assessment Modelling Framework. We show that our SSP2 marker implementation occupies a central position for key metrics along the mitigation and adaptation challenge dimensions. For many dimensions the SSP2 marker implementation also reflects an extension of the historical experience, particularly in terms of carbon and energy intensity improvements in its baseline. This leads to a steady emissions increase over the 21st century, with projected end-of-century warming nearing 4 °C relative to preindustrial levels. On the other hand, SSP2 also shows that global-mean temperature increase can be limited to below 2 °C, pending stringent climate policies throughout the world. The added value of the SSP2 marker implementation for the wider scientific community is that it can serve as a starting point to further explore integrated solutions for achieving multiple societal objectives in light of the climate adaptation and mitigation challenges that society could face over the 21st century.","container-title":"Global Environmental Change","DOI":"10.1016/j.gloenvcha.2016.06.004","ISSN":"09593780","note":"publisher: Elsevier Ltd","page":"251-267","title":"The marker quantification of the Shared Socioeconomic Pathway 2: A middle-of-the-road scenario for the 21st century","volume":"42","author":[{"family":"Fricko","given":"Oliver"},{"family":"Havlik","given":"Petr"},{"family":"Rogelj","given":"Joeri"},{"family":"Klimont","given":"Zbigniew"},{"family":"Gusti","given":"Mykola"},{"family":"Johnson","given":"Nils"},{"family":"Kolp","given":"Peter"},{"family":"Strubegger","given":"Manfred"},{"family":"Valin","given":"Hugo"},{"family":"Amann","given":"Markus"},{"family":"Ermolieva","given":"Tatiana"},{"family":"Forsell","given":"Nicklas"},{"family":"Herrero","given":"Mario"},{"family":"Heyes","given":"Chris"},{"family":"Kindermann","given":"Georg"},{"family":"Krey","given":"Volker"},{"family":"McCollum","given":"David L."},{"family":"Obersteiner","given":"Michael"},{"family":"Pachauri","given":"Shonali"},{"family":"Rao","given":"Shilpa"},{"family":"Schmid","given":"Erwin"},{"family":"Schoepp","given":"Wolfgang"},{"family":"Riahi","given":"Keywan"}],"issued":{"date-parts":[["2017",1,1]]}}}],"schema":"https://github.com/citation-style-language/schema/raw/master/csl-citation.json"} </w:instrText>
      </w:r>
      <w:r w:rsidRPr="00681223">
        <w:rPr>
          <w:b w:val="0"/>
          <w:bCs w:val="0"/>
        </w:rPr>
        <w:fldChar w:fldCharType="separate"/>
      </w:r>
      <w:r w:rsidRPr="00681223">
        <w:rPr>
          <w:b w:val="0"/>
          <w:bCs w:val="0"/>
        </w:rPr>
        <w:t>(Fricko et al., 2017)</w:t>
      </w:r>
      <w:r w:rsidRPr="00681223">
        <w:rPr>
          <w:b w:val="0"/>
          <w:bCs w:val="0"/>
        </w:rPr>
        <w:fldChar w:fldCharType="end"/>
      </w:r>
      <w:r w:rsidRPr="00681223">
        <w:rPr>
          <w:b w:val="0"/>
          <w:bCs w:val="0"/>
        </w:rPr>
        <w:t>.</w:t>
      </w:r>
    </w:p>
    <w:p w14:paraId="5C43A057" w14:textId="25EABA68" w:rsidR="00681223" w:rsidRPr="00681223" w:rsidRDefault="00681223" w:rsidP="00681223">
      <w:pPr>
        <w:pStyle w:val="Heading-Main"/>
        <w:rPr>
          <w:b w:val="0"/>
          <w:bCs w:val="0"/>
        </w:rPr>
      </w:pPr>
      <w:r w:rsidRPr="00681223">
        <w:rPr>
          <w:b w:val="0"/>
          <w:bCs w:val="0"/>
        </w:rPr>
        <w:t xml:space="preserve">The detailed raw activity data that are used in this work to characterize Hg emissions under these four scenarios out to 2100 follow the work of </w:t>
      </w:r>
      <w:r w:rsidRPr="00681223">
        <w:rPr>
          <w:b w:val="0"/>
          <w:bCs w:val="0"/>
        </w:rPr>
        <w:fldChar w:fldCharType="begin"/>
      </w:r>
      <w:r w:rsidRPr="00681223">
        <w:rPr>
          <w:b w:val="0"/>
          <w:bCs w:val="0"/>
        </w:rPr>
        <w:instrText xml:space="preserve"> ADDIN ZOTERO_ITEM CSL_CITATION {"citationID":"pfGvh25U","properties":{"formattedCitation":"(Rao et al., 2017)","plainCitation":"(Rao et al., 2017)","dontUpdate":true,"noteIndex":0},"citationItems":[{"id":1468,"uris":["http://zotero.org/users/local/VbtpDxdA/items/MRZLSMPX","http://zotero.org/users/11937628/items/MRZLSMPX"],"itemData":{"id":1468,"type":"article-journal","abstract":"Emissions of air pollutants such as sulfur and nitrogen oxides and particulates have significant health impacts as well as effects on natural and anthropogenic ecosystems. These same emissions also can change atmospheric chemistry and the planetary energy balance, thereby impacting global and regional climate. Long-term scenarios for air pollutant emissions are needed as inputs to global climate and chemistry models, and for analysis linking air pollutant impacts across sectors. In this paper we present methodology and results for air pollutant emissions in Shared Socioeconomic Pathways (SSP) scenarios. We first present a set of three air pollution narratives that describe high, central, and low pollution control ambitions over the 21st century. These narratives are then translated into quantitative guidance for use in integrated assessment models. The resulting pollutant emission trajectories under the SSP scenarios cover a wider range than the scenarios used in previous international climate model comparisons. In the SSP3 and SSP4 scenarios, where economic, institutional and technological limitations slow air quality improvements, global pollutant emissions over the 21st century can be comparable to current levels. Pollutant emissions in the SSP1 scenarios fall to low levels due to the assumption of technological advances and successful global action to control emissions.","container-title":"Global Environmental Change","DOI":"10.1016/j.gloenvcha.2016.05.012","ISSN":"09593780","note":"publisher: Elsevier Ltd","page":"346-358","title":"Future air pollution in the Shared Socio-economic Pathways","volume":"42","author":[{"family":"Rao","given":"Shilpa"},{"family":"Klimont","given":"Zbigniew"},{"family":"Smith","given":"Steven J."},{"family":"Van Dingenen","given":"Rita"},{"family":"Dentener","given":"Frank"},{"family":"Bouwman","given":"Lex"},{"family":"Riahi","given":"Keywan"},{"family":"Amann","given":"Markus"},{"family":"Bodirsky","given":"Benjamin Leon"},{"family":"Vuuren","given":"Detlef P.","non-dropping-particle":"van"},{"family":"Aleluia Reis","given":"Lara"},{"family":"Calvin","given":"Katherine"},{"family":"Drouet","given":"Laurent"},{"family":"Fricko","given":"Oliver"},{"family":"Fujimori","given":"Shinichiro"},{"family":"Gernaat","given":"David"},{"family":"Havlik","given":"Petr"},{"family":"Harmsen","given":"Mathijs"},{"family":"Hasegawa","given":"Tomoko"},{"family":"Heyes","given":"Chris"},{"family":"Hilaire","given":"Jérôme"},{"family":"Luderer","given":"Gunnar"},{"family":"Masui","given":"Toshihiko"},{"family":"Stehfest","given":"Elke"},{"family":"Strefler","given":"Jessica"},{"family":"Sluis","given":"Sietske","non-dropping-particle":"van der"},{"family":"Tavoni","given":"Massimo"}],"issued":{"date-parts":[["2017",1,1]]}}}],"schema":"https://github.com/citation-style-language/schema/raw/master/csl-citation.json"} </w:instrText>
      </w:r>
      <w:r w:rsidRPr="00681223">
        <w:rPr>
          <w:b w:val="0"/>
          <w:bCs w:val="0"/>
        </w:rPr>
        <w:fldChar w:fldCharType="separate"/>
      </w:r>
      <w:r w:rsidRPr="00681223">
        <w:rPr>
          <w:b w:val="0"/>
          <w:bCs w:val="0"/>
        </w:rPr>
        <w:t>Rao et al. (2017)</w:t>
      </w:r>
      <w:r w:rsidRPr="00681223">
        <w:rPr>
          <w:b w:val="0"/>
          <w:bCs w:val="0"/>
        </w:rPr>
        <w:fldChar w:fldCharType="end"/>
      </w:r>
      <w:r w:rsidRPr="00681223">
        <w:rPr>
          <w:b w:val="0"/>
          <w:bCs w:val="0"/>
        </w:rPr>
        <w:t xml:space="preserve">, with LTE from 2100 to 2300 following the work of </w:t>
      </w:r>
      <w:proofErr w:type="spellStart"/>
      <w:r w:rsidRPr="00681223">
        <w:rPr>
          <w:b w:val="0"/>
          <w:bCs w:val="0"/>
        </w:rPr>
        <w:t>Meinshausen</w:t>
      </w:r>
      <w:proofErr w:type="spellEnd"/>
      <w:r w:rsidRPr="00681223">
        <w:rPr>
          <w:b w:val="0"/>
          <w:bCs w:val="0"/>
        </w:rPr>
        <w:t xml:space="preserve"> et al. (2020). The Hg emissions forecasts reported in this work map the trajectories of CO</w:t>
      </w:r>
      <w:r w:rsidRPr="00681223">
        <w:rPr>
          <w:b w:val="0"/>
          <w:bCs w:val="0"/>
          <w:vertAlign w:val="subscript"/>
        </w:rPr>
        <w:t>2</w:t>
      </w:r>
      <w:r w:rsidRPr="00681223">
        <w:rPr>
          <w:b w:val="0"/>
          <w:bCs w:val="0"/>
        </w:rPr>
        <w:t xml:space="preserve"> forecasts contained in the previously mentioned publications and the emissions of other species as described in subsequent studies </w:t>
      </w:r>
      <w:r w:rsidRPr="00681223">
        <w:rPr>
          <w:b w:val="0"/>
          <w:bCs w:val="0"/>
        </w:rPr>
        <w:fldChar w:fldCharType="begin"/>
      </w:r>
      <w:r w:rsidRPr="00681223">
        <w:rPr>
          <w:b w:val="0"/>
          <w:bCs w:val="0"/>
        </w:rPr>
        <w:instrText xml:space="preserve"> ADDIN ZOTERO_ITEM CSL_CITATION {"citationID":"BPIBLXqo","properties":{"formattedCitation":"(Gidden et al., 2019; Lund et al., 2019; Turnock et al., 2020)","plainCitation":"(Gidden et al., 2019; Lund et al., 2019; Turnock et al., 2020)","noteIndex":0},"citationItems":[{"id":1464,"uris":["http://zotero.org/users/local/VbtpDxdA/items/36FKWSE6","http://zotero.org/users/11937628/items/36FKWSE6"],"itemData":{"id":1464,"type":"article-journal","abstract":"&lt;p&gt;&lt;![CDATA[Abstract. We present a suite of nine scenarios of future emissions trajectories of anthropogenic sources, a key deliverable of the ScenarioMIP experiment within CMIP6. Integrated assessment model results for 14 different emissions species and 13 emissions sectors are provided for each scenario with consistent transitions from the historical data used in CMIP6 to future trajectories using automated harmonization before being downscaled to provide higher emissions source spatial detail. We find that the scenarios span a wide range of end-of-century radiative forcing values, thus making this set of scenarios ideal for exploring a variety of warming pathways. The set of scenarios is bounded on the low end by a 1.9 W m−2 scenario, ideal for analyzing a world with end-of-century temperatures well below 2 </w:instrText>
      </w:r>
      <w:r w:rsidRPr="00681223">
        <w:rPr>
          <w:rFonts w:ascii="Cambria Math" w:hAnsi="Cambria Math" w:cs="Cambria Math"/>
          <w:b w:val="0"/>
          <w:bCs w:val="0"/>
        </w:rPr>
        <w:instrText>∘</w:instrText>
      </w:r>
      <w:r w:rsidRPr="00681223">
        <w:rPr>
          <w:b w:val="0"/>
          <w:bCs w:val="0"/>
        </w:rPr>
        <w:instrText>C, and on the high end by a 8.5 W m−2 scenario, resulting in an increase in warming of nearly 5 </w:instrText>
      </w:r>
      <w:r w:rsidRPr="00681223">
        <w:rPr>
          <w:rFonts w:ascii="Cambria Math" w:hAnsi="Cambria Math" w:cs="Cambria Math"/>
          <w:b w:val="0"/>
          <w:bCs w:val="0"/>
        </w:rPr>
        <w:instrText>∘</w:instrText>
      </w:r>
      <w:r w:rsidRPr="00681223">
        <w:rPr>
          <w:b w:val="0"/>
          <w:bCs w:val="0"/>
        </w:rPr>
        <w:instrText xml:space="preserve">C over pre-industrial levels. Between these two extremes, scenarios are provided such that differences between forcing outcomes provide statistically significant regional temperature outcomes to maximize their usefulness for downstream experiments within CMIP6. A wide range of scenario data products are provided for the CMIP6 scientific community including global, regional, and gridded emissions datasets.]]&gt;&lt;/p&gt;","container-title":"Geoscientific Model Development","DOI":"10.5194/gmd-12-1443-2019","ISSN":"1991-9603","issue":"4","note":"publisher: Copernicus GmbH","page":"1443-1475","title":"Global emissions pathways under different socioeconomic scenarios for use in CMIP6: a dataset of harmonized emissions trajectories through the end of the century","volume":"12","author":[{"family":"Gidden","given":"Matthew J."},{"family":"Riahi","given":"Keywan"},{"family":"Smith","given":"Steven J."},{"family":"Fujimori","given":"Shinichiro"},{"family":"Luderer","given":"Gunnar"},{"family":"Kriegler","given":"Elmar"},{"family":"Vuuren","given":"Detlef P.","non-dropping-particle":"van"},{"family":"Berg","given":"Maarten","non-dropping-particle":"van den"},{"family":"Feng","given":"Leyang"},{"family":"Klein","given":"David"},{"family":"Calvin","given":"Katherine"},{"family":"Doelman","given":"Jonathan C."},{"family":"Frank","given":"Stefan"},{"family":"Fricko","given":"Oliver"},{"family":"Harmsen","given":"Mathijs"},{"family":"Hasegawa","given":"Tomoko"},{"family":"Havlik","given":"Petr"},{"family":"Hilaire","given":"Jérôme"},{"family":"Hoesly","given":"Rachel"},{"family":"Horing","given":"Jill"},{"family":"Popp","given":"Alexander"},{"family":"Stehfest","given":"Elke"},{"family":"Takahashi","given":"Kiyoshi"}],"issued":{"date-parts":[["2019",4,12]]}}},{"id":1462,"uris":["http://zotero.org/users/local/VbtpDxdA/items/U9LXBF2K","http://zotero.org/users/11937628/items/U9LXBF2K"],"itemData":{"id":1462,"type":"article-journal","abstract":"&lt;p&gt;&lt;![CDATA[Abstract. Emissions of anthropogenic aerosols are expected to change drastically over the coming decades, with potentially significant climate implications. Using the most recent generation of harmonized emission scenarios, the Shared Socioeconomic Pathways (SSPs) as input to a global chemistry transport and radiative transfer model, we provide estimates of the projected future global and regional burdens and radiative forcing of anthropogenic aerosols under three contrasting pathways for air pollution levels: SSP1-1.9, SSP2-4.5 and SSP3-7.0. We find that the broader range of future air pollution emission trajectories spanned by the SSPs compared to previous scenarios translates into total aerosol forcing estimates in 2100 relative to 1750 ranging from −0.04 in SSP1-1.9 to −0.51 W m−2 in SSP3-7.0. Compared to our 1750–2015 estimate of −0.55 W m−2, this shows that, depending on the success of air pollution policies and socioeconomic development over the coming decades, aerosol radiative forcing may weaken by nearly 95 % or remain close to the preindustrial to present-day level. In all three scenarios there is a positive forcing in 2100 relative to 2015, from 0.51 in SSP1-1.9 to 0.04 W m−2 in SSP3-7.0. Results also demonstrate significant differences across regions and scenarios, especially in South Asia and Africa. While rapid weakening of the negative aerosol forcing following effective air quality policies will unmask more of the greenhouse-gas-induced global warming, slow progress on mitigating air pollution will significantly enhance the atmospheric aerosol levels and risk to human health in these regions. In either case, the resulting impacts on regional and global climate can be significant.]]&gt;&lt;/p&gt;","container-title":"Atmospheric Chemistry and Physics","DOI":"10.5194/acp-19-13827-2019","ISSN":"1680-7324","issue":"22","note":"publisher: Copernicus GmbH","page":"13827-13839","title":"Anthropogenic aerosol forcing under the Shared Socioeconomic Pathways","volume":"19","author":[{"family":"Lund","given":"Marianne T."},{"family":"Myhre","given":"Gunnar"},{"family":"Samset","given":"Bjørn H."}],"issued":{"date-parts":[["2019",11,18]]}}},{"id":1466,"uris":["http://zotero.org/users/local/VbtpDxdA/items/73V52GAE","http://zotero.org/users/11937628/items/73V52GAE"],"itemData":{"id":1466,"type":"article-journal","abstract":"&lt;p&gt;&lt;![CDATA[Abstract. Poor air quality is currently responsible for large impacts on human health across the world. In addition, the air pollutants ozone (O3) and particulate matter less than 2.5 µm in diameter (PM2.5) are also radiatively active in the atmosphere and can influence Earth's climate. It is important to understand the effect of air quality and climate mitigation measures over the historical period and in different future scenarios to ascertain any impacts from air pollutants on both climate and human health. The Coupled Model Intercomparison Project Phase 6 (CMIP6) presents an opportunity to analyse the change in air pollutants simulated by the current generation of climate and Earth system models that include a representation of chemistry and aerosols (particulate matter). The shared socio-economic pathways (SSPs) used within CMIP6 encompass a wide range of trajectories in precursor emissions and climate change, allowing for an improved analysis of future changes to air pollutants. Firstly, we conduct an evaluation of the available CMIP6 models against surface observations of O3 and PM2.5. CMIP6 models consistently overestimate observed surface O3 concentrations across most regions and in most seasons by up to 16 ppb, with a large diversity in simulated values over Northern Hemisphere continental regions. Conversely, observed surface PM2.5 concentrations are consistently underestimated in CMIP6 models by up to 10 µg m−3, particularly for the Northern Hemisphere winter months, with the largest model diversity near natural emission source regions. The biases in CMIP6 models when compared to observations of O3 and PM2.5 are similar to those found in previous studies. Over the historical period (1850–2014) large increases in both surface O3 and PM2.5 are simulated by the CMIP6 models across all regions, particularly over the mid to late 20th century, when anthropogenic emissions increase markedly. Large regional historical changes are simulated for both pollutants across East and South Asia with an annual mean increase of up to 40 ppb for O3 and 12 µg m−3 for PM2.5. In future scenarios containing strong air quality and climate mitigation measures (ssp126), annual mean concentrations of air pollutants are substantially reduced across all regions by up to 15 ppb for O3 and 12 µg m−3 for PM2.5. However, for scenarios that encompass weak action on mitigating climate and reducing air pollutant emissions (ssp370), annual mean increases in both surface O3 (up 10 ppb) and PM2.5 (up to 8 µg m−3) are simulated across most regions, although, for regions like North America and Europe small reductions in PM2.5 are simulated due to the regional reduction in precursor emissions in this scenario. A comparison of simulated regional changes in both surface O3 and PM2.5 from individual CMIP6 models highlights important regional differences due to the simulated interaction of aerosols, chemistry, climate and natural emission sources within models. The projection of regional air pollutant concentrations from the latest climate and Earth system models used within CMIP6 shows that the particular future trajectory of climate and air quality mitigation measures could have important consequences for regional air quality, human health and near-term climate. Differences between individual models emphasise the importance of understanding how future Earth system feedbacks influence natural emission sources, e.g. response of biogenic emissions under climate change.]]&gt;&lt;/p&gt;","container-title":"Atmospheric Chemistry and Physics","DOI":"10.5194/acp-20-14547-2020","ISSN":"1680-7324","issue":"23","note":"publisher: Copernicus GmbH","page":"14547-14579","title":"Historical and future changes in air pollutants from CMIP6 models","volume":"20","author":[{"family":"Turnock","given":"Steven T."},{"family":"Allen","given":"Robert J."},{"family":"Andrews","given":"Martin"},{"family":"Bauer","given":"Susanne E."},{"family":"Deushi","given":"Makoto"},{"family":"Emmons","given":"Louisa"},{"family":"Good","given":"Peter"},{"family":"Horowitz","given":"Larry"},{"family":"John","given":"Jasmin G."},{"family":"Michou","given":"Martine"},{"family":"Nabat","given":"Pierre"},{"family":"Naik","given":"Vaishali"},{"family":"Neubauer","given":"David"},{"family":"O'Connor","given":"Fiona M."},{"family":"Olivié","given":"Dirk"},{"family":"Oshima","given":"Naga"},{"family":"Schulz","given":"Michael"},{"family":"Sellar","given":"Alistair"},{"family":"Shim","given":"Sungbo"},{"family":"Takemura","given":"Toshihiko"},{"family":"Tilmes","given":"Simone"},{"family":"Tsigaridis","given":"Kostas"},{"family":"Wu","given":"Tongwen"},{"family":"Zhang","given":"Jie"}],"issued":{"date-parts":[["2020",11,30]]}}}],"schema":"https://github.com/citation-style-language/schema/raw/master/csl-citation.json"} </w:instrText>
      </w:r>
      <w:r w:rsidRPr="00681223">
        <w:rPr>
          <w:b w:val="0"/>
          <w:bCs w:val="0"/>
        </w:rPr>
        <w:fldChar w:fldCharType="separate"/>
      </w:r>
      <w:r w:rsidRPr="00681223">
        <w:rPr>
          <w:b w:val="0"/>
          <w:bCs w:val="0"/>
        </w:rPr>
        <w:t>(Gidden et al., 2019; Lund et al., 2019; Turnock et al., 2020)</w:t>
      </w:r>
      <w:r w:rsidRPr="00681223">
        <w:rPr>
          <w:b w:val="0"/>
          <w:bCs w:val="0"/>
        </w:rPr>
        <w:fldChar w:fldCharType="end"/>
      </w:r>
      <w:r w:rsidRPr="00681223">
        <w:rPr>
          <w:b w:val="0"/>
          <w:bCs w:val="0"/>
        </w:rPr>
        <w:t>. However, this work contains th</w:t>
      </w:r>
      <w:r w:rsidRPr="00681223">
        <w:rPr>
          <w:b w:val="0"/>
          <w:bCs w:val="0"/>
        </w:rPr>
        <w:softHyphen/>
      </w:r>
      <w:r w:rsidRPr="00681223">
        <w:rPr>
          <w:b w:val="0"/>
          <w:bCs w:val="0"/>
        </w:rPr>
        <w:softHyphen/>
        <w:t>e first reported projections of Hg emissions under CMIP6 scenarios.</w:t>
      </w:r>
    </w:p>
    <w:p w14:paraId="296B2311" w14:textId="120E5006" w:rsidR="00681223" w:rsidRPr="00681223" w:rsidRDefault="00681223" w:rsidP="00681223">
      <w:pPr>
        <w:pStyle w:val="Heading-Main"/>
        <w:rPr>
          <w:b w:val="0"/>
          <w:bCs w:val="0"/>
        </w:rPr>
      </w:pPr>
      <w:r w:rsidRPr="00681223">
        <w:rPr>
          <w:b w:val="0"/>
          <w:bCs w:val="0"/>
        </w:rPr>
        <w:t xml:space="preserve">The SSP scenarios </w:t>
      </w:r>
      <w:r w:rsidR="00FC1F5E">
        <w:rPr>
          <w:b w:val="0"/>
          <w:bCs w:val="0"/>
        </w:rPr>
        <w:t>were</w:t>
      </w:r>
      <w:r w:rsidR="00FC1F5E" w:rsidRPr="00681223">
        <w:rPr>
          <w:b w:val="0"/>
          <w:bCs w:val="0"/>
        </w:rPr>
        <w:t xml:space="preserve"> </w:t>
      </w:r>
      <w:r w:rsidRPr="00681223">
        <w:rPr>
          <w:b w:val="0"/>
          <w:bCs w:val="0"/>
        </w:rPr>
        <w:t>used primarily to project fossil-fuel use (coal and oil), the manufacture and use of refined industrial products, and economic parameters. However, there are no specific variables from which to calculate the extraction and production of raw materials and basic products because these are not directly relevant to emissions of greenhouse gases. However, they are very important as sources of mercury. Thus, for 21</w:t>
      </w:r>
      <w:r w:rsidRPr="00681223">
        <w:rPr>
          <w:b w:val="0"/>
          <w:bCs w:val="0"/>
          <w:vertAlign w:val="superscript"/>
        </w:rPr>
        <w:t>st</w:t>
      </w:r>
      <w:r w:rsidRPr="00681223">
        <w:rPr>
          <w:b w:val="0"/>
          <w:bCs w:val="0"/>
        </w:rPr>
        <w:t xml:space="preserve"> century production of these materials, we use</w:t>
      </w:r>
      <w:r w:rsidR="00FC1F5E">
        <w:rPr>
          <w:b w:val="0"/>
          <w:bCs w:val="0"/>
        </w:rPr>
        <w:t>d</w:t>
      </w:r>
      <w:r w:rsidRPr="00681223">
        <w:rPr>
          <w:b w:val="0"/>
          <w:bCs w:val="0"/>
        </w:rPr>
        <w:t xml:space="preserve"> forecasts specifically generated by industry models, as follows: copper, zinc, and lead </w:t>
      </w:r>
      <w:r w:rsidRPr="00681223">
        <w:rPr>
          <w:b w:val="0"/>
          <w:bCs w:val="0"/>
        </w:rPr>
        <w:fldChar w:fldCharType="begin"/>
      </w:r>
      <w:r w:rsidRPr="00681223">
        <w:rPr>
          <w:b w:val="0"/>
          <w:bCs w:val="0"/>
        </w:rPr>
        <w:instrText xml:space="preserve"> ADDIN ZOTERO_ITEM CSL_CITATION {"citationID":"GZeyQZWo","properties":{"formattedCitation":"(H. U. Sverdrup et al., 2019)","plainCitation":"(H. U. Sverdrup et al., 2019)","dontUpdate":true,"noteIndex":0},"citationItems":[{"id":1209,"uris":["http://zotero.org/users/local/VbtpDxdA/items/LS4ZQHYH","http://zotero.org/users/11937628/items/LS4ZQHYH"],"itemData":{"id":1209,"type":"article-journal","abstract":"The long-term supply sustainability of copper, zinc and lead was assessed. Copper will not run into physcal scarcity in the future, but increased demand and decreased resource quality will cause significant price increases. The copper price is suggested to increase significantly in the coming decades. A similar situation applies for zinc and lead with soft scarcity and increased prices for zinc. The total supply of copper reaches a maximum 2030–2045, zinc 2030–2050 and lead 2025-2030. The copper supply per person and year and decline after 2130, and the copper stock-in-use reaches a maximum in 2050 and decline afterwards. The zinc supply per person per year reach a maximum in 2100 and decline after 2100, and the zinc stock-in use shows a similar pattern. The lead supply per person reach a plateau in 1985, and decline after 2070, whereas the lead stock-in-use reach a plateau in 2080 and decline after 2100. For copper, zinc and lead, scarcity will mainly be manifested as increased metal price, with feedbacks on demand. The predicted price increase will cause recycling to increase in the future. The supply situation for copper would be much improved if the recycling of copper could be strongly promoted through policy means, as well as it would work well to limit the price increases predicted under business-as-usual. Considering the importance of these metals for society, it is essential to set adequate policies for resource efficiency and resource conservation for society.","container-title":"Resources, Conservation and Recycling: X","DOI":"10.1016/j.rcrx.2019.100007","ISSN":"2590289X","note":"publisher: Elsevier","page":"100007","title":"On the long-term sustainability of copper, zinc and lead supply, using a system dynamics model","volume":"4","author":[{"family":"Sverdrup","given":"Harald Ulrik"},{"family":"Olafsdottir","given":"Anna Hulda"},{"family":"Ragnarsdottir","given":"Kristin Vala"}],"issued":{"date-parts":[["2019",12,1]]}}}],"schema":"https://github.com/citation-style-language/schema/raw/master/csl-citation.json"} </w:instrText>
      </w:r>
      <w:r w:rsidRPr="00681223">
        <w:rPr>
          <w:b w:val="0"/>
          <w:bCs w:val="0"/>
        </w:rPr>
        <w:fldChar w:fldCharType="separate"/>
      </w:r>
      <w:r w:rsidRPr="00681223">
        <w:rPr>
          <w:b w:val="0"/>
          <w:bCs w:val="0"/>
        </w:rPr>
        <w:t>(Sverdrup et al., 2019)</w:t>
      </w:r>
      <w:r w:rsidRPr="00681223">
        <w:rPr>
          <w:b w:val="0"/>
          <w:bCs w:val="0"/>
        </w:rPr>
        <w:fldChar w:fldCharType="end"/>
      </w:r>
      <w:r w:rsidRPr="00681223">
        <w:rPr>
          <w:b w:val="0"/>
          <w:bCs w:val="0"/>
        </w:rPr>
        <w:t xml:space="preserve">; iron </w:t>
      </w:r>
      <w:r w:rsidRPr="00681223">
        <w:rPr>
          <w:b w:val="0"/>
          <w:bCs w:val="0"/>
        </w:rPr>
        <w:fldChar w:fldCharType="begin"/>
      </w:r>
      <w:r w:rsidRPr="00681223">
        <w:rPr>
          <w:b w:val="0"/>
          <w:bCs w:val="0"/>
        </w:rPr>
        <w:instrText xml:space="preserve"> ADDIN ZOTERO_ITEM CSL_CITATION {"citationID":"Qduy4fTl","properties":{"formattedCitation":"(Morfeldt et al., 2015)","plainCitation":"(Morfeldt et al., 2015)","noteIndex":0},"citationItems":[{"id":1211,"uris":["http://zotero.org/users/local/VbtpDxdA/items/L5GE2QWK","http://zotero.org/users/11937628/items/L5GE2QWK"],"itemData":{"id":1211,"type":"article-journal","abstract":"This paper addresses how a global climate target may influence iron and steel production technology deployment and scrap use. A global energy system model, ETSAP-TIAM, was used and a Scrap Availability Assessment Model (SAAM) was developed to analyse the relation between steel demand, recycling and the availability of scrap and their implications for steel production technology choices. Steel production using recycled materials has a continuous growth and is likely to be a major route for steel production in the long run. However, as the global average of in-use steel stock increases up to the current average stock of the industrialised economies, global steel demand keeps growing and stagnates only after 2050. Due to high steel demand levels and scarcity of scrap, more than 50% of the steel production in 2050 will still have to come from virgin materials. Hydrogen-based steel production could become a major technology option for production from virgin materials, particularly in a scenario where Carbon Capture and Storage (CCS) is not available. Imposing a binding climate target will shift the crude steel price to approximately 500 USD per tonne in the year 2050, provided that CCS is available. However, the increased prices are induced by CO2 prices rather than inflated production costs. It is concluded that a global climate target is not likely to influence the use of scrap, whereas it shall have an impact on the price of scrap. Finally, the results indicate that energy efficiency improvements of current processes will only be sufficient to meet the climate target in combination with CCS. New innovative techniques with lower climate impact will be vital for mitigating climate change.","container-title":"Journal of Cleaner Production","DOI":"10.1016/j.jclepro.2014.04.045","ISSN":"09596526","note":"publisher: Elsevier","page":"469-482","title":"The impact of climate targets on future steel production - An analysis based on a global energy system model","volume":"103","author":[{"family":"Morfeldt","given":"Johannes"},{"family":"Nijs","given":"Wouter"},{"family":"Silveira","given":"Semida"}],"issued":{"date-parts":[["2015",9,15]]}}}],"schema":"https://github.com/citation-style-language/schema/raw/master/csl-citation.json"} </w:instrText>
      </w:r>
      <w:r w:rsidRPr="00681223">
        <w:rPr>
          <w:b w:val="0"/>
          <w:bCs w:val="0"/>
        </w:rPr>
        <w:fldChar w:fldCharType="separate"/>
      </w:r>
      <w:r w:rsidRPr="00681223">
        <w:rPr>
          <w:b w:val="0"/>
          <w:bCs w:val="0"/>
        </w:rPr>
        <w:t>(Morfeldt et al., 2015)</w:t>
      </w:r>
      <w:r w:rsidRPr="00681223">
        <w:rPr>
          <w:b w:val="0"/>
          <w:bCs w:val="0"/>
        </w:rPr>
        <w:fldChar w:fldCharType="end"/>
      </w:r>
      <w:r w:rsidRPr="00681223">
        <w:rPr>
          <w:b w:val="0"/>
          <w:bCs w:val="0"/>
        </w:rPr>
        <w:t xml:space="preserve">; mercury </w:t>
      </w:r>
      <w:r w:rsidRPr="00681223">
        <w:rPr>
          <w:b w:val="0"/>
          <w:bCs w:val="0"/>
        </w:rPr>
        <w:fldChar w:fldCharType="begin"/>
      </w:r>
      <w:r w:rsidRPr="00681223">
        <w:rPr>
          <w:b w:val="0"/>
          <w:bCs w:val="0"/>
        </w:rPr>
        <w:instrText xml:space="preserve"> ADDIN ZOTERO_ITEM CSL_CITATION {"citationID":"0Q7HqS95","properties":{"formattedCitation":"(H. U. Sverdrup &amp; Olafsdottir, 2020)","plainCitation":"(H. U. Sverdrup &amp; Olafsdottir, 2020)","dontUpdate":true,"noteIndex":0},"citationItems":[{"id":1213,"uris":["http://zotero.org/users/local/VbtpDxdA/items/EW4IQI7P","http://zotero.org/users/11937628/items/EW4IQI7P"],"itemData":{"id":1213,"type":"article-journal","abstract":"How mercury flows from geological sources to society and to the environment was modelled for this study. The industrial dynamics of mercury was modelled and included in the integrated assessment model WORLD7. The simulated mercury losses were used as input for a simplified global model for environmental pollution. The outputs were analysed and used to assess mercury pollution amounts and supply to society. In fossil fuels, there are a potential stock of 2 million tons in coal and other hydrocarbons, and 450,000 tons of that could be released to the environment if the fossil fuels are all to be burned. Such release would potentially cause major environmental damage and a significant human health risk. The simulations suggest that environmental mercury flows may peak in 2025, and slowly decline as mercury gets immobilized in nature. The simulations show that the pollution from technical use is eliminated by putting the 2013 Minimata Convention into effect, but that environmental pollution from fossil fuels combustion and from environmental re-emissions will remain a significant problem for the next decades.","container-title":"Water, Air, and Soil Pollution","DOI":"10.1007/s11270-020-04757-x","ISSN":"15732932","issue":"8","note":"publisher: Springer Science and Business Media Deutschland GmbH","page":"1-22","title":"System Dynamics Modelling of the Global Extraction, Supply, Price, Reserves, Resources and Environmental Losses of Mercury","volume":"231","author":[{"family":"Sverdrup","given":"Harald Ulrik"},{"family":"Olafsdottir","given":"Anna Hulda"}],"issued":{"date-parts":[["2020",8,1]]}}}],"schema":"https://github.com/citation-style-language/schema/raw/master/csl-citation.json"} </w:instrText>
      </w:r>
      <w:r w:rsidRPr="00681223">
        <w:rPr>
          <w:b w:val="0"/>
          <w:bCs w:val="0"/>
        </w:rPr>
        <w:fldChar w:fldCharType="separate"/>
      </w:r>
      <w:r w:rsidRPr="00681223">
        <w:rPr>
          <w:b w:val="0"/>
          <w:bCs w:val="0"/>
        </w:rPr>
        <w:t>(Sverdrup &amp; Olafsdottir, 2020)</w:t>
      </w:r>
      <w:r w:rsidRPr="00681223">
        <w:rPr>
          <w:b w:val="0"/>
          <w:bCs w:val="0"/>
        </w:rPr>
        <w:fldChar w:fldCharType="end"/>
      </w:r>
      <w:r w:rsidRPr="00681223">
        <w:rPr>
          <w:b w:val="0"/>
          <w:bCs w:val="0"/>
        </w:rPr>
        <w:t xml:space="preserve">; and gold </w:t>
      </w:r>
      <w:r w:rsidRPr="00681223">
        <w:rPr>
          <w:b w:val="0"/>
          <w:bCs w:val="0"/>
        </w:rPr>
        <w:fldChar w:fldCharType="begin"/>
      </w:r>
      <w:r w:rsidRPr="00681223">
        <w:rPr>
          <w:b w:val="0"/>
          <w:bCs w:val="0"/>
        </w:rPr>
        <w:instrText xml:space="preserve"> ADDIN ZOTERO_ITEM CSL_CITATION {"citationID":"6XeZakf8","properties":{"formattedCitation":"(H. Sverdrup et al., 2012)","plainCitation":"(H. Sverdrup et al., 2012)","dontUpdate":true,"noteIndex":0},"citationItems":[{"id":1207,"uris":["http://zotero.org/users/local/VbtpDxdA/items/S2N6WCYU","http://zotero.org/users/11937628/items/S2N6WCYU"],"itemData":{"id":1207,"type":"article-journal","abstract":"By using an integrated dynamic model we are able to reconstruct the supply and gold price of the past (1920-2010) and this is used to predict the future supply of gold to the market and to make a forecast of the gold price 2010-2100. The model was validated against field data for the period 1920-2010 and it performs well. The simulation results show that the market is fundamentally driven by supply and demand, but that derivates trade and speculations have affected the market significantly to create large short term variations in price. In the long term, the model predicts a shift from high-grade ores to low-grade deposits as the main supply source in the next 50 years, but that recycling will become the most important source of gold to the market. The authors predict a significant tightening of the gold market, with rising prices and a decreased derivates trade as compared to trade in the physical commodity. The model shows clearly that foreward and derivates trade create less stability and increase price fluctuations, but that they cannot prevent the long term trend from basic fundamental factors to set the long term levels.","container-title":"Proceedings of the 30th International Conference of the System Dynamics Society","page":"1-23","title":"Modelling the gold market, explaining the past and assessing the physical and economical sustainability of future scenarios","author":[{"family":"Sverdrup","given":"Harald"},{"family":"Koca","given":"Deniz"},{"family":"Granath","given":"Christer"}],"issued":{"date-parts":[["2012"]]}}}],"schema":"https://github.com/citation-style-language/schema/raw/master/csl-citation.json"} </w:instrText>
      </w:r>
      <w:r w:rsidRPr="00681223">
        <w:rPr>
          <w:b w:val="0"/>
          <w:bCs w:val="0"/>
        </w:rPr>
        <w:fldChar w:fldCharType="separate"/>
      </w:r>
      <w:r w:rsidRPr="00681223">
        <w:rPr>
          <w:b w:val="0"/>
          <w:bCs w:val="0"/>
        </w:rPr>
        <w:t>(Sverdrup et al., 2012)</w:t>
      </w:r>
      <w:r w:rsidRPr="00681223">
        <w:rPr>
          <w:b w:val="0"/>
          <w:bCs w:val="0"/>
        </w:rPr>
        <w:fldChar w:fldCharType="end"/>
      </w:r>
      <w:r w:rsidRPr="00681223">
        <w:rPr>
          <w:b w:val="0"/>
          <w:bCs w:val="0"/>
        </w:rPr>
        <w:t xml:space="preserve">; as well as the basic industrial products steel </w:t>
      </w:r>
      <w:r w:rsidRPr="00681223">
        <w:rPr>
          <w:b w:val="0"/>
          <w:bCs w:val="0"/>
        </w:rPr>
        <w:fldChar w:fldCharType="begin"/>
      </w:r>
      <w:r w:rsidRPr="00681223">
        <w:rPr>
          <w:b w:val="0"/>
          <w:bCs w:val="0"/>
        </w:rPr>
        <w:instrText xml:space="preserve"> ADDIN ZOTERO_ITEM CSL_CITATION {"citationID":"AOCPXfaS","properties":{"formattedCitation":"(Morfeldt et al., 2015)","plainCitation":"(Morfeldt et al., 2015)","noteIndex":0},"citationItems":[{"id":1211,"uris":["http://zotero.org/users/local/VbtpDxdA/items/L5GE2QWK","http://zotero.org/users/11937628/items/L5GE2QWK"],"itemData":{"id":1211,"type":"article-journal","abstract":"This paper addresses how a global climate target may influence iron and steel production technology deployment and scrap use. A global energy system model, ETSAP-TIAM, was used and a Scrap Availability Assessment Model (SAAM) was developed to analyse the relation between steel demand, recycling and the availability of scrap and their implications for steel production technology choices. Steel production using recycled materials has a continuous growth and is likely to be a major route for steel production in the long run. However, as the global average of in-use steel stock increases up to the current average stock of the industrialised economies, global steel demand keeps growing and stagnates only after 2050. Due to high steel demand levels and scarcity of scrap, more than 50% of the steel production in 2050 will still have to come from virgin materials. Hydrogen-based steel production could become a major technology option for production from virgin materials, particularly in a scenario where Carbon Capture and Storage (CCS) is not available. Imposing a binding climate target will shift the crude steel price to approximately 500 USD per tonne in the year 2050, provided that CCS is available. However, the increased prices are induced by CO2 prices rather than inflated production costs. It is concluded that a global climate target is not likely to influence the use of scrap, whereas it shall have an impact on the price of scrap. Finally, the results indicate that energy efficiency improvements of current processes will only be sufficient to meet the climate target in combination with CCS. New innovative techniques with lower climate impact will be vital for mitigating climate change.","container-title":"Journal of Cleaner Production","DOI":"10.1016/j.jclepro.2014.04.045","ISSN":"09596526","note":"publisher: Elsevier","page":"469-482","title":"The impact of climate targets on future steel production - An analysis based on a global energy system model","volume":"103","author":[{"family":"Morfeldt","given":"Johannes"},{"family":"Nijs","given":"Wouter"},{"family":"Silveira","given":"Semida"}],"issued":{"date-parts":[["2015",9,15]]}}}],"schema":"https://github.com/citation-style-language/schema/raw/master/csl-citation.json"} </w:instrText>
      </w:r>
      <w:r w:rsidRPr="00681223">
        <w:rPr>
          <w:b w:val="0"/>
          <w:bCs w:val="0"/>
        </w:rPr>
        <w:fldChar w:fldCharType="separate"/>
      </w:r>
      <w:r w:rsidRPr="00681223">
        <w:rPr>
          <w:b w:val="0"/>
          <w:bCs w:val="0"/>
        </w:rPr>
        <w:t>(Morfeldt et al., 2015)</w:t>
      </w:r>
      <w:r w:rsidRPr="00681223">
        <w:rPr>
          <w:b w:val="0"/>
          <w:bCs w:val="0"/>
        </w:rPr>
        <w:fldChar w:fldCharType="end"/>
      </w:r>
      <w:r w:rsidRPr="00681223">
        <w:rPr>
          <w:b w:val="0"/>
          <w:bCs w:val="0"/>
        </w:rPr>
        <w:t xml:space="preserve"> and cement </w:t>
      </w:r>
      <w:r w:rsidRPr="00681223">
        <w:rPr>
          <w:b w:val="0"/>
          <w:bCs w:val="0"/>
        </w:rPr>
        <w:fldChar w:fldCharType="begin"/>
      </w:r>
      <w:r w:rsidRPr="00681223">
        <w:rPr>
          <w:b w:val="0"/>
          <w:bCs w:val="0"/>
        </w:rPr>
        <w:instrText xml:space="preserve"> ADDIN ZOTERO_ITEM CSL_CITATION {"citationID":"VFZ0mXgY","properties":{"formattedCitation":"(C. Y. Zhang et al., 2018)","plainCitation":"(C. Y. Zhang et al., 2018)","dontUpdate":true,"noteIndex":0},"citationItems":[{"id":1217,"uris":["http://zotero.org/users/local/VbtpDxdA/items/6T79WKJK","http://zotero.org/users/11937628/items/6T79WKJK"],"itemData":{"id":1217,"type":"article-journal","abstract":"Cement production is the main source of industrial process-related CO2 emissions, taking up approximately half of total industrial process-related CO2 emissions. However, limited research has investigated the process-related CO2 emissions from global cement production, in particular, has not taken into account the impacts of dynamic socio-economic development context. This study aims to explore the trajectory of industrial process-related CO2 emissions in the cement industry under different Shared Socioeconomic Pathways (SSPs), to provide more evidence for the existing climate change integrated assessment analysis. By investigating the relationship between per capita GDP and per capita cement production process-related CO2 emissions drawing on the historical data during 1950–2014 in 31 developed countries, the cement production process-related CO2 emissions from 175 countries in 12 regions in the world during 2015–2100 under five SSP scenarios are given here. The results show that the largest amount of global cumulative cement process-related CO2 emissions would be 45.45 billion tons under SSP3 scenario. The countries that contribute the most to the global cumulative cement production process-related CO2 emissions from 2015 to 2100 are India, China, Nigeria, United States of America and Pakistan.","container-title":"Journal of Cleaner Production","DOI":"10.1016/j.jclepro.2018.02.284","ISSN":"09596526","note":"publisher: Elsevier","page":"451-465","title":"Accounting process-related CO2 emissions from global cement production under Shared Socioeconomic Pathways","volume":"184","author":[{"family":"Zhang","given":"Cheng Yao"},{"family":"Han","given":"Rong"},{"family":"Yu","given":"Biying"},{"family":"Wei","given":"Yi Ming"}],"issued":{"date-parts":[["2018",5,20]]}}}],"schema":"https://github.com/citation-style-language/schema/raw/master/csl-citation.json"} </w:instrText>
      </w:r>
      <w:r w:rsidRPr="00681223">
        <w:rPr>
          <w:b w:val="0"/>
          <w:bCs w:val="0"/>
        </w:rPr>
        <w:fldChar w:fldCharType="separate"/>
      </w:r>
      <w:r w:rsidRPr="00681223">
        <w:rPr>
          <w:b w:val="0"/>
          <w:bCs w:val="0"/>
        </w:rPr>
        <w:t>(Zhang et al., 2018)</w:t>
      </w:r>
      <w:r w:rsidRPr="00681223">
        <w:rPr>
          <w:b w:val="0"/>
          <w:bCs w:val="0"/>
        </w:rPr>
        <w:fldChar w:fldCharType="end"/>
      </w:r>
      <w:r w:rsidRPr="00681223">
        <w:rPr>
          <w:b w:val="0"/>
          <w:bCs w:val="0"/>
        </w:rPr>
        <w:t xml:space="preserve">. The work of </w:t>
      </w:r>
      <w:r w:rsidRPr="00681223">
        <w:rPr>
          <w:b w:val="0"/>
          <w:bCs w:val="0"/>
        </w:rPr>
        <w:fldChar w:fldCharType="begin"/>
      </w:r>
      <w:r w:rsidRPr="00681223">
        <w:rPr>
          <w:b w:val="0"/>
          <w:bCs w:val="0"/>
        </w:rPr>
        <w:instrText xml:space="preserve"> ADDIN ZOTERO_ITEM CSL_CITATION {"citationID":"atw2Nfkf","properties":{"formattedCitation":"(Watari et al., 2020, 2021)","plainCitation":"(Watari et al., 2020, 2021)","dontUpdate":true,"noteIndex":0},"citationItems":[{"id":1460,"uris":["http://zotero.org/users/local/VbtpDxdA/items/JNGSEMB5","http://zotero.org/users/11937628/items/JNGSEMB5"],"itemData":{"id":1460,"type":"article-journal","abstract":"Metals underpin essential functions in modern society, yet their production currently intensifies climate change. This paper develops global targets for metal flows, stocks, and use intensity in the global economy out to 2100. These targets are consistent with emissions pathways to achieve a 2 °C climate goal and cover six major metals (iron, aluminum, copper, zinc, lead, and nickel). Results indicate that despite advances in low-carbon metal production, a transformative system change to meet the society's needs with less metal is required to remain within a 2 °C pathway. Globally, demand for goods and services over the 21st century needs to be met with approximately 7 t/capita of metal stock - roughly half the current level in high-income countries. This systemic change will require a peak in global metal production by 2030 and deep decoupling of economic growth from both metal flows and stocks. Importantly, the identified science-based targets are theoretically achievable through such measures as efficient design, more intensive use, and longer product lifetime, but immediate action is crucial before middle- and low-income countries complete full-scale urbanization.","container-title":"Environmental Science &amp; Technology","DOI":"10.1021/acs.est.0c02471","ISSN":"0013-936X","issue":"19","note":"publisher: American Chemical Society","page":"12476-12483","title":"Global Metal Use Targets in Line with Climate Goals","volume":"54","author":[{"family":"Watari","given":"Takuma"},{"family":"Nansai","given":"Keisuke"},{"family":"Giurco","given":"Damien"},{"family":"Nakajima","given":"Kenichi"},{"family":"McLellan","given":"Benjamin"},{"family":"Helbig","given":"Christoph"}],"issued":{"date-parts":[["2020",10,6]]}}},{"id":1215,"uris":["http://zotero.org/users/local/VbtpDxdA/items/YZ5CZP6T","http://zotero.org/users/11937628/items/YZ5CZP6T"],"itemData":{"id":1215,"type":"article-journal","abstract":"Sustainable metal supply requires well-coordinated strategy and policy packages based on a sound scientific understanding of anticipated long-term demand, supply, and associated environmental implications. Such information, however, is highly fragmented among various case studies. Accordingly, this extensive review explores the projected long-term status of six major metals—iron, aluminum, copper, zinc, lead, and nickel—with around 200 data points for global demand through 2030, 2050 and 2100. Our findings showed that global demand for these major metals is likely to increase continuously over the 21st century, increasing approximately 2–6-fold depending on the metal. Although the extraction and processing required to meet this increase in demand must be environmentally sustainable, the existing extraction and processing scenarios have few explicit linkages to the Earth's carrying capacity. We further found that strategy choices are heavily biased towards end-of-life phase analyses, specifically that of end-of-life recycling. Consequently, a full range of opportunities across entire life cycles is being overlooked, including advances in product design, manufacturing and in-use phases. Importantly, despite the emergence of numerous scenarios, few provide science-based targets for major metal flows, stock, circularity, and efficiency. These knowledge gaps need to be addressed urgently in order to ensure that future research directly supports science-based decision and policy making.","container-title":"Resources, Conservation and Recycling","DOI":"10.1016/j.resconrec.2020.105107","ISSN":"09213449","note":"publisher: Elsevier B.V.","page":"105107","title":"Major metals demand, supply, and environmental impacts to 2100: A critical review","volume":"164","author":[{"family":"Watari","given":"Takuma"},{"family":"Nansai","given":"Keisuke"},{"family":"Nakajima","given":"Kenichi"}],"issued":{"date-parts":[["2021",1,1]]}}}],"schema":"https://github.com/citation-style-language/schema/raw/master/csl-citation.json"} </w:instrText>
      </w:r>
      <w:r w:rsidRPr="00681223">
        <w:rPr>
          <w:b w:val="0"/>
          <w:bCs w:val="0"/>
        </w:rPr>
        <w:fldChar w:fldCharType="separate"/>
      </w:r>
      <w:r w:rsidRPr="00681223">
        <w:rPr>
          <w:b w:val="0"/>
          <w:bCs w:val="0"/>
        </w:rPr>
        <w:t>Watari et al. (2020, 2021)</w:t>
      </w:r>
      <w:r w:rsidRPr="00681223">
        <w:rPr>
          <w:b w:val="0"/>
          <w:bCs w:val="0"/>
        </w:rPr>
        <w:fldChar w:fldCharType="end"/>
      </w:r>
      <w:r w:rsidRPr="00681223">
        <w:rPr>
          <w:b w:val="0"/>
          <w:bCs w:val="0"/>
        </w:rPr>
        <w:t xml:space="preserve"> was valuable in guiding the pathways of metals extraction and use to the end of the century.</w:t>
      </w:r>
    </w:p>
    <w:p w14:paraId="0E2D0784" w14:textId="77777777" w:rsidR="00681223" w:rsidRPr="00CB4D1E" w:rsidRDefault="00681223" w:rsidP="00681223">
      <w:pPr>
        <w:pStyle w:val="Heading-Main"/>
        <w:rPr>
          <w:b w:val="0"/>
          <w:bCs w:val="0"/>
        </w:rPr>
      </w:pPr>
      <w:r w:rsidRPr="00CB4D1E">
        <w:rPr>
          <w:b w:val="0"/>
          <w:bCs w:val="0"/>
        </w:rPr>
        <w:t>2.2 Mercury Emission Calculation</w:t>
      </w:r>
    </w:p>
    <w:p w14:paraId="7085F93D" w14:textId="40F2CAD3" w:rsidR="00681223" w:rsidRPr="00CB4D1E" w:rsidRDefault="00681223" w:rsidP="00681223">
      <w:pPr>
        <w:pStyle w:val="Heading-Main"/>
        <w:rPr>
          <w:b w:val="0"/>
          <w:bCs w:val="0"/>
        </w:rPr>
      </w:pPr>
      <w:r w:rsidRPr="00CB4D1E">
        <w:rPr>
          <w:b w:val="0"/>
          <w:bCs w:val="0"/>
        </w:rPr>
        <w:t>Mercury emissions under a future climate scenario (</w:t>
      </w:r>
      <w:r w:rsidRPr="00CB4D1E">
        <w:rPr>
          <w:b w:val="0"/>
          <w:bCs w:val="0"/>
          <w:i/>
          <w:iCs/>
        </w:rPr>
        <w:t>f</w:t>
      </w:r>
      <w:r w:rsidRPr="00CB4D1E">
        <w:rPr>
          <w:b w:val="0"/>
          <w:bCs w:val="0"/>
        </w:rPr>
        <w:t xml:space="preserve">) </w:t>
      </w:r>
      <w:r w:rsidR="00FC1F5E" w:rsidRPr="00CB4D1E">
        <w:rPr>
          <w:b w:val="0"/>
          <w:bCs w:val="0"/>
        </w:rPr>
        <w:t>were</w:t>
      </w:r>
      <w:r w:rsidRPr="00CB4D1E">
        <w:rPr>
          <w:b w:val="0"/>
          <w:bCs w:val="0"/>
        </w:rPr>
        <w:t xml:space="preserve"> calculated using Equation (1):</w:t>
      </w:r>
    </w:p>
    <w:p w14:paraId="5EB79265" w14:textId="00EE4C51" w:rsidR="00681223" w:rsidRPr="00CB4D1E" w:rsidRDefault="00000000" w:rsidP="00681223">
      <w:pPr>
        <w:pStyle w:val="Heading-Main"/>
        <w:rPr>
          <w:b w:val="0"/>
          <w:bCs w:val="0"/>
        </w:rPr>
      </w:pPr>
      <m:oMathPara>
        <m:oMath>
          <m:eqArr>
            <m:eqArrPr>
              <m:maxDist m:val="1"/>
              <m:ctrlPr>
                <w:rPr>
                  <w:rFonts w:ascii="Cambria Math" w:hAnsi="Cambria Math"/>
                  <w:b w:val="0"/>
                  <w:bCs w:val="0"/>
                </w:rPr>
              </m:ctrlPr>
            </m:eqArrPr>
            <m:e>
              <m:sSub>
                <m:sSubPr>
                  <m:ctrlPr>
                    <w:rPr>
                      <w:rFonts w:ascii="Cambria Math" w:hAnsi="Cambria Math"/>
                      <w:b w:val="0"/>
                      <w:bCs w:val="0"/>
                      <w:i/>
                    </w:rPr>
                  </m:ctrlPr>
                </m:sSubPr>
                <m:e>
                  <m:r>
                    <w:rPr>
                      <w:rFonts w:ascii="Cambria Math" w:hAnsi="Cambria Math"/>
                    </w:rPr>
                    <m:t>E</m:t>
                  </m:r>
                </m:e>
                <m:sub>
                  <m:r>
                    <w:rPr>
                      <w:rFonts w:ascii="Cambria Math" w:hAnsi="Cambria Math"/>
                      <w:vertAlign w:val="subscript"/>
                    </w:rPr>
                    <m:t>t,r,s,f</m:t>
                  </m:r>
                </m:sub>
              </m:sSub>
              <m:r>
                <w:rPr>
                  <w:rFonts w:ascii="Cambria Math" w:hAnsi="Cambria Math"/>
                </w:rPr>
                <m:t>=</m:t>
              </m:r>
              <m:sSub>
                <m:sSubPr>
                  <m:ctrlPr>
                    <w:rPr>
                      <w:rFonts w:ascii="Cambria Math" w:hAnsi="Cambria Math"/>
                      <w:b w:val="0"/>
                      <w:bCs w:val="0"/>
                      <w:i/>
                    </w:rPr>
                  </m:ctrlPr>
                </m:sSubPr>
                <m:e>
                  <m:r>
                    <w:rPr>
                      <w:rFonts w:ascii="Cambria Math" w:hAnsi="Cambria Math"/>
                    </w:rPr>
                    <m:t>E</m:t>
                  </m:r>
                </m:e>
                <m:sub>
                  <m:r>
                    <w:rPr>
                      <w:rFonts w:ascii="Cambria Math" w:hAnsi="Cambria Math"/>
                      <w:vertAlign w:val="subscript"/>
                    </w:rPr>
                    <m:t>2010,r,s</m:t>
                  </m:r>
                </m:sub>
              </m:sSub>
              <m:r>
                <w:rPr>
                  <w:rFonts w:ascii="Cambria Math" w:hAnsi="Cambria Math"/>
                </w:rPr>
                <m:t>×</m:t>
              </m:r>
              <m:d>
                <m:dPr>
                  <m:ctrlPr>
                    <w:rPr>
                      <w:rFonts w:ascii="Cambria Math" w:hAnsi="Cambria Math"/>
                      <w:b w:val="0"/>
                      <w:bCs w:val="0"/>
                      <w:i/>
                    </w:rPr>
                  </m:ctrlPr>
                </m:dPr>
                <m:e>
                  <m:f>
                    <m:fPr>
                      <m:ctrlPr>
                        <w:rPr>
                          <w:rFonts w:ascii="Cambria Math" w:hAnsi="Cambria Math"/>
                          <w:b w:val="0"/>
                          <w:bCs w:val="0"/>
                          <w:i/>
                        </w:rPr>
                      </m:ctrlPr>
                    </m:fPr>
                    <m:num>
                      <m:sSub>
                        <m:sSubPr>
                          <m:ctrlPr>
                            <w:rPr>
                              <w:rFonts w:ascii="Cambria Math" w:hAnsi="Cambria Math"/>
                              <w:b w:val="0"/>
                              <w:bCs w:val="0"/>
                              <w:i/>
                            </w:rPr>
                          </m:ctrlPr>
                        </m:sSubPr>
                        <m:e>
                          <m:r>
                            <w:rPr>
                              <w:rFonts w:ascii="Cambria Math" w:hAnsi="Cambria Math"/>
                            </w:rPr>
                            <m:t>A</m:t>
                          </m:r>
                        </m:e>
                        <m:sub>
                          <m:r>
                            <w:rPr>
                              <w:rFonts w:ascii="Cambria Math" w:hAnsi="Cambria Math"/>
                            </w:rPr>
                            <m:t>t,r,s,f</m:t>
                          </m:r>
                        </m:sub>
                      </m:sSub>
                    </m:num>
                    <m:den>
                      <m:sSub>
                        <m:sSubPr>
                          <m:ctrlPr>
                            <w:rPr>
                              <w:rFonts w:ascii="Cambria Math" w:hAnsi="Cambria Math"/>
                              <w:b w:val="0"/>
                              <w:bCs w:val="0"/>
                              <w:i/>
                            </w:rPr>
                          </m:ctrlPr>
                        </m:sSubPr>
                        <m:e>
                          <m:r>
                            <w:rPr>
                              <w:rFonts w:ascii="Cambria Math" w:hAnsi="Cambria Math"/>
                            </w:rPr>
                            <m:t>A</m:t>
                          </m:r>
                        </m:e>
                        <m:sub>
                          <m:r>
                            <w:rPr>
                              <w:rFonts w:ascii="Cambria Math" w:hAnsi="Cambria Math"/>
                            </w:rPr>
                            <m:t>2010,r,s,f</m:t>
                          </m:r>
                        </m:sub>
                      </m:sSub>
                    </m:den>
                  </m:f>
                </m:e>
              </m:d>
              <m:r>
                <w:rPr>
                  <w:rFonts w:ascii="Cambria Math" w:hAnsi="Cambria Math"/>
                </w:rPr>
                <m:t>×</m:t>
              </m:r>
              <m:d>
                <m:dPr>
                  <m:ctrlPr>
                    <w:rPr>
                      <w:rFonts w:ascii="Cambria Math" w:hAnsi="Cambria Math"/>
                      <w:b w:val="0"/>
                      <w:bCs w:val="0"/>
                      <w:i/>
                    </w:rPr>
                  </m:ctrlPr>
                </m:dPr>
                <m:e>
                  <m:f>
                    <m:fPr>
                      <m:ctrlPr>
                        <w:rPr>
                          <w:rFonts w:ascii="Cambria Math" w:hAnsi="Cambria Math"/>
                          <w:b w:val="0"/>
                          <w:bCs w:val="0"/>
                          <w:i/>
                        </w:rPr>
                      </m:ctrlPr>
                    </m:fPr>
                    <m:num>
                      <m:sSub>
                        <m:sSubPr>
                          <m:ctrlPr>
                            <w:rPr>
                              <w:rFonts w:ascii="Cambria Math" w:hAnsi="Cambria Math"/>
                              <w:b w:val="0"/>
                              <w:bCs w:val="0"/>
                              <w:i/>
                            </w:rPr>
                          </m:ctrlPr>
                        </m:sSubPr>
                        <m:e>
                          <m:r>
                            <w:rPr>
                              <w:rFonts w:ascii="Cambria Math" w:hAnsi="Cambria Math"/>
                            </w:rPr>
                            <m:t>EF</m:t>
                          </m:r>
                        </m:e>
                        <m:sub>
                          <m:r>
                            <w:rPr>
                              <w:rFonts w:ascii="Cambria Math" w:hAnsi="Cambria Math"/>
                            </w:rPr>
                            <m:t>t,r,s,f</m:t>
                          </m:r>
                        </m:sub>
                      </m:sSub>
                    </m:num>
                    <m:den>
                      <m:sSub>
                        <m:sSubPr>
                          <m:ctrlPr>
                            <w:rPr>
                              <w:rFonts w:ascii="Cambria Math" w:hAnsi="Cambria Math"/>
                              <w:b w:val="0"/>
                              <w:bCs w:val="0"/>
                              <w:i/>
                            </w:rPr>
                          </m:ctrlPr>
                        </m:sSubPr>
                        <m:e>
                          <m:r>
                            <w:rPr>
                              <w:rFonts w:ascii="Cambria Math" w:hAnsi="Cambria Math"/>
                            </w:rPr>
                            <m:t>EF</m:t>
                          </m:r>
                        </m:e>
                        <m:sub>
                          <m:r>
                            <w:rPr>
                              <w:rFonts w:ascii="Cambria Math" w:hAnsi="Cambria Math"/>
                            </w:rPr>
                            <m:t>2010,r,s,f</m:t>
                          </m:r>
                        </m:sub>
                      </m:sSub>
                    </m:den>
                  </m:f>
                </m:e>
              </m:d>
              <m:r>
                <m:rPr>
                  <m:sty m:val="p"/>
                </m:rPr>
                <w:rPr>
                  <w:rFonts w:ascii="Cambria Math" w:hAnsi="Cambria Math"/>
                </w:rPr>
                <m:t>,</m:t>
              </m:r>
              <m:r>
                <w:rPr>
                  <w:rFonts w:ascii="Cambria Math" w:hAnsi="Cambria Math"/>
                </w:rPr>
                <m:t>#</m:t>
              </m:r>
              <m:d>
                <m:dPr>
                  <m:ctrlPr>
                    <w:rPr>
                      <w:rFonts w:ascii="Cambria Math" w:hAnsi="Cambria Math"/>
                      <w:b w:val="0"/>
                      <w:bCs w:val="0"/>
                    </w:rPr>
                  </m:ctrlPr>
                </m:dPr>
                <m:e>
                  <m:r>
                    <m:rPr>
                      <m:sty m:val="p"/>
                    </m:rPr>
                    <w:rPr>
                      <w:rFonts w:ascii="Cambria Math" w:hAnsi="Cambria Math"/>
                    </w:rPr>
                    <m:t>1</m:t>
                  </m:r>
                </m:e>
              </m:d>
              <m:ctrlPr>
                <w:rPr>
                  <w:rFonts w:ascii="Cambria Math" w:hAnsi="Cambria Math"/>
                  <w:b w:val="0"/>
                  <w:bCs w:val="0"/>
                  <w:i/>
                </w:rPr>
              </m:ctrlPr>
            </m:e>
          </m:eqArr>
        </m:oMath>
      </m:oMathPara>
    </w:p>
    <w:p w14:paraId="4378027C" w14:textId="0299943D" w:rsidR="00681223" w:rsidRPr="00CB4D1E" w:rsidRDefault="00681223" w:rsidP="00681223">
      <w:pPr>
        <w:pStyle w:val="Heading-Main"/>
        <w:rPr>
          <w:b w:val="0"/>
          <w:bCs w:val="0"/>
        </w:rPr>
      </w:pPr>
      <w:r w:rsidRPr="00CB4D1E">
        <w:rPr>
          <w:b w:val="0"/>
          <w:bCs w:val="0"/>
        </w:rPr>
        <w:t xml:space="preserve">where </w:t>
      </w:r>
      <w:r w:rsidRPr="00CB4D1E">
        <w:rPr>
          <w:b w:val="0"/>
          <w:bCs w:val="0"/>
          <w:i/>
          <w:iCs/>
        </w:rPr>
        <w:t>E</w:t>
      </w:r>
      <w:r w:rsidRPr="00CB4D1E">
        <w:rPr>
          <w:b w:val="0"/>
          <w:bCs w:val="0"/>
        </w:rPr>
        <w:t xml:space="preserve"> = emissions (Mg a</w:t>
      </w:r>
      <w:r w:rsidRPr="00CB4D1E">
        <w:rPr>
          <w:b w:val="0"/>
          <w:bCs w:val="0"/>
          <w:vertAlign w:val="superscript"/>
        </w:rPr>
        <w:t>-1</w:t>
      </w:r>
      <w:r w:rsidRPr="00CB4D1E">
        <w:rPr>
          <w:b w:val="0"/>
          <w:bCs w:val="0"/>
        </w:rPr>
        <w:t xml:space="preserve">); </w:t>
      </w:r>
      <w:r w:rsidRPr="00CB4D1E">
        <w:rPr>
          <w:b w:val="0"/>
          <w:bCs w:val="0"/>
          <w:i/>
          <w:iCs/>
        </w:rPr>
        <w:t>t</w:t>
      </w:r>
      <w:r w:rsidRPr="00CB4D1E">
        <w:rPr>
          <w:b w:val="0"/>
          <w:bCs w:val="0"/>
        </w:rPr>
        <w:t xml:space="preserve"> = decadal future year, </w:t>
      </w:r>
      <w:r w:rsidRPr="00CB4D1E">
        <w:rPr>
          <w:b w:val="0"/>
          <w:bCs w:val="0"/>
          <w:i/>
          <w:iCs/>
        </w:rPr>
        <w:t>r</w:t>
      </w:r>
      <w:r w:rsidRPr="00CB4D1E">
        <w:rPr>
          <w:b w:val="0"/>
          <w:bCs w:val="0"/>
        </w:rPr>
        <w:t xml:space="preserve"> = world region, </w:t>
      </w:r>
      <w:r w:rsidRPr="00CB4D1E">
        <w:rPr>
          <w:b w:val="0"/>
          <w:bCs w:val="0"/>
          <w:i/>
          <w:iCs/>
        </w:rPr>
        <w:t>s</w:t>
      </w:r>
      <w:r w:rsidRPr="00CB4D1E">
        <w:rPr>
          <w:b w:val="0"/>
          <w:bCs w:val="0"/>
        </w:rPr>
        <w:t xml:space="preserve"> = source type; </w:t>
      </w:r>
      <w:r w:rsidRPr="00CB4D1E">
        <w:rPr>
          <w:b w:val="0"/>
          <w:bCs w:val="0"/>
          <w:i/>
          <w:iCs/>
        </w:rPr>
        <w:t>A</w:t>
      </w:r>
      <w:r w:rsidRPr="00CB4D1E">
        <w:rPr>
          <w:b w:val="0"/>
          <w:bCs w:val="0"/>
        </w:rPr>
        <w:t xml:space="preserve"> = activity level (in various units); and </w:t>
      </w:r>
      <w:r w:rsidRPr="00CB4D1E">
        <w:rPr>
          <w:b w:val="0"/>
          <w:bCs w:val="0"/>
          <w:i/>
          <w:iCs/>
        </w:rPr>
        <w:t>EF</w:t>
      </w:r>
      <w:r w:rsidRPr="00CB4D1E">
        <w:rPr>
          <w:b w:val="0"/>
          <w:bCs w:val="0"/>
        </w:rPr>
        <w:t xml:space="preserve"> = emission factor (g</w:t>
      </w:r>
      <w:r w:rsidR="00C77FBD" w:rsidRPr="00CB4D1E">
        <w:rPr>
          <w:b w:val="0"/>
          <w:bCs w:val="0"/>
        </w:rPr>
        <w:t xml:space="preserve"> per </w:t>
      </w:r>
      <w:r w:rsidRPr="00CB4D1E">
        <w:rPr>
          <w:b w:val="0"/>
          <w:bCs w:val="0"/>
        </w:rPr>
        <w:t>unit of activity).</w:t>
      </w:r>
    </w:p>
    <w:p w14:paraId="6E04280F" w14:textId="1073FCF0" w:rsidR="00681223" w:rsidRPr="00681223" w:rsidRDefault="00681223" w:rsidP="00681223">
      <w:pPr>
        <w:pStyle w:val="Heading-Main"/>
        <w:rPr>
          <w:b w:val="0"/>
          <w:bCs w:val="0"/>
        </w:rPr>
      </w:pPr>
      <w:r w:rsidRPr="00681223">
        <w:rPr>
          <w:b w:val="0"/>
          <w:bCs w:val="0"/>
        </w:rPr>
        <w:t xml:space="preserve">Future Hg emissions </w:t>
      </w:r>
      <w:r w:rsidR="00FC1F5E">
        <w:rPr>
          <w:b w:val="0"/>
          <w:bCs w:val="0"/>
        </w:rPr>
        <w:t>were</w:t>
      </w:r>
      <w:r w:rsidRPr="00681223">
        <w:rPr>
          <w:b w:val="0"/>
          <w:bCs w:val="0"/>
        </w:rPr>
        <w:t xml:space="preserve"> calculated by extrapolating 2010 base-year emissions, as reported in </w:t>
      </w:r>
      <w:r w:rsidRPr="00681223">
        <w:rPr>
          <w:b w:val="0"/>
          <w:bCs w:val="0"/>
        </w:rPr>
        <w:fldChar w:fldCharType="begin"/>
      </w:r>
      <w:r w:rsidRPr="00681223">
        <w:rPr>
          <w:b w:val="0"/>
          <w:bCs w:val="0"/>
        </w:rPr>
        <w:instrText xml:space="preserve"> ADDIN ZOTERO_ITEM CSL_CITATION {"citationID":"S75WTnhO","properties":{"formattedCitation":"(Streets et al., 2017, 2019a)","plainCitation":"(Streets et al., 2017, 2019a)","noteIndex":0},"citationItems":[{"id":569,"uris":["http://zotero.org/users/local/VbtpDxdA/items/XTWFQ4JP","http://zotero.org/users/11937628/items/XTWFQ4JP"],"itemData":{"id":569,"type":"article-journal","abstract":"We estimate that a cumulative total of 1540 (1060-2800) Gg (gigagrams, 109 grams or thousand tonnes) of mercury (Hg) have been released by human activities up to 2010, 73% of which was released after 1850. Of this liberated Hg, 470 Gg were emitted directly into the atmosphere, and 74% of the air emissions were elemental Hg. Cumulatively, about 1070 Gg were released to land and water bodies. Though annual releases of Hg have been relatively stable since 1880 at 8 ± 2 Gg, except for wartime, the distributions of those releases among source types, world regions, and environmental media have changed dramatically. Production of Hg accounts for 27% of cumulative Hg releases to the environment, followed by silver production (24%) and chemicals manufacturing (12%). North America (30%), Europe (27%), and Asia (16%) have experienced the largest releases. Biogeochemical modeling shows a 3.2-fold increase in the atmospheric burden relative to 1850 and a contemporary atmospheric reservoir of 4.57 Gg, both of which agree well with observational constraints. We find that approximately 40% (390 Gg) of the Hg discarded to land and water must be sequestered at contaminated sites to maintain consistency with recent declines in atmospheric Hg concentrations.","container-title":"Environmental Science &amp; Technology","DOI":"10.1021/acs.est.7b00451","ISSN":"0013-936X","issue":"11","note":"Citation Key: Streets2017","page":"5969-5977","title":"Total Mercury Released to the Environment by Human Activities","volume":"51","author":[{"family":"Streets","given":"David G."},{"family":"Horowitz","given":"Hannah M."},{"family":"Jacob","given":"Daniel J."},{"family":"Lu","given":"Zifeng"},{"family":"Levin","given":"Leonard"},{"family":"Schure","given":"Arnout F. H.","non-dropping-particle":"ter"},{"family":"Sunderland","given":"Elsie M."}],"issued":{"date-parts":[["2017",6,6]]}}},{"id":586,"uris":["http://zotero.org/users/local/VbtpDxdA/items/KKDCXK4A","http://zotero.org/users/11937628/items/KKDCXK4A"],"itemData":{"id":586,"type":"article-journal","abstract":"&lt;p&gt; When released to the biosphere, mercury (Hg) is very mobile and can take millennia to be returned to a secure, long-term repository. Understanding where and when Hg was released as a result of human activities allows better quantification of present-day reemissions and future trajectories of environmental concentrations. In this work, we estimate the time-varying releases of Hg in seven world regions over the 500 year period, 1510–2010. By our estimation, this comprises 95% of all-time anthropogenic releases. Globally, 1.47 Tg of Hg were released in this period, 23% directly to the atmosphere and 77% to land and water bodies. Cumulative releases have been largest in Europe (427 Gg) and North America (413 Gg). In some world regions (Africa/Middle East and Oceania), almost all (&amp;gt;99%) of the Hg is relatively recent (emitted since 1850), whereas in South America it is mostly of older vintage (63% emitted before 1850). Asia was the greatest-emitting region in 2010, while releases in Europe and North America have declined since the 1970s, as recognition of the risks posed by Hg have led to its phase-out in commercial usage. The continued use of Hg in artisanal and small-scale gold mining means that the Africa/Middle East region is now a major contributor. We estimate that 72% of cumulative Hg emissions to air has been in the form of elemental mercury (Hg &lt;sup&gt;0&lt;/sup&gt; ), which has a long lifetime in the atmosphere and can therefore be transported long distances. Our results show that 83% of the total Hg has been released to local water bodies, onto land, or quickly deposited from the air in divalent (Hg &lt;sup&gt;II&lt;/sup&gt; ) form. Regionally, this value ranges from 77% in Africa/Middle East and Oceania to 89% in South America. Results from global biogeochemical modeling indicate improved agreement of the refined emission estimates in this study with archival records of Hg accumulation in estuarine and deep ocean sediment. &lt;/p&gt;","container-title":"Environmental Research Letters","DOI":"10.1088/1748-9326/ab281f","ISSN":"1748-9326","issue":"8","note":"Citation Key: Streets2019b","page":"084004","title":"Five hundred years of anthropogenic mercury: spatial and temporal release profiles*","volume":"14","author":[{"family":"Streets","given":"David G"},{"family":"Horowitz","given":"Hannah M"},{"family":"Lu","given":"Zifeng"},{"family":"Levin","given":"Leonard"},{"family":"Thackray","given":"Colin P"},{"family":"Sunderland","given":"Elsie M"}],"issued":{"date-parts":[["2019",8,1]]}}}],"schema":"https://github.com/citation-style-language/schema/raw/master/csl-citation.json"} </w:instrText>
      </w:r>
      <w:r w:rsidRPr="00681223">
        <w:rPr>
          <w:b w:val="0"/>
          <w:bCs w:val="0"/>
        </w:rPr>
        <w:fldChar w:fldCharType="separate"/>
      </w:r>
      <w:r w:rsidRPr="00681223">
        <w:rPr>
          <w:b w:val="0"/>
          <w:bCs w:val="0"/>
        </w:rPr>
        <w:t>(Streets et al., 2017, 2019a)</w:t>
      </w:r>
      <w:r w:rsidRPr="00681223">
        <w:rPr>
          <w:b w:val="0"/>
          <w:bCs w:val="0"/>
        </w:rPr>
        <w:fldChar w:fldCharType="end"/>
      </w:r>
      <w:r w:rsidRPr="00681223">
        <w:rPr>
          <w:b w:val="0"/>
          <w:bCs w:val="0"/>
        </w:rPr>
        <w:t>, in accordance with the energy and activity forecasts for each of the four future scenarios (</w:t>
      </w:r>
      <w:r w:rsidRPr="00681223">
        <w:rPr>
          <w:b w:val="0"/>
          <w:bCs w:val="0"/>
          <w:i/>
          <w:iCs/>
        </w:rPr>
        <w:t>f</w:t>
      </w:r>
      <w:r w:rsidRPr="00681223">
        <w:rPr>
          <w:b w:val="0"/>
          <w:bCs w:val="0"/>
        </w:rPr>
        <w:t xml:space="preserve">) described in the previous section. </w:t>
      </w:r>
      <w:r w:rsidR="00E8561E">
        <w:rPr>
          <w:b w:val="0"/>
          <w:bCs w:val="0"/>
        </w:rPr>
        <w:t>E</w:t>
      </w:r>
      <w:r w:rsidRPr="00681223">
        <w:rPr>
          <w:b w:val="0"/>
          <w:bCs w:val="0"/>
        </w:rPr>
        <w:t xml:space="preserve">missions </w:t>
      </w:r>
      <w:r w:rsidR="00FC1F5E">
        <w:rPr>
          <w:b w:val="0"/>
          <w:bCs w:val="0"/>
        </w:rPr>
        <w:t>were</w:t>
      </w:r>
      <w:r w:rsidRPr="00681223">
        <w:rPr>
          <w:b w:val="0"/>
          <w:bCs w:val="0"/>
        </w:rPr>
        <w:t xml:space="preserve"> calculated</w:t>
      </w:r>
      <w:r w:rsidR="00E8561E">
        <w:rPr>
          <w:b w:val="0"/>
          <w:bCs w:val="0"/>
        </w:rPr>
        <w:t xml:space="preserve"> for each </w:t>
      </w:r>
      <w:r w:rsidRPr="00681223">
        <w:rPr>
          <w:b w:val="0"/>
          <w:bCs w:val="0"/>
        </w:rPr>
        <w:lastRenderedPageBreak/>
        <w:t>decade between 2020 and 2300</w:t>
      </w:r>
      <w:r w:rsidR="00E8561E">
        <w:rPr>
          <w:b w:val="0"/>
          <w:bCs w:val="0"/>
        </w:rPr>
        <w:t xml:space="preserve">, though </w:t>
      </w:r>
      <w:r w:rsidR="00FC1F5E">
        <w:rPr>
          <w:b w:val="0"/>
          <w:bCs w:val="0"/>
        </w:rPr>
        <w:t xml:space="preserve">they </w:t>
      </w:r>
      <w:r w:rsidR="00E8561E">
        <w:rPr>
          <w:b w:val="0"/>
          <w:bCs w:val="0"/>
        </w:rPr>
        <w:t xml:space="preserve">reach zero between 2190 and 2250 across scenarios in accordance with SSP prescriptions. Emissions </w:t>
      </w:r>
      <w:r w:rsidR="000C2478">
        <w:rPr>
          <w:b w:val="0"/>
          <w:bCs w:val="0"/>
        </w:rPr>
        <w:t>are</w:t>
      </w:r>
      <w:r w:rsidR="00E8561E">
        <w:rPr>
          <w:b w:val="0"/>
          <w:bCs w:val="0"/>
        </w:rPr>
        <w:t xml:space="preserve"> zero </w:t>
      </w:r>
      <w:r w:rsidR="000C2478">
        <w:rPr>
          <w:b w:val="0"/>
          <w:bCs w:val="0"/>
        </w:rPr>
        <w:t>beyond</w:t>
      </w:r>
      <w:r w:rsidR="00E8561E">
        <w:rPr>
          <w:b w:val="0"/>
          <w:bCs w:val="0"/>
        </w:rPr>
        <w:t xml:space="preserve"> 2250 </w:t>
      </w:r>
      <w:r w:rsidR="00FC1F5E">
        <w:rPr>
          <w:b w:val="0"/>
          <w:bCs w:val="0"/>
        </w:rPr>
        <w:t xml:space="preserve">across </w:t>
      </w:r>
      <w:r w:rsidR="00E8561E">
        <w:rPr>
          <w:b w:val="0"/>
          <w:bCs w:val="0"/>
        </w:rPr>
        <w:t>all scenarios.</w:t>
      </w:r>
    </w:p>
    <w:p w14:paraId="3081BF8F" w14:textId="48B58122" w:rsidR="00681223" w:rsidRPr="00681223" w:rsidRDefault="00681223" w:rsidP="00681223">
      <w:pPr>
        <w:pStyle w:val="Heading-Main"/>
        <w:rPr>
          <w:b w:val="0"/>
          <w:bCs w:val="0"/>
        </w:rPr>
      </w:pPr>
      <w:r w:rsidRPr="00681223">
        <w:rPr>
          <w:b w:val="0"/>
          <w:bCs w:val="0"/>
        </w:rPr>
        <w:t xml:space="preserve">Emissions </w:t>
      </w:r>
      <w:r w:rsidR="00FC1F5E">
        <w:rPr>
          <w:b w:val="0"/>
          <w:bCs w:val="0"/>
        </w:rPr>
        <w:t>were</w:t>
      </w:r>
      <w:r w:rsidRPr="00681223">
        <w:rPr>
          <w:b w:val="0"/>
          <w:bCs w:val="0"/>
        </w:rPr>
        <w:t xml:space="preserve"> calculated at world region level (</w:t>
      </w:r>
      <w:r w:rsidRPr="00681223">
        <w:rPr>
          <w:b w:val="0"/>
          <w:bCs w:val="0"/>
          <w:i/>
          <w:iCs/>
        </w:rPr>
        <w:t>r</w:t>
      </w:r>
      <w:r w:rsidRPr="00681223">
        <w:rPr>
          <w:b w:val="0"/>
          <w:bCs w:val="0"/>
        </w:rPr>
        <w:t xml:space="preserve">). The SSP forecasts </w:t>
      </w:r>
      <w:r w:rsidR="00FC1F5E">
        <w:rPr>
          <w:b w:val="0"/>
          <w:bCs w:val="0"/>
        </w:rPr>
        <w:t>were</w:t>
      </w:r>
      <w:r w:rsidRPr="00681223">
        <w:rPr>
          <w:b w:val="0"/>
          <w:bCs w:val="0"/>
        </w:rPr>
        <w:t xml:space="preserve"> developed for five world regions: OECD, REF (Russia and Eastern Europe), ASIA, MAF (Middle East and Africa), and LAM (Latin America). This is a very coarse division of the world, which may be adequate for CO</w:t>
      </w:r>
      <w:r w:rsidRPr="00681223">
        <w:rPr>
          <w:b w:val="0"/>
          <w:bCs w:val="0"/>
          <w:vertAlign w:val="subscript"/>
        </w:rPr>
        <w:t>2</w:t>
      </w:r>
      <w:r w:rsidRPr="00681223">
        <w:rPr>
          <w:b w:val="0"/>
          <w:bCs w:val="0"/>
        </w:rPr>
        <w:t xml:space="preserve"> studies, but is too aggregated for studies of Hg emissions and transport. In particular, the OECD region is spread across the globe, with contributions from Western Europe, North America, Australasia, and Japan. The prior Hg emission estimates for 2010 </w:t>
      </w:r>
      <w:r w:rsidRPr="00681223">
        <w:rPr>
          <w:b w:val="0"/>
          <w:bCs w:val="0"/>
        </w:rPr>
        <w:fldChar w:fldCharType="begin"/>
      </w:r>
      <w:r w:rsidRPr="00681223">
        <w:rPr>
          <w:b w:val="0"/>
          <w:bCs w:val="0"/>
        </w:rPr>
        <w:instrText xml:space="preserve"> ADDIN ZOTERO_ITEM CSL_CITATION {"citationID":"e71xzfbE","properties":{"formattedCitation":"(Streets et al., 2019a, 2019b)","plainCitation":"(Streets et al., 2019a, 2019b)","noteIndex":0},"citationItems":[{"id":586,"uris":["http://zotero.org/users/local/VbtpDxdA/items/KKDCXK4A","http://zotero.org/users/11937628/items/KKDCXK4A"],"itemData":{"id":586,"type":"article-journal","abstract":"&lt;p&gt; When released to the biosphere, mercury (Hg) is very mobile and can take millennia to be returned to a secure, long-term repository. Understanding where and when Hg was released as a result of human activities allows better quantification of present-day reemissions and future trajectories of environmental concentrations. In this work, we estimate the time-varying releases of Hg in seven world regions over the 500 year period, 1510–2010. By our estimation, this comprises 95% of all-time anthropogenic releases. Globally, 1.47 Tg of Hg were released in this period, 23% directly to the atmosphere and 77% to land and water bodies. Cumulative releases have been largest in Europe (427 Gg) and North America (413 Gg). In some world regions (Africa/Middle East and Oceania), almost all (&amp;gt;99%) of the Hg is relatively recent (emitted since 1850), whereas in South America it is mostly of older vintage (63% emitted before 1850). Asia was the greatest-emitting region in 2010, while releases in Europe and North America have declined since the 1970s, as recognition of the risks posed by Hg have led to its phase-out in commercial usage. The continued use of Hg in artisanal and small-scale gold mining means that the Africa/Middle East region is now a major contributor. We estimate that 72% of cumulative Hg emissions to air has been in the form of elemental mercury (Hg &lt;sup&gt;0&lt;/sup&gt; ), which has a long lifetime in the atmosphere and can therefore be transported long distances. Our results show that 83% of the total Hg has been released to local water bodies, onto land, or quickly deposited from the air in divalent (Hg &lt;sup&gt;II&lt;/sup&gt; ) form. Regionally, this value ranges from 77% in Africa/Middle East and Oceania to 89% in South America. Results from global biogeochemical modeling indicate improved agreement of the refined emission estimates in this study with archival records of Hg accumulation in estuarine and deep ocean sediment. &lt;/p&gt;","container-title":"Environmental Research Letters","DOI":"10.1088/1748-9326/ab281f","ISSN":"1748-9326","issue":"8","note":"Citation Key: Streets2019b","page":"084004","title":"Five hundred years of anthropogenic mercury: spatial and temporal release profiles*","volume":"14","author":[{"family":"Streets","given":"David G"},{"family":"Horowitz","given":"Hannah M"},{"family":"Lu","given":"Zifeng"},{"family":"Levin","given":"Leonard"},{"family":"Thackray","given":"Colin P"},{"family":"Sunderland","given":"Elsie M"}],"issued":{"date-parts":[["2019",8,1]]}}},{"id":659,"uris":["http://zotero.org/users/local/VbtpDxdA/items/RFER2VFE","http://zotero.org/users/11937628/items/RFER2VFE"],"itemData":{"id":659,"type":"article-journal","abstract":"Mercury (Hg) is a naturally occurring element in the Earth's crust. It can be harmful to human health when released in large quantities and/or converted to the neurotoxicant methyl mercury in aquatic ecosystems. This study analyzes global and regional trends in anthropogenic Hg releases to the atmosphere between 2010 and 2015, as well as the associated trends in modeled and measured Hg concentrations at sites around the world. In general, we find that global Hg emissions and concentrations have grown slightly in this period, as declines from the phase-out of commercial Hg use in the developed world have been more than matched by increases in Hg-related activities in the industrializing countries of the world. We estimate that global Hg emissions between 2010 and 2015 have grown at a rate of 1.8%/yr, from 2188 Mg (+44%/-20%, 80% C.I.) in 2010 to 2390 Mg (+42%/-19%, 80% C.I.) in 2015. Regionally, emissions declined over this period in the U.S. (−10%), OECD Europe (−5.8%), and Canada (−3.2%), while they increased in Central America (+5.4%), South Asia (+4.6%), and Eastern Africa (+4.0%). East Asia remained the largest emitting region at 1012 Mg in 2015, though growth there has slowed significantly in recent years. The production of Hg (+7.9%), caustic soda (+6.3%), and cement (+6.3%) showed the highest increases by source type, though artisanal and small-scale gold mining (ASGM) was the single largest source of emissions in 2015 (775 Mg). The commercial use of Hg in dental applications (−5.6%) and electrical equipment (−5.2%) continued to decline. These emission trends show a continuation of the regional and sectoral shifts that began in the 1970s, but with a resulting reversal in global trends, because the benefits from Hg phase-out in North America and Europe have been largely realized and industrial growth in developing countries has begun to dominate. The emission trends are in agreement with trends in modeled and measured concentrations, which show small declines in surface air total gaseous Hg concentrations in eastern North America and Western Europe between 2010 and 2015, but slight increases for much of the rest of the world, driven by the continued increases in emissions from Asia and from ASGM. Our results suggest that reductions of Hg in the North Atlantic region have been largely successful, and focus now needs to shift to Asia and to the continued practice of ASGM worldwide.","container-title":"Atmospheric Environment","DOI":"10.1016/j.atmosenv.2018.12.031","ISSN":"13522310","issue":"December 2018","note":"publisher: Elsevier\nCitation Key: Streets2019a","page":"417-427","title":"Global and regional trends in mercury emissions and concentrations, 2010–2015","volume":"201","author":[{"family":"Streets","given":"David G."},{"family":"Horowitz","given":"Hannah M."},{"family":"Lu","given":"Zifeng"},{"family":"Levin","given":"Leonard"},{"family":"Thackray","given":"Colin P."},{"family":"Sunderland","given":"Elsie M."}],"issued":{"date-parts":[["2019",3]]}}}],"schema":"https://github.com/citation-style-language/schema/raw/master/csl-citation.json"} </w:instrText>
      </w:r>
      <w:r w:rsidRPr="00681223">
        <w:rPr>
          <w:b w:val="0"/>
          <w:bCs w:val="0"/>
        </w:rPr>
        <w:fldChar w:fldCharType="separate"/>
      </w:r>
      <w:r w:rsidRPr="00681223">
        <w:rPr>
          <w:b w:val="0"/>
          <w:bCs w:val="0"/>
        </w:rPr>
        <w:t>(Streets et al., 2019a, 2019b)</w:t>
      </w:r>
      <w:r w:rsidRPr="00681223">
        <w:rPr>
          <w:b w:val="0"/>
          <w:bCs w:val="0"/>
        </w:rPr>
        <w:fldChar w:fldCharType="end"/>
      </w:r>
      <w:r w:rsidRPr="00681223">
        <w:rPr>
          <w:b w:val="0"/>
          <w:bCs w:val="0"/>
        </w:rPr>
        <w:t xml:space="preserve">, upon which this work is based, were calculated for 17 world regions and subsequently aggregated to seven: North America (NAM), South America (SAM), Western Europe (EUR), the Former Soviet Union (FSU), Africa/Middle East (AFM), Asia (ASA), and Oceania (OCA). By examining 2010 Hg emissions in the world regions used in each of these two studies, a simple equivalence was determined and applied in this work, as follows: NAM = 0.5 OECD + 0.1 LAM; SAM = 0.9 LAM; EUR = 0.3 OECD; FSU = REF; AFM = MAF; ASA = ASIA + 0.05 OECD; and OCA = 0.15 OECD. Emissions at the global scale (GLO) are thus identical. Though this is less than an ideal solution—because of potential future differences in the rates of development among the countries comprising the </w:t>
      </w:r>
      <w:proofErr w:type="gramStart"/>
      <w:r w:rsidRPr="00681223">
        <w:rPr>
          <w:b w:val="0"/>
          <w:bCs w:val="0"/>
        </w:rPr>
        <w:t>coarse</w:t>
      </w:r>
      <w:proofErr w:type="gramEnd"/>
      <w:r w:rsidRPr="00681223">
        <w:rPr>
          <w:b w:val="0"/>
          <w:bCs w:val="0"/>
        </w:rPr>
        <w:t xml:space="preserve"> SSP regions—it is certainly an improvement over the five SSP regions from the perspective of estimating Hg transport and deposition.</w:t>
      </w:r>
    </w:p>
    <w:p w14:paraId="7C9EB161" w14:textId="397CD563" w:rsidR="00681223" w:rsidRPr="00681223" w:rsidRDefault="00681223" w:rsidP="00681223">
      <w:pPr>
        <w:pStyle w:val="Heading-Main"/>
        <w:rPr>
          <w:b w:val="0"/>
          <w:bCs w:val="0"/>
        </w:rPr>
      </w:pPr>
      <w:r w:rsidRPr="00681223">
        <w:rPr>
          <w:b w:val="0"/>
          <w:bCs w:val="0"/>
        </w:rPr>
        <w:t>The SSP scenarios contain more than 600 activity components (</w:t>
      </w:r>
      <w:r w:rsidRPr="00681223">
        <w:rPr>
          <w:b w:val="0"/>
          <w:bCs w:val="0"/>
          <w:i/>
          <w:iCs/>
        </w:rPr>
        <w:t>A</w:t>
      </w:r>
      <w:r w:rsidRPr="00681223">
        <w:rPr>
          <w:b w:val="0"/>
          <w:bCs w:val="0"/>
        </w:rPr>
        <w:t>), covering all aspects of future energy, industrial, and economic development. The prior 2010 Hg emission estimates were developed for 18 source types (</w:t>
      </w:r>
      <w:r w:rsidRPr="00681223">
        <w:rPr>
          <w:b w:val="0"/>
          <w:bCs w:val="0"/>
          <w:i/>
          <w:iCs/>
        </w:rPr>
        <w:t>s</w:t>
      </w:r>
      <w:r w:rsidRPr="00681223">
        <w:rPr>
          <w:b w:val="0"/>
          <w:bCs w:val="0"/>
        </w:rPr>
        <w:t xml:space="preserve">) </w:t>
      </w:r>
      <w:r w:rsidRPr="00681223">
        <w:rPr>
          <w:b w:val="0"/>
          <w:bCs w:val="0"/>
        </w:rPr>
        <w:fldChar w:fldCharType="begin"/>
      </w:r>
      <w:r w:rsidRPr="00681223">
        <w:rPr>
          <w:b w:val="0"/>
          <w:bCs w:val="0"/>
        </w:rPr>
        <w:instrText xml:space="preserve"> ADDIN ZOTERO_ITEM CSL_CITATION {"citationID":"EcXifUH7","properties":{"formattedCitation":"(Streets et al., 2017)","plainCitation":"(Streets et al., 2017)","noteIndex":0},"citationItems":[{"id":569,"uris":["http://zotero.org/users/local/VbtpDxdA/items/XTWFQ4JP","http://zotero.org/users/11937628/items/XTWFQ4JP"],"itemData":{"id":569,"type":"article-journal","abstract":"We estimate that a cumulative total of 1540 (1060-2800) Gg (gigagrams, 109 grams or thousand tonnes) of mercury (Hg) have been released by human activities up to 2010, 73% of which was released after 1850. Of this liberated Hg, 470 Gg were emitted directly into the atmosphere, and 74% of the air emissions were elemental Hg. Cumulatively, about 1070 Gg were released to land and water bodies. Though annual releases of Hg have been relatively stable since 1880 at 8 ± 2 Gg, except for wartime, the distributions of those releases among source types, world regions, and environmental media have changed dramatically. Production of Hg accounts for 27% of cumulative Hg releases to the environment, followed by silver production (24%) and chemicals manufacturing (12%). North America (30%), Europe (27%), and Asia (16%) have experienced the largest releases. Biogeochemical modeling shows a 3.2-fold increase in the atmospheric burden relative to 1850 and a contemporary atmospheric reservoir of 4.57 Gg, both of which agree well with observational constraints. We find that approximately 40% (390 Gg) of the Hg discarded to land and water must be sequestered at contaminated sites to maintain consistency with recent declines in atmospheric Hg concentrations.","container-title":"Environmental Science &amp; Technology","DOI":"10.1021/acs.est.7b00451","ISSN":"0013-936X","issue":"11","note":"Citation Key: Streets2017","page":"5969-5977","title":"Total Mercury Released to the Environment by Human Activities","volume":"51","author":[{"family":"Streets","given":"David G."},{"family":"Horowitz","given":"Hannah M."},{"family":"Jacob","given":"Daniel J."},{"family":"Lu","given":"Zifeng"},{"family":"Levin","given":"Leonard"},{"family":"Schure","given":"Arnout F. H.","non-dropping-particle":"ter"},{"family":"Sunderland","given":"Elsie M."}],"issued":{"date-parts":[["2017",6,6]]}}}],"schema":"https://github.com/citation-style-language/schema/raw/master/csl-citation.json"} </w:instrText>
      </w:r>
      <w:r w:rsidRPr="00681223">
        <w:rPr>
          <w:b w:val="0"/>
          <w:bCs w:val="0"/>
        </w:rPr>
        <w:fldChar w:fldCharType="separate"/>
      </w:r>
      <w:r w:rsidRPr="00681223">
        <w:rPr>
          <w:b w:val="0"/>
          <w:bCs w:val="0"/>
        </w:rPr>
        <w:t>(Streets et al., 2017)</w:t>
      </w:r>
      <w:r w:rsidRPr="00681223">
        <w:rPr>
          <w:b w:val="0"/>
          <w:bCs w:val="0"/>
        </w:rPr>
        <w:fldChar w:fldCharType="end"/>
      </w:r>
      <w:r w:rsidRPr="00681223">
        <w:rPr>
          <w:b w:val="0"/>
          <w:bCs w:val="0"/>
        </w:rPr>
        <w:t>. Because none of the SSP scenarios provide activity components that can be unequivocally associated with several of the Hg source types, emissions from 11 source types were projected individually in this work: mining (copper, zinc, lead, iron, mercury, gold, and artisanal gold), steel production, cement production, coal combustion, and oil combustion. Six other source types (municipal waste incineration, other waste combustion, electrical and measuring equipment, chemicals manufacturing, caustic soda production, and dental) were projected in aggregate. Silver mining was not included in this work because emissions from 2010 onwards are expected to be zero.</w:t>
      </w:r>
    </w:p>
    <w:p w14:paraId="6F07CDAC" w14:textId="581D7665" w:rsidR="00681223" w:rsidRPr="00681223" w:rsidRDefault="00681223" w:rsidP="00681223">
      <w:pPr>
        <w:pStyle w:val="Heading-Main"/>
        <w:rPr>
          <w:b w:val="0"/>
          <w:bCs w:val="0"/>
        </w:rPr>
      </w:pPr>
      <w:r w:rsidRPr="00681223">
        <w:rPr>
          <w:b w:val="0"/>
          <w:bCs w:val="0"/>
        </w:rPr>
        <w:t xml:space="preserve">The change in activity levels in the future, </w:t>
      </w:r>
      <w:r w:rsidRPr="00681223">
        <w:rPr>
          <w:b w:val="0"/>
          <w:bCs w:val="0"/>
          <w:i/>
          <w:iCs/>
        </w:rPr>
        <w:t>A</w:t>
      </w:r>
      <w:r w:rsidRPr="00681223">
        <w:rPr>
          <w:b w:val="0"/>
          <w:bCs w:val="0"/>
          <w:i/>
          <w:iCs/>
          <w:vertAlign w:val="subscript"/>
        </w:rPr>
        <w:t>t</w:t>
      </w:r>
      <w:r w:rsidRPr="00681223">
        <w:rPr>
          <w:b w:val="0"/>
          <w:bCs w:val="0"/>
          <w:i/>
          <w:iCs/>
        </w:rPr>
        <w:t>/A</w:t>
      </w:r>
      <w:r w:rsidRPr="00681223">
        <w:rPr>
          <w:b w:val="0"/>
          <w:bCs w:val="0"/>
          <w:i/>
          <w:iCs/>
          <w:vertAlign w:val="subscript"/>
        </w:rPr>
        <w:t>2010</w:t>
      </w:r>
      <w:r w:rsidRPr="00681223">
        <w:rPr>
          <w:b w:val="0"/>
          <w:bCs w:val="0"/>
        </w:rPr>
        <w:t>, reflects the growth or shrinkage in activity for a particular source type</w:t>
      </w:r>
      <w:r w:rsidR="00FC1F5E">
        <w:rPr>
          <w:b w:val="0"/>
          <w:bCs w:val="0"/>
        </w:rPr>
        <w:t>,</w:t>
      </w:r>
      <w:r w:rsidRPr="00681223">
        <w:rPr>
          <w:b w:val="0"/>
          <w:bCs w:val="0"/>
        </w:rPr>
        <w:t xml:space="preserve"> in a particular region</w:t>
      </w:r>
      <w:r w:rsidR="00FC1F5E">
        <w:rPr>
          <w:b w:val="0"/>
          <w:bCs w:val="0"/>
        </w:rPr>
        <w:t>,</w:t>
      </w:r>
      <w:r w:rsidRPr="00681223">
        <w:rPr>
          <w:b w:val="0"/>
          <w:bCs w:val="0"/>
        </w:rPr>
        <w:t xml:space="preserve"> under a particular scenario. Some may grow, some may decline, depending on the influence of the world economy in general and the pressure of the climate change scenario. For example, coal combustion may increase under a lax climate scenario or decline under a stringent one. But </w:t>
      </w:r>
      <w:proofErr w:type="gramStart"/>
      <w:r w:rsidRPr="00681223">
        <w:rPr>
          <w:b w:val="0"/>
          <w:bCs w:val="0"/>
          <w:i/>
          <w:iCs/>
        </w:rPr>
        <w:t>A</w:t>
      </w:r>
      <w:r w:rsidRPr="00681223">
        <w:rPr>
          <w:b w:val="0"/>
          <w:bCs w:val="0"/>
          <w:i/>
          <w:iCs/>
          <w:vertAlign w:val="subscript"/>
        </w:rPr>
        <w:t>t</w:t>
      </w:r>
      <w:proofErr w:type="gramEnd"/>
      <w:r w:rsidRPr="00681223">
        <w:rPr>
          <w:b w:val="0"/>
          <w:bCs w:val="0"/>
          <w:i/>
          <w:iCs/>
        </w:rPr>
        <w:t>/A</w:t>
      </w:r>
      <w:r w:rsidRPr="00681223">
        <w:rPr>
          <w:b w:val="0"/>
          <w:bCs w:val="0"/>
          <w:i/>
          <w:iCs/>
          <w:vertAlign w:val="subscript"/>
        </w:rPr>
        <w:t>2010</w:t>
      </w:r>
      <w:r w:rsidRPr="00681223">
        <w:rPr>
          <w:b w:val="0"/>
          <w:bCs w:val="0"/>
        </w:rPr>
        <w:t xml:space="preserve"> only characterizes the change in the size of the source type, it says nothing about the transformation of it over the time period in question. New, high-performing technologies will undoubtedly replace older, low-performing ones; and the imposition of new emission control regulations</w:t>
      </w:r>
      <w:r w:rsidR="00705C5D">
        <w:rPr>
          <w:b w:val="0"/>
          <w:bCs w:val="0"/>
        </w:rPr>
        <w:t xml:space="preserve"> </w:t>
      </w:r>
      <w:r w:rsidRPr="00681223">
        <w:rPr>
          <w:b w:val="0"/>
          <w:bCs w:val="0"/>
        </w:rPr>
        <w:t>may or may not force the use of add-on emission control technologies or even a complete change in production technology. All of these will influence Hg emissions. Except for Carbon Capture and Storage (CCS) and inferences from SO</w:t>
      </w:r>
      <w:r w:rsidRPr="00681223">
        <w:rPr>
          <w:b w:val="0"/>
          <w:bCs w:val="0"/>
          <w:vertAlign w:val="subscript"/>
        </w:rPr>
        <w:t>2</w:t>
      </w:r>
      <w:r w:rsidRPr="00681223">
        <w:rPr>
          <w:b w:val="0"/>
          <w:bCs w:val="0"/>
        </w:rPr>
        <w:t xml:space="preserve"> emissions, the SSP scenarios say nothing about technology transformation that will influence Hg emissions. This, therefore, is the most challenging aspect of forecasting future Hg emissions. Our approach </w:t>
      </w:r>
      <w:r w:rsidR="00FC1F5E">
        <w:rPr>
          <w:b w:val="0"/>
          <w:bCs w:val="0"/>
        </w:rPr>
        <w:t>wa</w:t>
      </w:r>
      <w:r w:rsidRPr="00681223">
        <w:rPr>
          <w:b w:val="0"/>
          <w:bCs w:val="0"/>
        </w:rPr>
        <w:t xml:space="preserve">s to develop the ratio </w:t>
      </w:r>
      <w:proofErr w:type="spellStart"/>
      <w:proofErr w:type="gramStart"/>
      <w:r w:rsidRPr="00681223">
        <w:rPr>
          <w:b w:val="0"/>
          <w:bCs w:val="0"/>
          <w:i/>
          <w:iCs/>
        </w:rPr>
        <w:t>EF</w:t>
      </w:r>
      <w:r w:rsidRPr="00681223">
        <w:rPr>
          <w:b w:val="0"/>
          <w:bCs w:val="0"/>
          <w:i/>
          <w:iCs/>
          <w:vertAlign w:val="subscript"/>
        </w:rPr>
        <w:t>t,r</w:t>
      </w:r>
      <w:proofErr w:type="gramEnd"/>
      <w:r w:rsidRPr="00681223">
        <w:rPr>
          <w:b w:val="0"/>
          <w:bCs w:val="0"/>
          <w:i/>
          <w:iCs/>
          <w:vertAlign w:val="subscript"/>
        </w:rPr>
        <w:t>,s,f</w:t>
      </w:r>
      <w:proofErr w:type="spellEnd"/>
      <w:r w:rsidRPr="00681223">
        <w:rPr>
          <w:b w:val="0"/>
          <w:bCs w:val="0"/>
          <w:i/>
          <w:iCs/>
        </w:rPr>
        <w:t>/EF</w:t>
      </w:r>
      <w:r w:rsidRPr="00681223">
        <w:rPr>
          <w:b w:val="0"/>
          <w:bCs w:val="0"/>
          <w:i/>
          <w:iCs/>
          <w:vertAlign w:val="subscript"/>
        </w:rPr>
        <w:t>2010,r,s,f</w:t>
      </w:r>
      <w:r w:rsidRPr="00681223">
        <w:rPr>
          <w:b w:val="0"/>
          <w:bCs w:val="0"/>
        </w:rPr>
        <w:t xml:space="preserve"> as an indicator of how future </w:t>
      </w:r>
      <w:r w:rsidRPr="00681223">
        <w:rPr>
          <w:b w:val="0"/>
          <w:bCs w:val="0"/>
        </w:rPr>
        <w:lastRenderedPageBreak/>
        <w:t>emission rates will decline from their 2010 values. Note that this ratio is never greater than one</w:t>
      </w:r>
      <w:r w:rsidR="004B5AAE">
        <w:rPr>
          <w:b w:val="0"/>
          <w:bCs w:val="0"/>
        </w:rPr>
        <w:t xml:space="preserve"> (</w:t>
      </w:r>
      <w:r w:rsidRPr="00681223">
        <w:rPr>
          <w:b w:val="0"/>
          <w:bCs w:val="0"/>
        </w:rPr>
        <w:t>i.e., future emission rates are never higher in the future than in 2010 per unit of activity</w:t>
      </w:r>
      <w:r w:rsidR="004B5AAE">
        <w:rPr>
          <w:b w:val="0"/>
          <w:bCs w:val="0"/>
        </w:rPr>
        <w:t>)</w:t>
      </w:r>
      <w:r w:rsidRPr="00681223">
        <w:rPr>
          <w:b w:val="0"/>
          <w:bCs w:val="0"/>
        </w:rPr>
        <w:t>.</w:t>
      </w:r>
    </w:p>
    <w:p w14:paraId="196A2DDB" w14:textId="01F04BE7" w:rsidR="00681223" w:rsidRPr="00681223" w:rsidRDefault="00681223" w:rsidP="00681223">
      <w:pPr>
        <w:pStyle w:val="Heading-Main"/>
        <w:rPr>
          <w:b w:val="0"/>
          <w:bCs w:val="0"/>
        </w:rPr>
      </w:pPr>
      <w:r w:rsidRPr="00681223">
        <w:rPr>
          <w:b w:val="0"/>
          <w:bCs w:val="0"/>
        </w:rPr>
        <w:t>In previous work</w:t>
      </w:r>
      <w:r w:rsidR="004B5AAE">
        <w:rPr>
          <w:b w:val="0"/>
          <w:bCs w:val="0"/>
        </w:rPr>
        <w:t>,</w:t>
      </w:r>
      <w:r w:rsidRPr="00681223">
        <w:rPr>
          <w:b w:val="0"/>
          <w:bCs w:val="0"/>
        </w:rPr>
        <w:t xml:space="preserve"> we developed a methodology for estimating the time-development of emission factors for historical periods (pre-2010) using transformed normal distribution functions </w:t>
      </w:r>
      <w:r w:rsidRPr="00681223">
        <w:rPr>
          <w:b w:val="0"/>
          <w:bCs w:val="0"/>
        </w:rPr>
        <w:fldChar w:fldCharType="begin"/>
      </w:r>
      <w:r w:rsidRPr="00681223">
        <w:rPr>
          <w:b w:val="0"/>
          <w:bCs w:val="0"/>
        </w:rPr>
        <w:instrText xml:space="preserve"> ADDIN ZOTERO_ITEM CSL_CITATION {"citationID":"7g9pZnEw","properties":{"formattedCitation":"(Streets et al., 2011)","plainCitation":"(Streets et al., 2011)","noteIndex":0},"citationItems":[{"id":590,"uris":["http://zotero.org/users/local/VbtpDxdA/items/GIAEH7GT","http://zotero.org/users/11937628/items/GIAEH7GT"],"itemData":{"id":590,"type":"article-journal","abstract":"Understanding the biogeochemical cycling of mercury is critical for explaining the presence of mercury in remote regions of the world, such as the Arctic and the Himalayas, as well as local concentrations. While we have good knowledge of present-day fluxes of mercury to the atmosphere, we have little knowledge of what emission levels were like in the past. Here we develop a trend of anthropogenic emissions of mercury to the atmosphere from 1850 to 2008-for which relatively complete data are available-and supplement that trend with an estimate of anthropogenic emissions prior to 1850. Global mercury emissions peaked in 1890 at 2600 Mg yr-1, fell to 700-800 Mg yr-1 in the interwar years, then rose steadily after 1950 to present-day levels of 2000 Mg yr-1. Our estimate for total mercury emissions from human activities over all time is 350 Gg, of which 39% was emitted before 1850 and 61% after 1850. Using an eight-compartment global box-model of mercury biogeochemical cycling, we show that these emission trends successfully reproduce present-day atmospheric enrichment in mercury. © 2011 American Chemical Society.","container-title":"Environmental Science and Technology","DOI":"10.1021/es202765m","ISSN":"0013936X","issue":"24","note":"PMID: 22070723\nCitation Key: Streets2011","page":"10485-10491","title":"All-time releases of mercury to the atmosphere from human activities","volume":"45","author":[{"family":"Streets","given":"David G."},{"family":"Devane","given":"Molly K."},{"family":"Lu","given":"Zifeng"},{"family":"Bond","given":"Tami C."},{"family":"Sunderland","given":"Elsie M."},{"family":"Jacob","given":"Daniel J."}],"issued":{"date-parts":[["2011"]]}}}],"schema":"https://github.com/citation-style-language/schema/raw/master/csl-citation.json"} </w:instrText>
      </w:r>
      <w:r w:rsidRPr="00681223">
        <w:rPr>
          <w:b w:val="0"/>
          <w:bCs w:val="0"/>
        </w:rPr>
        <w:fldChar w:fldCharType="separate"/>
      </w:r>
      <w:r w:rsidRPr="00681223">
        <w:rPr>
          <w:b w:val="0"/>
          <w:bCs w:val="0"/>
        </w:rPr>
        <w:t>(Streets et al., 2011)</w:t>
      </w:r>
      <w:r w:rsidRPr="00681223">
        <w:rPr>
          <w:b w:val="0"/>
          <w:bCs w:val="0"/>
        </w:rPr>
        <w:fldChar w:fldCharType="end"/>
      </w:r>
      <w:r w:rsidRPr="00681223">
        <w:rPr>
          <w:b w:val="0"/>
          <w:bCs w:val="0"/>
        </w:rPr>
        <w:t xml:space="preserve">. These region-specific functions were parameterized based on a detailed review of experimental measurements around the world, as illustrated in that paper for copper smelting. It was shown, for example, that the Hg emission rate for copper smelters pre-1900 was an uncontrolled value of 27.5 </w:t>
      </w:r>
      <w:proofErr w:type="spellStart"/>
      <w:r w:rsidRPr="00681223">
        <w:rPr>
          <w:b w:val="0"/>
          <w:bCs w:val="0"/>
        </w:rPr>
        <w:t>gHg</w:t>
      </w:r>
      <w:proofErr w:type="spellEnd"/>
      <w:r w:rsidRPr="00681223">
        <w:rPr>
          <w:b w:val="0"/>
          <w:bCs w:val="0"/>
        </w:rPr>
        <w:t>/</w:t>
      </w:r>
      <w:proofErr w:type="spellStart"/>
      <w:r w:rsidRPr="00681223">
        <w:rPr>
          <w:b w:val="0"/>
          <w:bCs w:val="0"/>
        </w:rPr>
        <w:t>MgCu</w:t>
      </w:r>
      <w:proofErr w:type="spellEnd"/>
      <w:r w:rsidRPr="00681223">
        <w:rPr>
          <w:b w:val="0"/>
          <w:bCs w:val="0"/>
        </w:rPr>
        <w:t xml:space="preserve"> worldwide. After 1900, emission rates declined, along different pathways in different parts of the world, reaching values in 2010 ranging from a low of 0.60 </w:t>
      </w:r>
      <w:proofErr w:type="spellStart"/>
      <w:r w:rsidRPr="00681223">
        <w:rPr>
          <w:b w:val="0"/>
          <w:bCs w:val="0"/>
        </w:rPr>
        <w:t>gHg</w:t>
      </w:r>
      <w:proofErr w:type="spellEnd"/>
      <w:r w:rsidRPr="00681223">
        <w:rPr>
          <w:b w:val="0"/>
          <w:bCs w:val="0"/>
        </w:rPr>
        <w:t>/</w:t>
      </w:r>
      <w:proofErr w:type="spellStart"/>
      <w:r w:rsidRPr="00681223">
        <w:rPr>
          <w:b w:val="0"/>
          <w:bCs w:val="0"/>
        </w:rPr>
        <w:t>MgCu</w:t>
      </w:r>
      <w:proofErr w:type="spellEnd"/>
      <w:r w:rsidRPr="00681223">
        <w:rPr>
          <w:b w:val="0"/>
          <w:bCs w:val="0"/>
        </w:rPr>
        <w:t xml:space="preserve"> in western Europe to a high of 11.6 </w:t>
      </w:r>
      <w:proofErr w:type="spellStart"/>
      <w:r w:rsidRPr="00681223">
        <w:rPr>
          <w:b w:val="0"/>
          <w:bCs w:val="0"/>
        </w:rPr>
        <w:t>gHg</w:t>
      </w:r>
      <w:proofErr w:type="spellEnd"/>
      <w:r w:rsidRPr="00681223">
        <w:rPr>
          <w:b w:val="0"/>
          <w:bCs w:val="0"/>
        </w:rPr>
        <w:t>/</w:t>
      </w:r>
      <w:proofErr w:type="spellStart"/>
      <w:r w:rsidRPr="00681223">
        <w:rPr>
          <w:b w:val="0"/>
          <w:bCs w:val="0"/>
        </w:rPr>
        <w:t>MgCu</w:t>
      </w:r>
      <w:proofErr w:type="spellEnd"/>
      <w:r w:rsidRPr="00681223">
        <w:rPr>
          <w:b w:val="0"/>
          <w:bCs w:val="0"/>
        </w:rPr>
        <w:t xml:space="preserve"> in Africa.</w:t>
      </w:r>
    </w:p>
    <w:p w14:paraId="196DF377" w14:textId="3D8B5F16" w:rsidR="00681223" w:rsidRPr="00681223" w:rsidRDefault="00681223" w:rsidP="00681223">
      <w:pPr>
        <w:pStyle w:val="Heading-Main"/>
        <w:rPr>
          <w:b w:val="0"/>
          <w:bCs w:val="0"/>
        </w:rPr>
      </w:pPr>
      <w:r w:rsidRPr="00681223">
        <w:rPr>
          <w:b w:val="0"/>
          <w:bCs w:val="0"/>
        </w:rPr>
        <w:t>The challenge</w:t>
      </w:r>
      <w:r w:rsidR="00FC1F5E">
        <w:rPr>
          <w:b w:val="0"/>
          <w:bCs w:val="0"/>
        </w:rPr>
        <w:t xml:space="preserve"> in this work was </w:t>
      </w:r>
      <w:r w:rsidRPr="00681223">
        <w:rPr>
          <w:b w:val="0"/>
          <w:bCs w:val="0"/>
        </w:rPr>
        <w:t xml:space="preserve">to reasonably represent the continuation of historical </w:t>
      </w:r>
      <w:r w:rsidRPr="00681223">
        <w:rPr>
          <w:b w:val="0"/>
          <w:bCs w:val="0"/>
          <w:i/>
          <w:iCs/>
        </w:rPr>
        <w:t>EF</w:t>
      </w:r>
      <w:r w:rsidRPr="00681223">
        <w:rPr>
          <w:b w:val="0"/>
          <w:bCs w:val="0"/>
        </w:rPr>
        <w:t xml:space="preserve"> trends out beyond 2010 in the absence of guidance from the SSP forecasts. In this work</w:t>
      </w:r>
      <w:r w:rsidR="00FC1F5E">
        <w:rPr>
          <w:b w:val="0"/>
          <w:bCs w:val="0"/>
        </w:rPr>
        <w:t>,</w:t>
      </w:r>
      <w:r w:rsidRPr="00681223">
        <w:rPr>
          <w:b w:val="0"/>
          <w:bCs w:val="0"/>
        </w:rPr>
        <w:t xml:space="preserve"> we focus</w:t>
      </w:r>
      <w:r w:rsidR="00FC1F5E">
        <w:rPr>
          <w:b w:val="0"/>
          <w:bCs w:val="0"/>
        </w:rPr>
        <w:t>ed</w:t>
      </w:r>
      <w:r w:rsidRPr="00681223">
        <w:rPr>
          <w:b w:val="0"/>
          <w:bCs w:val="0"/>
        </w:rPr>
        <w:t xml:space="preserve"> on the period 2010–2100, where technology transformation will have the biggest effect. For each of the 11 key source types mentioned above, we assume</w:t>
      </w:r>
      <w:r w:rsidR="00FC1F5E">
        <w:rPr>
          <w:b w:val="0"/>
          <w:bCs w:val="0"/>
        </w:rPr>
        <w:t>d</w:t>
      </w:r>
      <w:r w:rsidRPr="00681223">
        <w:rPr>
          <w:b w:val="0"/>
          <w:bCs w:val="0"/>
        </w:rPr>
        <w:t xml:space="preserve"> that by 2100 the emission rates in every world region will have declined from their 2010 levels to the present-day emission rate of the lowest-emitting region. Thus, in the case of copper smelting, all regions emit at 0.60 </w:t>
      </w:r>
      <w:proofErr w:type="spellStart"/>
      <w:r w:rsidRPr="00681223">
        <w:rPr>
          <w:b w:val="0"/>
          <w:bCs w:val="0"/>
        </w:rPr>
        <w:t>gHg</w:t>
      </w:r>
      <w:proofErr w:type="spellEnd"/>
      <w:r w:rsidRPr="00681223">
        <w:rPr>
          <w:b w:val="0"/>
          <w:bCs w:val="0"/>
        </w:rPr>
        <w:t>/</w:t>
      </w:r>
      <w:proofErr w:type="spellStart"/>
      <w:r w:rsidRPr="00681223">
        <w:rPr>
          <w:b w:val="0"/>
          <w:bCs w:val="0"/>
        </w:rPr>
        <w:t>MgCu</w:t>
      </w:r>
      <w:proofErr w:type="spellEnd"/>
      <w:r w:rsidRPr="00681223">
        <w:rPr>
          <w:b w:val="0"/>
          <w:bCs w:val="0"/>
        </w:rPr>
        <w:t xml:space="preserve"> by 2100, though the trajectories to reach it vary by region. This 2100 rate then continues for all years beyond 2100. Intermediate decadal years in </w:t>
      </w:r>
      <w:r w:rsidRPr="00681223">
        <w:rPr>
          <w:b w:val="0"/>
          <w:bCs w:val="0"/>
          <w:i/>
          <w:iCs/>
        </w:rPr>
        <w:t xml:space="preserve">EF </w:t>
      </w:r>
      <w:r w:rsidR="00FC1F5E">
        <w:rPr>
          <w:b w:val="0"/>
          <w:bCs w:val="0"/>
        </w:rPr>
        <w:t>were</w:t>
      </w:r>
      <w:r w:rsidRPr="00681223">
        <w:rPr>
          <w:b w:val="0"/>
          <w:bCs w:val="0"/>
        </w:rPr>
        <w:t xml:space="preserve"> determined as linear trends.</w:t>
      </w:r>
    </w:p>
    <w:p w14:paraId="2A21EBF5" w14:textId="5C4AAC34" w:rsidR="00681223" w:rsidRPr="00681223" w:rsidRDefault="00681223" w:rsidP="00681223">
      <w:pPr>
        <w:pStyle w:val="Heading-Main"/>
        <w:rPr>
          <w:b w:val="0"/>
          <w:bCs w:val="0"/>
        </w:rPr>
      </w:pPr>
      <w:r w:rsidRPr="00681223">
        <w:rPr>
          <w:b w:val="0"/>
          <w:bCs w:val="0"/>
        </w:rPr>
        <w:t>For the purposes of atmospheric modeling, speciation of these future atmospheric Hg emissions into elemental Hg (Hg</w:t>
      </w:r>
      <w:r w:rsidRPr="00681223">
        <w:rPr>
          <w:b w:val="0"/>
          <w:bCs w:val="0"/>
          <w:vertAlign w:val="superscript"/>
        </w:rPr>
        <w:t>0</w:t>
      </w:r>
      <w:r w:rsidRPr="00681223">
        <w:rPr>
          <w:b w:val="0"/>
          <w:bCs w:val="0"/>
        </w:rPr>
        <w:t>) and divalent Hg compounds (Hg</w:t>
      </w:r>
      <w:r w:rsidRPr="00681223">
        <w:rPr>
          <w:b w:val="0"/>
          <w:bCs w:val="0"/>
          <w:vertAlign w:val="superscript"/>
        </w:rPr>
        <w:t>II</w:t>
      </w:r>
      <w:r w:rsidRPr="00681223">
        <w:rPr>
          <w:b w:val="0"/>
          <w:bCs w:val="0"/>
        </w:rPr>
        <w:t>) was determined in a similar way, by extrapolation of the speciation splits in each region in the year 2010. These range rather widely, from a high value of the Hg</w:t>
      </w:r>
      <w:r w:rsidRPr="00681223">
        <w:rPr>
          <w:b w:val="0"/>
          <w:bCs w:val="0"/>
          <w:vertAlign w:val="superscript"/>
        </w:rPr>
        <w:t>0</w:t>
      </w:r>
      <w:r w:rsidRPr="00681223">
        <w:rPr>
          <w:b w:val="0"/>
          <w:bCs w:val="0"/>
        </w:rPr>
        <w:t>/Hg ratio of 0.88 in South America to a low of 0.25 in western Europe. This reflects the different emission characteristics of, for example, mining in South America and industrial manufacturing/well-controlled coal combustion in western Europe. As time goes on it can be expected that the Hg</w:t>
      </w:r>
      <w:r w:rsidRPr="00681223">
        <w:rPr>
          <w:b w:val="0"/>
          <w:bCs w:val="0"/>
          <w:vertAlign w:val="superscript"/>
        </w:rPr>
        <w:t>0</w:t>
      </w:r>
      <w:r w:rsidRPr="00681223">
        <w:rPr>
          <w:b w:val="0"/>
          <w:bCs w:val="0"/>
        </w:rPr>
        <w:t xml:space="preserve">/Hg ratio will decline everywhere, as </w:t>
      </w:r>
      <w:proofErr w:type="gramStart"/>
      <w:r w:rsidRPr="00681223">
        <w:rPr>
          <w:b w:val="0"/>
          <w:bCs w:val="0"/>
        </w:rPr>
        <w:t>artisanal</w:t>
      </w:r>
      <w:proofErr w:type="gramEnd"/>
      <w:r w:rsidRPr="00681223">
        <w:rPr>
          <w:b w:val="0"/>
          <w:bCs w:val="0"/>
        </w:rPr>
        <w:t xml:space="preserve"> and small-scale mining techniques (with high Hg</w:t>
      </w:r>
      <w:r w:rsidRPr="00681223">
        <w:rPr>
          <w:b w:val="0"/>
          <w:bCs w:val="0"/>
          <w:vertAlign w:val="superscript"/>
        </w:rPr>
        <w:t>0</w:t>
      </w:r>
      <w:r w:rsidRPr="00681223">
        <w:rPr>
          <w:b w:val="0"/>
          <w:bCs w:val="0"/>
        </w:rPr>
        <w:t xml:space="preserve"> emission rates) are retired, and industrial processes and combustion become increasingly well controlled, leading to conversion of elemental Hg to collectable, oxidized Hg compounds. In this work, we assume</w:t>
      </w:r>
      <w:r w:rsidR="00FC1F5E">
        <w:rPr>
          <w:b w:val="0"/>
          <w:bCs w:val="0"/>
        </w:rPr>
        <w:t>d</w:t>
      </w:r>
      <w:r w:rsidRPr="00681223">
        <w:rPr>
          <w:b w:val="0"/>
          <w:bCs w:val="0"/>
        </w:rPr>
        <w:t xml:space="preserve"> that the 2010 ratios in high-emitting regions approach the western European level or the North American level (0.33) by 2100, eventually leveling out at a technology-limiting value of 0.2 everywhere. Slight variations </w:t>
      </w:r>
      <w:r w:rsidR="00FC1F5E">
        <w:rPr>
          <w:b w:val="0"/>
          <w:bCs w:val="0"/>
        </w:rPr>
        <w:t>were</w:t>
      </w:r>
      <w:r w:rsidR="00FC1F5E" w:rsidRPr="00681223">
        <w:rPr>
          <w:b w:val="0"/>
          <w:bCs w:val="0"/>
        </w:rPr>
        <w:t xml:space="preserve"> </w:t>
      </w:r>
      <w:r w:rsidRPr="00681223">
        <w:rPr>
          <w:b w:val="0"/>
          <w:bCs w:val="0"/>
        </w:rPr>
        <w:t>applied among the four scenarios to reflect anticipated patterns of future technology transformations.</w:t>
      </w:r>
    </w:p>
    <w:p w14:paraId="7265D3AB" w14:textId="07FF4135" w:rsidR="00681223" w:rsidRPr="00681223" w:rsidRDefault="00681223" w:rsidP="00681223">
      <w:pPr>
        <w:pStyle w:val="Heading-Main"/>
        <w:rPr>
          <w:b w:val="0"/>
          <w:bCs w:val="0"/>
        </w:rPr>
      </w:pPr>
      <w:r w:rsidRPr="00681223">
        <w:rPr>
          <w:b w:val="0"/>
          <w:bCs w:val="0"/>
        </w:rPr>
        <w:t xml:space="preserve">Finally, future releases of Hg to land and water were estimated following the method of Streets et al. (2017, 2019a). In essence, this involves subtracting the air emissions from the total Hg contained in the raw material that is processed. It </w:t>
      </w:r>
      <w:r w:rsidR="00FC1F5E">
        <w:rPr>
          <w:b w:val="0"/>
          <w:bCs w:val="0"/>
        </w:rPr>
        <w:t>was</w:t>
      </w:r>
      <w:r w:rsidRPr="00681223">
        <w:rPr>
          <w:b w:val="0"/>
          <w:bCs w:val="0"/>
        </w:rPr>
        <w:t xml:space="preserve"> not possible to determine </w:t>
      </w:r>
      <w:r w:rsidRPr="00681223">
        <w:rPr>
          <w:b w:val="0"/>
          <w:bCs w:val="0"/>
          <w:i/>
          <w:iCs/>
        </w:rPr>
        <w:t>a priori</w:t>
      </w:r>
      <w:r w:rsidRPr="00681223">
        <w:rPr>
          <w:b w:val="0"/>
          <w:bCs w:val="0"/>
        </w:rPr>
        <w:t xml:space="preserve"> the fate of these releases by source type, technology level, or world region. Uncertainties in the few quantitative estimates that have been made and the vast quantity of unknown factors for sources in remote parts of the world essentially rule this out.</w:t>
      </w:r>
    </w:p>
    <w:p w14:paraId="477633C4" w14:textId="03F0D483" w:rsidR="00681223" w:rsidRPr="00681223" w:rsidRDefault="00681223" w:rsidP="00681223">
      <w:pPr>
        <w:pStyle w:val="Heading-Main"/>
        <w:rPr>
          <w:b w:val="0"/>
          <w:bCs w:val="0"/>
        </w:rPr>
      </w:pPr>
      <w:r w:rsidRPr="00681223">
        <w:rPr>
          <w:b w:val="0"/>
          <w:bCs w:val="0"/>
        </w:rPr>
        <w:t xml:space="preserve">2.3 Global </w:t>
      </w:r>
      <w:r w:rsidR="00491D21">
        <w:rPr>
          <w:b w:val="0"/>
          <w:bCs w:val="0"/>
        </w:rPr>
        <w:t>A</w:t>
      </w:r>
      <w:r w:rsidRPr="00681223">
        <w:rPr>
          <w:b w:val="0"/>
          <w:bCs w:val="0"/>
        </w:rPr>
        <w:t xml:space="preserve">tmospheric Hg </w:t>
      </w:r>
      <w:r w:rsidR="00491D21">
        <w:rPr>
          <w:b w:val="0"/>
          <w:bCs w:val="0"/>
        </w:rPr>
        <w:t>D</w:t>
      </w:r>
      <w:r w:rsidRPr="00681223">
        <w:rPr>
          <w:b w:val="0"/>
          <w:bCs w:val="0"/>
        </w:rPr>
        <w:t>eposition</w:t>
      </w:r>
    </w:p>
    <w:p w14:paraId="1CACCE95" w14:textId="3CB3206A" w:rsidR="00681223" w:rsidRPr="00681223" w:rsidRDefault="00681223" w:rsidP="00681223">
      <w:pPr>
        <w:pStyle w:val="Heading-Main"/>
        <w:rPr>
          <w:b w:val="0"/>
          <w:bCs w:val="0"/>
        </w:rPr>
      </w:pPr>
      <w:r w:rsidRPr="00681223">
        <w:rPr>
          <w:b w:val="0"/>
          <w:bCs w:val="0"/>
        </w:rPr>
        <w:t xml:space="preserve">We used the GEOS-Chem global chemical transport model to simulate the atmospheric fate and deposition of mercury emissions under each emissions scenario. The model version (12.8) used </w:t>
      </w:r>
      <w:r w:rsidRPr="00681223">
        <w:rPr>
          <w:b w:val="0"/>
          <w:bCs w:val="0"/>
        </w:rPr>
        <w:lastRenderedPageBreak/>
        <w:t xml:space="preserve">here included detailed multi-phase oxidation of elemental Hg and gas-phase photolysis of oxidized Hg species from </w:t>
      </w:r>
      <w:r w:rsidRPr="00681223">
        <w:rPr>
          <w:b w:val="0"/>
          <w:bCs w:val="0"/>
        </w:rPr>
        <w:fldChar w:fldCharType="begin"/>
      </w:r>
      <w:r w:rsidRPr="00681223">
        <w:rPr>
          <w:b w:val="0"/>
          <w:bCs w:val="0"/>
        </w:rPr>
        <w:instrText xml:space="preserve"> ADDIN ZOTERO_ITEM CSL_CITATION {"citationID":"mZYKMJIX","properties":{"formattedCitation":"(Shah et al., 2021)","plainCitation":"(Shah et al., 2021)","dontUpdate":true,"noteIndex":0},"citationItems":[{"id":785,"uris":["http://zotero.org/users/local/VbtpDxdA/items/MMQBJJRY","http://zotero.org/users/11937628/items/MMQBJJRY"],"itemData":{"id":785,"type":"article-journal","abstract":"We present a new chemical mechanism for Hg0/HgI/HgII atmospheric cycling, including recent laboratory and computational data, and implement it in the GEOS-Chem global atmospheric chemistry model fo...","container-title":"Environmental Science &amp; Technology","DOI":"10.1021/acs.est.1c03160","ISSN":"0013-936X","note":"publisher: American Chemical Society\nCitation Key: Shah2021","page":"acs.est.1c03160","title":"Improved Mechanistic Model of the Atmospheric Redox Chemistry of Mercury","author":[{"family":"Shah","given":"Viral"},{"family":"Jacob","given":"Daniel J."},{"family":"Thackray","given":"Colin P."},{"family":"Wang","given":"Xuan"},{"family":"Sunderland","given":"Elsie M."},{"family":"Dibble","given":"Theodore S."},{"family":"Saiz-Lopez","given":"Alfonso"},{"family":"Černušák","given":"Ivan"},{"family":"Kellö","given":"Vladimir"},{"family":"Castro","given":"Pedro J."},{"family":"Wu","given":"Rongrong"},{"family":"Wang","given":"Chuji"}],"issued":{"date-parts":[["2021",8,17]]}}}],"schema":"https://github.com/citation-style-language/schema/raw/master/csl-citation.json"} </w:instrText>
      </w:r>
      <w:r w:rsidRPr="00681223">
        <w:rPr>
          <w:b w:val="0"/>
          <w:bCs w:val="0"/>
        </w:rPr>
        <w:fldChar w:fldCharType="separate"/>
      </w:r>
      <w:r w:rsidRPr="00681223">
        <w:rPr>
          <w:b w:val="0"/>
          <w:bCs w:val="0"/>
        </w:rPr>
        <w:t>Shah et al. (2021)</w:t>
      </w:r>
      <w:r w:rsidRPr="00681223">
        <w:rPr>
          <w:b w:val="0"/>
          <w:bCs w:val="0"/>
        </w:rPr>
        <w:fldChar w:fldCharType="end"/>
      </w:r>
      <w:r w:rsidRPr="00681223">
        <w:rPr>
          <w:b w:val="0"/>
          <w:bCs w:val="0"/>
        </w:rPr>
        <w:t>. Simulations were run using 2014</w:t>
      </w:r>
      <w:r w:rsidR="00B56720">
        <w:rPr>
          <w:b w:val="0"/>
          <w:bCs w:val="0"/>
        </w:rPr>
        <w:t>-</w:t>
      </w:r>
      <w:r w:rsidRPr="00681223">
        <w:rPr>
          <w:b w:val="0"/>
          <w:bCs w:val="0"/>
        </w:rPr>
        <w:t xml:space="preserve">2019 MERRA-2 meteorology </w:t>
      </w:r>
      <w:r w:rsidRPr="00681223">
        <w:rPr>
          <w:b w:val="0"/>
          <w:bCs w:val="0"/>
        </w:rPr>
        <w:fldChar w:fldCharType="begin"/>
      </w:r>
      <w:r w:rsidRPr="00681223">
        <w:rPr>
          <w:b w:val="0"/>
          <w:bCs w:val="0"/>
        </w:rPr>
        <w:instrText xml:space="preserve"> ADDIN ZOTERO_ITEM CSL_CITATION {"citationID":"cDn85meZ","properties":{"formattedCitation":"(Gelaro et al., 2017)","plainCitation":"(Gelaro et al., 2017)","noteIndex":0},"citationItems":[{"id":654,"uris":["http://zotero.org/users/local/VbtpDxdA/items/7WTRDY5V","http://zotero.org/users/11937628/items/7WTRDY5V"],"itemData":{"id":654,"type":"article-journal","abstract":"The Modern-Era Retrospective Analysis for Research and Applications, version 2 (MERRA-2), is the latest atmospheric reanalysis of the modern satellite era produced by NASA's Global Modeling and Assimilation Office (GMAO). MERRA-2 assimilates observation types not available to its predecessor, MERRA, and includes updates to the Goddard Earth Observing System (GEOS) model and analysis scheme so as to provide a viable ongoing climate analysis beyond MERRA's terminus. While addressing known limitations of MERRA, MERRA-2 is also intended to be a development milestone for a future integrated Earth system analysis (IESA) currently under development at GMAO. This paper provides an overview of the MERRA-2 system and various performance metrics. Among the advances in MERRA-2 relevant to IESA are the assimilation of aerosol observations, several improvements to the representation of the stratosphere including ozone, and improved representations of cryospheric processes. Other improvements in the quality of MERRA-2 compared with MERRA include the reduction of some spurious trends and jumps related to changes in the observing system and reduced biases and imbalances in aspects of the water cycle. Remaining deficiencies are also identified. Production of MERRA-2 began in June 2014 in four processing streams and converged to a single near-real-time stream in mid-2015. MERRA-2 products are accessible online through the NASA Goddard Earth Sciences Data Information Services Center (GES DISC).","container-title":"Journal of Climate","DOI":"10.1175/JCLI-D-16-0758.1","ISSN":"08948755","issue":"14","note":"publisher: American Meteorological Society\nCitation Key: Gelaro2017","page":"5419-5454","title":"The modern-era retrospective analysis for research and applications, version 2 (MERRA-2)","volume":"30","author":[{"family":"Gelaro","given":"Ronald"},{"family":"McCarty","given":"Will"},{"family":"Suárez","given":"Max J."},{"family":"Todling","given":"Ricardo"},{"family":"Molod","given":"Andrea"},{"family":"Takacs","given":"Lawrence"},{"family":"Randles","given":"Cynthia A."},{"family":"Darmenov","given":"Anton"},{"family":"Bosilovich","given":"Michael G."},{"family":"Reichle","given":"Rolf"},{"family":"Wargan","given":"Krzysztof"},{"family":"Coy","given":"Lawrence"},{"family":"Cullather","given":"Richard"},{"family":"Draper","given":"Clara"},{"family":"Akella","given":"Santha"},{"family":"Buchard","given":"Virginie"},{"family":"Conaty","given":"Austin"},{"family":"Silva","given":"Arlindo M.","non-dropping-particle":"da"},{"family":"Gu","given":"Wei"},{"family":"Kim","given":"Gi Kong"},{"family":"Koster","given":"Randal"},{"family":"Lucchesi","given":"Robert"},{"family":"Merkova","given":"Dagmar"},{"family":"Nielsen","given":"Jon Eric"},{"family":"Partyka","given":"Gary"},{"family":"Pawson","given":"Steven"},{"family":"Putman","given":"William"},{"family":"Rienecker","given":"Michele"},{"family":"Schubert","given":"Siegfried D."},{"family":"Sienkiewicz","given":"Meta"},{"family":"Zhao","given":"Bin"}],"issued":{"date-parts":[["2017",7,1]]}}}],"schema":"https://github.com/citation-style-language/schema/raw/master/csl-citation.json"} </w:instrText>
      </w:r>
      <w:r w:rsidRPr="00681223">
        <w:rPr>
          <w:b w:val="0"/>
          <w:bCs w:val="0"/>
        </w:rPr>
        <w:fldChar w:fldCharType="separate"/>
      </w:r>
      <w:r w:rsidRPr="00681223">
        <w:rPr>
          <w:b w:val="0"/>
          <w:bCs w:val="0"/>
        </w:rPr>
        <w:t>(Gelaro et al., 2017)</w:t>
      </w:r>
      <w:r w:rsidRPr="00681223">
        <w:rPr>
          <w:b w:val="0"/>
          <w:bCs w:val="0"/>
        </w:rPr>
        <w:fldChar w:fldCharType="end"/>
      </w:r>
      <w:r w:rsidRPr="00681223">
        <w:rPr>
          <w:b w:val="0"/>
          <w:bCs w:val="0"/>
        </w:rPr>
        <w:t xml:space="preserve"> on a 2 </w:t>
      </w:r>
      <w:r w:rsidRPr="00681223">
        <w:rPr>
          <w:b w:val="0"/>
          <w:bCs w:val="0"/>
        </w:rPr>
        <w:sym w:font="Symbol" w:char="F0B4"/>
      </w:r>
      <w:r w:rsidRPr="00681223">
        <w:rPr>
          <w:b w:val="0"/>
          <w:bCs w:val="0"/>
        </w:rPr>
        <w:t xml:space="preserve"> 2.5-degree horizontal grid with a 72-layer vertical domain extending through the top of the stratosphere. The first two years of each simulation were used for initialization and the final three years were averaged for analysis to reduce the effects of meteorological variability on simulated deposition patterns.</w:t>
      </w:r>
    </w:p>
    <w:p w14:paraId="2C7DDE95" w14:textId="5304501F" w:rsidR="00681223" w:rsidRPr="00681223" w:rsidRDefault="00681223" w:rsidP="00681223">
      <w:pPr>
        <w:pStyle w:val="Heading-Main"/>
        <w:rPr>
          <w:b w:val="0"/>
          <w:bCs w:val="0"/>
        </w:rPr>
      </w:pPr>
      <w:r w:rsidRPr="00681223">
        <w:rPr>
          <w:b w:val="0"/>
          <w:bCs w:val="0"/>
        </w:rPr>
        <w:t>We conducted 5-year simulations for each decade from 2020</w:t>
      </w:r>
      <w:r w:rsidR="00B56720">
        <w:rPr>
          <w:b w:val="0"/>
          <w:bCs w:val="0"/>
        </w:rPr>
        <w:t>-</w:t>
      </w:r>
      <w:r w:rsidRPr="00681223">
        <w:rPr>
          <w:b w:val="0"/>
          <w:bCs w:val="0"/>
        </w:rPr>
        <w:t xml:space="preserve">2100 for each scenario in addition to a common baseline scenario for the 2010 emission year. We hold meteorology constant across decadal snapshots to isolate the effects of variation in future emissions. Emissions from the seven world regions were distributed onto a 0.25 </w:t>
      </w:r>
      <w:r w:rsidRPr="00681223">
        <w:rPr>
          <w:b w:val="0"/>
          <w:bCs w:val="0"/>
        </w:rPr>
        <w:sym w:font="Symbol" w:char="F0B4"/>
      </w:r>
      <w:r w:rsidRPr="00681223">
        <w:rPr>
          <w:b w:val="0"/>
          <w:bCs w:val="0"/>
        </w:rPr>
        <w:t xml:space="preserve"> 0.25-degree grid based on the spatial distributions established in prior work </w:t>
      </w:r>
      <w:r w:rsidRPr="00681223">
        <w:rPr>
          <w:b w:val="0"/>
          <w:bCs w:val="0"/>
        </w:rPr>
        <w:fldChar w:fldCharType="begin"/>
      </w:r>
      <w:r w:rsidRPr="00681223">
        <w:rPr>
          <w:b w:val="0"/>
          <w:bCs w:val="0"/>
        </w:rPr>
        <w:instrText xml:space="preserve"> ADDIN ZOTERO_ITEM CSL_CITATION {"citationID":"6gXYzy4F","properties":{"formattedCitation":"(Steenhuisen &amp; Wilson, 2019)","plainCitation":"(Steenhuisen &amp; Wilson, 2019)","noteIndex":0},"citationItems":[{"id":1113,"uris":["http://zotero.org/users/local/VbtpDxdA/items/XAAWXAAC","http://zotero.org/users/11937628/items/XAAWXAAC"],"itemData":{"id":1113,"type":"article-journal","abstract":"Mercury is a global pollutant that poses threats to ecosystems and to human health. Due to its global transport, mercury contamination is found in regions of the Earth that are remote from major emissions areas, including the Polar regions. Global anthropogenic emission inventories identify important sectors and industries responsible for emissions at a national level; however, to be useful for air transport modelling, more precise information on the locations of emission is required. This paper describes the methodology applied, and the results of work that was conducted to geospatially distribute anthropogenic mercury emissions as part of the global anthropogenic mercury emissions inventory for 2015 prepared by AMAP/UNEP for the Global Mercury Assessment (GMA) 2018 (UN Environment, 2019). This work includes the identification and use of emission point sources as well as distributing diffuse emissions for 21 emission (industry) sectors. The basic approach involves assigning emission estimates to geo-located point sources, using reported emissions information where available, and otherwise assigning a modelled emission to the point. Emissions which cannot be assigned to point sources are distributed using sector-specific proxies. Mercury speciation highly depends on industry processes and air pollution control technology. Different Hg speciation ratios are therefore applied per sector and country technology level. The resulting global emission datasets include total mercury (HgT), gaseous elemental mercury (Hg0), divalent mercury (Hg2+) and particulate mercury (HgP) in kg per year per raster cell (kg/a). The spatial resolution is flexible and the vertical resolution of the data is based on a set of predefined height classes. The resolution of the GMA2018 emission data is 0.25° × 0.25° with three (physical emission) height classes (0–50, 50–150 and &gt; 150m). A comparison with the EMEP European mercury emission was made based on spatial correlation between the two datasets. Suggested improvements for future work include the further development of proxy data and the implementation of a more structured reporting of emissions by countries.","container-title":"Atmospheric Environment","DOI":"10.1016/j.atmosenv.2019.05.003","ISSN":"13522310","issue":"December 2018","note":"publisher: Elsevier\nCitation Key: Steenhuisen2019","page":"138-150","title":"Development and application of an updated geospatial distribution model for gridding 2015 global mercury emissions","volume":"211","author":[{"family":"Steenhuisen","given":"F."},{"family":"Wilson","given":"S.J."}],"issued":{"date-parts":[["2019",8]]}}}],"schema":"https://github.com/citation-style-language/schema/raw/master/csl-citation.json"} </w:instrText>
      </w:r>
      <w:r w:rsidRPr="00681223">
        <w:rPr>
          <w:b w:val="0"/>
          <w:bCs w:val="0"/>
        </w:rPr>
        <w:fldChar w:fldCharType="separate"/>
      </w:r>
      <w:r w:rsidRPr="00681223">
        <w:rPr>
          <w:b w:val="0"/>
          <w:bCs w:val="0"/>
        </w:rPr>
        <w:t>(Steenhuisen &amp; Wilson, 2019)</w:t>
      </w:r>
      <w:r w:rsidRPr="00681223">
        <w:rPr>
          <w:b w:val="0"/>
          <w:bCs w:val="0"/>
        </w:rPr>
        <w:fldChar w:fldCharType="end"/>
      </w:r>
      <w:r w:rsidRPr="00681223">
        <w:rPr>
          <w:b w:val="0"/>
          <w:bCs w:val="0"/>
        </w:rPr>
        <w:t xml:space="preserve">. Relative fractions of North American emissions from Canada, the United States, and Central America were scaled to reflect 2015 values reported in </w:t>
      </w:r>
      <w:r w:rsidRPr="00681223">
        <w:rPr>
          <w:b w:val="0"/>
          <w:bCs w:val="0"/>
        </w:rPr>
        <w:fldChar w:fldCharType="begin"/>
      </w:r>
      <w:r w:rsidRPr="00681223">
        <w:rPr>
          <w:b w:val="0"/>
          <w:bCs w:val="0"/>
        </w:rPr>
        <w:instrText xml:space="preserve"> ADDIN ZOTERO_ITEM CSL_CITATION {"citationID":"BoFKiL5v","properties":{"formattedCitation":"(Streets et al., 2019b)","plainCitation":"(Streets et al., 2019b)","dontUpdate":true,"noteIndex":0},"citationItems":[{"id":659,"uris":["http://zotero.org/users/local/VbtpDxdA/items/RFER2VFE","http://zotero.org/users/11937628/items/RFER2VFE"],"itemData":{"id":659,"type":"article-journal","abstract":"Mercury (Hg) is a naturally occurring element in the Earth's crust. It can be harmful to human health when released in large quantities and/or converted to the neurotoxicant methyl mercury in aquatic ecosystems. This study analyzes global and regional trends in anthropogenic Hg releases to the atmosphere between 2010 and 2015, as well as the associated trends in modeled and measured Hg concentrations at sites around the world. In general, we find that global Hg emissions and concentrations have grown slightly in this period, as declines from the phase-out of commercial Hg use in the developed world have been more than matched by increases in Hg-related activities in the industrializing countries of the world. We estimate that global Hg emissions between 2010 and 2015 have grown at a rate of 1.8%/yr, from 2188 Mg (+44%/-20%, 80% C.I.) in 2010 to 2390 Mg (+42%/-19%, 80% C.I.) in 2015. Regionally, emissions declined over this period in the U.S. (−10%), OECD Europe (−5.8%), and Canada (−3.2%), while they increased in Central America (+5.4%), South Asia (+4.6%), and Eastern Africa (+4.0%). East Asia remained the largest emitting region at 1012 Mg in 2015, though growth there has slowed significantly in recent years. The production of Hg (+7.9%), caustic soda (+6.3%), and cement (+6.3%) showed the highest increases by source type, though artisanal and small-scale gold mining (ASGM) was the single largest source of emissions in 2015 (775 Mg). The commercial use of Hg in dental applications (−5.6%) and electrical equipment (−5.2%) continued to decline. These emission trends show a continuation of the regional and sectoral shifts that began in the 1970s, but with a resulting reversal in global trends, because the benefits from Hg phase-out in North America and Europe have been largely realized and industrial growth in developing countries has begun to dominate. The emission trends are in agreement with trends in modeled and measured concentrations, which show small declines in surface air total gaseous Hg concentrations in eastern North America and Western Europe between 2010 and 2015, but slight increases for much of the rest of the world, driven by the continued increases in emissions from Asia and from ASGM. Our results suggest that reductions of Hg in the North Atlantic region have been largely successful, and focus now needs to shift to Asia and to the continued practice of ASGM worldwide.","container-title":"Atmospheric Environment","DOI":"10.1016/j.atmosenv.2018.12.031","ISSN":"13522310","issue":"December 2018","note":"publisher: Elsevier\nCitation Key: Streets2019a","page":"417-427","title":"Global and regional trends in mercury emissions and concentrations, 2010–2015","volume":"201","author":[{"family":"Streets","given":"David G."},{"family":"Horowitz","given":"Hannah M."},{"family":"Lu","given":"Zifeng"},{"family":"Levin","given":"Leonard"},{"family":"Thackray","given":"Colin P."},{"family":"Sunderland","given":"Elsie M."}],"issued":{"date-parts":[["2019",3]]}}}],"schema":"https://github.com/citation-style-language/schema/raw/master/csl-citation.json"} </w:instrText>
      </w:r>
      <w:r w:rsidRPr="00681223">
        <w:rPr>
          <w:b w:val="0"/>
          <w:bCs w:val="0"/>
        </w:rPr>
        <w:fldChar w:fldCharType="separate"/>
      </w:r>
      <w:r w:rsidRPr="00681223">
        <w:rPr>
          <w:b w:val="0"/>
          <w:bCs w:val="0"/>
        </w:rPr>
        <w:t>Streets et al. (2019b)</w:t>
      </w:r>
      <w:r w:rsidRPr="00681223">
        <w:rPr>
          <w:b w:val="0"/>
          <w:bCs w:val="0"/>
        </w:rPr>
        <w:fldChar w:fldCharType="end"/>
      </w:r>
      <w:r w:rsidRPr="00681223">
        <w:rPr>
          <w:b w:val="0"/>
          <w:bCs w:val="0"/>
        </w:rPr>
        <w:t xml:space="preserve"> for consistency with past work. </w:t>
      </w:r>
    </w:p>
    <w:p w14:paraId="73D0B34C" w14:textId="77777777" w:rsidR="00681223" w:rsidRPr="00CB4D1E" w:rsidRDefault="00681223" w:rsidP="00681223">
      <w:pPr>
        <w:pStyle w:val="Heading-Main"/>
        <w:rPr>
          <w:b w:val="0"/>
          <w:bCs w:val="0"/>
        </w:rPr>
      </w:pPr>
      <w:r w:rsidRPr="00681223">
        <w:rPr>
          <w:b w:val="0"/>
          <w:bCs w:val="0"/>
        </w:rPr>
        <w:t xml:space="preserve">We constructed source-receptor functions to quantify changes in atmospheric Hg deposition resulting from shifts in </w:t>
      </w:r>
      <w:r w:rsidRPr="00CB4D1E">
        <w:rPr>
          <w:b w:val="0"/>
          <w:bCs w:val="0"/>
        </w:rPr>
        <w:t>terrestrial and oceanic Hg</w:t>
      </w:r>
      <w:r w:rsidRPr="00CB4D1E">
        <w:rPr>
          <w:b w:val="0"/>
          <w:bCs w:val="0"/>
          <w:vertAlign w:val="superscript"/>
        </w:rPr>
        <w:t>0</w:t>
      </w:r>
      <w:r w:rsidRPr="00CB4D1E">
        <w:rPr>
          <w:b w:val="0"/>
          <w:bCs w:val="0"/>
        </w:rPr>
        <w:t xml:space="preserve"> evasion and for each anthropogenic emission region. Following Corbitt et al. (2011), we define each source-receptor function </w:t>
      </w:r>
      <w:proofErr w:type="spellStart"/>
      <w:r w:rsidRPr="00CB4D1E">
        <w:rPr>
          <w:b w:val="0"/>
          <w:bCs w:val="0"/>
          <w:i/>
          <w:iCs/>
        </w:rPr>
        <w:t>F</w:t>
      </w:r>
      <w:r w:rsidRPr="00CB4D1E">
        <w:rPr>
          <w:b w:val="0"/>
          <w:bCs w:val="0"/>
          <w:i/>
          <w:iCs/>
          <w:vertAlign w:val="subscript"/>
        </w:rPr>
        <w:t>ij</w:t>
      </w:r>
      <w:proofErr w:type="spellEnd"/>
      <w:r w:rsidRPr="00CB4D1E">
        <w:rPr>
          <w:b w:val="0"/>
          <w:bCs w:val="0"/>
        </w:rPr>
        <w:t xml:space="preserve"> as:</w:t>
      </w:r>
    </w:p>
    <w:p w14:paraId="287B5B27" w14:textId="4A9922FD" w:rsidR="00681223" w:rsidRPr="00CB4D1E" w:rsidRDefault="00000000" w:rsidP="00681223">
      <w:pPr>
        <w:pStyle w:val="Heading-Main"/>
        <w:rPr>
          <w:b w:val="0"/>
          <w:bCs w:val="0"/>
        </w:rPr>
      </w:pPr>
      <m:oMathPara>
        <m:oMath>
          <m:eqArr>
            <m:eqArrPr>
              <m:maxDist m:val="1"/>
              <m:ctrlPr>
                <w:rPr>
                  <w:rFonts w:ascii="Cambria Math" w:hAnsi="Cambria Math"/>
                  <w:b w:val="0"/>
                  <w:bCs w:val="0"/>
                  <w:i/>
                </w:rPr>
              </m:ctrlPr>
            </m:eqArrPr>
            <m:e>
              <m:sSub>
                <m:sSubPr>
                  <m:ctrlPr>
                    <w:rPr>
                      <w:rFonts w:ascii="Cambria Math" w:hAnsi="Cambria Math"/>
                      <w:b w:val="0"/>
                      <w:bCs w:val="0"/>
                      <w:i/>
                    </w:rPr>
                  </m:ctrlPr>
                </m:sSubPr>
                <m:e>
                  <m:r>
                    <w:rPr>
                      <w:rFonts w:ascii="Cambria Math" w:hAnsi="Cambria Math"/>
                    </w:rPr>
                    <m:t>F</m:t>
                  </m:r>
                </m:e>
                <m:sub>
                  <m:r>
                    <w:rPr>
                      <w:rFonts w:ascii="Cambria Math" w:hAnsi="Cambria Math"/>
                    </w:rPr>
                    <m:t>ij</m:t>
                  </m:r>
                </m:sub>
              </m:sSub>
              <m:r>
                <w:rPr>
                  <w:rFonts w:ascii="Cambria Math" w:hAnsi="Cambria Math"/>
                </w:rPr>
                <m:t>=</m:t>
              </m:r>
              <m:f>
                <m:fPr>
                  <m:ctrlPr>
                    <w:rPr>
                      <w:rFonts w:ascii="Cambria Math" w:hAnsi="Cambria Math"/>
                      <w:b w:val="0"/>
                      <w:bCs w:val="0"/>
                      <w:i/>
                    </w:rPr>
                  </m:ctrlPr>
                </m:fPr>
                <m:num>
                  <m:sSub>
                    <m:sSubPr>
                      <m:ctrlPr>
                        <w:rPr>
                          <w:rFonts w:ascii="Cambria Math" w:hAnsi="Cambria Math"/>
                          <w:b w:val="0"/>
                          <w:bCs w:val="0"/>
                          <w:i/>
                        </w:rPr>
                      </m:ctrlPr>
                    </m:sSubPr>
                    <m:e>
                      <m:r>
                        <w:rPr>
                          <w:rFonts w:ascii="Cambria Math" w:hAnsi="Cambria Math"/>
                        </w:rPr>
                        <m:t>D</m:t>
                      </m:r>
                    </m:e>
                    <m:sub>
                      <m:r>
                        <w:rPr>
                          <w:rFonts w:ascii="Cambria Math" w:hAnsi="Cambria Math"/>
                        </w:rPr>
                        <m:t>ij</m:t>
                      </m:r>
                    </m:sub>
                  </m:sSub>
                </m:num>
                <m:den>
                  <m:sSub>
                    <m:sSubPr>
                      <m:ctrlPr>
                        <w:rPr>
                          <w:rFonts w:ascii="Cambria Math" w:hAnsi="Cambria Math"/>
                          <w:b w:val="0"/>
                          <w:bCs w:val="0"/>
                          <w:i/>
                        </w:rPr>
                      </m:ctrlPr>
                    </m:sSubPr>
                    <m:e>
                      <m:r>
                        <w:rPr>
                          <w:rFonts w:ascii="Cambria Math" w:hAnsi="Cambria Math"/>
                        </w:rPr>
                        <m:t>E</m:t>
                      </m:r>
                    </m:e>
                    <m:sub>
                      <m:r>
                        <w:rPr>
                          <w:rFonts w:ascii="Cambria Math" w:hAnsi="Cambria Math"/>
                        </w:rPr>
                        <m:t>i</m:t>
                      </m:r>
                    </m:sub>
                  </m:sSub>
                </m:den>
              </m:f>
              <m:r>
                <w:rPr>
                  <w:rFonts w:ascii="Cambria Math" w:hAnsi="Cambria Math"/>
                </w:rPr>
                <m:t>#</m:t>
              </m:r>
              <m:d>
                <m:dPr>
                  <m:ctrlPr>
                    <w:rPr>
                      <w:rFonts w:ascii="Cambria Math" w:hAnsi="Cambria Math"/>
                      <w:b w:val="0"/>
                      <w:bCs w:val="0"/>
                      <w:i/>
                    </w:rPr>
                  </m:ctrlPr>
                </m:dPr>
                <m:e>
                  <m:r>
                    <w:rPr>
                      <w:rFonts w:ascii="Cambria Math" w:hAnsi="Cambria Math"/>
                    </w:rPr>
                    <m:t>2</m:t>
                  </m:r>
                </m:e>
              </m:d>
            </m:e>
          </m:eqArr>
        </m:oMath>
      </m:oMathPara>
    </w:p>
    <w:p w14:paraId="1F64BA44" w14:textId="1B8C01CA" w:rsidR="00681223" w:rsidRPr="00CB4D1E" w:rsidRDefault="00681223" w:rsidP="00681223">
      <w:pPr>
        <w:pStyle w:val="Heading-Main"/>
        <w:rPr>
          <w:b w:val="0"/>
          <w:bCs w:val="0"/>
        </w:rPr>
      </w:pPr>
      <w:r w:rsidRPr="00CB4D1E">
        <w:rPr>
          <w:b w:val="0"/>
          <w:bCs w:val="0"/>
        </w:rPr>
        <w:t xml:space="preserve">where </w:t>
      </w:r>
      <w:proofErr w:type="spellStart"/>
      <w:r w:rsidRPr="00CB4D1E">
        <w:rPr>
          <w:b w:val="0"/>
          <w:bCs w:val="0"/>
          <w:i/>
          <w:iCs/>
        </w:rPr>
        <w:t>D</w:t>
      </w:r>
      <w:r w:rsidRPr="00CB4D1E">
        <w:rPr>
          <w:b w:val="0"/>
          <w:bCs w:val="0"/>
          <w:i/>
          <w:iCs/>
          <w:vertAlign w:val="subscript"/>
        </w:rPr>
        <w:t>ij</w:t>
      </w:r>
      <w:proofErr w:type="spellEnd"/>
      <w:r w:rsidRPr="00CB4D1E">
        <w:rPr>
          <w:b w:val="0"/>
          <w:bCs w:val="0"/>
        </w:rPr>
        <w:t xml:space="preserve"> is the total mercury deposition flux to receptor grid cell </w:t>
      </w:r>
      <w:r w:rsidRPr="00CB4D1E">
        <w:rPr>
          <w:b w:val="0"/>
          <w:bCs w:val="0"/>
          <w:i/>
          <w:iCs/>
        </w:rPr>
        <w:t>j</w:t>
      </w:r>
      <w:r w:rsidRPr="00CB4D1E">
        <w:rPr>
          <w:b w:val="0"/>
          <w:bCs w:val="0"/>
        </w:rPr>
        <w:t xml:space="preserve"> from emissions in region </w:t>
      </w:r>
      <w:proofErr w:type="spellStart"/>
      <w:r w:rsidRPr="00CB4D1E">
        <w:rPr>
          <w:b w:val="0"/>
          <w:bCs w:val="0"/>
          <w:i/>
          <w:iCs/>
        </w:rPr>
        <w:t>i</w:t>
      </w:r>
      <w:proofErr w:type="spellEnd"/>
      <w:r w:rsidRPr="00CB4D1E">
        <w:rPr>
          <w:b w:val="0"/>
          <w:bCs w:val="0"/>
        </w:rPr>
        <w:t xml:space="preserve">, and </w:t>
      </w:r>
      <w:proofErr w:type="spellStart"/>
      <w:r w:rsidRPr="00CB4D1E">
        <w:rPr>
          <w:b w:val="0"/>
          <w:bCs w:val="0"/>
          <w:i/>
          <w:iCs/>
        </w:rPr>
        <w:t>E</w:t>
      </w:r>
      <w:r w:rsidRPr="00CB4D1E">
        <w:rPr>
          <w:b w:val="0"/>
          <w:bCs w:val="0"/>
          <w:i/>
          <w:iCs/>
          <w:vertAlign w:val="subscript"/>
        </w:rPr>
        <w:t>i</w:t>
      </w:r>
      <w:proofErr w:type="spellEnd"/>
      <w:r w:rsidRPr="00CB4D1E">
        <w:rPr>
          <w:b w:val="0"/>
          <w:bCs w:val="0"/>
        </w:rPr>
        <w:t xml:space="preserve"> is the magnitude of emissions from region </w:t>
      </w:r>
      <w:proofErr w:type="spellStart"/>
      <w:r w:rsidRPr="00CB4D1E">
        <w:rPr>
          <w:b w:val="0"/>
          <w:bCs w:val="0"/>
          <w:i/>
          <w:iCs/>
        </w:rPr>
        <w:t>i</w:t>
      </w:r>
      <w:proofErr w:type="spellEnd"/>
      <w:r w:rsidRPr="00CB4D1E">
        <w:rPr>
          <w:b w:val="0"/>
          <w:bCs w:val="0"/>
        </w:rPr>
        <w:t>.</w:t>
      </w:r>
    </w:p>
    <w:p w14:paraId="764A8709" w14:textId="77777777" w:rsidR="00681223" w:rsidRPr="00681223" w:rsidRDefault="00681223" w:rsidP="00681223">
      <w:pPr>
        <w:pStyle w:val="Heading-Main"/>
        <w:rPr>
          <w:b w:val="0"/>
          <w:bCs w:val="0"/>
        </w:rPr>
      </w:pPr>
      <w:r w:rsidRPr="00681223">
        <w:rPr>
          <w:b w:val="0"/>
          <w:bCs w:val="0"/>
        </w:rPr>
        <w:t>2.4 Global Biogeochemical Box Model (GBBM)</w:t>
      </w:r>
    </w:p>
    <w:p w14:paraId="242B5749" w14:textId="468FA57C" w:rsidR="00681223" w:rsidRPr="00681223" w:rsidRDefault="00681223" w:rsidP="00681223">
      <w:pPr>
        <w:pStyle w:val="Heading-Main"/>
        <w:rPr>
          <w:b w:val="0"/>
          <w:bCs w:val="0"/>
        </w:rPr>
      </w:pPr>
      <w:r w:rsidRPr="00681223">
        <w:rPr>
          <w:b w:val="0"/>
          <w:bCs w:val="0"/>
        </w:rPr>
        <w:t>An updated version of the multi-compartment Global Biogeochemical Box Model (GBBM) developed by Amos et al. (2013; 2014) was used to simulate future shifts in atmospheric deposition from legacy mercury emissions (Text S</w:t>
      </w:r>
      <w:r w:rsidR="0061101F">
        <w:rPr>
          <w:b w:val="0"/>
          <w:bCs w:val="0"/>
        </w:rPr>
        <w:t>1</w:t>
      </w:r>
      <w:r w:rsidRPr="00681223">
        <w:rPr>
          <w:b w:val="0"/>
          <w:bCs w:val="0"/>
        </w:rPr>
        <w:t xml:space="preserve">; Table S1-S2). The GBBM represents Hg cycling between the atmosphere, terrestrial biosphere (fast, slow, protected), ocean (surface, intermediate, deep), and removal by burial in marine sediment. </w:t>
      </w:r>
    </w:p>
    <w:p w14:paraId="2DC05E77" w14:textId="79E3A88F" w:rsidR="00681223" w:rsidRPr="00681223" w:rsidRDefault="00681223" w:rsidP="00681223">
      <w:pPr>
        <w:pStyle w:val="Heading-Main"/>
        <w:rPr>
          <w:b w:val="0"/>
          <w:bCs w:val="0"/>
        </w:rPr>
      </w:pPr>
      <w:r w:rsidRPr="00681223">
        <w:rPr>
          <w:b w:val="0"/>
          <w:bCs w:val="0"/>
        </w:rPr>
        <w:t xml:space="preserve">We added four new compartments to the GBBM that represent waste reservoirs (fast, slow, protected, and immobilized) to explicitly track the fate of the estimated 1.13 </w:t>
      </w:r>
      <w:proofErr w:type="spellStart"/>
      <w:r w:rsidRPr="00681223">
        <w:rPr>
          <w:b w:val="0"/>
          <w:bCs w:val="0"/>
        </w:rPr>
        <w:t>Tg</w:t>
      </w:r>
      <w:proofErr w:type="spellEnd"/>
      <w:r w:rsidRPr="00681223">
        <w:rPr>
          <w:b w:val="0"/>
          <w:bCs w:val="0"/>
        </w:rPr>
        <w:t xml:space="preserve"> Hg released by humans to land and water from 1510</w:t>
      </w:r>
      <w:r w:rsidR="00B56720">
        <w:rPr>
          <w:b w:val="0"/>
          <w:bCs w:val="0"/>
        </w:rPr>
        <w:t>-</w:t>
      </w:r>
      <w:r w:rsidRPr="00681223">
        <w:rPr>
          <w:b w:val="0"/>
          <w:bCs w:val="0"/>
        </w:rPr>
        <w:t xml:space="preserve">2010 </w:t>
      </w:r>
      <w:r w:rsidRPr="00681223">
        <w:rPr>
          <w:b w:val="0"/>
          <w:bCs w:val="0"/>
        </w:rPr>
        <w:fldChar w:fldCharType="begin"/>
      </w:r>
      <w:r w:rsidRPr="00681223">
        <w:rPr>
          <w:b w:val="0"/>
          <w:bCs w:val="0"/>
        </w:rPr>
        <w:instrText xml:space="preserve"> ADDIN ZOTERO_ITEM CSL_CITATION {"citationID":"IfGB8Hdd","properties":{"formattedCitation":"(Streets et al., 2019a)","plainCitation":"(Streets et al., 2019a)","noteIndex":0},"citationItems":[{"id":586,"uris":["http://zotero.org/users/local/VbtpDxdA/items/KKDCXK4A","http://zotero.org/users/11937628/items/KKDCXK4A"],"itemData":{"id":586,"type":"article-journal","abstract":"&lt;p&gt; When released to the biosphere, mercury (Hg) is very mobile and can take millennia to be returned to a secure, long-term repository. Understanding where and when Hg was released as a result of human activities allows better quantification of present-day reemissions and future trajectories of environmental concentrations. In this work, we estimate the time-varying releases of Hg in seven world regions over the 500 year period, 1510–2010. By our estimation, this comprises 95% of all-time anthropogenic releases. Globally, 1.47 Tg of Hg were released in this period, 23% directly to the atmosphere and 77% to land and water bodies. Cumulative releases have been largest in Europe (427 Gg) and North America (413 Gg). In some world regions (Africa/Middle East and Oceania), almost all (&amp;gt;99%) of the Hg is relatively recent (emitted since 1850), whereas in South America it is mostly of older vintage (63% emitted before 1850). Asia was the greatest-emitting region in 2010, while releases in Europe and North America have declined since the 1970s, as recognition of the risks posed by Hg have led to its phase-out in commercial usage. The continued use of Hg in artisanal and small-scale gold mining means that the Africa/Middle East region is now a major contributor. We estimate that 72% of cumulative Hg emissions to air has been in the form of elemental mercury (Hg &lt;sup&gt;0&lt;/sup&gt; ), which has a long lifetime in the atmosphere and can therefore be transported long distances. Our results show that 83% of the total Hg has been released to local water bodies, onto land, or quickly deposited from the air in divalent (Hg &lt;sup&gt;II&lt;/sup&gt; ) form. Regionally, this value ranges from 77% in Africa/Middle East and Oceania to 89% in South America. Results from global biogeochemical modeling indicate improved agreement of the refined emission estimates in this study with archival records of Hg accumulation in estuarine and deep ocean sediment. &lt;/p&gt;","container-title":"Environmental Research Letters","DOI":"10.1088/1748-9326/ab281f","ISSN":"1748-9326","issue":"8","note":"Citation Key: Streets2019b","page":"084004","title":"Five hundred years of anthropogenic mercury: spatial and temporal release profiles*","volume":"14","author":[{"family":"Streets","given":"David G"},{"family":"Horowitz","given":"Hannah M"},{"family":"Lu","given":"Zifeng"},{"family":"Levin","given":"Leonard"},{"family":"Thackray","given":"Colin P"},{"family":"Sunderland","given":"Elsie M"}],"issued":{"date-parts":[["2019",8,1]]}}}],"schema":"https://github.com/citation-style-language/schema/raw/master/csl-citation.json"} </w:instrText>
      </w:r>
      <w:r w:rsidRPr="00681223">
        <w:rPr>
          <w:b w:val="0"/>
          <w:bCs w:val="0"/>
        </w:rPr>
        <w:fldChar w:fldCharType="separate"/>
      </w:r>
      <w:r w:rsidRPr="00681223">
        <w:rPr>
          <w:b w:val="0"/>
          <w:bCs w:val="0"/>
        </w:rPr>
        <w:t>(Streets et al., 2019a)</w:t>
      </w:r>
      <w:r w:rsidRPr="00681223">
        <w:rPr>
          <w:b w:val="0"/>
          <w:bCs w:val="0"/>
        </w:rPr>
        <w:fldChar w:fldCharType="end"/>
      </w:r>
      <w:r w:rsidRPr="00681223">
        <w:rPr>
          <w:b w:val="0"/>
          <w:bCs w:val="0"/>
        </w:rPr>
        <w:t>. These releases include</w:t>
      </w:r>
      <w:r w:rsidR="00FC1F5E">
        <w:rPr>
          <w:b w:val="0"/>
          <w:bCs w:val="0"/>
        </w:rPr>
        <w:t>d</w:t>
      </w:r>
      <w:r w:rsidRPr="00681223">
        <w:rPr>
          <w:b w:val="0"/>
          <w:bCs w:val="0"/>
        </w:rPr>
        <w:t xml:space="preserve"> tailings and waste from mining and metals production, chlor-alkali plants, and substantial contributions from Hg use in commercial products </w:t>
      </w:r>
      <w:r w:rsidRPr="00681223">
        <w:rPr>
          <w:b w:val="0"/>
          <w:bCs w:val="0"/>
        </w:rPr>
        <w:fldChar w:fldCharType="begin"/>
      </w:r>
      <w:r w:rsidRPr="00681223">
        <w:rPr>
          <w:b w:val="0"/>
          <w:bCs w:val="0"/>
        </w:rPr>
        <w:instrText xml:space="preserve"> ADDIN ZOTERO_ITEM CSL_CITATION {"citationID":"bT4oBaC6","properties":{"formattedCitation":"(Hannah M. Horowitz et al., 2014; Streets et al., 2011)","plainCitation":"(Hannah M. Horowitz et al., 2014; Streets et al., 2011)","dontUpdate":true,"noteIndex":0},"citationItems":[{"id":434,"uris":["http://zotero.org/users/11937628/items/INIZ8WQV"],"itemData":{"id":434,"type":"article-journal","abstract":"The intentional use of mercury (Hg) in products and processes (\"commercial Hg\") has contributed a large and previously unquantified anthropogenic source of Hg to the global environment over the industrial era, with major implications for Hg accumulation in environmental reservoirs. We present a global inventory of commercial Hg uses and releases to the atmosphere, water, soil, and landfills from 1850 to 2010. Previous inventories of anthropogenic Hg releases have focused almost exclusively on atmospheric emissions from \"byproduct\" sectors (e.g., fossil fuel combustion). Cumulative anthropogenic atmospheric Hg emissions since 1850 have recently been estimated at 215 Gg (only including commercial Hg releases from chlor-alkali production, waste incineration, and mining). We find that other commercial Hg uses and nonatmospheric releases from chlor-alkali and mining result in an additional 540 Gg of Hg released to the global environment since 1850 (air: 20%; water: 30%; soil: 30%; landfills: 20%). Some of this release has been sequestered in landfills and benthic sediments, but 310 Gg actively cycles among geochemical reservoirs and contributes to elevated present-day environmental Hg concentrations. Commercial Hg use peaked in 1970 and has declined sharply since. We use our inventory of historical environmental releases to force a global biogeochemical model that includes new estimates of the global burial in ocean margin sediments. Accounting for commercial Hg releases improves model consistency with observed atmospheric concentrations and associated historical trends. © 2014 American Chemical Society.","container-title":"Environmental Science &amp; Technology","DOI":"10.1021/es501337j","ISSN":"0013-936X","issue":"17","note":"Citation Key: Horowitz2014","page":"10242-10250","title":"Historical Mercury Releases from Commercial Products: Global Environmental Implications","volume":"48","author":[{"family":"Horowitz","given":"Hannah M."},{"family":"Jacob","given":"Daniel J."},{"family":"Amos","given":"Helen M."},{"family":"Streets","given":"David G."},{"family":"Sunderland","given":"Elsie M."}],"issued":{"date-parts":[["2014",9,2]]}}},{"id":590,"uris":["http://zotero.org/users/local/VbtpDxdA/items/GIAEH7GT","http://zotero.org/users/11937628/items/GIAEH7GT"],"itemData":{"id":590,"type":"article-journal","abstract":"Understanding the biogeochemical cycling of mercury is critical for explaining the presence of mercury in remote regions of the world, such as the Arctic and the Himalayas, as well as local concentrations. While we have good knowledge of present-day fluxes of mercury to the atmosphere, we have little knowledge of what emission levels were like in the past. Here we develop a trend of anthropogenic emissions of mercury to the atmosphere from 1850 to 2008-for which relatively complete data are available-and supplement that trend with an estimate of anthropogenic emissions prior to 1850. Global mercury emissions peaked in 1890 at 2600 Mg yr-1, fell to 700-800 Mg yr-1 in the interwar years, then rose steadily after 1950 to present-day levels of 2000 Mg yr-1. Our estimate for total mercury emissions from human activities over all time is 350 Gg, of which 39% was emitted before 1850 and 61% after 1850. Using an eight-compartment global box-model of mercury biogeochemical cycling, we show that these emission trends successfully reproduce present-day atmospheric enrichment in mercury. © 2011 American Chemical Society.","container-title":"Environmental Science and Technology","DOI":"10.1021/es202765m","ISSN":"0013936X","issue":"24","note":"PMID: 22070723\nCitation Key: Streets2011","page":"10485-10491","title":"All-time releases of mercury to the atmosphere from human activities","volume":"45","author":[{"family":"Streets","given":"David G."},{"family":"Devane","given":"Molly K."},{"family":"Lu","given":"Zifeng"},{"family":"Bond","given":"Tami C."},{"family":"Sunderland","given":"Elsie M."},{"family":"Jacob","given":"Daniel J."}],"issued":{"date-parts":[["2011"]]}}}],"schema":"https://github.com/citation-style-language/schema/raw/master/csl-citation.json"} </w:instrText>
      </w:r>
      <w:r w:rsidRPr="00681223">
        <w:rPr>
          <w:b w:val="0"/>
          <w:bCs w:val="0"/>
        </w:rPr>
        <w:fldChar w:fldCharType="separate"/>
      </w:r>
      <w:r w:rsidRPr="00681223">
        <w:rPr>
          <w:b w:val="0"/>
          <w:bCs w:val="0"/>
        </w:rPr>
        <w:t>(Horowitz et al., 2014; Streets et al., 2011)</w:t>
      </w:r>
      <w:r w:rsidRPr="00681223">
        <w:rPr>
          <w:b w:val="0"/>
          <w:bCs w:val="0"/>
        </w:rPr>
        <w:fldChar w:fldCharType="end"/>
      </w:r>
      <w:r w:rsidRPr="00681223">
        <w:rPr>
          <w:b w:val="0"/>
          <w:bCs w:val="0"/>
        </w:rPr>
        <w:t xml:space="preserve">. In prior work, anthropogenic releases to land and water were added to soil compartments of the GBBM (Streets et al., 2017). However, it is likely that the majority of such releases are sequestered at contaminated sites and do not have the same diffuse impacts on deposition as atmospheric sources </w:t>
      </w:r>
      <w:r w:rsidRPr="00681223">
        <w:rPr>
          <w:b w:val="0"/>
          <w:bCs w:val="0"/>
        </w:rPr>
        <w:fldChar w:fldCharType="begin"/>
      </w:r>
      <w:r w:rsidRPr="00681223">
        <w:rPr>
          <w:b w:val="0"/>
          <w:bCs w:val="0"/>
        </w:rPr>
        <w:instrText xml:space="preserve"> ADDIN ZOTERO_ITEM CSL_CITATION {"citationID":"oYoqd6nn","properties":{"formattedCitation":"(Guerrero &amp; Schneider, 2023; Kocman et al., 2017)","plainCitation":"(Guerrero &amp; Schneider, 2023; Kocman et al., 2017)","noteIndex":0},"citationItems":[{"id":1525,"uris":["http://zotero.org/users/11937628/items/5939ESTP"],"itemData":{"id":1525,"type":"article-journal","abstract":"During the nineteenth century, a major change took place in the trade, production, and use of mercury that altered its nearly exclusive link to silver refining in the Hispanic New World. We track the global expansion of mercury markets in chronological detail from 1511 to 1900 using historical archives on production and trade, a detailed country-by-country accounting of the pool of anthropogenic mercury from which legacy mercury was ultimately generated. The nature and profile of pre-1900 legacy mercury extends beyond silver refining, mercury production, and gold extraction, and includes alternate sources (vermilion, felt, mercury fulminate) and new regions that were not major silver or gold producers (China, India, United Kingdom, France, among others), that accounted for approximately 50% of total mercury consumed in the nineteenth century. The nature of the pre-1900 mercury market requires a quantitative distinction between legacy mercury and historic anthropogenic mercury production and use, since the chemistry of its end-uses determines the pathways and timelines for its incorporation into the global biogeochemical cycle. We thus introduce the concept of a mercury source pool to account for total historic anthropogenic mercury within and outside this cycle. Together with a critical review of previous assumptions used to reconstruct the historical use and loss of mercury, a much lower level of emissions of pre-1900 legacy mercury is proposed. A coordinated effort across disciplines is needed, to complete a historically accurate scenario that can guide the multilateral policies adopted under the United Nations Minamata Convention to control mercury in the environment.","container-title":"Proceedings of the National Academy of Sciences","DOI":"10.1073/pnas.2304059120","ISSN":"0027-8424, 1091-6490","issue":"31","journalAbbreviation":"Proc. Natl. Acad. Sci. U.S.A.","language":"en","page":"e2304059120","source":"DOI.org (Crossref)","title":"The global roots of pre-1900 legacy mercury","volume":"120","author":[{"family":"Guerrero","given":"Saul"},{"family":"Schneider","given":"Larissa"}],"issued":{"date-parts":[["2023",8]]}}},{"id":1512,"uris":["http://zotero.org/users/11937628/items/3GIFUJK8"],"itemData":{"id":1512,"type":"article-journal","container-title":"International Journal of Environmental Research and Public Health","DOI":"10.3390/ijerph14020138","ISSN":"1660-4601","issue":"2","journalAbbreviation":"IJERPH","language":"en","page":"138","source":"DOI.org (Crossref)","title":"Toward an Assessment of the Global Inventory of Present-Day Mercury Releases to Freshwater Environments","volume":"14","author":[{"family":"Kocman","given":"David"},{"family":"Wilson","given":"Simon"},{"family":"Amos","given":"Helen"},{"family":"Telmer","given":"Kevin"},{"family":"Steenhuisen","given":"Frits"},{"family":"Sunderland","given":"Elsie"},{"family":"Mason","given":"Robert"},{"family":"Outridge","given":"Peter"},{"family":"Horvat","given":"Milena"}],"issued":{"date-parts":[["2017",2,1]]}}}],"schema":"https://github.com/citation-style-language/schema/raw/master/csl-citation.json"} </w:instrText>
      </w:r>
      <w:r w:rsidRPr="00681223">
        <w:rPr>
          <w:b w:val="0"/>
          <w:bCs w:val="0"/>
        </w:rPr>
        <w:fldChar w:fldCharType="separate"/>
      </w:r>
      <w:r w:rsidRPr="00681223">
        <w:rPr>
          <w:b w:val="0"/>
          <w:bCs w:val="0"/>
        </w:rPr>
        <w:t>(Guerrero &amp; Schneider, 2023; Kocman et al., 2017)</w:t>
      </w:r>
      <w:r w:rsidRPr="00681223">
        <w:rPr>
          <w:b w:val="0"/>
          <w:bCs w:val="0"/>
        </w:rPr>
        <w:fldChar w:fldCharType="end"/>
      </w:r>
      <w:r w:rsidR="004B5AAE">
        <w:rPr>
          <w:b w:val="0"/>
          <w:bCs w:val="0"/>
        </w:rPr>
        <w:t>. T</w:t>
      </w:r>
      <w:r w:rsidRPr="00681223">
        <w:rPr>
          <w:b w:val="0"/>
          <w:bCs w:val="0"/>
        </w:rPr>
        <w:t>herefore</w:t>
      </w:r>
      <w:r w:rsidR="004B5AAE">
        <w:rPr>
          <w:b w:val="0"/>
          <w:bCs w:val="0"/>
        </w:rPr>
        <w:t>, we independently track</w:t>
      </w:r>
      <w:r w:rsidR="00FC1F5E">
        <w:rPr>
          <w:b w:val="0"/>
          <w:bCs w:val="0"/>
        </w:rPr>
        <w:t>ed</w:t>
      </w:r>
      <w:r w:rsidR="004B5AAE">
        <w:rPr>
          <w:b w:val="0"/>
          <w:bCs w:val="0"/>
        </w:rPr>
        <w:t xml:space="preserve"> land and water Hg releases</w:t>
      </w:r>
      <w:r w:rsidRPr="00681223">
        <w:rPr>
          <w:b w:val="0"/>
          <w:bCs w:val="0"/>
        </w:rPr>
        <w:t xml:space="preserve">. We parameterized </w:t>
      </w:r>
      <w:r w:rsidR="00B921F9">
        <w:rPr>
          <w:b w:val="0"/>
          <w:bCs w:val="0"/>
        </w:rPr>
        <w:t>re-emissions</w:t>
      </w:r>
      <w:r w:rsidRPr="00681223">
        <w:rPr>
          <w:b w:val="0"/>
          <w:bCs w:val="0"/>
        </w:rPr>
        <w:t xml:space="preserve"> of Hg</w:t>
      </w:r>
      <w:r w:rsidRPr="00681223">
        <w:rPr>
          <w:b w:val="0"/>
          <w:bCs w:val="0"/>
          <w:vertAlign w:val="superscript"/>
        </w:rPr>
        <w:t xml:space="preserve">0 </w:t>
      </w:r>
      <w:r w:rsidRPr="00681223">
        <w:rPr>
          <w:b w:val="0"/>
          <w:bCs w:val="0"/>
        </w:rPr>
        <w:t>and discharges of Hg</w:t>
      </w:r>
      <w:r w:rsidRPr="00681223">
        <w:rPr>
          <w:b w:val="0"/>
          <w:bCs w:val="0"/>
          <w:vertAlign w:val="superscript"/>
        </w:rPr>
        <w:t>II</w:t>
      </w:r>
      <w:r w:rsidRPr="00681223">
        <w:rPr>
          <w:b w:val="0"/>
          <w:bCs w:val="0"/>
        </w:rPr>
        <w:t xml:space="preserve"> to rivers from waste compartments using the same rate coefficients as for the </w:t>
      </w:r>
      <w:r w:rsidRPr="00681223">
        <w:rPr>
          <w:b w:val="0"/>
          <w:bCs w:val="0"/>
        </w:rPr>
        <w:lastRenderedPageBreak/>
        <w:t xml:space="preserve">fast, slow, and protected terrestrial Hg in the GBBM. Land and water Hg releases </w:t>
      </w:r>
      <w:r w:rsidR="00FC1F5E">
        <w:rPr>
          <w:b w:val="0"/>
          <w:bCs w:val="0"/>
        </w:rPr>
        <w:t>were</w:t>
      </w:r>
      <w:r w:rsidR="00FC1F5E" w:rsidRPr="00681223">
        <w:rPr>
          <w:b w:val="0"/>
          <w:bCs w:val="0"/>
        </w:rPr>
        <w:t xml:space="preserve"> </w:t>
      </w:r>
      <w:r w:rsidRPr="00681223">
        <w:rPr>
          <w:b w:val="0"/>
          <w:bCs w:val="0"/>
        </w:rPr>
        <w:t xml:space="preserve">partitioned into waste pools following </w:t>
      </w:r>
      <w:r w:rsidR="00FC1F5E">
        <w:rPr>
          <w:b w:val="0"/>
          <w:bCs w:val="0"/>
        </w:rPr>
        <w:t xml:space="preserve">the </w:t>
      </w:r>
      <w:r w:rsidRPr="00681223">
        <w:rPr>
          <w:b w:val="0"/>
          <w:bCs w:val="0"/>
        </w:rPr>
        <w:t xml:space="preserve">methods described in </w:t>
      </w:r>
      <w:r w:rsidRPr="00681223">
        <w:rPr>
          <w:b w:val="0"/>
          <w:bCs w:val="0"/>
        </w:rPr>
        <w:fldChar w:fldCharType="begin"/>
      </w:r>
      <w:r w:rsidRPr="00681223">
        <w:rPr>
          <w:b w:val="0"/>
          <w:bCs w:val="0"/>
        </w:rPr>
        <w:instrText xml:space="preserve"> ADDIN ZOTERO_ITEM CSL_CITATION {"citationID":"W3aKZKKQ","properties":{"formattedCitation":"(Streets et al., 2017)","plainCitation":"(Streets et al., 2017)","dontUpdate":true,"noteIndex":0},"citationItems":[{"id":569,"uris":["http://zotero.org/users/local/VbtpDxdA/items/XTWFQ4JP","http://zotero.org/users/11937628/items/XTWFQ4JP"],"itemData":{"id":569,"type":"article-journal","abstract":"We estimate that a cumulative total of 1540 (1060-2800) Gg (gigagrams, 109 grams or thousand tonnes) of mercury (Hg) have been released by human activities up to 2010, 73% of which was released after 1850. Of this liberated Hg, 470 Gg were emitted directly into the atmosphere, and 74% of the air emissions were elemental Hg. Cumulatively, about 1070 Gg were released to land and water bodies. Though annual releases of Hg have been relatively stable since 1880 at 8 ± 2 Gg, except for wartime, the distributions of those releases among source types, world regions, and environmental media have changed dramatically. Production of Hg accounts for 27% of cumulative Hg releases to the environment, followed by silver production (24%) and chemicals manufacturing (12%). North America (30%), Europe (27%), and Asia (16%) have experienced the largest releases. Biogeochemical modeling shows a 3.2-fold increase in the atmospheric burden relative to 1850 and a contemporary atmospheric reservoir of 4.57 Gg, both of which agree well with observational constraints. We find that approximately 40% (390 Gg) of the Hg discarded to land and water must be sequestered at contaminated sites to maintain consistency with recent declines in atmospheric Hg concentrations.","container-title":"Environmental Science &amp; Technology","DOI":"10.1021/acs.est.7b00451","ISSN":"0013-936X","issue":"11","note":"Citation Key: Streets2017","page":"5969-5977","title":"Total Mercury Released to the Environment by Human Activities","volume":"51","author":[{"family":"Streets","given":"David G."},{"family":"Horowitz","given":"Hannah M."},{"family":"Jacob","given":"Daniel J."},{"family":"Lu","given":"Zifeng"},{"family":"Levin","given":"Leonard"},{"family":"Schure","given":"Arnout F. H.","non-dropping-particle":"ter"},{"family":"Sunderland","given":"Elsie M."}],"issued":{"date-parts":[["2017",6,6]]}}}],"schema":"https://github.com/citation-style-language/schema/raw/master/csl-citation.json"} </w:instrText>
      </w:r>
      <w:r w:rsidRPr="00681223">
        <w:rPr>
          <w:b w:val="0"/>
          <w:bCs w:val="0"/>
        </w:rPr>
        <w:fldChar w:fldCharType="separate"/>
      </w:r>
      <w:r w:rsidRPr="00681223">
        <w:rPr>
          <w:b w:val="0"/>
          <w:bCs w:val="0"/>
        </w:rPr>
        <w:t>Streets et al. (2017)</w:t>
      </w:r>
      <w:r w:rsidRPr="00681223">
        <w:rPr>
          <w:b w:val="0"/>
          <w:bCs w:val="0"/>
        </w:rPr>
        <w:fldChar w:fldCharType="end"/>
      </w:r>
      <w:r w:rsidRPr="00681223">
        <w:rPr>
          <w:b w:val="0"/>
          <w:bCs w:val="0"/>
        </w:rPr>
        <w:t xml:space="preserve"> (Text S1). </w:t>
      </w:r>
    </w:p>
    <w:p w14:paraId="2B7B2021" w14:textId="535A364A" w:rsidR="00681223" w:rsidRPr="00681223" w:rsidRDefault="00681223" w:rsidP="00C81368">
      <w:pPr>
        <w:pStyle w:val="Heading-Main"/>
        <w:rPr>
          <w:b w:val="0"/>
          <w:bCs w:val="0"/>
        </w:rPr>
      </w:pPr>
      <w:r w:rsidRPr="00681223">
        <w:rPr>
          <w:b w:val="0"/>
          <w:bCs w:val="0"/>
        </w:rPr>
        <w:t>We simulated the time-dependent fate of future anthropogenic Hg releases separately for each scenario. In each simulation, the model was initialized by calculating the steady state distribution of mercury among reservoirs under a constant geogenic Hg flux of 230 Mg a</w:t>
      </w:r>
      <w:r w:rsidRPr="00681223">
        <w:rPr>
          <w:b w:val="0"/>
          <w:bCs w:val="0"/>
          <w:vertAlign w:val="superscript"/>
        </w:rPr>
        <w:t>-1</w:t>
      </w:r>
      <w:r w:rsidRPr="00681223">
        <w:rPr>
          <w:b w:val="0"/>
          <w:bCs w:val="0"/>
        </w:rPr>
        <w:t xml:space="preserve"> from subaerial volcanism and 50 Mg a</w:t>
      </w:r>
      <w:r w:rsidRPr="00681223">
        <w:rPr>
          <w:b w:val="0"/>
          <w:bCs w:val="0"/>
          <w:vertAlign w:val="superscript"/>
        </w:rPr>
        <w:t xml:space="preserve">-1 </w:t>
      </w:r>
      <w:r w:rsidRPr="00681223">
        <w:rPr>
          <w:b w:val="0"/>
          <w:bCs w:val="0"/>
        </w:rPr>
        <w:t>from hydrothermal vents</w:t>
      </w:r>
      <w:r w:rsidR="004B5AAE">
        <w:rPr>
          <w:b w:val="0"/>
          <w:bCs w:val="0"/>
        </w:rPr>
        <w:t xml:space="preserve"> </w:t>
      </w:r>
      <w:r w:rsidR="004B5AAE" w:rsidRPr="00681223">
        <w:rPr>
          <w:b w:val="0"/>
          <w:bCs w:val="0"/>
        </w:rPr>
        <w:t>(Geyman et al., 2023)</w:t>
      </w:r>
      <w:r w:rsidR="004B5AAE">
        <w:rPr>
          <w:b w:val="0"/>
          <w:bCs w:val="0"/>
        </w:rPr>
        <w:t xml:space="preserve">. </w:t>
      </w:r>
      <w:r w:rsidRPr="00681223">
        <w:rPr>
          <w:b w:val="0"/>
          <w:bCs w:val="0"/>
        </w:rPr>
        <w:t>The model was then forced with all-time (2000 BCE</w:t>
      </w:r>
      <w:r w:rsidR="00B56720">
        <w:rPr>
          <w:b w:val="0"/>
          <w:bCs w:val="0"/>
        </w:rPr>
        <w:t xml:space="preserve"> to </w:t>
      </w:r>
      <w:r w:rsidRPr="00681223">
        <w:rPr>
          <w:b w:val="0"/>
          <w:bCs w:val="0"/>
        </w:rPr>
        <w:t>2010 CE) anthropogenic mercury releases from Streets et al. (2019) followed by emissions specified in each scenario from 2010</w:t>
      </w:r>
      <w:r w:rsidR="00B56720">
        <w:rPr>
          <w:b w:val="0"/>
          <w:bCs w:val="0"/>
        </w:rPr>
        <w:t>-</w:t>
      </w:r>
      <w:r w:rsidRPr="00681223">
        <w:rPr>
          <w:b w:val="0"/>
          <w:bCs w:val="0"/>
        </w:rPr>
        <w:t>2300. Evaluation of model results for the year 2010 agree with the observational ranges for the atmospheric Hg reservoir, seawater concentrations, and atmospheric deposition enrichment factors</w:t>
      </w:r>
      <w:r w:rsidR="004B5AAE">
        <w:rPr>
          <w:b w:val="0"/>
          <w:bCs w:val="0"/>
        </w:rPr>
        <w:t xml:space="preserve"> </w:t>
      </w:r>
      <w:r w:rsidRPr="00681223">
        <w:rPr>
          <w:b w:val="0"/>
          <w:bCs w:val="0"/>
        </w:rPr>
        <w:t>(Table S3</w:t>
      </w:r>
      <w:r w:rsidR="004B5AAE">
        <w:rPr>
          <w:b w:val="0"/>
          <w:bCs w:val="0"/>
        </w:rPr>
        <w:t>, Amos et al., 2015</w:t>
      </w:r>
      <w:r w:rsidRPr="00681223">
        <w:rPr>
          <w:b w:val="0"/>
          <w:bCs w:val="0"/>
        </w:rPr>
        <w:t>).</w:t>
      </w:r>
    </w:p>
    <w:p w14:paraId="6EB77176" w14:textId="26C15F8A" w:rsidR="002F3B11" w:rsidRDefault="00681223" w:rsidP="00C81368">
      <w:pPr>
        <w:pStyle w:val="Heading-Main"/>
      </w:pPr>
      <w:r>
        <w:t>3</w:t>
      </w:r>
      <w:r w:rsidR="002F3B11">
        <w:t xml:space="preserve"> Results</w:t>
      </w:r>
      <w:r>
        <w:t xml:space="preserve"> and Discussion</w:t>
      </w:r>
    </w:p>
    <w:p w14:paraId="1B575FB1" w14:textId="11A4D974" w:rsidR="00681223" w:rsidRPr="00681223" w:rsidRDefault="00681223" w:rsidP="00681223">
      <w:pPr>
        <w:pStyle w:val="Heading-Main"/>
        <w:rPr>
          <w:b w:val="0"/>
          <w:bCs w:val="0"/>
        </w:rPr>
      </w:pPr>
      <w:r w:rsidRPr="00681223">
        <w:rPr>
          <w:b w:val="0"/>
          <w:bCs w:val="0"/>
        </w:rPr>
        <w:t>3.1 Future Emission Trends</w:t>
      </w:r>
    </w:p>
    <w:p w14:paraId="01FEBBA8" w14:textId="77777777" w:rsidR="00681223" w:rsidRPr="00681223" w:rsidRDefault="00681223" w:rsidP="00681223">
      <w:pPr>
        <w:pStyle w:val="Heading-Main"/>
        <w:rPr>
          <w:b w:val="0"/>
          <w:bCs w:val="0"/>
        </w:rPr>
      </w:pPr>
      <w:r w:rsidRPr="00681223">
        <w:rPr>
          <w:b w:val="0"/>
          <w:bCs w:val="0"/>
        </w:rPr>
        <w:t>3.1.1 Long-term perspective on anthropogenic Hg releases</w:t>
      </w:r>
    </w:p>
    <w:p w14:paraId="2471D1E8" w14:textId="3A39784D" w:rsidR="00681223" w:rsidRPr="00681223" w:rsidRDefault="00681223" w:rsidP="00681223">
      <w:pPr>
        <w:pStyle w:val="Heading-Main"/>
        <w:rPr>
          <w:b w:val="0"/>
          <w:bCs w:val="0"/>
        </w:rPr>
      </w:pPr>
      <w:r w:rsidRPr="00681223">
        <w:rPr>
          <w:b w:val="0"/>
          <w:bCs w:val="0"/>
        </w:rPr>
        <w:t xml:space="preserve">Atmospheric Hg emissions are shown by region </w:t>
      </w:r>
      <w:r w:rsidR="00147018">
        <w:rPr>
          <w:b w:val="0"/>
          <w:bCs w:val="0"/>
        </w:rPr>
        <w:t xml:space="preserve">(Fig. 1; Table S4) </w:t>
      </w:r>
      <w:r w:rsidRPr="00681223">
        <w:rPr>
          <w:b w:val="0"/>
          <w:bCs w:val="0"/>
        </w:rPr>
        <w:t xml:space="preserve">and source sector </w:t>
      </w:r>
      <w:r w:rsidR="00147018">
        <w:rPr>
          <w:b w:val="0"/>
          <w:bCs w:val="0"/>
        </w:rPr>
        <w:t xml:space="preserve">(Table S5) </w:t>
      </w:r>
      <w:r w:rsidRPr="00681223">
        <w:rPr>
          <w:b w:val="0"/>
          <w:bCs w:val="0"/>
        </w:rPr>
        <w:t>for each of the four scenarios considered in this work. All primary Hg emissions are projected to be zero beyond 2250, consistent with SSP assumptions. Projected cumulative Hg releases to air, land, and water between 2010 and 2300 range from 7</w:t>
      </w:r>
      <w:r w:rsidR="003C18D2">
        <w:rPr>
          <w:b w:val="0"/>
          <w:bCs w:val="0"/>
        </w:rPr>
        <w:t>09</w:t>
      </w:r>
      <w:r w:rsidRPr="00681223">
        <w:rPr>
          <w:b w:val="0"/>
          <w:bCs w:val="0"/>
        </w:rPr>
        <w:t xml:space="preserve"> Gg under SSP1-2.6, to 1</w:t>
      </w:r>
      <w:r w:rsidR="00147018">
        <w:rPr>
          <w:b w:val="0"/>
          <w:bCs w:val="0"/>
        </w:rPr>
        <w:t>7</w:t>
      </w:r>
      <w:r w:rsidR="003C18D2">
        <w:rPr>
          <w:b w:val="0"/>
          <w:bCs w:val="0"/>
        </w:rPr>
        <w:t>1</w:t>
      </w:r>
      <w:r w:rsidR="00147018">
        <w:rPr>
          <w:b w:val="0"/>
          <w:bCs w:val="0"/>
        </w:rPr>
        <w:t>0</w:t>
      </w:r>
      <w:r w:rsidRPr="00681223">
        <w:rPr>
          <w:b w:val="0"/>
          <w:bCs w:val="0"/>
        </w:rPr>
        <w:t xml:space="preserve"> </w:t>
      </w:r>
      <w:r w:rsidR="00147018">
        <w:rPr>
          <w:b w:val="0"/>
          <w:bCs w:val="0"/>
        </w:rPr>
        <w:t>G</w:t>
      </w:r>
      <w:r w:rsidRPr="00681223">
        <w:rPr>
          <w:b w:val="0"/>
          <w:bCs w:val="0"/>
        </w:rPr>
        <w:t xml:space="preserve">g under SSP5-8.5. </w:t>
      </w:r>
      <w:r w:rsidR="00147018">
        <w:rPr>
          <w:b w:val="0"/>
          <w:bCs w:val="0"/>
        </w:rPr>
        <w:t>P</w:t>
      </w:r>
      <w:r w:rsidRPr="00681223">
        <w:rPr>
          <w:b w:val="0"/>
          <w:bCs w:val="0"/>
        </w:rPr>
        <w:t xml:space="preserve">rojected anthropogenic emissions between 2010 and 2300 </w:t>
      </w:r>
      <w:r w:rsidR="00147018">
        <w:rPr>
          <w:b w:val="0"/>
          <w:bCs w:val="0"/>
        </w:rPr>
        <w:t>are</w:t>
      </w:r>
      <w:r w:rsidRPr="00681223">
        <w:rPr>
          <w:b w:val="0"/>
          <w:bCs w:val="0"/>
        </w:rPr>
        <w:t xml:space="preserve"> comparable to cumulative historical emissions from 1510</w:t>
      </w:r>
      <w:r w:rsidR="00B56720">
        <w:rPr>
          <w:b w:val="0"/>
          <w:bCs w:val="0"/>
        </w:rPr>
        <w:t>-</w:t>
      </w:r>
      <w:r w:rsidRPr="00681223">
        <w:rPr>
          <w:b w:val="0"/>
          <w:bCs w:val="0"/>
        </w:rPr>
        <w:t>2010 (147</w:t>
      </w:r>
      <w:r w:rsidR="00147018">
        <w:rPr>
          <w:b w:val="0"/>
          <w:bCs w:val="0"/>
        </w:rPr>
        <w:t>0</w:t>
      </w:r>
      <w:r w:rsidRPr="00681223">
        <w:rPr>
          <w:b w:val="0"/>
          <w:bCs w:val="0"/>
        </w:rPr>
        <w:t xml:space="preserve"> </w:t>
      </w:r>
      <w:r w:rsidR="00147018">
        <w:rPr>
          <w:b w:val="0"/>
          <w:bCs w:val="0"/>
        </w:rPr>
        <w:t>G</w:t>
      </w:r>
      <w:r w:rsidRPr="00681223">
        <w:rPr>
          <w:b w:val="0"/>
          <w:bCs w:val="0"/>
        </w:rPr>
        <w:t xml:space="preserve">g) estimated in past work </w:t>
      </w:r>
      <w:r w:rsidRPr="00681223">
        <w:rPr>
          <w:b w:val="0"/>
          <w:bCs w:val="0"/>
        </w:rPr>
        <w:fldChar w:fldCharType="begin"/>
      </w:r>
      <w:r w:rsidRPr="00681223">
        <w:rPr>
          <w:b w:val="0"/>
          <w:bCs w:val="0"/>
        </w:rPr>
        <w:instrText xml:space="preserve"> ADDIN ZOTERO_ITEM CSL_CITATION {"citationID":"Py9i4W8S","properties":{"formattedCitation":"(Streets et al., 2019a)","plainCitation":"(Streets et al., 2019a)","noteIndex":0},"citationItems":[{"id":586,"uris":["http://zotero.org/users/local/VbtpDxdA/items/KKDCXK4A","http://zotero.org/users/11937628/items/KKDCXK4A"],"itemData":{"id":586,"type":"article-journal","abstract":"&lt;p&gt; When released to the biosphere, mercury (Hg) is very mobile and can take millennia to be returned to a secure, long-term repository. Understanding where and when Hg was released as a result of human activities allows better quantification of present-day reemissions and future trajectories of environmental concentrations. In this work, we estimate the time-varying releases of Hg in seven world regions over the 500 year period, 1510–2010. By our estimation, this comprises 95% of all-time anthropogenic releases. Globally, 1.47 Tg of Hg were released in this period, 23% directly to the atmosphere and 77% to land and water bodies. Cumulative releases have been largest in Europe (427 Gg) and North America (413 Gg). In some world regions (Africa/Middle East and Oceania), almost all (&amp;gt;99%) of the Hg is relatively recent (emitted since 1850), whereas in South America it is mostly of older vintage (63% emitted before 1850). Asia was the greatest-emitting region in 2010, while releases in Europe and North America have declined since the 1970s, as recognition of the risks posed by Hg have led to its phase-out in commercial usage. The continued use of Hg in artisanal and small-scale gold mining means that the Africa/Middle East region is now a major contributor. We estimate that 72% of cumulative Hg emissions to air has been in the form of elemental mercury (Hg &lt;sup&gt;0&lt;/sup&gt; ), which has a long lifetime in the atmosphere and can therefore be transported long distances. Our results show that 83% of the total Hg has been released to local water bodies, onto land, or quickly deposited from the air in divalent (Hg &lt;sup&gt;II&lt;/sup&gt; ) form. Regionally, this value ranges from 77% in Africa/Middle East and Oceania to 89% in South America. Results from global biogeochemical modeling indicate improved agreement of the refined emission estimates in this study with archival records of Hg accumulation in estuarine and deep ocean sediment. &lt;/p&gt;","container-title":"Environmental Research Letters","DOI":"10.1088/1748-9326/ab281f","ISSN":"1748-9326","issue":"8","note":"Citation Key: Streets2019b","page":"084004","title":"Five hundred years of anthropogenic mercury: spatial and temporal release profiles*","volume":"14","author":[{"family":"Streets","given":"David G"},{"family":"Horowitz","given":"Hannah M"},{"family":"Lu","given":"Zifeng"},{"family":"Levin","given":"Leonard"},{"family":"Thackray","given":"Colin P"},{"family":"Sunderland","given":"Elsie M"}],"issued":{"date-parts":[["2019",8,1]]}}}],"schema":"https://github.com/citation-style-language/schema/raw/master/csl-citation.json"} </w:instrText>
      </w:r>
      <w:r w:rsidRPr="00681223">
        <w:rPr>
          <w:b w:val="0"/>
          <w:bCs w:val="0"/>
        </w:rPr>
        <w:fldChar w:fldCharType="separate"/>
      </w:r>
      <w:r w:rsidRPr="00681223">
        <w:rPr>
          <w:b w:val="0"/>
          <w:bCs w:val="0"/>
        </w:rPr>
        <w:t>(Streets et al., 2019a)</w:t>
      </w:r>
      <w:r w:rsidRPr="00681223">
        <w:rPr>
          <w:b w:val="0"/>
          <w:bCs w:val="0"/>
        </w:rPr>
        <w:fldChar w:fldCharType="end"/>
      </w:r>
      <w:r w:rsidRPr="00681223">
        <w:rPr>
          <w:b w:val="0"/>
          <w:bCs w:val="0"/>
        </w:rPr>
        <w:t>, suggesting human impacts on the global Hg cycle will be sustained for millennia.</w:t>
      </w:r>
    </w:p>
    <w:p w14:paraId="3D8E7BC3" w14:textId="16609975" w:rsidR="00681223" w:rsidRPr="00681223" w:rsidRDefault="00147018" w:rsidP="00681223">
      <w:pPr>
        <w:pStyle w:val="Heading-Main"/>
        <w:rPr>
          <w:b w:val="0"/>
          <w:bCs w:val="0"/>
        </w:rPr>
      </w:pPr>
      <w:r>
        <w:rPr>
          <w:b w:val="0"/>
          <w:bCs w:val="0"/>
        </w:rPr>
        <w:t>G</w:t>
      </w:r>
      <w:r w:rsidR="00681223" w:rsidRPr="00681223">
        <w:rPr>
          <w:b w:val="0"/>
          <w:bCs w:val="0"/>
        </w:rPr>
        <w:t xml:space="preserve">lobal Hg emissions </w:t>
      </w:r>
      <w:r>
        <w:rPr>
          <w:b w:val="0"/>
          <w:bCs w:val="0"/>
        </w:rPr>
        <w:t xml:space="preserve">projected in this work </w:t>
      </w:r>
      <w:r w:rsidR="00681223" w:rsidRPr="00681223">
        <w:rPr>
          <w:b w:val="0"/>
          <w:bCs w:val="0"/>
        </w:rPr>
        <w:t>for the year 2050 are substantially lower than similar forecasts made over a decade prior (2300</w:t>
      </w:r>
      <w:r w:rsidR="00B56720">
        <w:rPr>
          <w:b w:val="0"/>
          <w:bCs w:val="0"/>
        </w:rPr>
        <w:t>-</w:t>
      </w:r>
      <w:r w:rsidR="00681223" w:rsidRPr="00681223">
        <w:rPr>
          <w:b w:val="0"/>
          <w:bCs w:val="0"/>
        </w:rPr>
        <w:t>4900 Mg a</w:t>
      </w:r>
      <w:r w:rsidR="00681223" w:rsidRPr="00681223">
        <w:rPr>
          <w:b w:val="0"/>
          <w:bCs w:val="0"/>
          <w:vertAlign w:val="superscript"/>
        </w:rPr>
        <w:t>-1</w:t>
      </w:r>
      <w:r w:rsidR="00681223" w:rsidRPr="00681223">
        <w:rPr>
          <w:b w:val="0"/>
          <w:bCs w:val="0"/>
        </w:rPr>
        <w:t xml:space="preserve">) using the IPCC SRES scenarios </w:t>
      </w:r>
      <w:r w:rsidR="00681223" w:rsidRPr="00681223">
        <w:rPr>
          <w:b w:val="0"/>
          <w:bCs w:val="0"/>
        </w:rPr>
        <w:fldChar w:fldCharType="begin"/>
      </w:r>
      <w:r w:rsidR="00681223" w:rsidRPr="00681223">
        <w:rPr>
          <w:b w:val="0"/>
          <w:bCs w:val="0"/>
        </w:rPr>
        <w:instrText xml:space="preserve"> ADDIN ZOTERO_ITEM CSL_CITATION {"citationID":"vSENW9VR","properties":{"formattedCitation":"(Streets et al., 2009)","plainCitation":"(Streets et al., 2009)","noteIndex":0},"citationItems":[{"id":1106,"uris":["http://zotero.org/users/local/VbtpDxdA/items/HCH7JTD8","http://zotero.org/users/11937628/items/HCH7JTD8"],"itemData":{"id":1106,"type":"article-journal","abstract":"Global Hg emissions are presented for the year 2050 under a variety of assumptions about socioeconomic and technology development. We find it likely that Hg emissions will increase in the future. The range of 2050 global Hg emissions is projected to be 2390-4860 Mg, compared to 2006 levels of 2480 Mg, reflecting a change of -4% to +96%. The main driving force for increased emissions is the expansion of coal-fired electricity generation in the developing world, particularly Asia. Our ability to arrest the growth in Hg emissions is limited by the relatively low Hg removal efficiency of the current generation of emission control technologies for coal-fired power plants (flue-gas desulfurization). Large-scale deployment of advanced Hg sorbent technologies, such as Activated Carbon Injection, offers the promise of lowering the 2050 emissions range to 1670-3480 Mg, but these technologies are not yet in commercial use. The share of elemental Hg in total emissions will decline from today's levels of </w:instrText>
      </w:r>
      <w:r w:rsidR="00681223" w:rsidRPr="00681223">
        <w:rPr>
          <w:rFonts w:ascii="Cambria Math" w:hAnsi="Cambria Math" w:cs="Cambria Math"/>
          <w:b w:val="0"/>
          <w:bCs w:val="0"/>
        </w:rPr>
        <w:instrText>∼</w:instrText>
      </w:r>
      <w:r w:rsidR="00681223" w:rsidRPr="00681223">
        <w:rPr>
          <w:b w:val="0"/>
          <w:bCs w:val="0"/>
        </w:rPr>
        <w:instrText xml:space="preserve">65% to </w:instrText>
      </w:r>
      <w:r w:rsidR="00681223" w:rsidRPr="00681223">
        <w:rPr>
          <w:rFonts w:ascii="Cambria Math" w:hAnsi="Cambria Math" w:cs="Cambria Math"/>
          <w:b w:val="0"/>
          <w:bCs w:val="0"/>
        </w:rPr>
        <w:instrText>∼</w:instrText>
      </w:r>
      <w:r w:rsidR="00681223" w:rsidRPr="00681223">
        <w:rPr>
          <w:b w:val="0"/>
          <w:bCs w:val="0"/>
        </w:rPr>
        <w:instrText xml:space="preserve">50-55% by 2050, while the share of divalent Hg will increase. This signals a shift from long-range transport of elemental Hg to local deposition of Hg compounds - though emissions of both species could increase under the worst case. © 2009 American Chemical Society.","container-title":"Environmental Science and Technology","DOI":"10.1021/es802474j","ISSN":"0013936X","issue":"8","note":"PMID: 19475981\nCitation Key: Streets2009\nISBN: 1208.92386.2","page":"2983-2988","title":"Projections of global mercury emissions in 2050","volume":"43","author":[{"family":"Streets","given":"David G."},{"family":"Zhang","given":"Qiang"},{"family":"Wu","given":"Ye"}],"issued":{"date-parts":[["2009"]]}}}],"schema":"https://github.com/citation-style-language/schema/raw/master/csl-citation.json"} </w:instrText>
      </w:r>
      <w:r w:rsidR="00681223" w:rsidRPr="00681223">
        <w:rPr>
          <w:b w:val="0"/>
          <w:bCs w:val="0"/>
        </w:rPr>
        <w:fldChar w:fldCharType="separate"/>
      </w:r>
      <w:r w:rsidR="00681223" w:rsidRPr="00681223">
        <w:rPr>
          <w:b w:val="0"/>
          <w:bCs w:val="0"/>
        </w:rPr>
        <w:t>(Streets et al., 2009)</w:t>
      </w:r>
      <w:r w:rsidR="00681223" w:rsidRPr="00681223">
        <w:rPr>
          <w:b w:val="0"/>
          <w:bCs w:val="0"/>
        </w:rPr>
        <w:fldChar w:fldCharType="end"/>
      </w:r>
      <w:r w:rsidR="00681223" w:rsidRPr="00681223">
        <w:rPr>
          <w:b w:val="0"/>
          <w:bCs w:val="0"/>
        </w:rPr>
        <w:t xml:space="preserve">. </w:t>
      </w:r>
      <w:r w:rsidR="005E28D3">
        <w:rPr>
          <w:b w:val="0"/>
          <w:bCs w:val="0"/>
        </w:rPr>
        <w:t>Projected anthropogenic emission declines for the year 2050 under SSP1-2.6 (-1080 Mg a</w:t>
      </w:r>
      <w:r w:rsidR="005E28D3">
        <w:rPr>
          <w:b w:val="0"/>
          <w:bCs w:val="0"/>
          <w:vertAlign w:val="superscript"/>
        </w:rPr>
        <w:t>-1</w:t>
      </w:r>
      <w:r w:rsidR="005E28D3">
        <w:rPr>
          <w:b w:val="0"/>
          <w:bCs w:val="0"/>
        </w:rPr>
        <w:t xml:space="preserve">) are similar to those projected for 2035 by </w:t>
      </w:r>
      <w:r w:rsidR="005E28D3">
        <w:rPr>
          <w:b w:val="0"/>
          <w:bCs w:val="0"/>
        </w:rPr>
        <w:fldChar w:fldCharType="begin"/>
      </w:r>
      <w:r w:rsidR="005E28D3">
        <w:rPr>
          <w:b w:val="0"/>
          <w:bCs w:val="0"/>
        </w:rPr>
        <w:instrText xml:space="preserve"> ADDIN ZOTERO_ITEM CSL_CITATION {"citationID":"59EGMSG2","properties":{"formattedCitation":"(Pacyna et al., 2016)","plainCitation":"(Pacyna et al., 2016)","noteIndex":0},"citationItems":[{"id":1104,"uris":["http://zotero.org/users/11937628/items/G4E5VC9V"],"itemData":{"id":1104,"type":"article-journal","abstract":"An assessment of current and future emissions, air concentrations, and atmospheric deposition of mercury worldwide is presented on the basis of results obtained during the performance of the EU GMOS (Global Mercury Observation System) project. Emission estimates for mercury were prepared with the main goal of applying them in models to assess current (2013) and future (2035) air concentrations and atmospheric deposition of this contaminant. The combustion of fossil fuels (mainly coal) for energy and heat production in power plants and in industrial and residential boilers, as well as artisanal and small-scale gold mining, is one of the major anthropogenic sources of Hg emissions to the atmosphere at present. These sources account for about 37 and 25% of the total anthropogenic Hg emissions globally, estimated to be about 2000 t. Emissions in Asian countries, particularly in China and India, dominate the total emissions of Hg. The current estimates of mercury emissions from natural processes (primary mercury emissions and re-emissions), including mercury depletion events, were estimated to be 5207 t year-1, which represents nearly 70% of the global mercury emission budget. Oceans are the most important sources (36 %), followed by biomass burning (9 %). A comparison of the 2035 anthropogenic emissions estimated for three different scenarios with current anthropogenic emissions indicates a reduction of these emissions in 2035 up to 85% for the best-case scenario. Two global chemical transport models (GLEMOS and ECHMERIT) have been used for the evaluation of future mercury pollution levels considering future emission scenarios. Projections of future changes in mercury deposition on a global scale simulated by these models for three anthropogenic emissions scenarios of 2035 indicate a decrease in up to 50% deposition in the Northern Hemisphere and up to 35% in Southern Hemisphere for the best-case scenario. The EU GMOS project has proved to be a very important research instrument for supporting the scientific justification for the Minamata Convention and monitoring of the implementation of targets of this convention, as well as the EU Mercury Strategy. This project provided the state of the art with regard to the development of the latest emission inventories for mercury, future emission scenarios, dispersion modelling of atmospheric mercury on a global and regional scale, and source-receptor techniques for mercury emission apportionment on a global scale.","container-title":"Atmospheric Chemistry and Physics","DOI":"10.5194/acp-16-12495-2016","ISSN":"16807324","issue":"19","note":"publisher: Copernicus GmbH\nCitation Key: Pacyna2016","page":"12495-12511","title":"Current and future levels of mercury atmospheric pollution on a global scale","volume":"16","author":[{"family":"Pacyna","given":"Jozef M."},{"family":"Travnikov","given":"Oleg"},{"family":"Simone","given":"Francesco De"},{"family":"Hedgecock","given":"Ian M."},{"family":"Sundseth","given":"Kyrre"},{"family":"Pacyna","given":"Elisabeth G."},{"family":"Steenhuisen","given":"Frits"},{"family":"Pirrone","given":"Nicola"},{"family":"Munthe","given":"John"},{"family":"Kindbom","given":"Karin"}],"issued":{"date-parts":[["2016",10,6]]}}}],"schema":"https://github.com/citation-style-language/schema/raw/master/csl-citation.json"} </w:instrText>
      </w:r>
      <w:r w:rsidR="005E28D3">
        <w:rPr>
          <w:b w:val="0"/>
          <w:bCs w:val="0"/>
        </w:rPr>
        <w:fldChar w:fldCharType="separate"/>
      </w:r>
      <w:r w:rsidR="005E28D3">
        <w:rPr>
          <w:b w:val="0"/>
          <w:bCs w:val="0"/>
          <w:noProof/>
        </w:rPr>
        <w:t>Pacyna et al. (2016)</w:t>
      </w:r>
      <w:r w:rsidR="005E28D3">
        <w:rPr>
          <w:b w:val="0"/>
          <w:bCs w:val="0"/>
        </w:rPr>
        <w:fldChar w:fldCharType="end"/>
      </w:r>
      <w:r w:rsidR="005E28D3">
        <w:rPr>
          <w:b w:val="0"/>
          <w:bCs w:val="0"/>
        </w:rPr>
        <w:t xml:space="preserve"> under a scenario involving full implementation of policy commitments and plans made before 2016. </w:t>
      </w:r>
      <w:r w:rsidR="00681223" w:rsidRPr="00681223">
        <w:rPr>
          <w:b w:val="0"/>
          <w:bCs w:val="0"/>
        </w:rPr>
        <w:t xml:space="preserve">Relative declines projected in this work are partially attributable to lower Hg emission factors from recently implemented Hg pollution controls </w:t>
      </w:r>
      <w:r w:rsidR="00681223" w:rsidRPr="00681223">
        <w:rPr>
          <w:b w:val="0"/>
          <w:bCs w:val="0"/>
        </w:rPr>
        <w:fldChar w:fldCharType="begin"/>
      </w:r>
      <w:r w:rsidR="00681223" w:rsidRPr="00681223">
        <w:rPr>
          <w:b w:val="0"/>
          <w:bCs w:val="0"/>
        </w:rPr>
        <w:instrText xml:space="preserve"> ADDIN ZOTERO_ITEM CSL_CITATION {"citationID":"Q6jbilGC","properties":{"formattedCitation":"(Y. Zhang et al., 2023, p. 202)","plainCitation":"(Y. Zhang et al., 2023, p. 202)","dontUpdate":true,"noteIndex":0},"citationItems":[{"id":1532,"uris":["http://zotero.org/users/11937628/items/B7SP6X6S"],"itemData":{"id":1532,"type":"article-journal","container-title":"Environmental Science &amp; Technology","DOI":"10.1021/acs.est.3c01065","ISSN":"0013-936X, 1520-5851","issue":"23","journalAbbreviation":"Environ. Sci. Technol.","language":"en","page":"8660-8670","source":"DOI.org (Crossref)","title":"Improved Anthropogenic Mercury Emission Inventories for China from 1980 to 2020: Toward More Accurate Effectiveness Evaluation for the Minamata Convention","title-short":"Improved Anthropogenic Mercury Emission Inventories for China from 1980 to 2020","volume":"57","author":[{"family":"Zhang","given":"Yang"},{"family":"Zhang","given":"Lei"},{"family":"Cao","given":"Shuzhen"},{"family":"Liu","given":"Xia"},{"family":"Jin","given":"Jingmeng"},{"family":"Zhao","given":"Yu"}],"issued":{"date-parts":[["2023",6,13]]}},"locator":"202"}],"schema":"https://github.com/citation-style-language/schema/raw/master/csl-citation.json"} </w:instrText>
      </w:r>
      <w:r w:rsidR="00681223" w:rsidRPr="00681223">
        <w:rPr>
          <w:b w:val="0"/>
          <w:bCs w:val="0"/>
        </w:rPr>
        <w:fldChar w:fldCharType="separate"/>
      </w:r>
      <w:r w:rsidR="00681223" w:rsidRPr="00681223">
        <w:rPr>
          <w:b w:val="0"/>
          <w:bCs w:val="0"/>
        </w:rPr>
        <w:t>(e.g., Zhang et al., 2023)</w:t>
      </w:r>
      <w:r w:rsidR="00681223" w:rsidRPr="00681223">
        <w:rPr>
          <w:b w:val="0"/>
          <w:bCs w:val="0"/>
        </w:rPr>
        <w:fldChar w:fldCharType="end"/>
      </w:r>
      <w:r w:rsidR="00681223" w:rsidRPr="00681223">
        <w:rPr>
          <w:b w:val="0"/>
          <w:bCs w:val="0"/>
        </w:rPr>
        <w:t>.</w:t>
      </w:r>
      <w:r w:rsidR="00F06E50">
        <w:rPr>
          <w:b w:val="0"/>
          <w:bCs w:val="0"/>
        </w:rPr>
        <w:t xml:space="preserve"> </w:t>
      </w:r>
      <w:r w:rsidR="00681223" w:rsidRPr="00681223">
        <w:rPr>
          <w:b w:val="0"/>
          <w:bCs w:val="0"/>
        </w:rPr>
        <w:t xml:space="preserve">Thus, lower future Hg emissions estimated in this work reflect progress made through global policy efforts in recent decades. </w:t>
      </w:r>
    </w:p>
    <w:p w14:paraId="6FBEBACF" w14:textId="788006D8" w:rsidR="0042251B" w:rsidRDefault="00681223" w:rsidP="0093027D">
      <w:pPr>
        <w:pStyle w:val="FigureorTableCaption"/>
      </w:pPr>
      <w:r w:rsidRPr="00681223">
        <w:t>Across all scenarios, future land and water Hg releases follow qualitatively similar trajectories to atmospheric emissions. Land and water Hg releases grow as a fraction of total anthropogenic Hg releases in the future. By 2100, anthropogenic</w:t>
      </w:r>
      <w:r w:rsidR="00147018">
        <w:t xml:space="preserve"> Hg releases to</w:t>
      </w:r>
      <w:r w:rsidRPr="00681223">
        <w:t xml:space="preserve"> land and water are estimated to be 12 to 25 times </w:t>
      </w:r>
      <w:r w:rsidR="00147018">
        <w:t>greater than</w:t>
      </w:r>
      <w:r w:rsidRPr="00681223">
        <w:t xml:space="preserve"> anthropogenic Hg emissions to air, compared to only 3.3-fold greater (7330 Mg a</w:t>
      </w:r>
      <w:r w:rsidRPr="00681223">
        <w:rPr>
          <w:vertAlign w:val="superscript"/>
        </w:rPr>
        <w:t>-1</w:t>
      </w:r>
      <w:r w:rsidRPr="00681223">
        <w:t>) in 2010.</w:t>
      </w:r>
    </w:p>
    <w:p w14:paraId="62939549" w14:textId="77777777" w:rsidR="0042251B" w:rsidRDefault="0042251B">
      <w:pPr>
        <w:rPr>
          <w:rFonts w:eastAsia="Times New Roman"/>
          <w:kern w:val="28"/>
          <w:sz w:val="24"/>
          <w:szCs w:val="24"/>
        </w:rPr>
      </w:pPr>
      <w:r>
        <w:br w:type="page"/>
      </w:r>
    </w:p>
    <w:p w14:paraId="56899E05" w14:textId="77777777" w:rsidR="00BA2DF4" w:rsidRDefault="00BA2DF4" w:rsidP="0093027D">
      <w:pPr>
        <w:pStyle w:val="FigureorTableCaption"/>
      </w:pPr>
    </w:p>
    <w:p w14:paraId="69BA53BB" w14:textId="316C3436" w:rsidR="00681223" w:rsidRPr="0093027D" w:rsidRDefault="00F9555D" w:rsidP="0093027D">
      <w:pPr>
        <w:pStyle w:val="FigureorTableCaption"/>
        <w:rPr>
          <w:b/>
          <w:sz w:val="21"/>
          <w:szCs w:val="21"/>
        </w:rPr>
      </w:pPr>
      <w:r>
        <w:rPr>
          <w:rFonts w:ascii="Helvetica" w:hAnsi="Helvetica"/>
          <w:b/>
          <w:noProof/>
          <w:sz w:val="22"/>
          <w:szCs w:val="22"/>
        </w:rPr>
        <w:drawing>
          <wp:inline distT="0" distB="0" distL="0" distR="0" wp14:anchorId="5771E46A" wp14:editId="72CE4E08">
            <wp:extent cx="5641504" cy="4089767"/>
            <wp:effectExtent l="0" t="0" r="0" b="0"/>
            <wp:docPr id="1007973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97319" name="Picture 100797319"/>
                    <pic:cNvPicPr/>
                  </pic:nvPicPr>
                  <pic:blipFill rotWithShape="1">
                    <a:blip r:embed="rId12"/>
                    <a:srcRect l="1620" t="3066" r="3441" b="2170"/>
                    <a:stretch/>
                  </pic:blipFill>
                  <pic:spPr bwMode="auto">
                    <a:xfrm>
                      <a:off x="0" y="0"/>
                      <a:ext cx="5642800" cy="4090707"/>
                    </a:xfrm>
                    <a:prstGeom prst="rect">
                      <a:avLst/>
                    </a:prstGeom>
                    <a:ln>
                      <a:noFill/>
                    </a:ln>
                    <a:extLst>
                      <a:ext uri="{53640926-AAD7-44D8-BBD7-CCE9431645EC}">
                        <a14:shadowObscured xmlns:a14="http://schemas.microsoft.com/office/drawing/2010/main"/>
                      </a:ext>
                    </a:extLst>
                  </pic:spPr>
                </pic:pic>
              </a:graphicData>
            </a:graphic>
          </wp:inline>
        </w:drawing>
      </w:r>
      <w:r w:rsidR="00681223" w:rsidRPr="00F9555D">
        <w:rPr>
          <w:b/>
          <w:sz w:val="21"/>
          <w:szCs w:val="21"/>
        </w:rPr>
        <w:t>Figure 1</w:t>
      </w:r>
      <w:r w:rsidR="00681223" w:rsidRPr="00F9555D">
        <w:rPr>
          <w:sz w:val="21"/>
          <w:szCs w:val="21"/>
        </w:rPr>
        <w:t xml:space="preserve">. </w:t>
      </w:r>
      <w:r w:rsidR="00681223" w:rsidRPr="00F9555D">
        <w:rPr>
          <w:b/>
          <w:bCs/>
          <w:sz w:val="21"/>
          <w:szCs w:val="21"/>
        </w:rPr>
        <w:t>Global anthropogenic mercury (Hg) emissions to air by world region and source sector.</w:t>
      </w:r>
      <w:r w:rsidR="00681223" w:rsidRPr="00F9555D">
        <w:rPr>
          <w:i/>
          <w:iCs/>
          <w:sz w:val="21"/>
          <w:szCs w:val="21"/>
        </w:rPr>
        <w:t xml:space="preserve"> </w:t>
      </w:r>
      <w:r w:rsidR="00681223" w:rsidRPr="00F9555D">
        <w:rPr>
          <w:sz w:val="21"/>
          <w:szCs w:val="21"/>
        </w:rPr>
        <w:t>Trajectories under each scenario are shown by world region in Panels (</w:t>
      </w:r>
      <w:r w:rsidR="00681223" w:rsidRPr="00F9555D">
        <w:rPr>
          <w:b/>
          <w:bCs/>
          <w:sz w:val="21"/>
          <w:szCs w:val="21"/>
        </w:rPr>
        <w:t>a</w:t>
      </w:r>
      <w:r w:rsidR="00681223" w:rsidRPr="00F9555D">
        <w:rPr>
          <w:sz w:val="21"/>
          <w:szCs w:val="21"/>
        </w:rPr>
        <w:t xml:space="preserve"> –</w:t>
      </w:r>
      <w:r w:rsidR="00681223" w:rsidRPr="00F9555D">
        <w:rPr>
          <w:b/>
          <w:bCs/>
          <w:sz w:val="21"/>
          <w:szCs w:val="21"/>
        </w:rPr>
        <w:t xml:space="preserve"> d</w:t>
      </w:r>
      <w:r w:rsidR="00681223" w:rsidRPr="00F9555D">
        <w:rPr>
          <w:sz w:val="21"/>
          <w:szCs w:val="21"/>
        </w:rPr>
        <w:t>). Inset pie charts show fractional emissions occurring during four “snapshot” time periods, arranged clockwise from the bottom: 2010</w:t>
      </w:r>
      <w:r w:rsidR="00B56720" w:rsidRPr="00F9555D">
        <w:rPr>
          <w:sz w:val="21"/>
          <w:szCs w:val="21"/>
        </w:rPr>
        <w:t>-</w:t>
      </w:r>
      <w:r w:rsidR="00681223" w:rsidRPr="00F9555D">
        <w:rPr>
          <w:sz w:val="21"/>
          <w:szCs w:val="21"/>
        </w:rPr>
        <w:t>2049, 2050</w:t>
      </w:r>
      <w:r w:rsidR="00B56720" w:rsidRPr="00F9555D">
        <w:rPr>
          <w:sz w:val="21"/>
          <w:szCs w:val="21"/>
        </w:rPr>
        <w:t>-</w:t>
      </w:r>
      <w:r w:rsidR="00681223" w:rsidRPr="00F9555D">
        <w:rPr>
          <w:sz w:val="21"/>
          <w:szCs w:val="21"/>
        </w:rPr>
        <w:t>2099, 2100</w:t>
      </w:r>
      <w:r w:rsidR="00B56720" w:rsidRPr="00F9555D">
        <w:rPr>
          <w:sz w:val="21"/>
          <w:szCs w:val="21"/>
        </w:rPr>
        <w:t>-</w:t>
      </w:r>
      <w:r w:rsidR="00681223" w:rsidRPr="00F9555D">
        <w:rPr>
          <w:sz w:val="21"/>
          <w:szCs w:val="21"/>
        </w:rPr>
        <w:t>2200, 2200</w:t>
      </w:r>
      <w:r w:rsidR="00B56720" w:rsidRPr="00F9555D">
        <w:rPr>
          <w:sz w:val="21"/>
          <w:szCs w:val="21"/>
        </w:rPr>
        <w:t>-</w:t>
      </w:r>
      <w:r w:rsidR="00681223" w:rsidRPr="00F9555D">
        <w:rPr>
          <w:sz w:val="21"/>
          <w:szCs w:val="21"/>
        </w:rPr>
        <w:t>2300. Cumulative emissions to air (Gg; 2010</w:t>
      </w:r>
      <w:r w:rsidR="00B56720" w:rsidRPr="00F9555D">
        <w:rPr>
          <w:sz w:val="21"/>
          <w:szCs w:val="21"/>
        </w:rPr>
        <w:t>-</w:t>
      </w:r>
      <w:r w:rsidR="00681223" w:rsidRPr="00F9555D">
        <w:rPr>
          <w:sz w:val="21"/>
          <w:szCs w:val="21"/>
        </w:rPr>
        <w:t>2300) are shown in the center of each ring. Panels (</w:t>
      </w:r>
      <w:r w:rsidR="00681223" w:rsidRPr="00F9555D">
        <w:rPr>
          <w:b/>
          <w:bCs/>
          <w:sz w:val="21"/>
          <w:szCs w:val="21"/>
        </w:rPr>
        <w:t>e</w:t>
      </w:r>
      <w:r w:rsidR="00681223" w:rsidRPr="00F9555D">
        <w:rPr>
          <w:sz w:val="21"/>
          <w:szCs w:val="21"/>
        </w:rPr>
        <w:t xml:space="preserve"> – </w:t>
      </w:r>
      <w:r w:rsidR="00681223" w:rsidRPr="00F9555D">
        <w:rPr>
          <w:b/>
          <w:bCs/>
          <w:sz w:val="21"/>
          <w:szCs w:val="21"/>
        </w:rPr>
        <w:t>f</w:t>
      </w:r>
      <w:r w:rsidR="00681223" w:rsidRPr="00F9555D">
        <w:rPr>
          <w:sz w:val="21"/>
          <w:szCs w:val="21"/>
        </w:rPr>
        <w:t>) provide a sector-specific breakdown of the same emission. ASGM = artisanal and small-scale gold mining.</w:t>
      </w:r>
      <w:r w:rsidR="00681223" w:rsidRPr="00136644">
        <w:rPr>
          <w:rFonts w:ascii="Helvetica" w:hAnsi="Helvetica"/>
          <w:sz w:val="22"/>
          <w:szCs w:val="22"/>
        </w:rPr>
        <w:t xml:space="preserve"> </w:t>
      </w:r>
    </w:p>
    <w:p w14:paraId="03A657EE" w14:textId="77777777" w:rsidR="00681223" w:rsidRPr="00681223" w:rsidRDefault="00681223" w:rsidP="00681223">
      <w:pPr>
        <w:pStyle w:val="Heading-Main"/>
        <w:rPr>
          <w:b w:val="0"/>
          <w:bCs w:val="0"/>
        </w:rPr>
      </w:pPr>
      <w:r w:rsidRPr="00681223">
        <w:rPr>
          <w:b w:val="0"/>
          <w:bCs w:val="0"/>
        </w:rPr>
        <w:t>3.1.2 Scenario-specific patterns in primary anthropogenic Hg releases</w:t>
      </w:r>
    </w:p>
    <w:p w14:paraId="1F87EE13" w14:textId="7E821E51" w:rsidR="00681223" w:rsidRPr="00681223" w:rsidRDefault="00147018" w:rsidP="00681223">
      <w:pPr>
        <w:pStyle w:val="Heading-Main"/>
        <w:rPr>
          <w:b w:val="0"/>
          <w:bCs w:val="0"/>
        </w:rPr>
      </w:pPr>
      <w:r>
        <w:rPr>
          <w:b w:val="0"/>
          <w:bCs w:val="0"/>
        </w:rPr>
        <w:t xml:space="preserve">Among scenarios considered in this work, </w:t>
      </w:r>
      <w:r w:rsidR="00681223" w:rsidRPr="00681223">
        <w:rPr>
          <w:b w:val="0"/>
          <w:bCs w:val="0"/>
        </w:rPr>
        <w:t>SSP1-2.6 is a lower-bound greenhouse gas emissions case</w:t>
      </w:r>
      <w:r w:rsidR="003C18D2">
        <w:rPr>
          <w:b w:val="0"/>
          <w:bCs w:val="0"/>
        </w:rPr>
        <w:t>, and it is</w:t>
      </w:r>
      <w:r w:rsidR="00681223" w:rsidRPr="00681223">
        <w:rPr>
          <w:b w:val="0"/>
          <w:bCs w:val="0"/>
        </w:rPr>
        <w:t xml:space="preserve"> known as the “2</w:t>
      </w:r>
      <w:r w:rsidR="00681223" w:rsidRPr="00681223">
        <w:rPr>
          <w:b w:val="0"/>
          <w:bCs w:val="0"/>
        </w:rPr>
        <w:sym w:font="Symbol" w:char="F0B0"/>
      </w:r>
      <w:r w:rsidR="00681223" w:rsidRPr="00681223">
        <w:rPr>
          <w:b w:val="0"/>
          <w:bCs w:val="0"/>
        </w:rPr>
        <w:t>C scenario</w:t>
      </w:r>
      <w:r w:rsidR="003C18D2">
        <w:rPr>
          <w:b w:val="0"/>
          <w:bCs w:val="0"/>
        </w:rPr>
        <w:t>.</w:t>
      </w:r>
      <w:r w:rsidR="00681223" w:rsidRPr="00681223">
        <w:rPr>
          <w:b w:val="0"/>
          <w:bCs w:val="0"/>
        </w:rPr>
        <w:t xml:space="preserve">” </w:t>
      </w:r>
      <w:r w:rsidR="003C18D2">
        <w:rPr>
          <w:b w:val="0"/>
          <w:bCs w:val="0"/>
        </w:rPr>
        <w:t>SSP1-2.6 is characterized by</w:t>
      </w:r>
      <w:r w:rsidR="00681223" w:rsidRPr="00681223">
        <w:rPr>
          <w:b w:val="0"/>
          <w:bCs w:val="0"/>
        </w:rPr>
        <w:t xml:space="preserve"> aggressive reductions in greenhouse</w:t>
      </w:r>
      <w:r w:rsidR="003C18D2">
        <w:rPr>
          <w:b w:val="0"/>
          <w:bCs w:val="0"/>
        </w:rPr>
        <w:t xml:space="preserve"> </w:t>
      </w:r>
      <w:r w:rsidR="00681223" w:rsidRPr="00681223">
        <w:rPr>
          <w:b w:val="0"/>
          <w:bCs w:val="0"/>
        </w:rPr>
        <w:t xml:space="preserve">gas emissions and </w:t>
      </w:r>
      <w:r w:rsidR="003C18D2">
        <w:rPr>
          <w:b w:val="0"/>
          <w:bCs w:val="0"/>
        </w:rPr>
        <w:t xml:space="preserve">a </w:t>
      </w:r>
      <w:r w:rsidR="00681223" w:rsidRPr="00681223">
        <w:rPr>
          <w:b w:val="0"/>
          <w:bCs w:val="0"/>
        </w:rPr>
        <w:t>nameplate end-century radiative forcing of 2.6 W m</w:t>
      </w:r>
      <w:r w:rsidR="00681223" w:rsidRPr="00681223">
        <w:rPr>
          <w:b w:val="0"/>
          <w:bCs w:val="0"/>
          <w:vertAlign w:val="superscript"/>
        </w:rPr>
        <w:t>-2</w:t>
      </w:r>
      <w:r w:rsidR="00681223" w:rsidRPr="00681223">
        <w:rPr>
          <w:b w:val="0"/>
          <w:bCs w:val="0"/>
        </w:rPr>
        <w:t xml:space="preserve"> </w:t>
      </w:r>
      <w:r w:rsidR="00681223" w:rsidRPr="00681223">
        <w:rPr>
          <w:b w:val="0"/>
          <w:bCs w:val="0"/>
        </w:rPr>
        <w:fldChar w:fldCharType="begin"/>
      </w:r>
      <w:r w:rsidR="00681223" w:rsidRPr="00681223">
        <w:rPr>
          <w:b w:val="0"/>
          <w:bCs w:val="0"/>
        </w:rPr>
        <w:instrText xml:space="preserve"> ADDIN ZOTERO_ITEM CSL_CITATION {"citationID":"E3uAGUkh","properties":{"formattedCitation":"(Meinshausen et al., 2020)","plainCitation":"(Meinshausen et al., 2020)","noteIndex":0},"citationItems":[{"id":1456,"uris":["http://zotero.org/users/local/VbtpDxdA/items/6H8AH4MN","http://zotero.org/users/11937628/items/6H8AH4MN"],"itemData":{"id":1456,"type":"article-journal","abstract":"&lt;p&gt;&lt;![CDATA[Abstract. Anthropogenic increases in atmospheric greenhouse gas concentrations are the main driver of current and future climate change. The integrated assessment community has quantified anthropogenic emissions for the shared socio-economic pathway (SSP) scenarios, each of which represents a different future socio-economic projection and political environment. Here, we provide the greenhouse gas concentrations for these SSP scenarios – using the reduced-complexity climate–carbon-cycle model MAGICC7.0. We extend historical, observationally based concentration data with SSP concentration projections from 2015 to 2500 for 43 greenhouse gases with monthly and latitudinal resolution. CO2 concentrations by 2100 range from 393 to 1135 ppm for the lowest (SSP1-1.9) and highest (SSP5-8.5) emission scenarios, respectively. We also provide the concentration extensions beyond 2100 based on assumptions regarding the trajectories of fossil fuels and land use change emissions, net negative emissions, and the fraction of non-CO2 emissions. By 2150, CO2 concentrations in the lowest emission scenario are approximately 350 ppm and approximately plateau at that level until 2500, whereas the highest fossil-fuel-driven scenario projects CO2 concentrations of 1737 ppm and reaches concentrations beyond 2000 ppm by 2250. We estimate that the share of CO2 in the total radiative forcing contribution of all considered 43 long-lived greenhouse gases increases from 66 % for the present day to roughly 68 % to 85 % by the time of maximum forcing in the 21st century. For this estimation, we updated simple radiative forcing parameterizations that reflect the Oslo Line-By-Line model results. In comparison to the representative concentration pathways (RCPs), the five main SSPs (SSP1-1.9, SSP1-2.6, SSP2-4.5, SSP3-7.0, and SSP5-8.5) are more evenly spaced and extend to lower 2100 radiative forcing and temperatures. Performing two pairs of six-member historical ensembles with CESM1.2.2, we estimate the effect on surface air temperatures of applying latitudinally and seasonally resolved GHG concentrations. We find that the ensemble differences in the March–April–May (MAM) season provide a regional warming in higher northern latitudes of up to 0.4 K over the historical period, latitudinally averaged of about 0.1 K, which we estimate to be comparable to the upper bound (</w:instrText>
      </w:r>
      <w:r w:rsidR="00681223" w:rsidRPr="00681223">
        <w:rPr>
          <w:rFonts w:ascii="Cambria Math" w:hAnsi="Cambria Math" w:cs="Cambria Math"/>
          <w:b w:val="0"/>
          <w:bCs w:val="0"/>
        </w:rPr>
        <w:instrText>∼</w:instrText>
      </w:r>
      <w:r w:rsidR="00681223" w:rsidRPr="00681223">
        <w:rPr>
          <w:b w:val="0"/>
          <w:bCs w:val="0"/>
        </w:rPr>
        <w:instrText>5 % level) of natural variability. In comparison to the comparatively straight line of the last 2000 years, the greenhouse gas concentrations since the onset of the industrial period and this studies' projections over the next 100 to 500 years unequivocally depict a “hockey-stick” upwards shape. The SSP concentration time series derived in this study provide a harmonized set of input assumptions for long-term climate science analysis; they also provide an indication of the wide set of futures that societal developments and policy implementations can lead to – ranging from multiple degrees of future warming on the one side to approximately 1.5 </w:instrText>
      </w:r>
      <w:r w:rsidR="00681223" w:rsidRPr="00681223">
        <w:rPr>
          <w:rFonts w:ascii="Cambria Math" w:hAnsi="Cambria Math" w:cs="Cambria Math"/>
          <w:b w:val="0"/>
          <w:bCs w:val="0"/>
        </w:rPr>
        <w:instrText>∘</w:instrText>
      </w:r>
      <w:r w:rsidR="00681223" w:rsidRPr="00681223">
        <w:rPr>
          <w:b w:val="0"/>
          <w:bCs w:val="0"/>
        </w:rPr>
        <w:instrText xml:space="preserve">C warming on the other.]]&gt;&lt;/p&gt;","container-title":"Geoscientific Model Development","DOI":"10.5194/gmd-13-3571-2020","ISSN":"1991-9603","issue":"8","note":"publisher: Copernicus GmbH","page":"3571-3605","title":"The shared socio-economic pathway (SSP) greenhouse gas concentrations and their extensions to 2500","volume":"13","author":[{"family":"Meinshausen","given":"Malte"},{"family":"Nicholls","given":"Zebedee R. J."},{"family":"Lewis","given":"Jared"},{"family":"Gidden","given":"Matthew J."},{"family":"Vogel","given":"Elisabeth"},{"family":"Freund","given":"Mandy"},{"family":"Beyerle","given":"Urs"},{"family":"Gessner","given":"Claudia"},{"family":"Nauels","given":"Alexander"},{"family":"Bauer","given":"Nico"},{"family":"Canadell","given":"Josep G."},{"family":"Daniel","given":"John S."},{"family":"John","given":"Andrew"},{"family":"Krummel","given":"Paul B."},{"family":"Luderer","given":"Gunnar"},{"family":"Meinshausen","given":"Nicolai"},{"family":"Montzka","given":"Stephen A."},{"family":"Rayner","given":"Peter J."},{"family":"Reimann","given":"Stefan"},{"family":"Smith","given":"Steven J."},{"family":"Berg","given":"Marten","non-dropping-particle":"van den"},{"family":"Velders","given":"Guus J. M."},{"family":"Vollmer","given":"Martin K."},{"family":"Wang","given":"Ray H. J."}],"issued":{"date-parts":[["2020",8,13]]}}}],"schema":"https://github.com/citation-style-language/schema/raw/master/csl-citation.json"} </w:instrText>
      </w:r>
      <w:r w:rsidR="00681223" w:rsidRPr="00681223">
        <w:rPr>
          <w:b w:val="0"/>
          <w:bCs w:val="0"/>
        </w:rPr>
        <w:fldChar w:fldCharType="separate"/>
      </w:r>
      <w:r w:rsidR="00681223" w:rsidRPr="00681223">
        <w:rPr>
          <w:b w:val="0"/>
          <w:bCs w:val="0"/>
        </w:rPr>
        <w:t>(Meinshausen et al., 2020)</w:t>
      </w:r>
      <w:r w:rsidR="00681223" w:rsidRPr="00681223">
        <w:rPr>
          <w:b w:val="0"/>
          <w:bCs w:val="0"/>
        </w:rPr>
        <w:fldChar w:fldCharType="end"/>
      </w:r>
      <w:r w:rsidR="00681223" w:rsidRPr="00681223">
        <w:rPr>
          <w:b w:val="0"/>
          <w:bCs w:val="0"/>
        </w:rPr>
        <w:t xml:space="preserve">. Projected future atmospheric Hg emissions decline continuously after 2010 (Fig. 1). In 2010, </w:t>
      </w:r>
      <w:r w:rsidR="003C18D2">
        <w:rPr>
          <w:b w:val="0"/>
          <w:bCs w:val="0"/>
        </w:rPr>
        <w:t>Asia was the largest regional contributor</w:t>
      </w:r>
      <w:r w:rsidR="00681223" w:rsidRPr="00681223">
        <w:rPr>
          <w:b w:val="0"/>
          <w:bCs w:val="0"/>
        </w:rPr>
        <w:t xml:space="preserve"> (12</w:t>
      </w:r>
      <w:r w:rsidR="003C18D2">
        <w:rPr>
          <w:b w:val="0"/>
          <w:bCs w:val="0"/>
        </w:rPr>
        <w:t>60</w:t>
      </w:r>
      <w:r w:rsidR="00681223" w:rsidRPr="00681223">
        <w:rPr>
          <w:b w:val="0"/>
          <w:bCs w:val="0"/>
        </w:rPr>
        <w:t xml:space="preserve"> Mg a</w:t>
      </w:r>
      <w:r w:rsidR="00681223" w:rsidRPr="00681223">
        <w:rPr>
          <w:b w:val="0"/>
          <w:bCs w:val="0"/>
          <w:vertAlign w:val="superscript"/>
        </w:rPr>
        <w:t>-1</w:t>
      </w:r>
      <w:r w:rsidR="00681223" w:rsidRPr="00681223">
        <w:rPr>
          <w:b w:val="0"/>
          <w:bCs w:val="0"/>
        </w:rPr>
        <w:t>; 57% of total) to global atmospheric emissions (2190 Mg a</w:t>
      </w:r>
      <w:r w:rsidR="00681223" w:rsidRPr="00681223">
        <w:rPr>
          <w:b w:val="0"/>
          <w:bCs w:val="0"/>
          <w:vertAlign w:val="superscript"/>
        </w:rPr>
        <w:t>-1</w:t>
      </w:r>
      <w:r w:rsidR="00681223" w:rsidRPr="00681223">
        <w:rPr>
          <w:b w:val="0"/>
          <w:bCs w:val="0"/>
        </w:rPr>
        <w:t>). Under SSP1-2.6, a 93% reduction in global Hg emissions is projected (154 Mg a</w:t>
      </w:r>
      <w:r w:rsidR="00681223" w:rsidRPr="00681223">
        <w:rPr>
          <w:b w:val="0"/>
          <w:bCs w:val="0"/>
          <w:vertAlign w:val="superscript"/>
        </w:rPr>
        <w:t>-1</w:t>
      </w:r>
      <w:r w:rsidR="00681223" w:rsidRPr="00681223">
        <w:rPr>
          <w:b w:val="0"/>
          <w:bCs w:val="0"/>
        </w:rPr>
        <w:t xml:space="preserve">) by the </w:t>
      </w:r>
      <w:r w:rsidR="003C18D2">
        <w:rPr>
          <w:b w:val="0"/>
          <w:bCs w:val="0"/>
        </w:rPr>
        <w:t>year 2100,</w:t>
      </w:r>
      <w:r w:rsidR="00681223" w:rsidRPr="00681223">
        <w:rPr>
          <w:b w:val="0"/>
          <w:bCs w:val="0"/>
        </w:rPr>
        <w:t xml:space="preserve"> and Asia remains the largest remaining regional emitter (91 Mg a</w:t>
      </w:r>
      <w:r w:rsidR="00681223" w:rsidRPr="00681223">
        <w:rPr>
          <w:b w:val="0"/>
          <w:bCs w:val="0"/>
          <w:vertAlign w:val="superscript"/>
        </w:rPr>
        <w:t>-1</w:t>
      </w:r>
      <w:r w:rsidR="00681223" w:rsidRPr="00681223">
        <w:rPr>
          <w:b w:val="0"/>
          <w:bCs w:val="0"/>
        </w:rPr>
        <w:t>, 59%). Beyond 2100, emissions continue to decline at a slower pace and reach zero by 2190, in accordance with SSP assumptions.</w:t>
      </w:r>
    </w:p>
    <w:p w14:paraId="3CC5139D" w14:textId="55451BC3" w:rsidR="00681223" w:rsidRPr="00681223" w:rsidRDefault="00681223" w:rsidP="00681223">
      <w:pPr>
        <w:pStyle w:val="Heading-Main"/>
        <w:rPr>
          <w:b w:val="0"/>
          <w:bCs w:val="0"/>
        </w:rPr>
      </w:pPr>
      <w:r w:rsidRPr="00681223">
        <w:rPr>
          <w:b w:val="0"/>
          <w:bCs w:val="0"/>
        </w:rPr>
        <w:t xml:space="preserve">SSP2-4.5 is </w:t>
      </w:r>
      <w:r w:rsidR="003C18D2">
        <w:rPr>
          <w:b w:val="0"/>
          <w:bCs w:val="0"/>
        </w:rPr>
        <w:t>a</w:t>
      </w:r>
      <w:r w:rsidRPr="00681223">
        <w:rPr>
          <w:b w:val="0"/>
          <w:bCs w:val="0"/>
        </w:rPr>
        <w:t xml:space="preserve"> middle-of-the-road scenario that reflects moderate socioeconomic, energy, and climate mitigation changes and a continuation of growth and development trajectories following the status quo </w:t>
      </w:r>
      <w:r w:rsidRPr="00681223">
        <w:rPr>
          <w:b w:val="0"/>
          <w:bCs w:val="0"/>
        </w:rPr>
        <w:fldChar w:fldCharType="begin"/>
      </w:r>
      <w:r w:rsidRPr="00681223">
        <w:rPr>
          <w:b w:val="0"/>
          <w:bCs w:val="0"/>
        </w:rPr>
        <w:instrText xml:space="preserve"> ADDIN ZOTERO_ITEM CSL_CITATION {"citationID":"VyyhydH9","properties":{"formattedCitation":"(Meinshausen et al., 2020)","plainCitation":"(Meinshausen et al., 2020)","noteIndex":0},"citationItems":[{"id":1456,"uris":["http://zotero.org/users/local/VbtpDxdA/items/6H8AH4MN","http://zotero.org/users/11937628/items/6H8AH4MN"],"itemData":{"id":1456,"type":"article-journal","abstract":"&lt;p&gt;&lt;![CDATA[Abstract. Anthropogenic increases in atmospheric greenhouse gas concentrations are the main driver of current and future climate change. The integrated assessment community has quantified anthropogenic emissions for the shared socio-economic pathway (SSP) scenarios, each of which represents a different future socio-economic projection and political environment. Here, we provide the greenhouse gas concentrations for these SSP scenarios – using the reduced-complexity climate–carbon-cycle model MAGICC7.0. We extend historical, observationally based concentration data with SSP concentration projections from 2015 to 2500 for 43 greenhouse gases with monthly and latitudinal resolution. CO2 concentrations by 2100 range from 393 to 1135 ppm for the lowest (SSP1-1.9) and highest (SSP5-8.5) emission scenarios, respectively. We also provide the concentration extensions beyond 2100 based on assumptions regarding the trajectories of fossil fuels and land use change emissions, net negative emissions, and the fraction of non-CO2 emissions. By 2150, CO2 concentrations in the lowest emission scenario are approximately 350 ppm and approximately plateau at that level until 2500, whereas the highest fossil-fuel-driven scenario projects CO2 concentrations of 1737 ppm and reaches concentrations beyond 2000 ppm by 2250. We estimate that the share of CO2 in the total radiative forcing contribution of all considered 43 long-lived greenhouse gases increases from 66 % for the present day to roughly 68 % to 85 % by the time of maximum forcing in the 21st century. For this estimation, we updated simple radiative forcing parameterizations that reflect the Oslo Line-By-Line model results. In comparison to the representative concentration pathways (RCPs), the five main SSPs (SSP1-1.9, SSP1-2.6, SSP2-4.5, SSP3-7.0, and SSP5-8.5) are more evenly spaced and extend to lower 2100 radiative forcing and temperatures. Performing two pairs of six-member historical ensembles with CESM1.2.2, we estimate the effect on surface air temperatures of applying latitudinally and seasonally resolved GHG concentrations. We find that the ensemble differences in the March–April–May (MAM) season provide a regional warming in higher northern latitudes of up to 0.4 K over the historical period, latitudinally averaged of about 0.1 K, which we estimate to be comparable to the upper bound (</w:instrText>
      </w:r>
      <w:r w:rsidRPr="00681223">
        <w:rPr>
          <w:rFonts w:ascii="Cambria Math" w:hAnsi="Cambria Math" w:cs="Cambria Math"/>
          <w:b w:val="0"/>
          <w:bCs w:val="0"/>
        </w:rPr>
        <w:instrText>∼</w:instrText>
      </w:r>
      <w:r w:rsidRPr="00681223">
        <w:rPr>
          <w:b w:val="0"/>
          <w:bCs w:val="0"/>
        </w:rPr>
        <w:instrText>5 % level) of natural variability. In comparison to the comparatively straight line of the last 2000 years, the greenhouse gas concentrations since the onset of the industrial period and this studies' projections over the next 100 to 500 years unequivocally depict a “hockey-stick” upwards shape. The SSP concentration time series derived in this study provide a harmonized set of input assumptions for long-term climate science analysis; they also provide an indication of the wide set of futures that societal developments and policy implementations can lead to – ranging from multiple degrees of future warming on the one side to approximately 1.5 </w:instrText>
      </w:r>
      <w:r w:rsidRPr="00681223">
        <w:rPr>
          <w:rFonts w:ascii="Cambria Math" w:hAnsi="Cambria Math" w:cs="Cambria Math"/>
          <w:b w:val="0"/>
          <w:bCs w:val="0"/>
        </w:rPr>
        <w:instrText>∘</w:instrText>
      </w:r>
      <w:r w:rsidRPr="00681223">
        <w:rPr>
          <w:b w:val="0"/>
          <w:bCs w:val="0"/>
        </w:rPr>
        <w:instrText xml:space="preserve">C warming on the other.]]&gt;&lt;/p&gt;","container-title":"Geoscientific Model Development","DOI":"10.5194/gmd-13-3571-2020","ISSN":"1991-9603","issue":"8","note":"publisher: Copernicus GmbH","page":"3571-3605","title":"The shared socio-economic pathway (SSP) greenhouse gas concentrations and their extensions to 2500","volume":"13","author":[{"family":"Meinshausen","given":"Malte"},{"family":"Nicholls","given":"Zebedee R. J."},{"family":"Lewis","given":"Jared"},{"family":"Gidden","given":"Matthew J."},{"family":"Vogel","given":"Elisabeth"},{"family":"Freund","given":"Mandy"},{"family":"Beyerle","given":"Urs"},{"family":"Gessner","given":"Claudia"},{"family":"Nauels","given":"Alexander"},{"family":"Bauer","given":"Nico"},{"family":"Canadell","given":"Josep G."},{"family":"Daniel","given":"John S."},{"family":"John","given":"Andrew"},{"family":"Krummel","given":"Paul B."},{"family":"Luderer","given":"Gunnar"},{"family":"Meinshausen","given":"Nicolai"},{"family":"Montzka","given":"Stephen A."},{"family":"Rayner","given":"Peter J."},{"family":"Reimann","given":"Stefan"},{"family":"Smith","given":"Steven J."},{"family":"Berg","given":"Marten","non-dropping-particle":"van den"},{"family":"Velders","given":"Guus J. M."},{"family":"Vollmer","given":"Martin K."},{"family":"Wang","given":"Ray H. J."}],"issued":{"date-parts":[["2020",8,13]]}}}],"schema":"https://github.com/citation-style-language/schema/raw/master/csl-citation.json"} </w:instrText>
      </w:r>
      <w:r w:rsidRPr="00681223">
        <w:rPr>
          <w:b w:val="0"/>
          <w:bCs w:val="0"/>
        </w:rPr>
        <w:fldChar w:fldCharType="separate"/>
      </w:r>
      <w:r w:rsidRPr="00681223">
        <w:rPr>
          <w:b w:val="0"/>
          <w:bCs w:val="0"/>
        </w:rPr>
        <w:t>(Meinshausen et al., 2020)</w:t>
      </w:r>
      <w:r w:rsidRPr="00681223">
        <w:rPr>
          <w:b w:val="0"/>
          <w:bCs w:val="0"/>
        </w:rPr>
        <w:fldChar w:fldCharType="end"/>
      </w:r>
      <w:r w:rsidRPr="00681223">
        <w:rPr>
          <w:b w:val="0"/>
          <w:bCs w:val="0"/>
        </w:rPr>
        <w:t xml:space="preserve">. Relative to 2010, Hg emissions grow slightly until </w:t>
      </w:r>
      <w:r w:rsidRPr="00681223">
        <w:rPr>
          <w:b w:val="0"/>
          <w:bCs w:val="0"/>
        </w:rPr>
        <w:lastRenderedPageBreak/>
        <w:t>2030 and then decline at a rate similar to SSP1-2.6 (Fig. 1). Hg emissions are 193 Mg a</w:t>
      </w:r>
      <w:r w:rsidRPr="00681223">
        <w:rPr>
          <w:b w:val="0"/>
          <w:bCs w:val="0"/>
          <w:vertAlign w:val="superscript"/>
        </w:rPr>
        <w:t>-1</w:t>
      </w:r>
      <w:r w:rsidRPr="00681223">
        <w:rPr>
          <w:b w:val="0"/>
          <w:bCs w:val="0"/>
        </w:rPr>
        <w:t xml:space="preserve"> by 2100, which is only 25% greater than SSP1-2.6 (Fig. 1). SSP2-4.5 is not nearly as close to the middle of the road for Hg emissions as it is for carbon emissions because it relies heavily on a switch from coal to natural gas as the primary energy supply under moderate climate mitigation efforts. This strategy </w:t>
      </w:r>
      <w:r w:rsidR="003C18D2">
        <w:rPr>
          <w:b w:val="0"/>
          <w:bCs w:val="0"/>
        </w:rPr>
        <w:t xml:space="preserve">results in continued greenhouse gas </w:t>
      </w:r>
      <w:r w:rsidRPr="00681223">
        <w:rPr>
          <w:b w:val="0"/>
          <w:bCs w:val="0"/>
        </w:rPr>
        <w:t xml:space="preserve">emissions and therefore </w:t>
      </w:r>
      <w:r w:rsidR="003C18D2">
        <w:rPr>
          <w:b w:val="0"/>
          <w:bCs w:val="0"/>
        </w:rPr>
        <w:t xml:space="preserve">results in </w:t>
      </w:r>
      <w:r w:rsidRPr="00681223">
        <w:rPr>
          <w:b w:val="0"/>
          <w:bCs w:val="0"/>
        </w:rPr>
        <w:t>middle of the road</w:t>
      </w:r>
      <w:r w:rsidR="003C18D2">
        <w:rPr>
          <w:b w:val="0"/>
          <w:bCs w:val="0"/>
        </w:rPr>
        <w:t xml:space="preserve"> climate effects</w:t>
      </w:r>
      <w:r w:rsidRPr="00681223">
        <w:rPr>
          <w:b w:val="0"/>
          <w:bCs w:val="0"/>
        </w:rPr>
        <w:t xml:space="preserve">. However, natural gas combustion generates insignificant quantities of Hg, and so the trajectory is much lower. Hg emissions under </w:t>
      </w:r>
      <w:r w:rsidR="003C18D2">
        <w:rPr>
          <w:b w:val="0"/>
          <w:bCs w:val="0"/>
        </w:rPr>
        <w:t xml:space="preserve">SSP2-4.5 </w:t>
      </w:r>
      <w:r w:rsidRPr="00681223">
        <w:rPr>
          <w:b w:val="0"/>
          <w:bCs w:val="0"/>
        </w:rPr>
        <w:t>continue at a low level into the distant future, eventually reaching zero in 2250 following SSP assumptions (Fig. 1). Between 2010 and 2300, cumulative emissions to air are 131 Gg and cumulative emissions to land and water are 737 Gg under SSP2-4.5.</w:t>
      </w:r>
    </w:p>
    <w:p w14:paraId="6F8E372A" w14:textId="55FB089C" w:rsidR="00681223" w:rsidRPr="00681223" w:rsidRDefault="00681223" w:rsidP="00681223">
      <w:pPr>
        <w:pStyle w:val="Heading-Main"/>
        <w:rPr>
          <w:b w:val="0"/>
          <w:bCs w:val="0"/>
        </w:rPr>
      </w:pPr>
      <w:r w:rsidRPr="00681223">
        <w:rPr>
          <w:b w:val="0"/>
          <w:bCs w:val="0"/>
        </w:rPr>
        <w:t>SSP5-3.4 is the overshoot case characterized by a delay in climate-change action until after 2030, leading to a major rise in Hg emissions between 2010 and 2030. Hg emissions are projected to rise to 2</w:t>
      </w:r>
      <w:r w:rsidR="003C18D2">
        <w:rPr>
          <w:b w:val="0"/>
          <w:bCs w:val="0"/>
        </w:rPr>
        <w:t>580</w:t>
      </w:r>
      <w:r w:rsidRPr="00681223">
        <w:rPr>
          <w:b w:val="0"/>
          <w:bCs w:val="0"/>
        </w:rPr>
        <w:t xml:space="preserve"> Mg a</w:t>
      </w:r>
      <w:r w:rsidRPr="00681223">
        <w:rPr>
          <w:b w:val="0"/>
          <w:bCs w:val="0"/>
          <w:vertAlign w:val="superscript"/>
        </w:rPr>
        <w:t>-1</w:t>
      </w:r>
      <w:r w:rsidRPr="00681223">
        <w:rPr>
          <w:b w:val="0"/>
          <w:bCs w:val="0"/>
        </w:rPr>
        <w:t xml:space="preserve"> by 2030, an increase of 17% over 2010 (Fig. 1). Much of that growth occurs in Asia. After 2030, emissions decline more precipitously than under the other three scenarios, reaching levels similar to SSP1-2.6 by 2060. Hg emissions fall to 107 Mg a</w:t>
      </w:r>
      <w:r w:rsidRPr="00681223">
        <w:rPr>
          <w:b w:val="0"/>
          <w:bCs w:val="0"/>
          <w:vertAlign w:val="superscript"/>
        </w:rPr>
        <w:t>-1</w:t>
      </w:r>
      <w:r w:rsidRPr="00681223">
        <w:rPr>
          <w:b w:val="0"/>
          <w:bCs w:val="0"/>
        </w:rPr>
        <w:t xml:space="preserve"> by 2100 and reach zero in the year 2170, which is earlier than SSP1-2.6. Under SSP5-3.4, cumulative emissions to air are projected to be 118 Gg. Compared to SSP1-2.6, cumulative emissions are heavily weighted toward the first few decades of the projection period. Cumulative emissions to land and water are 618 Gg.</w:t>
      </w:r>
    </w:p>
    <w:p w14:paraId="3DE72AE3" w14:textId="48981EA4" w:rsidR="00681223" w:rsidRPr="00681223" w:rsidRDefault="00681223" w:rsidP="00681223">
      <w:pPr>
        <w:pStyle w:val="Heading-Main"/>
        <w:rPr>
          <w:b w:val="0"/>
          <w:bCs w:val="0"/>
        </w:rPr>
      </w:pPr>
      <w:r w:rsidRPr="00681223">
        <w:rPr>
          <w:b w:val="0"/>
          <w:bCs w:val="0"/>
        </w:rPr>
        <w:t>SSP5-8.5 is the upper-bound case, characterized by continued fossil-fuel use and minimal consideration of environmental sustainability. Under this scenario, CO</w:t>
      </w:r>
      <w:r w:rsidRPr="00681223">
        <w:rPr>
          <w:b w:val="0"/>
          <w:bCs w:val="0"/>
          <w:vertAlign w:val="subscript"/>
        </w:rPr>
        <w:t>2</w:t>
      </w:r>
      <w:r w:rsidRPr="00681223">
        <w:rPr>
          <w:b w:val="0"/>
          <w:bCs w:val="0"/>
        </w:rPr>
        <w:t xml:space="preserve"> concentrations are projected to reach levels greater than 2000 ppm by 2200 </w:t>
      </w:r>
      <w:r w:rsidRPr="00681223">
        <w:rPr>
          <w:b w:val="0"/>
          <w:bCs w:val="0"/>
        </w:rPr>
        <w:fldChar w:fldCharType="begin"/>
      </w:r>
      <w:r w:rsidRPr="00681223">
        <w:rPr>
          <w:b w:val="0"/>
          <w:bCs w:val="0"/>
        </w:rPr>
        <w:instrText xml:space="preserve"> ADDIN ZOTERO_ITEM CSL_CITATION {"citationID":"mqotjZqK","properties":{"formattedCitation":"(Meinshausen et al., 2020)","plainCitation":"(Meinshausen et al., 2020)","noteIndex":0},"citationItems":[{"id":1456,"uris":["http://zotero.org/users/local/VbtpDxdA/items/6H8AH4MN","http://zotero.org/users/11937628/items/6H8AH4MN"],"itemData":{"id":1456,"type":"article-journal","abstract":"&lt;p&gt;&lt;![CDATA[Abstract. Anthropogenic increases in atmospheric greenhouse gas concentrations are the main driver of current and future climate change. The integrated assessment community has quantified anthropogenic emissions for the shared socio-economic pathway (SSP) scenarios, each of which represents a different future socio-economic projection and political environment. Here, we provide the greenhouse gas concentrations for these SSP scenarios – using the reduced-complexity climate–carbon-cycle model MAGICC7.0. We extend historical, observationally based concentration data with SSP concentration projections from 2015 to 2500 for 43 greenhouse gases with monthly and latitudinal resolution. CO2 concentrations by 2100 range from 393 to 1135 ppm for the lowest (SSP1-1.9) and highest (SSP5-8.5) emission scenarios, respectively. We also provide the concentration extensions beyond 2100 based on assumptions regarding the trajectories of fossil fuels and land use change emissions, net negative emissions, and the fraction of non-CO2 emissions. By 2150, CO2 concentrations in the lowest emission scenario are approximately 350 ppm and approximately plateau at that level until 2500, whereas the highest fossil-fuel-driven scenario projects CO2 concentrations of 1737 ppm and reaches concentrations beyond 2000 ppm by 2250. We estimate that the share of CO2 in the total radiative forcing contribution of all considered 43 long-lived greenhouse gases increases from 66 % for the present day to roughly 68 % to 85 % by the time of maximum forcing in the 21st century. For this estimation, we updated simple radiative forcing parameterizations that reflect the Oslo Line-By-Line model results. In comparison to the representative concentration pathways (RCPs), the five main SSPs (SSP1-1.9, SSP1-2.6, SSP2-4.5, SSP3-7.0, and SSP5-8.5) are more evenly spaced and extend to lower 2100 radiative forcing and temperatures. Performing two pairs of six-member historical ensembles with CESM1.2.2, we estimate the effect on surface air temperatures of applying latitudinally and seasonally resolved GHG concentrations. We find that the ensemble differences in the March–April–May (MAM) season provide a regional warming in higher northern latitudes of up to 0.4 K over the historical period, latitudinally averaged of about 0.1 K, which we estimate to be comparable to the upper bound (</w:instrText>
      </w:r>
      <w:r w:rsidRPr="00681223">
        <w:rPr>
          <w:rFonts w:ascii="Cambria Math" w:hAnsi="Cambria Math" w:cs="Cambria Math"/>
          <w:b w:val="0"/>
          <w:bCs w:val="0"/>
        </w:rPr>
        <w:instrText>∼</w:instrText>
      </w:r>
      <w:r w:rsidRPr="00681223">
        <w:rPr>
          <w:b w:val="0"/>
          <w:bCs w:val="0"/>
        </w:rPr>
        <w:instrText>5 % level) of natural variability. In comparison to the comparatively straight line of the last 2000 years, the greenhouse gas concentrations since the onset of the industrial period and this studies' projections over the next 100 to 500 years unequivocally depict a “hockey-stick” upwards shape. The SSP concentration time series derived in this study provide a harmonized set of input assumptions for long-term climate science analysis; they also provide an indication of the wide set of futures that societal developments and policy implementations can lead to – ranging from multiple degrees of future warming on the one side to approximately 1.5 </w:instrText>
      </w:r>
      <w:r w:rsidRPr="00681223">
        <w:rPr>
          <w:rFonts w:ascii="Cambria Math" w:hAnsi="Cambria Math" w:cs="Cambria Math"/>
          <w:b w:val="0"/>
          <w:bCs w:val="0"/>
        </w:rPr>
        <w:instrText>∘</w:instrText>
      </w:r>
      <w:r w:rsidRPr="00681223">
        <w:rPr>
          <w:b w:val="0"/>
          <w:bCs w:val="0"/>
        </w:rPr>
        <w:instrText xml:space="preserve">C warming on the other.]]&gt;&lt;/p&gt;","container-title":"Geoscientific Model Development","DOI":"10.5194/gmd-13-3571-2020","ISSN":"1991-9603","issue":"8","note":"publisher: Copernicus GmbH","page":"3571-3605","title":"The shared socio-economic pathway (SSP) greenhouse gas concentrations and their extensions to 2500","volume":"13","author":[{"family":"Meinshausen","given":"Malte"},{"family":"Nicholls","given":"Zebedee R. J."},{"family":"Lewis","given":"Jared"},{"family":"Gidden","given":"Matthew J."},{"family":"Vogel","given":"Elisabeth"},{"family":"Freund","given":"Mandy"},{"family":"Beyerle","given":"Urs"},{"family":"Gessner","given":"Claudia"},{"family":"Nauels","given":"Alexander"},{"family":"Bauer","given":"Nico"},{"family":"Canadell","given":"Josep G."},{"family":"Daniel","given":"John S."},{"family":"John","given":"Andrew"},{"family":"Krummel","given":"Paul B."},{"family":"Luderer","given":"Gunnar"},{"family":"Meinshausen","given":"Nicolai"},{"family":"Montzka","given":"Stephen A."},{"family":"Rayner","given":"Peter J."},{"family":"Reimann","given":"Stefan"},{"family":"Smith","given":"Steven J."},{"family":"Berg","given":"Marten","non-dropping-particle":"van den"},{"family":"Velders","given":"Guus J. M."},{"family":"Vollmer","given":"Martin K."},{"family":"Wang","given":"Ray H. J."}],"issued":{"date-parts":[["2020",8,13]]}}}],"schema":"https://github.com/citation-style-language/schema/raw/master/csl-citation.json"} </w:instrText>
      </w:r>
      <w:r w:rsidRPr="00681223">
        <w:rPr>
          <w:b w:val="0"/>
          <w:bCs w:val="0"/>
        </w:rPr>
        <w:fldChar w:fldCharType="separate"/>
      </w:r>
      <w:r w:rsidRPr="00681223">
        <w:rPr>
          <w:b w:val="0"/>
          <w:bCs w:val="0"/>
        </w:rPr>
        <w:t>(Meinshausen et al., 2020)</w:t>
      </w:r>
      <w:r w:rsidRPr="00681223">
        <w:rPr>
          <w:b w:val="0"/>
          <w:bCs w:val="0"/>
        </w:rPr>
        <w:fldChar w:fldCharType="end"/>
      </w:r>
      <w:r w:rsidRPr="00681223">
        <w:rPr>
          <w:b w:val="0"/>
          <w:bCs w:val="0"/>
        </w:rPr>
        <w:t xml:space="preserve">. Such levels have not occurred on Earth since before the onset of the modern Antarctic glaciation over 40 Mya </w:t>
      </w:r>
      <w:r w:rsidRPr="00681223">
        <w:rPr>
          <w:b w:val="0"/>
          <w:bCs w:val="0"/>
        </w:rPr>
        <w:fldChar w:fldCharType="begin"/>
      </w:r>
      <w:r w:rsidR="001E08C2">
        <w:rPr>
          <w:b w:val="0"/>
          <w:bCs w:val="0"/>
        </w:rPr>
        <w:instrText xml:space="preserve"> ADDIN ZOTERO_ITEM CSL_CITATION {"citationID":"JNGsOYrM","properties":{"formattedCitation":"(Rae et al., 2021)","plainCitation":"(Rae et al., 2021)","noteIndex":0},"citationItems":[{"id":1586,"uris":["http://zotero.org/users/11937628/items/HVZXH2S4"],"itemData":{"id":1586,"type":"article-journal","abstract":"Throughout Earth's history, CO\n              2\n              is thought to have exerted a fundamental control on environmental change. Here we review and revise CO\n              2\n              reconstructions from boron isotopes in carbonates and carbon isotopes in organic matter over the Cenozoic—the past 66 million years. We find close coupling between CO\n              2\n              and climate throughout the Cenozoic, with peak CO\n              2\n              levels of </w:instrText>
      </w:r>
      <w:r w:rsidR="001E08C2">
        <w:rPr>
          <w:rFonts w:ascii="Cambria Math" w:hAnsi="Cambria Math" w:cs="Cambria Math"/>
          <w:b w:val="0"/>
          <w:bCs w:val="0"/>
        </w:rPr>
        <w:instrText>∼</w:instrText>
      </w:r>
      <w:r w:rsidR="001E08C2">
        <w:rPr>
          <w:b w:val="0"/>
          <w:bCs w:val="0"/>
        </w:rPr>
        <w:instrText xml:space="preserve">1,500 ppm in the Eocene greenhouse, decreasing to </w:instrText>
      </w:r>
      <w:r w:rsidR="001E08C2">
        <w:rPr>
          <w:rFonts w:ascii="Cambria Math" w:hAnsi="Cambria Math" w:cs="Cambria Math"/>
          <w:b w:val="0"/>
          <w:bCs w:val="0"/>
        </w:rPr>
        <w:instrText>∼</w:instrText>
      </w:r>
      <w:r w:rsidR="001E08C2">
        <w:rPr>
          <w:b w:val="0"/>
          <w:bCs w:val="0"/>
        </w:rPr>
        <w:instrText xml:space="preserve">500 ppm in the Miocene, and falling further into the ice age world of the Plio–Pleistocene. Around two-thirds of Cenozoic CO\n              2\n              drawdown is explained by an increase in the ratio of ocean alkalinity to dissolved inorganic carbon, likely linked to a change in the balance of weathering to outgassing, with the remaining one-third due to changing ocean temperature and major ion composition. Earth system climate sensitivity is explored and may vary between different time intervals. The Cenozoic CO\n              2\n              record highlights the truly geological scale of anthropogenic CO\n              2\n              change: Current CO\n              2\n              levels were last seen around 3 million years ago, and major cuts in emissions are required to prevent a return to the CO\n              2\n              levels of the Miocene or Eocene in the coming century.\n            \n            \n              ▪  CO\n              2\n              reconstructions over the past 66 Myr from boron isotopes and alkenones are reviewed and re-evaluated. ▪  CO\n              2\n              estimates from the different proxies show close agreement, yielding a consistent picture of the evolution of the ocean-atmosphere CO\n              2\n              system over the Cenozoic. ▪  CO\n              2\n              and climate are coupled throughout the past 66 Myr, providing broad constraints on Earth system climate sensitivity. ▪  Twenty-first-century carbon emissions have the potential to return CO\n              2\n              to levels not seen since the much warmer climates of Earth's distant past.","container-title":"Annual Review of Earth and Planetary Sciences","DOI":"10.1146/annurev-earth-082420-063026","ISSN":"0084-6597, 1545-4495","issue":"1","journalAbbreviation":"Annu. Rev. Earth Planet. Sci.","language":"en","page":"609-641","source":"DOI.org (Crossref)","title":"Atmospheric CO &lt;sub&gt;2&lt;/sub&gt; over the Past 66 Million Years from Marine Archives","volume":"49","author":[{"family":"Rae","given":"James W.B."},{"family":"Zhang","given":"Yi Ge"},{"family":"Liu","given":"Xiaoqing"},{"family":"Foster","given":"Gavin L."},{"family":"Stoll","given":"Heather M."},{"family":"Whiteford","given":"Ross D.M."}],"issued":{"date-parts":[["2021",5,30]]}}}],"schema":"https://github.com/citation-style-language/schema/raw/master/csl-citation.json"} </w:instrText>
      </w:r>
      <w:r w:rsidRPr="00681223">
        <w:rPr>
          <w:b w:val="0"/>
          <w:bCs w:val="0"/>
        </w:rPr>
        <w:fldChar w:fldCharType="separate"/>
      </w:r>
      <w:r w:rsidR="001E08C2">
        <w:rPr>
          <w:b w:val="0"/>
          <w:bCs w:val="0"/>
        </w:rPr>
        <w:t>(Rae et al., 2021)</w:t>
      </w:r>
      <w:r w:rsidRPr="00681223">
        <w:rPr>
          <w:b w:val="0"/>
          <w:bCs w:val="0"/>
        </w:rPr>
        <w:fldChar w:fldCharType="end"/>
      </w:r>
      <w:r w:rsidRPr="00681223">
        <w:rPr>
          <w:b w:val="0"/>
          <w:bCs w:val="0"/>
        </w:rPr>
        <w:t>, and are associated with temperatures 3.3</w:t>
      </w:r>
      <w:r w:rsidRPr="00681223">
        <w:rPr>
          <w:b w:val="0"/>
          <w:bCs w:val="0"/>
        </w:rPr>
        <w:sym w:font="Symbol" w:char="F0B0"/>
      </w:r>
      <w:r w:rsidRPr="00681223">
        <w:rPr>
          <w:b w:val="0"/>
          <w:bCs w:val="0"/>
        </w:rPr>
        <w:t>C to 5.7</w:t>
      </w:r>
      <w:r w:rsidRPr="00681223">
        <w:rPr>
          <w:b w:val="0"/>
          <w:bCs w:val="0"/>
        </w:rPr>
        <w:sym w:font="Symbol" w:char="F0B0"/>
      </w:r>
      <w:r w:rsidRPr="00681223">
        <w:rPr>
          <w:b w:val="0"/>
          <w:bCs w:val="0"/>
        </w:rPr>
        <w:t>C higher</w:t>
      </w:r>
      <w:r w:rsidR="00121C93">
        <w:rPr>
          <w:b w:val="0"/>
          <w:bCs w:val="0"/>
        </w:rPr>
        <w:t xml:space="preserve"> in 2100</w:t>
      </w:r>
      <w:r w:rsidRPr="00681223">
        <w:rPr>
          <w:b w:val="0"/>
          <w:bCs w:val="0"/>
        </w:rPr>
        <w:t xml:space="preserve"> than during the early-industrial period (1850-1900) </w:t>
      </w:r>
      <w:r w:rsidRPr="00681223">
        <w:rPr>
          <w:b w:val="0"/>
          <w:bCs w:val="0"/>
        </w:rPr>
        <w:fldChar w:fldCharType="begin"/>
      </w:r>
      <w:r w:rsidRPr="00681223">
        <w:rPr>
          <w:b w:val="0"/>
          <w:bCs w:val="0"/>
        </w:rPr>
        <w:instrText xml:space="preserve"> ADDIN ZOTERO_ITEM CSL_CITATION {"citationID":"9zBnJjSn","properties":{"formattedCitation":"(Intergovernmental Panel on Climate Change (IPCC), 2023)","plainCitation":"(Intergovernmental Panel on Climate Change (IPCC), 2023)","dontUpdate":true,"noteIndex":0},"citationItems":[{"id":1531,"uris":["http://zotero.org/users/11937628/items/WZ8CGMHV"],"itemData":{"id":1531,"type":"chapter","container-title":"Climate Change 2021 – The Physical Science Basis: Working Group I Contribution to the Sixth Assessment Report of the Intergovernmental Panel on Climate Change","event-place":"Cambridge","ISBN":"978-1-00-915788-9","note":"DOI: 10.1017/9781009157896.001","page":"3-32","publisher":"Cambridge University Press","publisher-place":"Cambridge","title":"Summary for Policymakers","URL":"https://www.cambridge.org/core/books/climate-change-2021-the-physical-science-basis/summary-for-policymakers/8E7A4E3AE6C364220F3B76A189CC4D4C","author":[{"family":"Intergovernmental Panel on Climate Change (IPCC)","given":""}],"issued":{"date-parts":[["2023"]]}}}],"schema":"https://github.com/citation-style-language/schema/raw/master/csl-citation.json"} </w:instrText>
      </w:r>
      <w:r w:rsidRPr="00681223">
        <w:rPr>
          <w:b w:val="0"/>
          <w:bCs w:val="0"/>
        </w:rPr>
        <w:fldChar w:fldCharType="separate"/>
      </w:r>
      <w:r w:rsidRPr="00681223">
        <w:rPr>
          <w:b w:val="0"/>
          <w:bCs w:val="0"/>
        </w:rPr>
        <w:t>(IPCC, 2023)</w:t>
      </w:r>
      <w:r w:rsidRPr="00681223">
        <w:rPr>
          <w:b w:val="0"/>
          <w:bCs w:val="0"/>
        </w:rPr>
        <w:fldChar w:fldCharType="end"/>
      </w:r>
      <w:r w:rsidRPr="00681223">
        <w:rPr>
          <w:b w:val="0"/>
          <w:bCs w:val="0"/>
        </w:rPr>
        <w:t>. Emissions of Hg to air remain near present levels until after 2060 and then decline to 914 Mg a</w:t>
      </w:r>
      <w:r w:rsidRPr="00681223">
        <w:rPr>
          <w:b w:val="0"/>
          <w:bCs w:val="0"/>
          <w:vertAlign w:val="superscript"/>
        </w:rPr>
        <w:t>-1</w:t>
      </w:r>
      <w:r w:rsidRPr="00681223">
        <w:rPr>
          <w:b w:val="0"/>
          <w:bCs w:val="0"/>
        </w:rPr>
        <w:t xml:space="preserve"> (5-9 times the other scenarios) by the end of the </w:t>
      </w:r>
      <w:r w:rsidR="00121C93">
        <w:rPr>
          <w:b w:val="0"/>
          <w:bCs w:val="0"/>
        </w:rPr>
        <w:t>21</w:t>
      </w:r>
      <w:r w:rsidR="00121C93" w:rsidRPr="00121C93">
        <w:rPr>
          <w:b w:val="0"/>
          <w:bCs w:val="0"/>
          <w:vertAlign w:val="superscript"/>
        </w:rPr>
        <w:t>st</w:t>
      </w:r>
      <w:r w:rsidR="00121C93">
        <w:rPr>
          <w:b w:val="0"/>
          <w:bCs w:val="0"/>
        </w:rPr>
        <w:t xml:space="preserve"> </w:t>
      </w:r>
      <w:r w:rsidRPr="00681223">
        <w:rPr>
          <w:b w:val="0"/>
          <w:bCs w:val="0"/>
        </w:rPr>
        <w:t>century. The dominant Hg emission regions are Asia, where emissions exceed 1000 Mg a</w:t>
      </w:r>
      <w:r w:rsidRPr="00681223">
        <w:rPr>
          <w:b w:val="0"/>
          <w:bCs w:val="0"/>
          <w:vertAlign w:val="superscript"/>
        </w:rPr>
        <w:t>-1</w:t>
      </w:r>
      <w:r w:rsidRPr="00681223">
        <w:rPr>
          <w:b w:val="0"/>
          <w:bCs w:val="0"/>
        </w:rPr>
        <w:t xml:space="preserve"> through 2070, and Africa and the Middle East, where emissions grow from 383 Mg a</w:t>
      </w:r>
      <w:r w:rsidRPr="00681223">
        <w:rPr>
          <w:b w:val="0"/>
          <w:bCs w:val="0"/>
          <w:vertAlign w:val="superscript"/>
        </w:rPr>
        <w:t>-1</w:t>
      </w:r>
      <w:r w:rsidRPr="00681223">
        <w:rPr>
          <w:b w:val="0"/>
          <w:bCs w:val="0"/>
        </w:rPr>
        <w:t xml:space="preserve"> in 2010 to 744 Mg a</w:t>
      </w:r>
      <w:r w:rsidRPr="00681223">
        <w:rPr>
          <w:b w:val="0"/>
          <w:bCs w:val="0"/>
          <w:vertAlign w:val="superscript"/>
        </w:rPr>
        <w:t>-1</w:t>
      </w:r>
      <w:r w:rsidRPr="00681223">
        <w:rPr>
          <w:b w:val="0"/>
          <w:bCs w:val="0"/>
        </w:rPr>
        <w:t xml:space="preserve"> in 2080. Emissions decline slowly beyond 2100, remaining at high levels into the 22</w:t>
      </w:r>
      <w:r w:rsidRPr="00681223">
        <w:rPr>
          <w:b w:val="0"/>
          <w:bCs w:val="0"/>
          <w:vertAlign w:val="superscript"/>
        </w:rPr>
        <w:t>nd</w:t>
      </w:r>
      <w:r w:rsidRPr="00681223">
        <w:rPr>
          <w:b w:val="0"/>
          <w:bCs w:val="0"/>
        </w:rPr>
        <w:t xml:space="preserve"> century: 512 Mg a</w:t>
      </w:r>
      <w:r w:rsidRPr="00681223">
        <w:rPr>
          <w:b w:val="0"/>
          <w:bCs w:val="0"/>
          <w:vertAlign w:val="superscript"/>
        </w:rPr>
        <w:t>-1</w:t>
      </w:r>
      <w:r w:rsidRPr="00681223">
        <w:rPr>
          <w:b w:val="0"/>
          <w:bCs w:val="0"/>
        </w:rPr>
        <w:t xml:space="preserve"> in 2150 and 256 Mg a</w:t>
      </w:r>
      <w:r w:rsidRPr="00681223">
        <w:rPr>
          <w:b w:val="0"/>
          <w:bCs w:val="0"/>
          <w:vertAlign w:val="superscript"/>
        </w:rPr>
        <w:t>-1</w:t>
      </w:r>
      <w:r w:rsidRPr="00681223">
        <w:rPr>
          <w:b w:val="0"/>
          <w:bCs w:val="0"/>
        </w:rPr>
        <w:t xml:space="preserve"> in 2200 (Fig. 1). Emissions do not reach zero until 2250. Cumulative Hg releases (2010</w:t>
      </w:r>
      <w:r w:rsidR="00B56720">
        <w:rPr>
          <w:b w:val="0"/>
          <w:bCs w:val="0"/>
        </w:rPr>
        <w:t>-</w:t>
      </w:r>
      <w:r w:rsidRPr="00681223">
        <w:rPr>
          <w:b w:val="0"/>
          <w:bCs w:val="0"/>
        </w:rPr>
        <w:t xml:space="preserve">2300) are 235 Gg to air and 1.47 </w:t>
      </w:r>
      <w:proofErr w:type="spellStart"/>
      <w:r w:rsidRPr="00681223">
        <w:rPr>
          <w:b w:val="0"/>
          <w:bCs w:val="0"/>
        </w:rPr>
        <w:t>Tg</w:t>
      </w:r>
      <w:proofErr w:type="spellEnd"/>
      <w:r w:rsidRPr="00681223">
        <w:rPr>
          <w:b w:val="0"/>
          <w:bCs w:val="0"/>
        </w:rPr>
        <w:t xml:space="preserve"> to land and water under SSP5-8.5.</w:t>
      </w:r>
    </w:p>
    <w:p w14:paraId="68651E34" w14:textId="7F63AE9E" w:rsidR="00681223" w:rsidRPr="00681223" w:rsidRDefault="001E08C2" w:rsidP="00681223">
      <w:pPr>
        <w:pStyle w:val="Heading-Main"/>
        <w:rPr>
          <w:b w:val="0"/>
          <w:bCs w:val="0"/>
        </w:rPr>
      </w:pPr>
      <w:r>
        <w:rPr>
          <w:b w:val="0"/>
          <w:bCs w:val="0"/>
        </w:rPr>
        <w:t>Several</w:t>
      </w:r>
      <w:r w:rsidRPr="00681223">
        <w:rPr>
          <w:b w:val="0"/>
          <w:bCs w:val="0"/>
        </w:rPr>
        <w:t xml:space="preserve"> </w:t>
      </w:r>
      <w:r w:rsidR="00681223" w:rsidRPr="00681223">
        <w:rPr>
          <w:b w:val="0"/>
          <w:bCs w:val="0"/>
        </w:rPr>
        <w:t xml:space="preserve">indicators suggest that global anthropogenic Hg emissions are tracking below levels described in the overshoot scenario (SSP5-3.4) since 2010. While existing emission inventories </w:t>
      </w:r>
      <w:r w:rsidR="0097687D">
        <w:rPr>
          <w:b w:val="0"/>
          <w:bCs w:val="0"/>
        </w:rPr>
        <w:t>report</w:t>
      </w:r>
      <w:r w:rsidR="0097687D" w:rsidRPr="00681223">
        <w:rPr>
          <w:b w:val="0"/>
          <w:bCs w:val="0"/>
        </w:rPr>
        <w:t xml:space="preserve"> </w:t>
      </w:r>
      <w:r w:rsidR="00681223" w:rsidRPr="00681223">
        <w:rPr>
          <w:b w:val="0"/>
          <w:bCs w:val="0"/>
        </w:rPr>
        <w:t xml:space="preserve">growth in global anthropogenic Hg emissions between 2010 and 2015 </w:t>
      </w:r>
      <w:r w:rsidR="00681223" w:rsidRPr="00681223">
        <w:rPr>
          <w:b w:val="0"/>
          <w:bCs w:val="0"/>
        </w:rPr>
        <w:fldChar w:fldCharType="begin"/>
      </w:r>
      <w:r w:rsidR="00681223" w:rsidRPr="00681223">
        <w:rPr>
          <w:b w:val="0"/>
          <w:bCs w:val="0"/>
        </w:rPr>
        <w:instrText xml:space="preserve"> ADDIN ZOTERO_ITEM CSL_CITATION {"citationID":"I2IZJbDg","properties":{"formattedCitation":"(Streets et al., 2019b)","plainCitation":"(Streets et al., 2019b)","noteIndex":0},"citationItems":[{"id":659,"uris":["http://zotero.org/users/local/VbtpDxdA/items/RFER2VFE","http://zotero.org/users/11937628/items/RFER2VFE"],"itemData":{"id":659,"type":"article-journal","abstract":"Mercury (Hg) is a naturally occurring element in the Earth's crust. It can be harmful to human health when released in large quantities and/or converted to the neurotoxicant methyl mercury in aquatic ecosystems. This study analyzes global and regional trends in anthropogenic Hg releases to the atmosphere between 2010 and 2015, as well as the associated trends in modeled and measured Hg concentrations at sites around the world. In general, we find that global Hg emissions and concentrations have grown slightly in this period, as declines from the phase-out of commercial Hg use in the developed world have been more than matched by increases in Hg-related activities in the industrializing countries of the world. We estimate that global Hg emissions between 2010 and 2015 have grown at a rate of 1.8%/yr, from 2188 Mg (+44%/-20%, 80% C.I.) in 2010 to 2390 Mg (+42%/-19%, 80% C.I.) in 2015. Regionally, emissions declined over this period in the U.S. (−10%), OECD Europe (−5.8%), and Canada (−3.2%), while they increased in Central America (+5.4%), South Asia (+4.6%), and Eastern Africa (+4.0%). East Asia remained the largest emitting region at 1012 Mg in 2015, though growth there has slowed significantly in recent years. The production of Hg (+7.9%), caustic soda (+6.3%), and cement (+6.3%) showed the highest increases by source type, though artisanal and small-scale gold mining (ASGM) was the single largest source of emissions in 2015 (775 Mg). The commercial use of Hg in dental applications (−5.6%) and electrical equipment (−5.2%) continued to decline. These emission trends show a continuation of the regional and sectoral shifts that began in the 1970s, but with a resulting reversal in global trends, because the benefits from Hg phase-out in North America and Europe have been largely realized and industrial growth in developing countries has begun to dominate. The emission trends are in agreement with trends in modeled and measured concentrations, which show small declines in surface air total gaseous Hg concentrations in eastern North America and Western Europe between 2010 and 2015, but slight increases for much of the rest of the world, driven by the continued increases in emissions from Asia and from ASGM. Our results suggest that reductions of Hg in the North Atlantic region have been largely successful, and focus now needs to shift to Asia and to the continued practice of ASGM worldwide.","container-title":"Atmospheric Environment","DOI":"10.1016/j.atmosenv.2018.12.031","ISSN":"13522310","issue":"December 2018","note":"publisher: Elsevier\nCitation Key: Streets2019a","page":"417-427","title":"Global and regional trends in mercury emissions and concentrations, 2010–2015","volume":"201","author":[{"family":"Streets","given":"David G."},{"family":"Horowitz","given":"Hannah M."},{"family":"Lu","given":"Zifeng"},{"family":"Levin","given":"Leonard"},{"family":"Thackray","given":"Colin P."},{"family":"Sunderland","given":"Elsie M."}],"issued":{"date-parts":[["2019",3]]}}}],"schema":"https://github.com/citation-style-language/schema/raw/master/csl-citation.json"} </w:instrText>
      </w:r>
      <w:r w:rsidR="00681223" w:rsidRPr="00681223">
        <w:rPr>
          <w:b w:val="0"/>
          <w:bCs w:val="0"/>
        </w:rPr>
        <w:fldChar w:fldCharType="separate"/>
      </w:r>
      <w:r w:rsidR="00681223" w:rsidRPr="00681223">
        <w:rPr>
          <w:b w:val="0"/>
          <w:bCs w:val="0"/>
        </w:rPr>
        <w:t>(Streets et al., 2019b)</w:t>
      </w:r>
      <w:r w:rsidR="00681223" w:rsidRPr="00681223">
        <w:rPr>
          <w:b w:val="0"/>
          <w:bCs w:val="0"/>
        </w:rPr>
        <w:fldChar w:fldCharType="end"/>
      </w:r>
      <w:r w:rsidR="00681223" w:rsidRPr="00681223">
        <w:rPr>
          <w:b w:val="0"/>
          <w:bCs w:val="0"/>
        </w:rPr>
        <w:t xml:space="preserve">, domestic policies have prompted widespread installation of air pollution control devices over the past decade in China </w:t>
      </w:r>
      <w:r w:rsidR="00681223" w:rsidRPr="00681223">
        <w:rPr>
          <w:b w:val="0"/>
          <w:bCs w:val="0"/>
        </w:rPr>
        <w:fldChar w:fldCharType="begin"/>
      </w:r>
      <w:r w:rsidR="00681223" w:rsidRPr="00681223">
        <w:rPr>
          <w:b w:val="0"/>
          <w:bCs w:val="0"/>
        </w:rPr>
        <w:instrText xml:space="preserve"> ADDIN ZOTERO_ITEM CSL_CITATION {"citationID":"YPX8b7Cd","properties":{"formattedCitation":"(Y. Zhang et al., 2023)","plainCitation":"(Y. Zhang et al., 2023)","dontUpdate":true,"noteIndex":0},"citationItems":[{"id":1532,"uris":["http://zotero.org/users/11937628/items/B7SP6X6S"],"itemData":{"id":1532,"type":"article-journal","container-title":"Environmental Science &amp; Technology","DOI":"10.1021/acs.est.3c01065","ISSN":"0013-936X, 1520-5851","issue":"23","journalAbbreviation":"Environ. Sci. Technol.","language":"en","page":"8660-8670","source":"DOI.org (Crossref)","title":"Improved Anthropogenic Mercury Emission Inventories for China from 1980 to 2020: Toward More Accurate Effectiveness Evaluation for the Minamata Convention","title-short":"Improved Anthropogenic Mercury Emission Inventories for China from 1980 to 2020","volume":"57","author":[{"family":"Zhang","given":"Yang"},{"family":"Zhang","given":"Lei"},{"family":"Cao","given":"Shuzhen"},{"family":"Liu","given":"Xia"},{"family":"Jin","given":"Jingmeng"},{"family":"Zhao","given":"Yu"}],"issued":{"date-parts":[["2023",6,13]]}}}],"schema":"https://github.com/citation-style-language/schema/raw/master/csl-citation.json"} </w:instrText>
      </w:r>
      <w:r w:rsidR="00681223" w:rsidRPr="00681223">
        <w:rPr>
          <w:b w:val="0"/>
          <w:bCs w:val="0"/>
        </w:rPr>
        <w:fldChar w:fldCharType="separate"/>
      </w:r>
      <w:r w:rsidR="00681223" w:rsidRPr="00681223">
        <w:rPr>
          <w:b w:val="0"/>
          <w:bCs w:val="0"/>
        </w:rPr>
        <w:t>(Zhang et al., 2023)</w:t>
      </w:r>
      <w:r w:rsidR="00681223" w:rsidRPr="00681223">
        <w:rPr>
          <w:b w:val="0"/>
          <w:bCs w:val="0"/>
        </w:rPr>
        <w:fldChar w:fldCharType="end"/>
      </w:r>
      <w:r w:rsidR="00681223" w:rsidRPr="00681223">
        <w:rPr>
          <w:b w:val="0"/>
          <w:bCs w:val="0"/>
        </w:rPr>
        <w:t xml:space="preserve"> and the United States </w:t>
      </w:r>
      <w:r w:rsidR="00681223" w:rsidRPr="00681223">
        <w:rPr>
          <w:b w:val="0"/>
          <w:bCs w:val="0"/>
        </w:rPr>
        <w:fldChar w:fldCharType="begin"/>
      </w:r>
      <w:r w:rsidR="00681223" w:rsidRPr="00681223">
        <w:rPr>
          <w:b w:val="0"/>
          <w:bCs w:val="0"/>
        </w:rPr>
        <w:instrText xml:space="preserve"> ADDIN ZOTERO_ITEM CSL_CITATION {"citationID":"i49iXMxj","properties":{"formattedCitation":"(Dai et al., 2023)","plainCitation":"(Dai et al., 2023)","noteIndex":0},"citationItems":[{"id":1516,"uris":["http://zotero.org/users/11937628/items/4BIBWSHG"],"itemData":{"id":1516,"type":"article-journal","container-title":"Environmental Science &amp; Technology Letters","DOI":"10.1021/acs.estlett.3c00216","issue":"7","journalAbbreviation":"Environ. Sci. Technol. Lett.","note":"publisher: American Chemical Society","page":"589-595","title":"Sociodemographic Disparities in Mercury Exposure from United States Coal-Fired Power Plants","volume":"10","author":[{"family":"Dai","given":"Mona Q."},{"family":"Geyman","given":"Benjamin M."},{"family":"Hu","given":"Xindi C."},{"family":"Thackray","given":"Colin P."},{"family":"Sunderland","given":"Elsie M."}],"issued":{"date-parts":[["2023",7,11]]}}}],"schema":"https://github.com/citation-style-language/schema/raw/master/csl-citation.json"} </w:instrText>
      </w:r>
      <w:r w:rsidR="00681223" w:rsidRPr="00681223">
        <w:rPr>
          <w:b w:val="0"/>
          <w:bCs w:val="0"/>
        </w:rPr>
        <w:fldChar w:fldCharType="separate"/>
      </w:r>
      <w:r w:rsidR="00681223" w:rsidRPr="00681223">
        <w:rPr>
          <w:b w:val="0"/>
          <w:bCs w:val="0"/>
        </w:rPr>
        <w:t>(Dai et al., 2023)</w:t>
      </w:r>
      <w:r w:rsidR="00681223" w:rsidRPr="00681223">
        <w:rPr>
          <w:b w:val="0"/>
          <w:bCs w:val="0"/>
        </w:rPr>
        <w:fldChar w:fldCharType="end"/>
      </w:r>
      <w:r w:rsidR="00681223" w:rsidRPr="00681223">
        <w:rPr>
          <w:b w:val="0"/>
          <w:bCs w:val="0"/>
        </w:rPr>
        <w:t>. Trends in Hg</w:t>
      </w:r>
      <w:r w:rsidR="00681223" w:rsidRPr="00681223">
        <w:rPr>
          <w:b w:val="0"/>
          <w:bCs w:val="0"/>
          <w:vertAlign w:val="superscript"/>
        </w:rPr>
        <w:t>0</w:t>
      </w:r>
      <w:r w:rsidR="00681223" w:rsidRPr="00681223">
        <w:rPr>
          <w:b w:val="0"/>
          <w:bCs w:val="0"/>
        </w:rPr>
        <w:t xml:space="preserve"> concentration and isotopic composition from long-term monitoring sites in China </w:t>
      </w:r>
      <w:r w:rsidR="00681223" w:rsidRPr="00681223">
        <w:rPr>
          <w:b w:val="0"/>
          <w:bCs w:val="0"/>
        </w:rPr>
        <w:lastRenderedPageBreak/>
        <w:t xml:space="preserve">also show declines consistent with </w:t>
      </w:r>
      <w:r w:rsidR="0086472D">
        <w:rPr>
          <w:b w:val="0"/>
          <w:bCs w:val="0"/>
        </w:rPr>
        <w:t>suggested</w:t>
      </w:r>
      <w:r w:rsidR="00681223" w:rsidRPr="00681223">
        <w:rPr>
          <w:b w:val="0"/>
          <w:bCs w:val="0"/>
        </w:rPr>
        <w:t xml:space="preserve"> reductions in regional anthropogenic emissions </w:t>
      </w:r>
      <w:r w:rsidR="00681223" w:rsidRPr="00681223">
        <w:rPr>
          <w:b w:val="0"/>
          <w:bCs w:val="0"/>
        </w:rPr>
        <w:fldChar w:fldCharType="begin"/>
      </w:r>
      <w:r w:rsidR="00681223" w:rsidRPr="00681223">
        <w:rPr>
          <w:b w:val="0"/>
          <w:bCs w:val="0"/>
        </w:rPr>
        <w:instrText xml:space="preserve"> ADDIN ZOTERO_ITEM CSL_CITATION {"citationID":"YuDvY2TT","properties":{"formattedCitation":"(Wu et al., 2023)","plainCitation":"(Wu et al., 2023)","noteIndex":0},"citationItems":[{"id":1542,"uris":["http://zotero.org/users/11937628/items/XEPIJKCZ"],"itemData":{"id":1542,"type":"article-journal","abstract":"Abstract\n            \n              China is the largest contributor to the global total anthropogenic mercury (Hg) emissions. However, the trend in anthropogenic Hg emissions in recent years in China has not been effectively evaluated due to the lack of long‐term atmospheric Hg observations. This study documents the changes in atmospheric gaseous elemental mercury (GEM) concentrations and isotopic compositions at Mt. Changbai (MCB) in northeastern China during 2015–2021 and Mt. Ailao (MAL) in southwestern China during 2017–2021, and explores the potential factors controlling these changes. GEM concentrations showed continuous declines from 2015 to 2021 (−2.1 ± 0.6% yr\n              −1\n              ) at MCB and from 2017 to 2021 (−4.0 ± 1.4% yr\n              −1\n              ) at MAL. Accompanied with these GEM declines are positive shifts in δ\n              202\n              Hg (medians: from 0.42 to 0.46‰ at MCB and from 0.17 to 0.57‰ at MAL), and negative shifts in Δ\n              199\n              Hg (medians: from −0.17‰ to −0.21‰ at MCB and from −0.10‰ to −0.17‰ at MAL) and Δ\n              200\n              Hg values (medians: from −0.07‰ to −0.08‰ at MCB and from −0.03‰ to −0.05‰ at MAL) (at significant levels for Δ\n              199\n              Hg at MCB and δ\n              202\n              Hg and Δ\n              199\n              Hg at MAL). These changes were mainly caused by the decreases in regional anthropogenic emissions in the study areas. Based on a ternary mixing model with Δ\n              199\n              Hg and Δ\n              200\n              Hg as input, we estimate decline rates of 5.8 ± 2.8 and 4.8 ± 3.0% yr\n              −1\n              for the regional anthropogenic GEM emissions in northeastern and southwestern China, respectively.\n            \n          , \n            Plain Language Summary\n            \n              Long‐term observations of atmospheric mercury (Hg) are important for evaluating the effectiveness of the Minamata Convention on Mercury. China is one of the largest anthropogenic atmospheric Hg emission regions in the world, and the temporal change in Chinese anthropogenic atmospheric Hg emissions plays an important role in global Hg cycling. However, long‐term observations of atmospheric Hg in China are very limited, which makes it difficult to constrain the trend in atmospheric Hg concentrations in China and hampers our capability to evaluate the temporal changes in Chinese anthropogenic atmospheric Hg emissions. This study measures the gaseous elemental mercury (GEM) concentrations and isotopic compositions at two rural sites in China during 2015–2021 and 2017–2021, respectively. The results show rapid declines (−4.0%–−2.1% yr\n              −1\n              ) in GEM concentrations at the two sampling sites over the past 5–7 years, which are companied by systematically consistent increase of δ\n              202\n              Hg and decrease of Δ\n              199\n              Hg and Δ\n              200\n              Hg values. Our observations indicate that the GEM declines are mainly driven by reduced anthropogenic emissions, and the reduction rates of regional anthropogenic emissions are estimated to be in the range of 4.8%–5.8% over the past 5–7 years.\n            \n          , \n            Key Points\n            \n              \n                \n                  Continuous observations of atmospheric gaseous elemental mercury (GEM) show significant decreasing trends over the past 5–7 years\n                \n                \n                  \n                    Slight increase of δ\n                    202\n                    Hg and decrease of Δ\n                    199\n                    Hg and Δ\n                    200\n                    Hg with decreasing GEM concentration are observed\n                  \n                \n                \n                  Changes in GEM concentrations and isotope compositions are mainly driven by reduced anthropogenic emissions","container-title":"Journal of Geophysical Research: Atmospheres","DOI":"10.1029/2022JD037749","ISSN":"2169-897X, 2169-8996","issue":"10","journalAbbreviation":"JGR Atmospheres","language":"en","page":"e2022JD037749","source":"DOI.org (Crossref)","title":"Changes in Atmospheric Gaseous Elemental Mercury Concentrations and Isotopic Compositions at Mt. Changbai During 2015–2021 and Mt. Ailao During 2017–2021 in China","volume":"128","author":[{"family":"Wu","given":"Xian"},{"family":"Fu","given":"Xuewu"},{"family":"Zhang","given":"Hui"},{"family":"Tang","given":"Kaihui"},{"family":"Wang","given":"Xun"},{"family":"Zhang","given":"Hui"},{"family":"Deng","given":"Qianwen"},{"family":"Zhang","given":"Leiming"},{"family":"Liu","given":"Kaiyun"},{"family":"Wu","given":"Qingru"},{"family":"Wang","given":"Shuxiao"},{"family":"Feng","given":"Xinbin"}],"issued":{"date-parts":[["2023",5,27]]}}}],"schema":"https://github.com/citation-style-language/schema/raw/master/csl-citation.json"} </w:instrText>
      </w:r>
      <w:r w:rsidR="00681223" w:rsidRPr="00681223">
        <w:rPr>
          <w:b w:val="0"/>
          <w:bCs w:val="0"/>
        </w:rPr>
        <w:fldChar w:fldCharType="separate"/>
      </w:r>
      <w:r w:rsidR="00681223" w:rsidRPr="00681223">
        <w:rPr>
          <w:b w:val="0"/>
          <w:bCs w:val="0"/>
        </w:rPr>
        <w:t>(Wu et al., 2023)</w:t>
      </w:r>
      <w:r w:rsidR="00681223" w:rsidRPr="00681223">
        <w:rPr>
          <w:b w:val="0"/>
          <w:bCs w:val="0"/>
        </w:rPr>
        <w:fldChar w:fldCharType="end"/>
      </w:r>
      <w:r w:rsidR="00681223" w:rsidRPr="00681223">
        <w:rPr>
          <w:b w:val="0"/>
          <w:bCs w:val="0"/>
        </w:rPr>
        <w:t>.</w:t>
      </w:r>
    </w:p>
    <w:p w14:paraId="0A44A5A2" w14:textId="22433AC3" w:rsidR="00681223" w:rsidRPr="00681223" w:rsidRDefault="00681223" w:rsidP="00681223">
      <w:pPr>
        <w:pStyle w:val="Heading-Main"/>
        <w:rPr>
          <w:b w:val="0"/>
          <w:bCs w:val="0"/>
        </w:rPr>
      </w:pPr>
      <w:r w:rsidRPr="00681223">
        <w:rPr>
          <w:b w:val="0"/>
          <w:bCs w:val="0"/>
        </w:rPr>
        <w:t xml:space="preserve">3.1.3 </w:t>
      </w:r>
      <w:r w:rsidR="00C04181">
        <w:rPr>
          <w:b w:val="0"/>
          <w:bCs w:val="0"/>
        </w:rPr>
        <w:t>Decoupling of Hg emissions and radiative forcing under low coal use scenarios</w:t>
      </w:r>
    </w:p>
    <w:p w14:paraId="0692EB2E" w14:textId="77777777" w:rsidR="00681223" w:rsidRPr="00681223" w:rsidRDefault="00681223" w:rsidP="00681223">
      <w:pPr>
        <w:pStyle w:val="Heading-Main"/>
        <w:rPr>
          <w:b w:val="0"/>
          <w:bCs w:val="0"/>
        </w:rPr>
      </w:pPr>
      <w:r w:rsidRPr="00681223">
        <w:rPr>
          <w:b w:val="0"/>
          <w:bCs w:val="0"/>
        </w:rPr>
        <w:t>Among source sectors in 2010, artisanal and small-scale gold mining (ASGM) was the largest global source of atmospheric emissions (727 Mg a</w:t>
      </w:r>
      <w:r w:rsidRPr="00681223">
        <w:rPr>
          <w:b w:val="0"/>
          <w:bCs w:val="0"/>
          <w:vertAlign w:val="superscript"/>
        </w:rPr>
        <w:t>-1</w:t>
      </w:r>
      <w:r w:rsidRPr="00681223">
        <w:rPr>
          <w:b w:val="0"/>
          <w:bCs w:val="0"/>
        </w:rPr>
        <w:t>), followed by coal combustion (538 Mg a</w:t>
      </w:r>
      <w:r w:rsidRPr="00681223">
        <w:rPr>
          <w:b w:val="0"/>
          <w:bCs w:val="0"/>
          <w:vertAlign w:val="superscript"/>
        </w:rPr>
        <w:t>-1</w:t>
      </w:r>
      <w:r w:rsidRPr="00681223">
        <w:rPr>
          <w:b w:val="0"/>
          <w:bCs w:val="0"/>
        </w:rPr>
        <w:t>) and mining and industry (491 Mg a</w:t>
      </w:r>
      <w:r w:rsidRPr="00681223">
        <w:rPr>
          <w:b w:val="0"/>
          <w:bCs w:val="0"/>
          <w:vertAlign w:val="superscript"/>
        </w:rPr>
        <w:t>-1</w:t>
      </w:r>
      <w:r w:rsidRPr="00681223">
        <w:rPr>
          <w:b w:val="0"/>
          <w:bCs w:val="0"/>
        </w:rPr>
        <w:t>). Large-scale (rather than ASGM) gold production was the largest source of Hg released to land and water (1990 Mg a</w:t>
      </w:r>
      <w:r w:rsidRPr="00681223">
        <w:rPr>
          <w:b w:val="0"/>
          <w:bCs w:val="0"/>
          <w:vertAlign w:val="superscript"/>
        </w:rPr>
        <w:t>-1</w:t>
      </w:r>
      <w:r w:rsidRPr="00681223">
        <w:rPr>
          <w:b w:val="0"/>
          <w:bCs w:val="0"/>
        </w:rPr>
        <w:t>), followed by ASGM (1090 Mg a</w:t>
      </w:r>
      <w:r w:rsidRPr="00681223">
        <w:rPr>
          <w:b w:val="0"/>
          <w:bCs w:val="0"/>
          <w:vertAlign w:val="superscript"/>
        </w:rPr>
        <w:t>-1</w:t>
      </w:r>
      <w:r w:rsidRPr="00681223">
        <w:rPr>
          <w:b w:val="0"/>
          <w:bCs w:val="0"/>
        </w:rPr>
        <w:t>), electrical and measurement equipment (1010 Mg a</w:t>
      </w:r>
      <w:r w:rsidRPr="00681223">
        <w:rPr>
          <w:b w:val="0"/>
          <w:bCs w:val="0"/>
          <w:vertAlign w:val="superscript"/>
        </w:rPr>
        <w:t>-1</w:t>
      </w:r>
      <w:r w:rsidRPr="00681223">
        <w:rPr>
          <w:b w:val="0"/>
          <w:bCs w:val="0"/>
        </w:rPr>
        <w:t>), chemicals manufacturing (860 Mg a</w:t>
      </w:r>
      <w:r w:rsidRPr="00681223">
        <w:rPr>
          <w:b w:val="0"/>
          <w:bCs w:val="0"/>
          <w:vertAlign w:val="superscript"/>
        </w:rPr>
        <w:t>-1</w:t>
      </w:r>
      <w:r w:rsidRPr="00681223">
        <w:rPr>
          <w:b w:val="0"/>
          <w:bCs w:val="0"/>
        </w:rPr>
        <w:t>), and zinc smelting (670 Mg a</w:t>
      </w:r>
      <w:r w:rsidRPr="00681223">
        <w:rPr>
          <w:b w:val="0"/>
          <w:bCs w:val="0"/>
          <w:vertAlign w:val="superscript"/>
        </w:rPr>
        <w:t>-1</w:t>
      </w:r>
      <w:r w:rsidRPr="00681223">
        <w:rPr>
          <w:b w:val="0"/>
          <w:bCs w:val="0"/>
        </w:rPr>
        <w:t>). Coal combustion accounted for a greater fraction of global atmospheric emissions (25%) in 2010 compared to land and water releases (5%, 370 Mg a</w:t>
      </w:r>
      <w:r w:rsidRPr="00681223">
        <w:rPr>
          <w:b w:val="0"/>
          <w:bCs w:val="0"/>
          <w:vertAlign w:val="superscript"/>
        </w:rPr>
        <w:t>-1</w:t>
      </w:r>
      <w:r w:rsidRPr="00681223">
        <w:rPr>
          <w:b w:val="0"/>
          <w:bCs w:val="0"/>
        </w:rPr>
        <w:t>).</w:t>
      </w:r>
    </w:p>
    <w:p w14:paraId="4D550772" w14:textId="225AAA86" w:rsidR="00681223" w:rsidRPr="00681223" w:rsidRDefault="00681223" w:rsidP="00681223">
      <w:pPr>
        <w:pStyle w:val="Heading-Main"/>
        <w:rPr>
          <w:b w:val="0"/>
          <w:bCs w:val="0"/>
        </w:rPr>
      </w:pPr>
      <w:r w:rsidRPr="00681223">
        <w:rPr>
          <w:b w:val="0"/>
          <w:bCs w:val="0"/>
        </w:rPr>
        <w:t xml:space="preserve">Differences in anthropogenic Hg emissions to air principally reflect differences in coal combustion across SSP scenarios. Hg emissions from coal combustion are projected to grow by 2.3 to 12.5% and peak in 2020 under SSPs 1-2.6 and 2-4.5 (Fig. 1). Near-term increases in Hg emissions from coal combustion reach levels 65% higher than 2010 under SSP5-3.4. Hg emissions decline thereafter for lower coal-use scenarios (SSPs 1-2.6, 2-4.5 and 5-3.4). </w:t>
      </w:r>
      <w:r w:rsidR="00FC1F5E">
        <w:rPr>
          <w:b w:val="0"/>
          <w:bCs w:val="0"/>
        </w:rPr>
        <w:t>B</w:t>
      </w:r>
      <w:r w:rsidR="00FC1F5E" w:rsidRPr="00681223">
        <w:rPr>
          <w:b w:val="0"/>
          <w:bCs w:val="0"/>
        </w:rPr>
        <w:t>y 2050</w:t>
      </w:r>
      <w:r w:rsidR="00FC1F5E">
        <w:rPr>
          <w:b w:val="0"/>
          <w:bCs w:val="0"/>
        </w:rPr>
        <w:t>,</w:t>
      </w:r>
      <w:r w:rsidR="00FC1F5E" w:rsidRPr="00681223">
        <w:rPr>
          <w:b w:val="0"/>
          <w:bCs w:val="0"/>
        </w:rPr>
        <w:t xml:space="preserve"> </w:t>
      </w:r>
      <w:r w:rsidR="00FC1F5E">
        <w:rPr>
          <w:b w:val="0"/>
          <w:bCs w:val="0"/>
        </w:rPr>
        <w:t>t</w:t>
      </w:r>
      <w:r w:rsidR="00FC1F5E" w:rsidRPr="00681223">
        <w:rPr>
          <w:b w:val="0"/>
          <w:bCs w:val="0"/>
        </w:rPr>
        <w:t xml:space="preserve">hey </w:t>
      </w:r>
      <w:r w:rsidRPr="00681223">
        <w:rPr>
          <w:b w:val="0"/>
          <w:bCs w:val="0"/>
        </w:rPr>
        <w:t xml:space="preserve">fall </w:t>
      </w:r>
      <w:r w:rsidR="00FC1F5E">
        <w:rPr>
          <w:b w:val="0"/>
          <w:bCs w:val="0"/>
        </w:rPr>
        <w:t xml:space="preserve">to a fraction of </w:t>
      </w:r>
      <w:r w:rsidR="00FC1F5E" w:rsidRPr="00681223">
        <w:rPr>
          <w:b w:val="0"/>
          <w:bCs w:val="0"/>
        </w:rPr>
        <w:t xml:space="preserve">2010 levels </w:t>
      </w:r>
      <w:r w:rsidR="00FC1F5E">
        <w:rPr>
          <w:b w:val="0"/>
          <w:bCs w:val="0"/>
        </w:rPr>
        <w:t>(1</w:t>
      </w:r>
      <w:r w:rsidRPr="00681223">
        <w:rPr>
          <w:b w:val="0"/>
          <w:bCs w:val="0"/>
        </w:rPr>
        <w:t xml:space="preserve">5% </w:t>
      </w:r>
      <w:r w:rsidR="00FC1F5E">
        <w:rPr>
          <w:b w:val="0"/>
          <w:bCs w:val="0"/>
        </w:rPr>
        <w:t xml:space="preserve">under </w:t>
      </w:r>
      <w:r w:rsidRPr="00681223">
        <w:rPr>
          <w:b w:val="0"/>
          <w:bCs w:val="0"/>
        </w:rPr>
        <w:t>SSP1-2.6</w:t>
      </w:r>
      <w:r w:rsidR="00FC1F5E">
        <w:rPr>
          <w:b w:val="0"/>
          <w:bCs w:val="0"/>
        </w:rPr>
        <w:t xml:space="preserve"> and</w:t>
      </w:r>
      <w:r w:rsidRPr="00681223">
        <w:rPr>
          <w:b w:val="0"/>
          <w:bCs w:val="0"/>
        </w:rPr>
        <w:t xml:space="preserve"> 69% </w:t>
      </w:r>
      <w:r w:rsidR="00FC1F5E">
        <w:rPr>
          <w:b w:val="0"/>
          <w:bCs w:val="0"/>
        </w:rPr>
        <w:t xml:space="preserve">under </w:t>
      </w:r>
      <w:r w:rsidRPr="00681223">
        <w:rPr>
          <w:b w:val="0"/>
          <w:bCs w:val="0"/>
        </w:rPr>
        <w:t>SSP2-4.5) and reach zero before the end of the century. In contrast, coal combustion persists until 2250 under SSP5-8.5. Coal-related Hg emissions under SSP5-8.5 reach 990 Mg a</w:t>
      </w:r>
      <w:r w:rsidRPr="00681223">
        <w:rPr>
          <w:b w:val="0"/>
          <w:bCs w:val="0"/>
          <w:vertAlign w:val="superscript"/>
        </w:rPr>
        <w:t>-1</w:t>
      </w:r>
      <w:r w:rsidRPr="00681223">
        <w:rPr>
          <w:b w:val="0"/>
          <w:bCs w:val="0"/>
        </w:rPr>
        <w:t xml:space="preserve"> (96% higher than 2010) by 2070 and remain 44% higher than 2010 levels by the end of the century (Fig. 1). </w:t>
      </w:r>
    </w:p>
    <w:p w14:paraId="520B820B" w14:textId="784ED5FF" w:rsidR="00681223" w:rsidRPr="00681223" w:rsidRDefault="00681223" w:rsidP="00681223">
      <w:pPr>
        <w:pStyle w:val="Heading-Main"/>
        <w:rPr>
          <w:b w:val="0"/>
          <w:bCs w:val="0"/>
        </w:rPr>
      </w:pPr>
      <w:r w:rsidRPr="00681223">
        <w:rPr>
          <w:b w:val="0"/>
          <w:bCs w:val="0"/>
        </w:rPr>
        <w:t>Among lower coal-use scenarios, coal combustion is responsible for 16 Gg (SSP1-2.6) to 28 Gg (SSP2-45) of cumulative (2010</w:t>
      </w:r>
      <w:r w:rsidR="0086472D">
        <w:rPr>
          <w:b w:val="0"/>
          <w:bCs w:val="0"/>
        </w:rPr>
        <w:t>-</w:t>
      </w:r>
      <w:r w:rsidRPr="00681223">
        <w:rPr>
          <w:b w:val="0"/>
          <w:bCs w:val="0"/>
        </w:rPr>
        <w:t>2300) Hg emissions to air. Cumulative Hg emissions to air from coal combustion are ~5 to 9-fold greater under SSP5-8.5 (139 Gg) than the other scenarios, and coal combustion comprises 59% of all emissions to air between 2010 and 2300 under SSP5-8.5.</w:t>
      </w:r>
    </w:p>
    <w:p w14:paraId="1E88D3D6" w14:textId="2190FE16" w:rsidR="00681223" w:rsidRPr="00681223" w:rsidRDefault="00681223" w:rsidP="00681223">
      <w:pPr>
        <w:pStyle w:val="Heading-Main"/>
        <w:rPr>
          <w:b w:val="0"/>
          <w:bCs w:val="0"/>
        </w:rPr>
      </w:pPr>
      <w:r w:rsidRPr="00681223">
        <w:rPr>
          <w:b w:val="0"/>
          <w:bCs w:val="0"/>
        </w:rPr>
        <w:t>Despite relative similarities in the phase-out of coal, SSPs 1-2.6, 2-4.5, and 5-3.4 show very different greenhouse gas emission trajectories. Such differences arise from rates of natural gas and oil combustion, as well as adoption of carbon capture and sequestration. These factors exert minimal direct influence on primary anthropogenic Hg emissions, though they produce disparate climate effects. For example, end-century surface temperatures simulated with the NASA GISS-E2.1 climate model are 1.8</w:t>
      </w:r>
      <w:r w:rsidR="0086472D" w:rsidRPr="00681223">
        <w:rPr>
          <w:b w:val="0"/>
          <w:bCs w:val="0"/>
        </w:rPr>
        <w:t>°C –</w:t>
      </w:r>
      <w:r w:rsidR="0086472D">
        <w:rPr>
          <w:b w:val="0"/>
          <w:bCs w:val="0"/>
        </w:rPr>
        <w:t xml:space="preserve"> </w:t>
      </w:r>
      <w:r w:rsidRPr="00681223">
        <w:rPr>
          <w:b w:val="0"/>
          <w:bCs w:val="0"/>
        </w:rPr>
        <w:t>2.3°C higher than the preindustrial (1850-1880) mean under SSP1-2.6 compared to 2.7</w:t>
      </w:r>
      <w:r w:rsidR="0086472D" w:rsidRPr="00681223">
        <w:rPr>
          <w:b w:val="0"/>
          <w:bCs w:val="0"/>
        </w:rPr>
        <w:t>°C</w:t>
      </w:r>
      <w:r w:rsidRPr="00681223">
        <w:rPr>
          <w:b w:val="0"/>
          <w:bCs w:val="0"/>
        </w:rPr>
        <w:t xml:space="preserve"> –</w:t>
      </w:r>
      <w:r w:rsidR="0086472D">
        <w:rPr>
          <w:b w:val="0"/>
          <w:bCs w:val="0"/>
        </w:rPr>
        <w:t xml:space="preserve"> </w:t>
      </w:r>
      <w:r w:rsidRPr="00681223">
        <w:rPr>
          <w:b w:val="0"/>
          <w:bCs w:val="0"/>
        </w:rPr>
        <w:t xml:space="preserve">3.3°C under SSP2-4.5 </w:t>
      </w:r>
      <w:r w:rsidRPr="00681223">
        <w:rPr>
          <w:b w:val="0"/>
          <w:bCs w:val="0"/>
        </w:rPr>
        <w:fldChar w:fldCharType="begin"/>
      </w:r>
      <w:r w:rsidRPr="00681223">
        <w:rPr>
          <w:b w:val="0"/>
          <w:bCs w:val="0"/>
        </w:rPr>
        <w:instrText xml:space="preserve"> ADDIN ZOTERO_ITEM CSL_CITATION {"citationID":"ae6yUiOI","properties":{"formattedCitation":"(Nazarenko et al., 2022)","plainCitation":"(Nazarenko et al., 2022)","noteIndex":0},"citationItems":[{"id":1540,"uris":["http://zotero.org/users/11937628/items/F97N5PWI"],"itemData":{"id":1540,"type":"article-journal","abstract":"Abstract\n            \n              This paper presents the response to anthropogenic forcing in the GISS‐E2.1 climate models for the 21st century Shared Socioeconomic Pathways emission scenarios within the Coupled Model Intercomparison Project Phase 6 (CMIP6). The experiments were performed using an updated and improved version of the NASA Goddard Institute for Space Studies (GISS) coupled general circulation model that includes two different versions for atmospheric composition: A non‐interactive version (NINT) with prescribed composition and a tuned aerosol indirect effect and the One‐Moment Aerosol model (OMA) version with fully interactive aerosols which includes a parameterized first indirect aerosol effect on clouds. The effective climate sensitivities are 3.0°C and 2.9°C for the NINT and OMA models, respectively. Each atmospheric version is coupled to two different ocean general circulation models: The GISS ocean model (E2.1‐G) and HYCOM (E2.1‐H). We describe the global mean responses for all future scenarios and spatial patterns of change for surface air temperature and precipitation for four of the marker scenarios: SSP1‐2.6, SSP2‐4.5, SSP4‐6.0, and SSP5‐8.5. By 2100, global mean warming ranges from 1.5°C to 5.2°C relative to 1,850–1,880 mean temperature. Two high‐mitigation scenarios SSP1‐1.9 and SSP1‐2.6 limit the surface warming to below 2°C by the end of the 21st century, except for the NINT E2.1‐H model that simulates 2.2°C of surface warming. For the high emission scenario SSP5‐8.5, the range is 4.6–5.2°C at 2100. Due to about 15% larger effective climate sensitivity and stronger transient climate response in both NINT and OMA CMIP6 models compared to CMIP5 versions, there is a stronger warming by 2100 in the SSP emission scenarios than in the comparable Representative Concentration Pathway (RCP) scenarios in CMIP5. Changes in sea ice area are highly correlated to global mean surface air temperature anomalies and show steep declines in both hemispheres, with the largest sea ice area decreases occurring during September in the Northern Hemisphere in both E2.1‐G (−1.21 × 10\n              6\n               km\n              2\n              /°C) and E2.1‐H models (−0.94 × 10\n              6\n               km\n              2\n              /°C). Both coupled models project decreases in the Atlantic overturning stream function by 2100. The largest decrease of 56%–65% in the 21st century overturning stream function is produced in the warmest scenario SSP5‐8.5 in the E2.1‐G model, comparable to the reduction in the corresponding CMIP5 GISS‐E2 RCP8.5 simulation. Both low‐end scenarios SSP1‐1.9 and SSP1‐2.6 also simulate substantial reductions of the overturning (9%–37%) with slow recovery of about 10% by the end of the 21st century (relative to the maximum decrease at the middle of the 21st century).\n            \n          , \n            Plain Language Summary\n            The projections of future climate change are uncertain because they are dependent on different possible scenarios of human‐caused emissions and their interaction with natural forcings, internal climate variability, and inter‐model differences. This paper presents the results of the climate model of the NASA Goddard Institute for Space Studies, GISS‐E2.1, for the anthropogenically forced climate response for the twenty first century Shared Socioeconomic Pathways emission scenarios within the Coupled Model Intercomparison Project Phase 6 (CMIP6). The sensitivity of the model response to different magnitudes of anthropogenic forcings in the twenty‐first‐century scenarios were performed using two different versions for the atmospheric composition and two different ocean general circulation models. Compared to CMIP5 GISS‐E2 versions, the CMIP6 GISS‐E2.1 climate model shows a stronger warming by 2100 in comparable scenarios due to larger effective climate sensitivity and transient climate response. Both climate models with two different ocean components project decreases in the Atlantic overturning stream function by 2100.\n          , \n            Key Points\n            \n              \n                \n                  GISS E2.1 model with different configurations is used to carry out 134 Shared Socioeconomic Pathway (SSP) experiments\n                \n                \n                  GISS‐E2.1 climate model shows a stronger warming by 2,100 in comparable Representative Concentration Pathway scenarios in CMIP5 due to larger effective climate sensitivity and stronger transient climate response\n                \n                \n                  Both coupled models, E2.1‐G and E2.1‐H, project decreases in the Atlantic overturning stream function by 2100 with the largest decrease in the warmest scenario SSP5‐8.5 in the E2.1‐G model","container-title":"Journal of Advances in Modeling Earth Systems","DOI":"10.1029/2021MS002871","ISSN":"1942-2466, 1942-2466","issue":"7","journalAbbreviation":"J Adv Model Earth Syst","language":"en","page":"e2021MS002871","source":"DOI.org (Crossref)","title":"Future Climate Change Under SSP Emission Scenarios With GISS‐E2.1","volume":"14","author":[{"family":"Nazarenko","given":"Larissa S."},{"family":"Tausnev","given":"Nick"},{"family":"Russell","given":"Gary L."},{"family":"Rind","given":"David"},{"family":"Miller","given":"Ron L."},{"family":"Schmidt","given":"Gavin A."},{"family":"Bauer","given":"Susanne E."},{"family":"Kelley","given":"Maxwell"},{"family":"Ruedy","given":"Reto"},{"family":"Ackerman","given":"Andrew S."},{"family":"Aleinov","given":"Igor"},{"family":"Bauer","given":"Michael"},{"family":"Bleck","given":"Rainer"},{"family":"Canuto","given":"Vittorio"},{"family":"Cesana","given":"Grégory"},{"family":"Cheng","given":"Ye"},{"family":"Clune","given":"Thomas L."},{"family":"Cook","given":"Ben I."},{"family":"Cruz","given":"Carlos A."},{"family":"Del Genio","given":"Anthony D."},{"family":"Elsaesser","given":"Gregory S."},{"family":"Faluvegi","given":"Greg"},{"family":"Kiang","given":"Nancy Y."},{"family":"Kim","given":"Daehyun"},{"family":"Lacis","given":"Andrew A."},{"family":"Leboissetier","given":"Anthony"},{"family":"LeGrande","given":"Allegra N."},{"family":"Lo","given":"Ken K."},{"family":"Marshall","given":"John"},{"family":"Matthews","given":"Elaine E."},{"family":"McDermid","given":"Sonali"},{"family":"Mezuman","given":"Keren"},{"family":"Murray","given":"Lee T."},{"family":"Oinas","given":"Valdar"},{"family":"Orbe","given":"Clara"},{"family":"García‐Pando","given":"Carlos Pérez"},{"family":"Perlwitz","given":"Jan P."},{"family":"Puma","given":"Michael J."},{"family":"Romanou","given":"Anastasia"},{"family":"Shindell","given":"Drew T."},{"family":"Sun","given":"Shan"},{"family":"Tsigaridis","given":"Kostas"},{"family":"Tselioudis","given":"George"},{"family":"Weng","given":"Ensheng"},{"family":"Wu","given":"Jingbo"},{"family":"Yao","given":"Mao‐Sung"}],"issued":{"date-parts":[["2022",7]]}}}],"schema":"https://github.com/citation-style-language/schema/raw/master/csl-citation.json"} </w:instrText>
      </w:r>
      <w:r w:rsidRPr="00681223">
        <w:rPr>
          <w:b w:val="0"/>
          <w:bCs w:val="0"/>
        </w:rPr>
        <w:fldChar w:fldCharType="separate"/>
      </w:r>
      <w:r w:rsidRPr="00681223">
        <w:rPr>
          <w:b w:val="0"/>
          <w:bCs w:val="0"/>
        </w:rPr>
        <w:t>(Nazarenko et al., 2022)</w:t>
      </w:r>
      <w:r w:rsidRPr="00681223">
        <w:rPr>
          <w:b w:val="0"/>
          <w:bCs w:val="0"/>
        </w:rPr>
        <w:fldChar w:fldCharType="end"/>
      </w:r>
      <w:r w:rsidRPr="00681223">
        <w:rPr>
          <w:b w:val="0"/>
          <w:bCs w:val="0"/>
        </w:rPr>
        <w:t xml:space="preserve">. The degree of warming will modulate future changes in Hg emissions from the natural biosphere </w:t>
      </w:r>
      <w:r w:rsidRPr="00681223">
        <w:rPr>
          <w:b w:val="0"/>
          <w:bCs w:val="0"/>
        </w:rPr>
        <w:fldChar w:fldCharType="begin"/>
      </w:r>
      <w:r w:rsidRPr="00681223">
        <w:rPr>
          <w:b w:val="0"/>
          <w:bCs w:val="0"/>
        </w:rPr>
        <w:instrText xml:space="preserve"> ADDIN ZOTERO_ITEM CSL_CITATION {"citationID":"2uTUd1yq","properties":{"formattedCitation":"(Krabbenhoft &amp; Sunderland, 2013; Schaefer et al., 2020)","plainCitation":"(Krabbenhoft &amp; Sunderland, 2013; Schaefer et al., 2020)","dontUpdate":true,"noteIndex":0},"citationItems":[{"id":495,"uris":["http://zotero.org/users/11937628/items/C9LH4J6K"],"itemData":{"id":495,"type":"article-journal","abstract":"&lt;p&gt;Mercury concentrations in the atmosphere and oceans are affected not only by anthropogenic emissions but also by climate and ecosystem change.&lt;/p&gt;","container-title":"Science","DOI":"10.1126/science.1242838","ISSN":"0036-8075","issue":"6153","note":"publisher: American Association for the Advancement of Science\nCitation Key: Krabbenhoft2013","page":"1457-1458","title":"Global Change and Mercury","volume":"341","author":[{"family":"Krabbenhoft","given":"David P."},{"family":"Sunderland","given":"Elsie M."}],"issued":{"date-parts":[["2013",9,27]]}}},{"id":1120,"uris":["http://zotero.org/users/11937628/items/94XC5I4M"],"itemData":{"id":1120,"type":"article-journal","abstract":"&lt;p&gt;Mercury (Hg) is a naturally occurring element that bonds with organic matter and, when converted to methylmercury, is a potent neurotoxicant. Here we estimate potential future releases of Hg from thawing permafrost for low and high greenhouse gas emissions scenarios using a mechanistic model. By 2200, the high emissions scenario shows annual permafrost Hg emissions to the atmosphere comparable to current global anthropogenic emissions. By 2100, simulated Hg concentrations in the Yukon River increase by 14% for the low emissions scenario, but double for the high emissions scenario. Fish Hg concentrations do not exceed United States Environmental Protection Agency guidelines for the low emissions scenario by 2300, but for the high emissions scenario, fish in the Yukon River exceed EPA guidelines by 2050. Our results indicate minimal impacts to Hg concentrations in water and fish for the low emissions scenario and high impacts for the high emissions scenario.&lt;/p&gt;","container-title":"Nature Communications","DOI":"10.1038/s41467-020-18398-5","ISSN":"2041-1723","issue":"1","note":"publisher: Springer US\nCitation Key: Schaefer2020","page":"4650","title":"Potential impacts of mercury released from thawing permafrost","volume":"11","author":[{"family":"Schaefer","given":"Kevin"},{"family":"Elshorbany","given":"Yasin"},{"family":"Jafarov","given":"Elchin"},{"family":"Schuster","given":"Paul F."},{"family":"Striegl","given":"Robert G."},{"family":"Wickland","given":"Kimberly P."},{"family":"Sunderland","given":"Elsie M."}],"issued":{"date-parts":[["2020",9,16]]}}}],"schema":"https://github.com/citation-style-language/schema/raw/master/csl-citation.json"} </w:instrText>
      </w:r>
      <w:r w:rsidRPr="00681223">
        <w:rPr>
          <w:b w:val="0"/>
          <w:bCs w:val="0"/>
        </w:rPr>
        <w:fldChar w:fldCharType="separate"/>
      </w:r>
      <w:r w:rsidRPr="00681223">
        <w:rPr>
          <w:b w:val="0"/>
          <w:bCs w:val="0"/>
        </w:rPr>
        <w:t>(e.g., Krabbenhoft &amp; Sunderland, 2013; Schaefer et al., 2020)</w:t>
      </w:r>
      <w:r w:rsidRPr="00681223">
        <w:rPr>
          <w:b w:val="0"/>
          <w:bCs w:val="0"/>
        </w:rPr>
        <w:fldChar w:fldCharType="end"/>
      </w:r>
      <w:r w:rsidRPr="00681223">
        <w:rPr>
          <w:b w:val="0"/>
          <w:bCs w:val="0"/>
        </w:rPr>
        <w:t xml:space="preserve">. Therefore, it is important to consider the consequences of human activity for both direct anthropogenic Hg releases and warming-driven changes in Hg cycling in the biosphere and ocean </w:t>
      </w:r>
      <w:r w:rsidRPr="00681223">
        <w:rPr>
          <w:b w:val="0"/>
          <w:bCs w:val="0"/>
        </w:rPr>
        <w:fldChar w:fldCharType="begin"/>
      </w:r>
      <w:r w:rsidRPr="00681223">
        <w:rPr>
          <w:b w:val="0"/>
          <w:bCs w:val="0"/>
        </w:rPr>
        <w:instrText xml:space="preserve"> ADDIN ZOTERO_ITEM CSL_CITATION {"citationID":"QPvW6LXt","properties":{"formattedCitation":"(Schaefer et al., 2020; Schartup et al., 2019)","plainCitation":"(Schaefer et al., 2020; Schartup et al., 2019)","dontUpdate":true,"noteIndex":0},"citationItems":[{"id":1120,"uris":["http://zotero.org/users/11937628/items/94XC5I4M"],"itemData":{"id":1120,"type":"article-journal","abstract":"&lt;p&gt;Mercury (Hg) is a naturally occurring element that bonds with organic matter and, when converted to methylmercury, is a potent neurotoxicant. Here we estimate potential future releases of Hg from thawing permafrost for low and high greenhouse gas emissions scenarios using a mechanistic model. By 2200, the high emissions scenario shows annual permafrost Hg emissions to the atmosphere comparable to current global anthropogenic emissions. By 2100, simulated Hg concentrations in the Yukon River increase by 14% for the low emissions scenario, but double for the high emissions scenario. Fish Hg concentrations do not exceed United States Environmental Protection Agency guidelines for the low emissions scenario by 2300, but for the high emissions scenario, fish in the Yukon River exceed EPA guidelines by 2050. Our results indicate minimal impacts to Hg concentrations in water and fish for the low emissions scenario and high impacts for the high emissions scenario.&lt;/p&gt;","container-title":"Nature Communications","DOI":"10.1038/s41467-020-18398-5","ISSN":"2041-1723","issue":"1","note":"publisher: Springer US\nCitation Key: Schaefer2020","page":"4650","title":"Potential impacts of mercury released from thawing permafrost","volume":"11","author":[{"family":"Schaefer","given":"Kevin"},{"family":"Elshorbany","given":"Yasin"},{"family":"Jafarov","given":"Elchin"},{"family":"Schuster","given":"Paul F."},{"family":"Striegl","given":"Robert G."},{"family":"Wickland","given":"Kimberly P."},{"family":"Sunderland","given":"Elsie M."}],"issued":{"date-parts":[["2020",9,16]]}}},{"id":309,"uris":["http://zotero.org/users/11937628/items/G2EQCNS3"],"itemData":{"id":309,"type":"article-journal","abstract":"More than three billion people rely on seafood for nutrition. However, fish are the predominant source of human exposure to methylmercury (MeHg), a potent neurotoxic substance. In the United States, 82% of population-wide exposure to MeHg is from the consumption of marine seafood and almost 40% is from fresh and canned tuna alone1. Around 80% of the inorganic mercury (Hg) that is emitted to the atmosphere from natural and human sources is deposited in the ocean2, where some is converted by microorganisms to MeHg. In predatory fish, environmental MeHg concentrations are amplified by a million times or more. Human exposure to MeHg has been associated with long-term neurocognitive deficits in children that persist into adulthood, with global costs to society that exceed US$20 billion3. The first global treaty on reductions in anthropogenic Hg emissions (the Minamata Convention on Mercury) entered into force in 2017. However, effects of ongoing changes in marine ecosystems on bioaccumulation of MeHg in marine predators that are frequently consumed by humans (for example, tuna, cod and swordfish) have not been considered when setting global policy targets. Here we use more than 30 years of data and ecosystem modelling to show that MeHg concentrations in Atlantic cod (Gadus morhua) increased by up to 23% between the 1970s and 2000s as a result of dietary shifts initiated by overfishing. Our model also predicts an estimated 56% increase in tissue MeHg concentrations in Atlantic bluefin tuna (Thunnus thynnus) due to increases in seawater temperature between a low point in 1969 and recent peak levels—which is consistent with 2017 observations. This estimated increase in tissue MeHg exceeds the modelled 22% reduction that was achieved in the late 1990s and 2000s as a result of decreased seawater MeHg concentrations. The recently reported plateau in global anthropogenic Hg emissions4 suggests that ocean warming and fisheries management programmes will be major drivers of future MeHg concentrations in marine predators.","container-title":"Nature","DOI":"10.1038/s41586-019-1468-9","ISSN":"14764687","issue":"7771","note":"publisher: Springer US\nCitation Key: Schartup2019","page":"648-650","title":"Climate change and overfishing increase neurotoxicant in marine predators","volume":"572","author":[{"family":"Schartup","given":"Amina T."},{"family":"Thackray","given":"Colin P."},{"family":"Qureshi","given":"Asif"},{"family":"Dassuncao","given":"Clifton"},{"family":"Gillespie","given":"Kyle"},{"family":"Hanke","given":"Alex"},{"family":"Sunderland","given":"Elsie M."}],"issued":{"date-parts":[["2019"]]}}}],"schema":"https://github.com/citation-style-language/schema/raw/master/csl-citation.json"} </w:instrText>
      </w:r>
      <w:r w:rsidRPr="00681223">
        <w:rPr>
          <w:b w:val="0"/>
          <w:bCs w:val="0"/>
        </w:rPr>
        <w:fldChar w:fldCharType="separate"/>
      </w:r>
      <w:r w:rsidRPr="00681223">
        <w:rPr>
          <w:b w:val="0"/>
          <w:bCs w:val="0"/>
        </w:rPr>
        <w:t>(e.g., Schaefer et al., 2020; Schartup et al., 2019)</w:t>
      </w:r>
      <w:r w:rsidRPr="00681223">
        <w:rPr>
          <w:b w:val="0"/>
          <w:bCs w:val="0"/>
        </w:rPr>
        <w:fldChar w:fldCharType="end"/>
      </w:r>
      <w:r w:rsidRPr="00681223">
        <w:rPr>
          <w:b w:val="0"/>
          <w:bCs w:val="0"/>
        </w:rPr>
        <w:t>.</w:t>
      </w:r>
    </w:p>
    <w:p w14:paraId="02338B8B" w14:textId="77777777" w:rsidR="00681223" w:rsidRPr="00681223" w:rsidRDefault="00681223" w:rsidP="00681223">
      <w:pPr>
        <w:pStyle w:val="Heading-Main"/>
        <w:rPr>
          <w:b w:val="0"/>
          <w:bCs w:val="0"/>
        </w:rPr>
      </w:pPr>
      <w:r w:rsidRPr="00681223">
        <w:rPr>
          <w:b w:val="0"/>
          <w:bCs w:val="0"/>
        </w:rPr>
        <w:t xml:space="preserve">3.1.4 Changes in Hg emission speciation favor local and regional </w:t>
      </w:r>
      <w:proofErr w:type="gramStart"/>
      <w:r w:rsidRPr="00681223">
        <w:rPr>
          <w:b w:val="0"/>
          <w:bCs w:val="0"/>
        </w:rPr>
        <w:t>deposition</w:t>
      </w:r>
      <w:proofErr w:type="gramEnd"/>
    </w:p>
    <w:p w14:paraId="0E7CFBF6" w14:textId="187AAD22" w:rsidR="00681223" w:rsidRPr="00681223" w:rsidRDefault="00681223" w:rsidP="00681223">
      <w:pPr>
        <w:pStyle w:val="Heading-Main"/>
        <w:rPr>
          <w:b w:val="0"/>
          <w:bCs w:val="0"/>
        </w:rPr>
      </w:pPr>
      <w:r w:rsidRPr="00681223">
        <w:rPr>
          <w:b w:val="0"/>
          <w:bCs w:val="0"/>
        </w:rPr>
        <w:t>The fraction of primary anthropogenic Hg emissions released to air as Hg</w:t>
      </w:r>
      <w:r w:rsidRPr="00681223">
        <w:rPr>
          <w:b w:val="0"/>
          <w:bCs w:val="0"/>
          <w:vertAlign w:val="superscript"/>
        </w:rPr>
        <w:t>0</w:t>
      </w:r>
      <w:r w:rsidRPr="00681223">
        <w:rPr>
          <w:b w:val="0"/>
          <w:bCs w:val="0"/>
        </w:rPr>
        <w:t xml:space="preserve"> is projected to decline in the future (Fig. 2), with implications for transboundary pollution. For SSP1-2.6, the fraction of Hg</w:t>
      </w:r>
      <w:r w:rsidRPr="00681223">
        <w:rPr>
          <w:b w:val="0"/>
          <w:bCs w:val="0"/>
          <w:vertAlign w:val="superscript"/>
        </w:rPr>
        <w:t>0</w:t>
      </w:r>
      <w:r w:rsidRPr="00681223">
        <w:rPr>
          <w:b w:val="0"/>
          <w:bCs w:val="0"/>
        </w:rPr>
        <w:t xml:space="preserve"> emitted by primary sources is projected to decline </w:t>
      </w:r>
      <w:r w:rsidRPr="0006013B">
        <w:rPr>
          <w:b w:val="0"/>
          <w:bCs w:val="0"/>
        </w:rPr>
        <w:t>by 28%</w:t>
      </w:r>
      <w:r w:rsidRPr="00681223">
        <w:rPr>
          <w:b w:val="0"/>
          <w:bCs w:val="0"/>
        </w:rPr>
        <w:t xml:space="preserve"> between 2010 and 2100. It stabilizes </w:t>
      </w:r>
      <w:r w:rsidR="0006013B">
        <w:rPr>
          <w:b w:val="0"/>
          <w:bCs w:val="0"/>
        </w:rPr>
        <w:t>from</w:t>
      </w:r>
      <w:r w:rsidRPr="00681223">
        <w:rPr>
          <w:b w:val="0"/>
          <w:bCs w:val="0"/>
        </w:rPr>
        <w:t xml:space="preserve"> 2100</w:t>
      </w:r>
      <w:r w:rsidR="0006013B">
        <w:rPr>
          <w:b w:val="0"/>
          <w:bCs w:val="0"/>
        </w:rPr>
        <w:t>-</w:t>
      </w:r>
      <w:r w:rsidRPr="00681223">
        <w:rPr>
          <w:b w:val="0"/>
          <w:bCs w:val="0"/>
        </w:rPr>
        <w:t>2140, and then declines continuously thereafter. By 2180, the last decade</w:t>
      </w:r>
      <w:r w:rsidR="0006013B">
        <w:rPr>
          <w:b w:val="0"/>
          <w:bCs w:val="0"/>
        </w:rPr>
        <w:t xml:space="preserve"> </w:t>
      </w:r>
      <w:r w:rsidRPr="00681223">
        <w:rPr>
          <w:b w:val="0"/>
          <w:bCs w:val="0"/>
        </w:rPr>
        <w:lastRenderedPageBreak/>
        <w:t>with non-zero emissions</w:t>
      </w:r>
      <w:r w:rsidR="0006013B">
        <w:rPr>
          <w:b w:val="0"/>
          <w:bCs w:val="0"/>
        </w:rPr>
        <w:t xml:space="preserve"> for SSP1-2.6</w:t>
      </w:r>
      <w:r w:rsidRPr="00681223">
        <w:rPr>
          <w:b w:val="0"/>
          <w:bCs w:val="0"/>
        </w:rPr>
        <w:t>, Hg</w:t>
      </w:r>
      <w:r w:rsidRPr="00681223">
        <w:rPr>
          <w:b w:val="0"/>
          <w:bCs w:val="0"/>
          <w:vertAlign w:val="superscript"/>
        </w:rPr>
        <w:t>0</w:t>
      </w:r>
      <w:r w:rsidRPr="00681223">
        <w:rPr>
          <w:b w:val="0"/>
          <w:bCs w:val="0"/>
        </w:rPr>
        <w:t xml:space="preserve"> is projected to make up just 20% of total anthropogenic Hg emissions to air (Fig. 2). Emission speciation under SSP5-3.4 broadly follows that of SSP1-2.6, with slightly higher Hg</w:t>
      </w:r>
      <w:r w:rsidRPr="00681223">
        <w:rPr>
          <w:b w:val="0"/>
          <w:bCs w:val="0"/>
          <w:vertAlign w:val="superscript"/>
        </w:rPr>
        <w:t>0</w:t>
      </w:r>
      <w:r w:rsidRPr="00681223">
        <w:rPr>
          <w:b w:val="0"/>
          <w:bCs w:val="0"/>
        </w:rPr>
        <w:t xml:space="preserve"> fractions through 2100, and an accelerated decline between 2140 and 2160 from 31% Hg</w:t>
      </w:r>
      <w:r w:rsidRPr="00681223">
        <w:rPr>
          <w:b w:val="0"/>
          <w:bCs w:val="0"/>
          <w:vertAlign w:val="superscript"/>
        </w:rPr>
        <w:t>0</w:t>
      </w:r>
      <w:r w:rsidRPr="00681223">
        <w:rPr>
          <w:b w:val="0"/>
          <w:bCs w:val="0"/>
        </w:rPr>
        <w:t xml:space="preserve"> to 20% Hg</w:t>
      </w:r>
      <w:r w:rsidRPr="00681223">
        <w:rPr>
          <w:b w:val="0"/>
          <w:bCs w:val="0"/>
          <w:vertAlign w:val="superscript"/>
        </w:rPr>
        <w:t>0</w:t>
      </w:r>
      <w:r w:rsidRPr="00681223">
        <w:rPr>
          <w:b w:val="0"/>
          <w:bCs w:val="0"/>
        </w:rPr>
        <w:t xml:space="preserve"> (Fig. 2). Under SSP2-4.5, Hg</w:t>
      </w:r>
      <w:r w:rsidRPr="00681223">
        <w:rPr>
          <w:b w:val="0"/>
          <w:bCs w:val="0"/>
          <w:vertAlign w:val="superscript"/>
        </w:rPr>
        <w:t xml:space="preserve">0 </w:t>
      </w:r>
      <w:r w:rsidRPr="00681223">
        <w:rPr>
          <w:b w:val="0"/>
          <w:bCs w:val="0"/>
        </w:rPr>
        <w:t>comprises a larger fraction of total Hg emissions to air than under SSPs 1-2.6 and 5-3.4, remaining around 55% until 2040 (Fig. 2). The Hg</w:t>
      </w:r>
      <w:r w:rsidRPr="00681223">
        <w:rPr>
          <w:b w:val="0"/>
          <w:bCs w:val="0"/>
          <w:vertAlign w:val="superscript"/>
        </w:rPr>
        <w:t>0</w:t>
      </w:r>
      <w:r w:rsidRPr="00681223">
        <w:rPr>
          <w:b w:val="0"/>
          <w:bCs w:val="0"/>
        </w:rPr>
        <w:t xml:space="preserve"> fraction then exhibits a slow decline with overall emissions and reaches 22% by 2240 (Fig. 2). SSP5-8.5 consistently represents an upper bound for the Hg</w:t>
      </w:r>
      <w:r w:rsidRPr="00681223">
        <w:rPr>
          <w:b w:val="0"/>
          <w:bCs w:val="0"/>
          <w:vertAlign w:val="superscript"/>
        </w:rPr>
        <w:t>0</w:t>
      </w:r>
      <w:r w:rsidRPr="00681223">
        <w:rPr>
          <w:b w:val="0"/>
          <w:bCs w:val="0"/>
        </w:rPr>
        <w:t xml:space="preserve"> fraction, increasing to 57% in 2060, followed by near-continuous declines to reach 22% by 2240. While trajectories vary across scenarios, greater fractions of Hg</w:t>
      </w:r>
      <w:r w:rsidRPr="00681223">
        <w:rPr>
          <w:b w:val="0"/>
          <w:bCs w:val="0"/>
          <w:vertAlign w:val="superscript"/>
        </w:rPr>
        <w:t xml:space="preserve">II </w:t>
      </w:r>
      <w:r w:rsidRPr="00681223">
        <w:rPr>
          <w:b w:val="0"/>
          <w:bCs w:val="0"/>
        </w:rPr>
        <w:t>relative to Hg</w:t>
      </w:r>
      <w:r w:rsidRPr="00681223">
        <w:rPr>
          <w:b w:val="0"/>
          <w:bCs w:val="0"/>
          <w:vertAlign w:val="superscript"/>
        </w:rPr>
        <w:t>0</w:t>
      </w:r>
      <w:r w:rsidRPr="00681223">
        <w:rPr>
          <w:b w:val="0"/>
          <w:bCs w:val="0"/>
        </w:rPr>
        <w:t xml:space="preserve"> in primary anthropogenic emissions are expected to produce future deposition patterns from primary emissions that increasingly reflect local and regional rather than global sources (Fig. S1). </w:t>
      </w:r>
    </w:p>
    <w:p w14:paraId="6BDAC324" w14:textId="343022C8" w:rsidR="00681223" w:rsidRPr="00136644" w:rsidRDefault="00136644" w:rsidP="00C32860">
      <w:pPr>
        <w:pStyle w:val="Heading-Main"/>
        <w:spacing w:after="0" w:line="276" w:lineRule="auto"/>
      </w:pPr>
      <w:r w:rsidRPr="00136644">
        <w:rPr>
          <w:noProof/>
        </w:rPr>
        <w:drawing>
          <wp:inline distT="0" distB="0" distL="0" distR="0" wp14:anchorId="35B32C6C" wp14:editId="40CC6BCA">
            <wp:extent cx="3948545" cy="2286000"/>
            <wp:effectExtent l="0" t="0" r="1270" b="0"/>
            <wp:docPr id="83623978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239782" name="Picture 836239782"/>
                    <pic:cNvPicPr/>
                  </pic:nvPicPr>
                  <pic:blipFill>
                    <a:blip r:embed="rId13"/>
                    <a:stretch>
                      <a:fillRect/>
                    </a:stretch>
                  </pic:blipFill>
                  <pic:spPr>
                    <a:xfrm>
                      <a:off x="0" y="0"/>
                      <a:ext cx="3948545" cy="2286000"/>
                    </a:xfrm>
                    <a:prstGeom prst="rect">
                      <a:avLst/>
                    </a:prstGeom>
                  </pic:spPr>
                </pic:pic>
              </a:graphicData>
            </a:graphic>
          </wp:inline>
        </w:drawing>
      </w:r>
    </w:p>
    <w:p w14:paraId="427D2474" w14:textId="77777777" w:rsidR="00681223" w:rsidRPr="00C32860" w:rsidRDefault="00681223" w:rsidP="00136644">
      <w:pPr>
        <w:pStyle w:val="Heading-Main"/>
        <w:spacing w:before="0" w:after="0"/>
        <w:rPr>
          <w:sz w:val="21"/>
          <w:szCs w:val="21"/>
        </w:rPr>
      </w:pPr>
      <w:r w:rsidRPr="00C32860">
        <w:rPr>
          <w:sz w:val="21"/>
          <w:szCs w:val="21"/>
        </w:rPr>
        <w:t>Figure 2. Decadal changes in the speciation of primary anthropogenic mercury (Hg) emissions to air.</w:t>
      </w:r>
      <w:r w:rsidRPr="00C32860">
        <w:rPr>
          <w:b w:val="0"/>
          <w:bCs w:val="0"/>
          <w:i/>
          <w:iCs/>
          <w:sz w:val="21"/>
          <w:szCs w:val="21"/>
        </w:rPr>
        <w:t xml:space="preserve"> </w:t>
      </w:r>
      <w:r w:rsidRPr="00C32860">
        <w:rPr>
          <w:b w:val="0"/>
          <w:bCs w:val="0"/>
          <w:sz w:val="21"/>
          <w:szCs w:val="21"/>
        </w:rPr>
        <w:t>The percentage of total Hg emissions to air released as elemental Hg (Hg</w:t>
      </w:r>
      <w:r w:rsidRPr="00C32860">
        <w:rPr>
          <w:b w:val="0"/>
          <w:bCs w:val="0"/>
          <w:sz w:val="21"/>
          <w:szCs w:val="21"/>
          <w:vertAlign w:val="superscript"/>
        </w:rPr>
        <w:t>0</w:t>
      </w:r>
      <w:r w:rsidRPr="00C32860">
        <w:rPr>
          <w:b w:val="0"/>
          <w:bCs w:val="0"/>
          <w:sz w:val="21"/>
          <w:szCs w:val="21"/>
        </w:rPr>
        <w:t>) is shown for each scenario and the remaining fraction consists of divalent mercury (Hg</w:t>
      </w:r>
      <w:r w:rsidRPr="00C32860">
        <w:rPr>
          <w:b w:val="0"/>
          <w:bCs w:val="0"/>
          <w:sz w:val="21"/>
          <w:szCs w:val="21"/>
          <w:vertAlign w:val="superscript"/>
        </w:rPr>
        <w:t>II</w:t>
      </w:r>
      <w:r w:rsidRPr="00C32860">
        <w:rPr>
          <w:b w:val="0"/>
          <w:bCs w:val="0"/>
          <w:sz w:val="21"/>
          <w:szCs w:val="21"/>
        </w:rPr>
        <w:t>).</w:t>
      </w:r>
    </w:p>
    <w:p w14:paraId="65ED600B" w14:textId="6C25B172" w:rsidR="00681223" w:rsidRPr="00681223" w:rsidRDefault="00681223" w:rsidP="00681223">
      <w:pPr>
        <w:pStyle w:val="Heading-Main"/>
        <w:rPr>
          <w:b w:val="0"/>
          <w:bCs w:val="0"/>
        </w:rPr>
      </w:pPr>
      <w:r w:rsidRPr="00681223">
        <w:rPr>
          <w:b w:val="0"/>
          <w:bCs w:val="0"/>
        </w:rPr>
        <w:t>3.2. Future Deposition Patterns</w:t>
      </w:r>
      <w:r w:rsidR="0006013B">
        <w:rPr>
          <w:b w:val="0"/>
          <w:bCs w:val="0"/>
        </w:rPr>
        <w:t xml:space="preserve"> from Primary Anthropogenic Emissions</w:t>
      </w:r>
    </w:p>
    <w:p w14:paraId="00544658" w14:textId="2C9AFC40" w:rsidR="00681223" w:rsidRPr="00681223" w:rsidRDefault="001E08C2" w:rsidP="00681223">
      <w:pPr>
        <w:pStyle w:val="Heading-Main"/>
        <w:rPr>
          <w:b w:val="0"/>
          <w:bCs w:val="0"/>
        </w:rPr>
      </w:pPr>
      <w:r>
        <w:rPr>
          <w:b w:val="0"/>
          <w:bCs w:val="0"/>
        </w:rPr>
        <w:t>M</w:t>
      </w:r>
      <w:r w:rsidR="00681223" w:rsidRPr="00681223">
        <w:rPr>
          <w:b w:val="0"/>
          <w:bCs w:val="0"/>
        </w:rPr>
        <w:t>odeled global Hg deposition to land increase</w:t>
      </w:r>
      <w:r>
        <w:rPr>
          <w:b w:val="0"/>
          <w:bCs w:val="0"/>
        </w:rPr>
        <w:t>s</w:t>
      </w:r>
      <w:r w:rsidR="00681223" w:rsidRPr="00681223">
        <w:rPr>
          <w:b w:val="0"/>
          <w:bCs w:val="0"/>
        </w:rPr>
        <w:t xml:space="preserve"> by </w:t>
      </w:r>
      <w:r w:rsidR="0006013B">
        <w:rPr>
          <w:b w:val="0"/>
          <w:bCs w:val="0"/>
        </w:rPr>
        <w:t>22</w:t>
      </w:r>
      <w:r w:rsidR="00681223" w:rsidRPr="00681223">
        <w:rPr>
          <w:b w:val="0"/>
          <w:bCs w:val="0"/>
        </w:rPr>
        <w:t xml:space="preserve"> Mg</w:t>
      </w:r>
      <w:r w:rsidR="00BB4168">
        <w:rPr>
          <w:b w:val="0"/>
          <w:bCs w:val="0"/>
        </w:rPr>
        <w:t xml:space="preserve"> a</w:t>
      </w:r>
      <w:r w:rsidR="00BB4168">
        <w:rPr>
          <w:b w:val="0"/>
          <w:bCs w:val="0"/>
          <w:vertAlign w:val="superscript"/>
        </w:rPr>
        <w:t>-1</w:t>
      </w:r>
      <w:r w:rsidR="00681223" w:rsidRPr="00681223">
        <w:rPr>
          <w:b w:val="0"/>
          <w:bCs w:val="0"/>
        </w:rPr>
        <w:t xml:space="preserve"> (</w:t>
      </w:r>
      <w:r w:rsidR="0006013B">
        <w:rPr>
          <w:b w:val="0"/>
          <w:bCs w:val="0"/>
        </w:rPr>
        <w:t>0.9</w:t>
      </w:r>
      <w:r w:rsidR="00681223" w:rsidRPr="00681223">
        <w:rPr>
          <w:b w:val="0"/>
          <w:bCs w:val="0"/>
        </w:rPr>
        <w:t>%)</w:t>
      </w:r>
      <w:r>
        <w:rPr>
          <w:b w:val="0"/>
          <w:bCs w:val="0"/>
        </w:rPr>
        <w:t xml:space="preserve"> between 2010 and 2020 under SSP1-2.6 emissions</w:t>
      </w:r>
      <w:r w:rsidR="00681223" w:rsidRPr="00681223">
        <w:rPr>
          <w:b w:val="0"/>
          <w:bCs w:val="0"/>
        </w:rPr>
        <w:t xml:space="preserve">. This reflects increases </w:t>
      </w:r>
      <w:r w:rsidR="00BB4168">
        <w:rPr>
          <w:b w:val="0"/>
          <w:bCs w:val="0"/>
        </w:rPr>
        <w:t xml:space="preserve">from </w:t>
      </w:r>
      <w:r w:rsidR="00BB4168" w:rsidRPr="00681223">
        <w:rPr>
          <w:b w:val="0"/>
          <w:bCs w:val="0"/>
        </w:rPr>
        <w:t>both</w:t>
      </w:r>
      <w:r w:rsidR="00681223" w:rsidRPr="00681223">
        <w:rPr>
          <w:b w:val="0"/>
          <w:bCs w:val="0"/>
        </w:rPr>
        <w:t xml:space="preserve"> primary anthropogenic emissions (+</w:t>
      </w:r>
      <w:r w:rsidR="0006013B">
        <w:rPr>
          <w:b w:val="0"/>
          <w:bCs w:val="0"/>
        </w:rPr>
        <w:t>8</w:t>
      </w:r>
      <w:r w:rsidR="00681223" w:rsidRPr="00681223">
        <w:rPr>
          <w:b w:val="0"/>
          <w:bCs w:val="0"/>
        </w:rPr>
        <w:t xml:space="preserve"> Mg</w:t>
      </w:r>
      <w:r w:rsidR="00BB4168">
        <w:rPr>
          <w:b w:val="0"/>
          <w:bCs w:val="0"/>
        </w:rPr>
        <w:t xml:space="preserve"> a</w:t>
      </w:r>
      <w:r w:rsidR="00BB4168">
        <w:rPr>
          <w:b w:val="0"/>
          <w:bCs w:val="0"/>
          <w:vertAlign w:val="superscript"/>
        </w:rPr>
        <w:t>-1</w:t>
      </w:r>
      <w:r w:rsidR="00681223" w:rsidRPr="00681223">
        <w:rPr>
          <w:b w:val="0"/>
          <w:bCs w:val="0"/>
        </w:rPr>
        <w:t xml:space="preserve">) and higher </w:t>
      </w:r>
      <w:r w:rsidR="00B921F9">
        <w:rPr>
          <w:b w:val="0"/>
          <w:bCs w:val="0"/>
        </w:rPr>
        <w:t>re-emissions</w:t>
      </w:r>
      <w:r w:rsidR="00681223" w:rsidRPr="00681223">
        <w:rPr>
          <w:b w:val="0"/>
          <w:bCs w:val="0"/>
        </w:rPr>
        <w:t xml:space="preserve"> from terrestrial and ocean surfaces due to increasing </w:t>
      </w:r>
      <w:r w:rsidR="00FC1F5E" w:rsidRPr="00681223">
        <w:rPr>
          <w:b w:val="0"/>
          <w:bCs w:val="0"/>
        </w:rPr>
        <w:t xml:space="preserve">Hg </w:t>
      </w:r>
      <w:r w:rsidR="00681223" w:rsidRPr="00681223">
        <w:rPr>
          <w:b w:val="0"/>
          <w:bCs w:val="0"/>
        </w:rPr>
        <w:t>reservoirs (+</w:t>
      </w:r>
      <w:r w:rsidR="0006013B">
        <w:rPr>
          <w:b w:val="0"/>
          <w:bCs w:val="0"/>
        </w:rPr>
        <w:t>14</w:t>
      </w:r>
      <w:r w:rsidR="00681223" w:rsidRPr="00681223">
        <w:rPr>
          <w:b w:val="0"/>
          <w:bCs w:val="0"/>
        </w:rPr>
        <w:t xml:space="preserve"> Mg</w:t>
      </w:r>
      <w:r w:rsidR="00BB4168">
        <w:rPr>
          <w:b w:val="0"/>
          <w:bCs w:val="0"/>
        </w:rPr>
        <w:t xml:space="preserve"> a</w:t>
      </w:r>
      <w:r w:rsidR="00BB4168">
        <w:rPr>
          <w:b w:val="0"/>
          <w:bCs w:val="0"/>
          <w:vertAlign w:val="superscript"/>
        </w:rPr>
        <w:t>-1</w:t>
      </w:r>
      <w:r w:rsidR="00681223" w:rsidRPr="00681223">
        <w:rPr>
          <w:b w:val="0"/>
          <w:bCs w:val="0"/>
        </w:rPr>
        <w:t xml:space="preserve">) (Fig. S2). Modeled increases in regional Hg deposition occur during this period over all global regions except for Europe and North America (Fig. 3a; 4a). There, declines in deposition from primary anthropogenic sources exceed increases in deposition from growing global terrestrial and oceanic Hg reservoirs and subsequent </w:t>
      </w:r>
      <w:r w:rsidR="00B921F9">
        <w:rPr>
          <w:b w:val="0"/>
          <w:bCs w:val="0"/>
        </w:rPr>
        <w:t>re-emissions</w:t>
      </w:r>
      <w:r w:rsidR="00681223" w:rsidRPr="00681223">
        <w:rPr>
          <w:b w:val="0"/>
          <w:bCs w:val="0"/>
        </w:rPr>
        <w:t xml:space="preserve">. From 2040 through the end of the century, declines in atmospheric Hg deposition are projected for all regions. By 2100, total atmospheric Hg deposition is projected to be </w:t>
      </w:r>
      <w:r w:rsidR="00BB4168">
        <w:rPr>
          <w:b w:val="0"/>
          <w:bCs w:val="0"/>
        </w:rPr>
        <w:t>less than</w:t>
      </w:r>
      <w:r w:rsidR="00681223" w:rsidRPr="00681223">
        <w:rPr>
          <w:b w:val="0"/>
          <w:bCs w:val="0"/>
        </w:rPr>
        <w:t xml:space="preserve"> half of 2010 levels (</w:t>
      </w:r>
      <w:r w:rsidR="00BB4168">
        <w:rPr>
          <w:b w:val="0"/>
          <w:bCs w:val="0"/>
        </w:rPr>
        <w:t>4</w:t>
      </w:r>
      <w:r w:rsidR="0006013B">
        <w:rPr>
          <w:b w:val="0"/>
          <w:bCs w:val="0"/>
        </w:rPr>
        <w:t>6</w:t>
      </w:r>
      <w:r w:rsidR="00681223" w:rsidRPr="00681223">
        <w:rPr>
          <w:b w:val="0"/>
          <w:bCs w:val="0"/>
        </w:rPr>
        <w:t xml:space="preserve">%, </w:t>
      </w:r>
      <w:r w:rsidR="00FB7F18">
        <w:rPr>
          <w:b w:val="0"/>
          <w:bCs w:val="0"/>
        </w:rPr>
        <w:t>1120</w:t>
      </w:r>
      <w:r w:rsidR="00BB4168">
        <w:rPr>
          <w:b w:val="0"/>
          <w:bCs w:val="0"/>
        </w:rPr>
        <w:t xml:space="preserve"> </w:t>
      </w:r>
      <w:r w:rsidR="00BB4168" w:rsidRPr="00681223">
        <w:rPr>
          <w:b w:val="0"/>
          <w:bCs w:val="0"/>
        </w:rPr>
        <w:t>Mg</w:t>
      </w:r>
      <w:r w:rsidR="00BB4168">
        <w:rPr>
          <w:b w:val="0"/>
          <w:bCs w:val="0"/>
        </w:rPr>
        <w:t xml:space="preserve"> a</w:t>
      </w:r>
      <w:r w:rsidR="00BB4168">
        <w:rPr>
          <w:b w:val="0"/>
          <w:bCs w:val="0"/>
          <w:vertAlign w:val="superscript"/>
        </w:rPr>
        <w:t>-1</w:t>
      </w:r>
      <w:r w:rsidR="00681223" w:rsidRPr="00681223">
        <w:rPr>
          <w:b w:val="0"/>
          <w:bCs w:val="0"/>
        </w:rPr>
        <w:t xml:space="preserve">) (Fig. S2). The largest regional deposition declines are projected </w:t>
      </w:r>
      <w:r w:rsidR="00BB4168">
        <w:rPr>
          <w:b w:val="0"/>
          <w:bCs w:val="0"/>
        </w:rPr>
        <w:t>over</w:t>
      </w:r>
      <w:r w:rsidR="00681223" w:rsidRPr="00681223">
        <w:rPr>
          <w:b w:val="0"/>
          <w:bCs w:val="0"/>
        </w:rPr>
        <w:t xml:space="preserve"> Asia (–</w:t>
      </w:r>
      <w:r w:rsidR="0006013B">
        <w:rPr>
          <w:b w:val="0"/>
          <w:bCs w:val="0"/>
        </w:rPr>
        <w:t>510</w:t>
      </w:r>
      <w:r w:rsidR="00681223" w:rsidRPr="00681223">
        <w:rPr>
          <w:b w:val="0"/>
          <w:bCs w:val="0"/>
        </w:rPr>
        <w:t xml:space="preserve"> Mg a</w:t>
      </w:r>
      <w:r w:rsidR="00681223" w:rsidRPr="00681223">
        <w:rPr>
          <w:b w:val="0"/>
          <w:bCs w:val="0"/>
          <w:vertAlign w:val="superscript"/>
        </w:rPr>
        <w:t>-1</w:t>
      </w:r>
      <w:r w:rsidR="00BB4168">
        <w:rPr>
          <w:b w:val="0"/>
          <w:bCs w:val="0"/>
        </w:rPr>
        <w:t xml:space="preserve">; </w:t>
      </w:r>
      <w:r w:rsidR="00BB4168" w:rsidRPr="00681223">
        <w:rPr>
          <w:b w:val="0"/>
          <w:bCs w:val="0"/>
        </w:rPr>
        <w:softHyphen/>
        <w:t>–7</w:t>
      </w:r>
      <w:r w:rsidR="00BB4168">
        <w:rPr>
          <w:b w:val="0"/>
          <w:bCs w:val="0"/>
        </w:rPr>
        <w:t>3</w:t>
      </w:r>
      <w:r w:rsidR="00BB4168" w:rsidRPr="00681223">
        <w:rPr>
          <w:b w:val="0"/>
          <w:bCs w:val="0"/>
        </w:rPr>
        <w:t>%</w:t>
      </w:r>
      <w:r w:rsidR="00681223" w:rsidRPr="00681223">
        <w:rPr>
          <w:b w:val="0"/>
          <w:bCs w:val="0"/>
        </w:rPr>
        <w:t xml:space="preserve">) because it was the largest source region in 2010 (Fig. 3a).  </w:t>
      </w:r>
    </w:p>
    <w:p w14:paraId="3C1B5EC8" w14:textId="428DCE8C" w:rsidR="00681223" w:rsidRPr="00681223" w:rsidRDefault="00681223" w:rsidP="00681223">
      <w:pPr>
        <w:pStyle w:val="Heading-Main"/>
        <w:rPr>
          <w:b w:val="0"/>
          <w:bCs w:val="0"/>
        </w:rPr>
      </w:pPr>
      <w:r w:rsidRPr="00681223">
        <w:rPr>
          <w:b w:val="0"/>
          <w:bCs w:val="0"/>
        </w:rPr>
        <w:t xml:space="preserve">Temporal patterns in atmospheric Hg deposition under SSP2-4.5 are qualitatively similar to those of SSP1-2.6, characterized by slight but regionally heterogeneous near-term increases that give way to continuous decreases. Relative to 2010, global deposition increases by </w:t>
      </w:r>
      <w:r w:rsidR="0006013B">
        <w:rPr>
          <w:b w:val="0"/>
          <w:bCs w:val="0"/>
        </w:rPr>
        <w:t>1.7</w:t>
      </w:r>
      <w:r w:rsidRPr="00681223">
        <w:rPr>
          <w:b w:val="0"/>
          <w:bCs w:val="0"/>
        </w:rPr>
        <w:t xml:space="preserve">% in 2020 and </w:t>
      </w:r>
      <w:r w:rsidR="0006013B">
        <w:rPr>
          <w:b w:val="0"/>
          <w:bCs w:val="0"/>
        </w:rPr>
        <w:t>1.6</w:t>
      </w:r>
      <w:r w:rsidRPr="00681223">
        <w:rPr>
          <w:b w:val="0"/>
          <w:bCs w:val="0"/>
        </w:rPr>
        <w:t xml:space="preserve">% in 2030. These increases occur over all regions except Europe, where declines are </w:t>
      </w:r>
      <w:r w:rsidRPr="00681223">
        <w:rPr>
          <w:b w:val="0"/>
          <w:bCs w:val="0"/>
        </w:rPr>
        <w:lastRenderedPageBreak/>
        <w:t>smaller than for SSP1-2.6 (–1</w:t>
      </w:r>
      <w:r w:rsidR="0006013B">
        <w:rPr>
          <w:b w:val="0"/>
          <w:bCs w:val="0"/>
        </w:rPr>
        <w:t>7</w:t>
      </w:r>
      <w:r w:rsidRPr="00681223">
        <w:rPr>
          <w:b w:val="0"/>
          <w:bCs w:val="0"/>
        </w:rPr>
        <w:t xml:space="preserve">% in 2020 and 2030) (Fig. 3b). By the end of the century, deposition to land is </w:t>
      </w:r>
      <w:r w:rsidR="00FB7F18">
        <w:rPr>
          <w:b w:val="0"/>
          <w:bCs w:val="0"/>
        </w:rPr>
        <w:t>1</w:t>
      </w:r>
      <w:r w:rsidR="0006013B">
        <w:rPr>
          <w:b w:val="0"/>
          <w:bCs w:val="0"/>
        </w:rPr>
        <w:t>270</w:t>
      </w:r>
      <w:r w:rsidRPr="00681223">
        <w:rPr>
          <w:b w:val="0"/>
          <w:bCs w:val="0"/>
        </w:rPr>
        <w:t xml:space="preserve"> Mg a</w:t>
      </w:r>
      <w:r w:rsidRPr="00681223">
        <w:rPr>
          <w:b w:val="0"/>
          <w:bCs w:val="0"/>
          <w:vertAlign w:val="superscript"/>
        </w:rPr>
        <w:t>-1</w:t>
      </w:r>
      <w:r w:rsidRPr="00681223">
        <w:rPr>
          <w:b w:val="0"/>
          <w:bCs w:val="0"/>
        </w:rPr>
        <w:t xml:space="preserve"> lower than in 2010 (Fig. S2), with </w:t>
      </w:r>
      <w:r w:rsidR="00BB4168">
        <w:rPr>
          <w:b w:val="0"/>
          <w:bCs w:val="0"/>
        </w:rPr>
        <w:t xml:space="preserve">regional </w:t>
      </w:r>
      <w:r w:rsidRPr="00681223">
        <w:rPr>
          <w:b w:val="0"/>
          <w:bCs w:val="0"/>
        </w:rPr>
        <w:t xml:space="preserve">declines </w:t>
      </w:r>
      <w:r w:rsidR="00FB7F18">
        <w:rPr>
          <w:b w:val="0"/>
          <w:bCs w:val="0"/>
        </w:rPr>
        <w:t>reaching</w:t>
      </w:r>
      <w:r w:rsidRPr="00681223">
        <w:rPr>
          <w:b w:val="0"/>
          <w:bCs w:val="0"/>
        </w:rPr>
        <w:t xml:space="preserve"> </w:t>
      </w:r>
      <w:r w:rsidR="00BB4168">
        <w:rPr>
          <w:b w:val="0"/>
          <w:bCs w:val="0"/>
        </w:rPr>
        <w:t>7</w:t>
      </w:r>
      <w:r w:rsidR="0006013B">
        <w:rPr>
          <w:b w:val="0"/>
          <w:bCs w:val="0"/>
        </w:rPr>
        <w:t>1</w:t>
      </w:r>
      <w:r w:rsidRPr="00681223">
        <w:rPr>
          <w:b w:val="0"/>
          <w:bCs w:val="0"/>
        </w:rPr>
        <w:t>% (–2</w:t>
      </w:r>
      <w:r w:rsidR="0006013B">
        <w:rPr>
          <w:b w:val="0"/>
          <w:bCs w:val="0"/>
        </w:rPr>
        <w:t>5</w:t>
      </w:r>
      <w:r w:rsidRPr="00681223">
        <w:rPr>
          <w:b w:val="0"/>
          <w:bCs w:val="0"/>
        </w:rPr>
        <w:t xml:space="preserve"> μg m</w:t>
      </w:r>
      <w:r w:rsidRPr="00681223">
        <w:rPr>
          <w:b w:val="0"/>
          <w:bCs w:val="0"/>
          <w:vertAlign w:val="superscript"/>
        </w:rPr>
        <w:t>-2</w:t>
      </w:r>
      <w:r w:rsidRPr="00681223">
        <w:rPr>
          <w:b w:val="0"/>
          <w:bCs w:val="0"/>
        </w:rPr>
        <w:t xml:space="preserve"> a</w:t>
      </w:r>
      <w:r w:rsidRPr="00681223">
        <w:rPr>
          <w:b w:val="0"/>
          <w:bCs w:val="0"/>
          <w:vertAlign w:val="superscript"/>
        </w:rPr>
        <w:t>-1</w:t>
      </w:r>
      <w:r w:rsidRPr="00681223">
        <w:rPr>
          <w:b w:val="0"/>
          <w:bCs w:val="0"/>
        </w:rPr>
        <w:t xml:space="preserve">) in Asia (Fig. 3b). </w:t>
      </w:r>
    </w:p>
    <w:p w14:paraId="082A5202" w14:textId="70FA651E" w:rsidR="00FB7F18" w:rsidRDefault="00681223" w:rsidP="00681223">
      <w:pPr>
        <w:pStyle w:val="Heading-Main"/>
        <w:rPr>
          <w:b w:val="0"/>
          <w:bCs w:val="0"/>
        </w:rPr>
      </w:pPr>
      <w:r w:rsidRPr="00681223">
        <w:rPr>
          <w:b w:val="0"/>
          <w:bCs w:val="0"/>
        </w:rPr>
        <w:t>Under SSP5-3.4, near-term deposition increases</w:t>
      </w:r>
      <w:r w:rsidR="0006013B">
        <w:rPr>
          <w:b w:val="0"/>
          <w:bCs w:val="0"/>
        </w:rPr>
        <w:t xml:space="preserve"> considerably</w:t>
      </w:r>
      <w:r w:rsidRPr="00681223">
        <w:rPr>
          <w:b w:val="0"/>
          <w:bCs w:val="0"/>
        </w:rPr>
        <w:t xml:space="preserve">, growing to </w:t>
      </w:r>
      <w:r w:rsidR="00FB7F18">
        <w:rPr>
          <w:b w:val="0"/>
          <w:bCs w:val="0"/>
        </w:rPr>
        <w:t>26</w:t>
      </w:r>
      <w:r w:rsidR="0006013B">
        <w:rPr>
          <w:b w:val="0"/>
          <w:bCs w:val="0"/>
        </w:rPr>
        <w:t>90</w:t>
      </w:r>
      <w:r w:rsidRPr="00681223">
        <w:rPr>
          <w:b w:val="0"/>
          <w:bCs w:val="0"/>
        </w:rPr>
        <w:t xml:space="preserve"> Mg a</w:t>
      </w:r>
      <w:r w:rsidRPr="00681223">
        <w:rPr>
          <w:b w:val="0"/>
          <w:bCs w:val="0"/>
          <w:vertAlign w:val="superscript"/>
        </w:rPr>
        <w:t>-1</w:t>
      </w:r>
      <w:r w:rsidRPr="00681223">
        <w:rPr>
          <w:b w:val="0"/>
          <w:bCs w:val="0"/>
        </w:rPr>
        <w:t xml:space="preserve"> (+</w:t>
      </w:r>
      <w:r w:rsidR="0006013B">
        <w:rPr>
          <w:b w:val="0"/>
          <w:bCs w:val="0"/>
        </w:rPr>
        <w:t>9</w:t>
      </w:r>
      <w:r w:rsidRPr="00681223">
        <w:rPr>
          <w:b w:val="0"/>
          <w:bCs w:val="0"/>
        </w:rPr>
        <w:t>%) in 2030 over land (Fig. S2). The greatest increases occur in Asia, where total Hg deposition reaches 4</w:t>
      </w:r>
      <w:r w:rsidR="00FB7F18">
        <w:rPr>
          <w:b w:val="0"/>
          <w:bCs w:val="0"/>
        </w:rPr>
        <w:t>1</w:t>
      </w:r>
      <w:r w:rsidRPr="00681223">
        <w:rPr>
          <w:b w:val="0"/>
          <w:bCs w:val="0"/>
        </w:rPr>
        <w:t xml:space="preserve"> μg m</w:t>
      </w:r>
      <w:r w:rsidRPr="00681223">
        <w:rPr>
          <w:b w:val="0"/>
          <w:bCs w:val="0"/>
          <w:vertAlign w:val="superscript"/>
        </w:rPr>
        <w:t>-2</w:t>
      </w:r>
      <w:r w:rsidRPr="00681223">
        <w:rPr>
          <w:b w:val="0"/>
          <w:bCs w:val="0"/>
        </w:rPr>
        <w:t xml:space="preserve"> a</w:t>
      </w:r>
      <w:r w:rsidRPr="00681223">
        <w:rPr>
          <w:b w:val="0"/>
          <w:bCs w:val="0"/>
          <w:vertAlign w:val="superscript"/>
        </w:rPr>
        <w:t>-1</w:t>
      </w:r>
      <w:r w:rsidRPr="00681223">
        <w:rPr>
          <w:b w:val="0"/>
          <w:bCs w:val="0"/>
        </w:rPr>
        <w:t xml:space="preserve"> (+</w:t>
      </w:r>
      <w:r w:rsidR="0006013B">
        <w:rPr>
          <w:b w:val="0"/>
          <w:bCs w:val="0"/>
        </w:rPr>
        <w:t>18</w:t>
      </w:r>
      <w:r w:rsidRPr="00681223">
        <w:rPr>
          <w:b w:val="0"/>
          <w:bCs w:val="0"/>
        </w:rPr>
        <w:t xml:space="preserve">%) in 2030. Deposition grows by greater than </w:t>
      </w:r>
      <w:r w:rsidR="00FB7F18">
        <w:rPr>
          <w:b w:val="0"/>
          <w:bCs w:val="0"/>
        </w:rPr>
        <w:t>8</w:t>
      </w:r>
      <w:r w:rsidRPr="00681223">
        <w:rPr>
          <w:b w:val="0"/>
          <w:bCs w:val="0"/>
        </w:rPr>
        <w:t xml:space="preserve">% </w:t>
      </w:r>
      <w:r w:rsidR="00FB7F18">
        <w:rPr>
          <w:b w:val="0"/>
          <w:bCs w:val="0"/>
        </w:rPr>
        <w:t>over all regions except</w:t>
      </w:r>
      <w:r w:rsidRPr="00681223">
        <w:rPr>
          <w:b w:val="0"/>
          <w:bCs w:val="0"/>
        </w:rPr>
        <w:t xml:space="preserve"> Europe. A</w:t>
      </w:r>
      <w:r w:rsidR="00FB7F18">
        <w:rPr>
          <w:b w:val="0"/>
          <w:bCs w:val="0"/>
        </w:rPr>
        <w:t>fter 2030, a</w:t>
      </w:r>
      <w:r w:rsidRPr="00681223">
        <w:rPr>
          <w:b w:val="0"/>
          <w:bCs w:val="0"/>
        </w:rPr>
        <w:t xml:space="preserve">ccelerated emission reductions relative to SSP1-2.6 result in </w:t>
      </w:r>
      <w:r w:rsidR="00FB7F18">
        <w:rPr>
          <w:b w:val="0"/>
          <w:bCs w:val="0"/>
        </w:rPr>
        <w:t>comparable</w:t>
      </w:r>
      <w:r w:rsidRPr="00681223">
        <w:rPr>
          <w:b w:val="0"/>
          <w:bCs w:val="0"/>
        </w:rPr>
        <w:t xml:space="preserve"> end-century deposition, which is </w:t>
      </w:r>
      <w:r w:rsidR="0006013B">
        <w:rPr>
          <w:b w:val="0"/>
          <w:bCs w:val="0"/>
        </w:rPr>
        <w:t>1340</w:t>
      </w:r>
      <w:r w:rsidRPr="00681223">
        <w:rPr>
          <w:b w:val="0"/>
          <w:bCs w:val="0"/>
        </w:rPr>
        <w:t xml:space="preserve"> Mg a</w:t>
      </w:r>
      <w:r w:rsidRPr="00681223">
        <w:rPr>
          <w:b w:val="0"/>
          <w:bCs w:val="0"/>
          <w:vertAlign w:val="superscript"/>
        </w:rPr>
        <w:t>-1</w:t>
      </w:r>
      <w:r w:rsidRPr="00681223">
        <w:rPr>
          <w:b w:val="0"/>
          <w:bCs w:val="0"/>
        </w:rPr>
        <w:t xml:space="preserve"> lower than in 2010 (Fig. S2). </w:t>
      </w:r>
    </w:p>
    <w:p w14:paraId="7AA6A2F4" w14:textId="23FCDED2" w:rsidR="0093027D" w:rsidRDefault="00681223" w:rsidP="0006013B">
      <w:pPr>
        <w:pStyle w:val="Heading-Main"/>
        <w:rPr>
          <w:b w:val="0"/>
          <w:bCs w:val="0"/>
        </w:rPr>
      </w:pPr>
      <w:r w:rsidRPr="00681223">
        <w:rPr>
          <w:b w:val="0"/>
          <w:bCs w:val="0"/>
        </w:rPr>
        <w:t>Atmospheric deposition under SSP5-8.5 is much higher than the other scenarios through most of the century. However, 2020 deposition is the lowest of all scenarios, and</w:t>
      </w:r>
      <w:r w:rsidR="00FC1F5E" w:rsidRPr="00681223">
        <w:rPr>
          <w:b w:val="0"/>
          <w:bCs w:val="0"/>
        </w:rPr>
        <w:t xml:space="preserve"> 2030 </w:t>
      </w:r>
      <w:r w:rsidR="00FC1F5E">
        <w:rPr>
          <w:b w:val="0"/>
          <w:bCs w:val="0"/>
        </w:rPr>
        <w:t>deposition</w:t>
      </w:r>
      <w:r w:rsidRPr="00681223">
        <w:rPr>
          <w:b w:val="0"/>
          <w:bCs w:val="0"/>
        </w:rPr>
        <w:t xml:space="preserve"> is lower than </w:t>
      </w:r>
      <w:r w:rsidR="00FC1F5E">
        <w:rPr>
          <w:b w:val="0"/>
          <w:bCs w:val="0"/>
        </w:rPr>
        <w:t xml:space="preserve">all </w:t>
      </w:r>
      <w:r w:rsidRPr="00681223">
        <w:rPr>
          <w:b w:val="0"/>
          <w:bCs w:val="0"/>
        </w:rPr>
        <w:t>scenarios other than SSP1-2.6 (Fig. S2). Growth in emissions from Africa and the Middle East, combined with sustained emissions elsewhere, produce increasing deposition over most regions from 2020 until 2070. Most notably, deposition to Africa and the Middle East reach</w:t>
      </w:r>
      <w:r w:rsidR="00A31C25">
        <w:rPr>
          <w:b w:val="0"/>
          <w:bCs w:val="0"/>
        </w:rPr>
        <w:t xml:space="preserve"> </w:t>
      </w:r>
      <w:r w:rsidRPr="00681223">
        <w:rPr>
          <w:b w:val="0"/>
          <w:bCs w:val="0"/>
        </w:rPr>
        <w:t xml:space="preserve">levels </w:t>
      </w:r>
      <w:r w:rsidR="0006013B">
        <w:rPr>
          <w:b w:val="0"/>
          <w:bCs w:val="0"/>
        </w:rPr>
        <w:t>18</w:t>
      </w:r>
      <w:r w:rsidRPr="00681223">
        <w:rPr>
          <w:b w:val="0"/>
          <w:bCs w:val="0"/>
        </w:rPr>
        <w:t>% higher (+</w:t>
      </w:r>
      <w:r w:rsidR="0006013B">
        <w:rPr>
          <w:b w:val="0"/>
          <w:bCs w:val="0"/>
        </w:rPr>
        <w:t>2.5</w:t>
      </w:r>
      <w:r w:rsidRPr="00681223">
        <w:rPr>
          <w:b w:val="0"/>
          <w:bCs w:val="0"/>
        </w:rPr>
        <w:t xml:space="preserve"> μg m</w:t>
      </w:r>
      <w:r w:rsidRPr="00681223">
        <w:rPr>
          <w:b w:val="0"/>
          <w:bCs w:val="0"/>
          <w:vertAlign w:val="superscript"/>
        </w:rPr>
        <w:t>-2</w:t>
      </w:r>
      <w:r w:rsidRPr="00681223">
        <w:rPr>
          <w:b w:val="0"/>
          <w:bCs w:val="0"/>
        </w:rPr>
        <w:t xml:space="preserve"> a</w:t>
      </w:r>
      <w:r w:rsidRPr="00681223">
        <w:rPr>
          <w:b w:val="0"/>
          <w:bCs w:val="0"/>
          <w:vertAlign w:val="superscript"/>
        </w:rPr>
        <w:t>-1</w:t>
      </w:r>
      <w:r w:rsidRPr="00681223">
        <w:rPr>
          <w:b w:val="0"/>
          <w:bCs w:val="0"/>
        </w:rPr>
        <w:t xml:space="preserve">) by 2070 and remain above baseline levels through 2100 (Fig. 3d; Fig. S2). End-century total deposition to land is </w:t>
      </w:r>
      <w:r w:rsidR="0006013B">
        <w:rPr>
          <w:b w:val="0"/>
          <w:bCs w:val="0"/>
        </w:rPr>
        <w:t>6</w:t>
      </w:r>
      <w:r w:rsidR="00FB7F18">
        <w:rPr>
          <w:b w:val="0"/>
          <w:bCs w:val="0"/>
        </w:rPr>
        <w:t>5</w:t>
      </w:r>
      <w:r w:rsidRPr="00681223">
        <w:rPr>
          <w:b w:val="0"/>
          <w:bCs w:val="0"/>
        </w:rPr>
        <w:t>0 Mg a</w:t>
      </w:r>
      <w:r w:rsidRPr="00681223">
        <w:rPr>
          <w:b w:val="0"/>
          <w:bCs w:val="0"/>
          <w:vertAlign w:val="superscript"/>
        </w:rPr>
        <w:t>-1</w:t>
      </w:r>
      <w:r w:rsidRPr="00681223">
        <w:rPr>
          <w:b w:val="0"/>
          <w:bCs w:val="0"/>
        </w:rPr>
        <w:t xml:space="preserve"> lower than in 2010.</w:t>
      </w:r>
    </w:p>
    <w:p w14:paraId="28B22768" w14:textId="2026393A" w:rsidR="0093027D" w:rsidRPr="0006013B" w:rsidRDefault="0093027D" w:rsidP="0093027D">
      <w:pPr>
        <w:rPr>
          <w:rFonts w:eastAsia="Times New Roman"/>
          <w:kern w:val="28"/>
          <w:sz w:val="24"/>
          <w:szCs w:val="24"/>
        </w:rPr>
      </w:pPr>
    </w:p>
    <w:p w14:paraId="79F3F7FE" w14:textId="34DB8365" w:rsidR="00DA5D6A" w:rsidRDefault="0006013B" w:rsidP="004624F9">
      <w:pPr>
        <w:pStyle w:val="Heading-Main"/>
        <w:spacing w:after="0"/>
      </w:pPr>
      <w:r>
        <w:rPr>
          <w:noProof/>
        </w:rPr>
        <w:lastRenderedPageBreak/>
        <w:drawing>
          <wp:inline distT="0" distB="0" distL="0" distR="0" wp14:anchorId="644C8D62" wp14:editId="67A33930">
            <wp:extent cx="3841448" cy="5486400"/>
            <wp:effectExtent l="0" t="0" r="0" b="0"/>
            <wp:docPr id="1681236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36707" name="Picture 1681236707"/>
                    <pic:cNvPicPr/>
                  </pic:nvPicPr>
                  <pic:blipFill>
                    <a:blip r:embed="rId14"/>
                    <a:stretch>
                      <a:fillRect/>
                    </a:stretch>
                  </pic:blipFill>
                  <pic:spPr>
                    <a:xfrm>
                      <a:off x="0" y="0"/>
                      <a:ext cx="3841448" cy="5486400"/>
                    </a:xfrm>
                    <a:prstGeom prst="rect">
                      <a:avLst/>
                    </a:prstGeom>
                  </pic:spPr>
                </pic:pic>
              </a:graphicData>
            </a:graphic>
          </wp:inline>
        </w:drawing>
      </w:r>
    </w:p>
    <w:p w14:paraId="01CAD6C8" w14:textId="0691C447" w:rsidR="00FB7F18" w:rsidRPr="00C32860" w:rsidRDefault="00FB7F18" w:rsidP="00C32860">
      <w:pPr>
        <w:pStyle w:val="Heading-Main"/>
        <w:spacing w:before="0"/>
        <w:rPr>
          <w:b w:val="0"/>
          <w:bCs w:val="0"/>
          <w:sz w:val="21"/>
          <w:szCs w:val="21"/>
        </w:rPr>
      </w:pPr>
      <w:r w:rsidRPr="00551F9B">
        <w:rPr>
          <w:sz w:val="21"/>
          <w:szCs w:val="21"/>
        </w:rPr>
        <w:t>Figure 3. Relative changes in regional atmospheric mercury (Hg) deposition compared to 2010.</w:t>
      </w:r>
      <w:r w:rsidRPr="00551F9B">
        <w:rPr>
          <w:b w:val="0"/>
          <w:bCs w:val="0"/>
          <w:sz w:val="21"/>
          <w:szCs w:val="21"/>
        </w:rPr>
        <w:t xml:space="preserve"> Change</w:t>
      </w:r>
      <w:r w:rsidR="00FC1F5E">
        <w:rPr>
          <w:b w:val="0"/>
          <w:bCs w:val="0"/>
          <w:sz w:val="21"/>
          <w:szCs w:val="21"/>
        </w:rPr>
        <w:t>s</w:t>
      </w:r>
      <w:r w:rsidRPr="00551F9B">
        <w:rPr>
          <w:b w:val="0"/>
          <w:bCs w:val="0"/>
          <w:sz w:val="21"/>
          <w:szCs w:val="21"/>
        </w:rPr>
        <w:t xml:space="preserve"> in atmospheric Hg deposition </w:t>
      </w:r>
      <w:r w:rsidR="00FC1F5E">
        <w:rPr>
          <w:b w:val="0"/>
          <w:bCs w:val="0"/>
          <w:sz w:val="21"/>
          <w:szCs w:val="21"/>
        </w:rPr>
        <w:t>are</w:t>
      </w:r>
      <w:r w:rsidRPr="00551F9B">
        <w:rPr>
          <w:b w:val="0"/>
          <w:bCs w:val="0"/>
          <w:sz w:val="21"/>
          <w:szCs w:val="21"/>
        </w:rPr>
        <w:t xml:space="preserve"> shown by world region (represented by colored bars) for each decade from 2020 to 2100 (x-axis). Each subplot represents temporal trends under a different Shared Socioeconomic Pathway (SSP) scenario</w:t>
      </w:r>
      <w:r w:rsidR="00705C5D">
        <w:rPr>
          <w:b w:val="0"/>
          <w:bCs w:val="0"/>
          <w:sz w:val="21"/>
          <w:szCs w:val="21"/>
        </w:rPr>
        <w:t xml:space="preserve"> </w:t>
      </w:r>
      <w:r w:rsidR="00705C5D" w:rsidRPr="00705C5D">
        <w:rPr>
          <w:b w:val="0"/>
          <w:bCs w:val="0"/>
          <w:sz w:val="21"/>
          <w:szCs w:val="21"/>
        </w:rPr>
        <w:fldChar w:fldCharType="begin"/>
      </w:r>
      <w:r w:rsidR="00705C5D" w:rsidRPr="00705C5D">
        <w:rPr>
          <w:b w:val="0"/>
          <w:bCs w:val="0"/>
          <w:sz w:val="21"/>
          <w:szCs w:val="21"/>
        </w:rPr>
        <w:instrText xml:space="preserve"> ADDIN ZOTERO_ITEM CSL_CITATION {"citationID":"cKo2Cb8i","properties":{"formattedCitation":"(O\\uc0\\u8217{}Neill et al., 2016)","plainCitation":"(O’Neill et al., 2016)","noteIndex":0},"citationItems":[{"id":1116,"uris":["http://zotero.org/users/local/VbtpDxdA/items/G5RR5XS2","http://zotero.org/users/11937628/items/G5RR5XS2"],"itemData":{"id":1116,"type":"article-journal","abstract":"Abstract. Projections of future climate change play a fundamental role in improving understanding of the climate system as well as characterizing societal risks and response options. The Scenario Model Intercomparison Project (ScenarioMIP) is the primary activity within Phase 6 of the Coupled Model Intercomparison Project (CMIP6) that will provide multi-model climate projections based on alternative scenarios of future emissions and land use changes produced with integrated assessment models. In this paper, we describe ScenarioMIP's objectives, experimental design, and its relation to other activities within CMIP6. The ScenarioMIP design is one component of a larger scenario process that aims to facilitate a wide range of integrated studies across the climate science, integrated assessment modeling, and impacts, adaptation, and vulnerability communities, and will form an important part of the evidence base in the forthcoming Intergovernmental Panel on Climate Change (IPCC) assessments. At the same time, it will provide the basis for investigating a number of targeted science and policy questions that are especially relevant to scenario-based analysis, including the role of specific forcings such as land use and aerosols, the effect of a peak and decline in forcing, the consequences of scenarios that limit warming to below 2 °C, the relative contributions to uncertainty from scenarios, climate models, and internal variability, and long-term climate system outcomes beyond the 21st century. To serve this wide range of scientific communities and address these questions, a design has been identified consisting of eight alternative 21st century scenarios plus one large initial condition ensemble and a set of long-term extensions, divided into two tiers defined by relative priority. Some of these scenarios will also provide a basis for variants planned to be run in other CMIP6-Endorsed MIPs to investigate questions related to specific forcings. Harmonized, spatially explicit emissions and land use scenarios generated with integrated assessment models will be provided to participating climate modeling groups by late 2016, with the climate model simulations run within the 2017–2018 time frame, and output from the climate model projections made available and analyses performed over the 2018–2020 period.","container-title":"Geoscientific Model Development","DOI":"10.5194/gmd-9-3461-2016","ISSN":"1991-9603","issue":"9","note":"Citation Key: ONeill2016","page":"3461-3482","title":"The Scenario Model Intercomparison Project (ScenarioMIP) for CMIP6","volume":"9","author":[{"family":"O'Neill","given":"Brian C."},{"family":"Tebaldi","given":"Claudia"},{"family":"Vuuren","given":"Detlef P.","non-dropping-particle":"van"},{"family":"Eyring","given":"Veronika"},{"family":"Friedlingstein","given":"Pierre"},{"family":"Hurtt","given":"George"},{"family":"Knutti","given":"Reto"},{"family":"Kriegler","given":"Elmar"},{"family":"Lamarque","given":"Jean-Francois"},{"family":"Lowe","given":"Jason"},{"family":"Meehl","given":"Gerald A."},{"family":"Moss","given":"Richard"},{"family":"Riahi","given":"Keywan"},{"family":"Sanderson","given":"Benjamin M."}],"issued":{"date-parts":[["2016",9,28]]}}}],"schema":"https://github.com/citation-style-language/schema/raw/master/csl-citation.json"} </w:instrText>
      </w:r>
      <w:r w:rsidR="00705C5D" w:rsidRPr="00705C5D">
        <w:rPr>
          <w:b w:val="0"/>
          <w:bCs w:val="0"/>
          <w:sz w:val="21"/>
          <w:szCs w:val="21"/>
        </w:rPr>
        <w:fldChar w:fldCharType="separate"/>
      </w:r>
      <w:r w:rsidR="00705C5D" w:rsidRPr="00705C5D">
        <w:rPr>
          <w:b w:val="0"/>
          <w:bCs w:val="0"/>
          <w:kern w:val="0"/>
          <w:sz w:val="21"/>
        </w:rPr>
        <w:t>(O’Neill et al., 2016)</w:t>
      </w:r>
      <w:r w:rsidR="00705C5D" w:rsidRPr="00705C5D">
        <w:rPr>
          <w:b w:val="0"/>
          <w:bCs w:val="0"/>
          <w:sz w:val="21"/>
          <w:szCs w:val="21"/>
        </w:rPr>
        <w:fldChar w:fldCharType="end"/>
      </w:r>
      <w:r w:rsidRPr="00705C5D">
        <w:rPr>
          <w:b w:val="0"/>
          <w:bCs w:val="0"/>
          <w:sz w:val="21"/>
          <w:szCs w:val="21"/>
        </w:rPr>
        <w:t>.</w:t>
      </w:r>
      <w:r w:rsidR="008417BA">
        <w:rPr>
          <w:b w:val="0"/>
          <w:bCs w:val="0"/>
        </w:rPr>
        <w:br w:type="page"/>
      </w:r>
    </w:p>
    <w:p w14:paraId="32008C09" w14:textId="20737078" w:rsidR="00681223" w:rsidRPr="00681223" w:rsidRDefault="0006013B" w:rsidP="00551F9B">
      <w:pPr>
        <w:pStyle w:val="Heading-Main"/>
        <w:spacing w:after="0" w:line="276" w:lineRule="auto"/>
      </w:pPr>
      <w:r>
        <w:rPr>
          <w:noProof/>
        </w:rPr>
        <w:lastRenderedPageBreak/>
        <w:drawing>
          <wp:inline distT="0" distB="0" distL="0" distR="0" wp14:anchorId="07AE6CB6" wp14:editId="579442DB">
            <wp:extent cx="5669280" cy="4397325"/>
            <wp:effectExtent l="0" t="0" r="0" b="0"/>
            <wp:docPr id="1373117933" name="Picture 2" descr="A chart of different world map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17933" name="Picture 2" descr="A chart of different world maps&#10;&#10;Description automatically generated with medium confidence"/>
                    <pic:cNvPicPr/>
                  </pic:nvPicPr>
                  <pic:blipFill>
                    <a:blip r:embed="rId15"/>
                    <a:stretch>
                      <a:fillRect/>
                    </a:stretch>
                  </pic:blipFill>
                  <pic:spPr>
                    <a:xfrm>
                      <a:off x="0" y="0"/>
                      <a:ext cx="5669280" cy="4397325"/>
                    </a:xfrm>
                    <a:prstGeom prst="rect">
                      <a:avLst/>
                    </a:prstGeom>
                  </pic:spPr>
                </pic:pic>
              </a:graphicData>
            </a:graphic>
          </wp:inline>
        </w:drawing>
      </w:r>
    </w:p>
    <w:p w14:paraId="5A0907FD" w14:textId="623C895A" w:rsidR="00681223" w:rsidRPr="00551F9B" w:rsidRDefault="00681223" w:rsidP="004624F9">
      <w:pPr>
        <w:pStyle w:val="Heading-Main"/>
        <w:spacing w:before="0"/>
        <w:rPr>
          <w:sz w:val="21"/>
          <w:szCs w:val="21"/>
        </w:rPr>
      </w:pPr>
      <w:r w:rsidRPr="00551F9B">
        <w:rPr>
          <w:sz w:val="21"/>
          <w:szCs w:val="21"/>
        </w:rPr>
        <w:t>Figure 4. Trajectories of global atmospheric mercury (Hg) deposition.</w:t>
      </w:r>
      <w:r w:rsidRPr="00551F9B">
        <w:rPr>
          <w:b w:val="0"/>
          <w:bCs w:val="0"/>
          <w:sz w:val="21"/>
          <w:szCs w:val="21"/>
        </w:rPr>
        <w:t xml:space="preserve"> Panels represent fractional change in total deposition relative to the 2010 baseline by scenario (rows) for three time periods: 2030 (left), 2050 (center) and 2100 (right). Deposition is calculated as the sum of deposition from primary, legacy, and natural Hg emissions using the GEOS-Chem atmospheric mercury model </w:t>
      </w:r>
      <w:r w:rsidR="009759E4" w:rsidRPr="00551F9B">
        <w:rPr>
          <w:b w:val="0"/>
          <w:bCs w:val="0"/>
          <w:sz w:val="21"/>
          <w:szCs w:val="21"/>
        </w:rPr>
        <w:fldChar w:fldCharType="begin"/>
      </w:r>
      <w:r w:rsidR="009759E4" w:rsidRPr="00551F9B">
        <w:rPr>
          <w:b w:val="0"/>
          <w:bCs w:val="0"/>
          <w:sz w:val="21"/>
          <w:szCs w:val="21"/>
        </w:rPr>
        <w:instrText xml:space="preserve"> ADDIN ZOTERO_ITEM CSL_CITATION {"citationID":"BwlHGd9Q","properties":{"formattedCitation":"(Shah et al., 2021)","plainCitation":"(Shah et al., 2021)","noteIndex":0},"citationItems":[{"id":785,"uris":["http://zotero.org/users/local/VbtpDxdA/items/MMQBJJRY","http://zotero.org/users/11937628/items/MMQBJJRY"],"itemData":{"id":785,"type":"article-journal","abstract":"We present a new chemical mechanism for Hg0/HgI/HgII atmospheric cycling, including recent laboratory and computational data, and implement it in the GEOS-Chem global atmospheric chemistry model fo...","container-title":"Environmental Science &amp; Technology","DOI":"10.1021/acs.est.1c03160","ISSN":"0013-936X","note":"publisher: American Chemical Society\nCitation Key: Shah2021","page":"acs.est.1c03160","title":"Improved Mechanistic Model of the Atmospheric Redox Chemistry of Mercury","author":[{"family":"Shah","given":"Viral"},{"family":"Jacob","given":"Daniel J."},{"family":"Thackray","given":"Colin P."},{"family":"Wang","given":"Xuan"},{"family":"Sunderland","given":"Elsie M."},{"family":"Dibble","given":"Theodore S."},{"family":"Saiz-Lopez","given":"Alfonso"},{"family":"Černušák","given":"Ivan"},{"family":"Kellö","given":"Vladimir"},{"family":"Castro","given":"Pedro J."},{"family":"Wu","given":"Rongrong"},{"family":"Wang","given":"Chuji"}],"issued":{"date-parts":[["2021",8,17]]}}}],"schema":"https://github.com/citation-style-language/schema/raw/master/csl-citation.json"} </w:instrText>
      </w:r>
      <w:r w:rsidR="009759E4" w:rsidRPr="00551F9B">
        <w:rPr>
          <w:b w:val="0"/>
          <w:bCs w:val="0"/>
          <w:sz w:val="21"/>
          <w:szCs w:val="21"/>
        </w:rPr>
        <w:fldChar w:fldCharType="separate"/>
      </w:r>
      <w:r w:rsidR="009759E4" w:rsidRPr="00551F9B">
        <w:rPr>
          <w:b w:val="0"/>
          <w:bCs w:val="0"/>
          <w:noProof/>
          <w:sz w:val="21"/>
          <w:szCs w:val="21"/>
        </w:rPr>
        <w:t>(Shah et al., 2021)</w:t>
      </w:r>
      <w:r w:rsidR="009759E4" w:rsidRPr="00551F9B">
        <w:rPr>
          <w:b w:val="0"/>
          <w:bCs w:val="0"/>
          <w:sz w:val="21"/>
          <w:szCs w:val="21"/>
        </w:rPr>
        <w:fldChar w:fldCharType="end"/>
      </w:r>
      <w:r w:rsidRPr="00551F9B">
        <w:rPr>
          <w:b w:val="0"/>
          <w:bCs w:val="0"/>
          <w:sz w:val="21"/>
          <w:szCs w:val="21"/>
        </w:rPr>
        <w:t xml:space="preserve"> and the Global </w:t>
      </w:r>
      <w:r w:rsidR="009759E4" w:rsidRPr="00551F9B">
        <w:rPr>
          <w:b w:val="0"/>
          <w:bCs w:val="0"/>
          <w:sz w:val="21"/>
          <w:szCs w:val="21"/>
        </w:rPr>
        <w:t>Biog</w:t>
      </w:r>
      <w:r w:rsidRPr="00551F9B">
        <w:rPr>
          <w:b w:val="0"/>
          <w:bCs w:val="0"/>
          <w:sz w:val="21"/>
          <w:szCs w:val="21"/>
        </w:rPr>
        <w:t xml:space="preserve">eochemical Box Model </w:t>
      </w:r>
      <w:r w:rsidR="009759E4" w:rsidRPr="00551F9B">
        <w:rPr>
          <w:b w:val="0"/>
          <w:bCs w:val="0"/>
          <w:sz w:val="21"/>
          <w:szCs w:val="21"/>
        </w:rPr>
        <w:fldChar w:fldCharType="begin"/>
      </w:r>
      <w:r w:rsidR="00E8561E">
        <w:rPr>
          <w:b w:val="0"/>
          <w:bCs w:val="0"/>
          <w:sz w:val="21"/>
          <w:szCs w:val="21"/>
        </w:rPr>
        <w:instrText xml:space="preserve"> ADDIN ZOTERO_ITEM CSL_CITATION {"citationID":"JY0DqPgH","properties":{"formattedCitation":"(Amos et al., 2013, 2014)","plainCitation":"(Amos et al., 2013, 2014)","dontUpdate":true,"noteIndex":0},"citationItems":[{"id":612,"uris":["http://zotero.org/users/local/VbtpDxdA/items/7P2UKX4T","http://zotero.org/users/11937628/items/7P2UKX4T"],"itemData":{"id":612,"type":"article-journal","abstract":"Elevated mercury (Hg) in marine and terrestrial ecosystems is a global health concern because of the formation of toxic methylmercury. Humans have emitted Hg to the atmosphere for millennia, and this Hg has deposited and accumulated into ecosystems globally. Here we present a global biogeochemical model with fully coupled atmospheric, terrestrial, and oceanic Hg reservoirs to better understand human influence on Hg cycling and timescales for responses. We drive the model with a historical inventory of anthropogenic emissions from 2000 BC to present. Results show that anthropogenic perturbations introduced to surface reservoirs (atmosphere, ocean, or terrestrial) accumulate and persist in the subsurface ocean for decades to centuries. The simulated present-day atmosphere is enriched by a factor of 2.6 relative to 1840 levels, consistent with sediment archives, and by a factor of 7.5 relative to natural levels (2000 BC). Legacy anthropogenic Hg re-emitted from surface reservoirs accounts for 60% of present-day atmospheric deposition, compared to 27% from primary anthropogenic emissions, and 13% from natural sources. We find that only 17% of the present-day Hg in the surface ocean is natural and that half of its anthropogenic enrichment originates from pre-1950 emissions. Although Asia is presently the dominant contributor to primary anthropogenic emissions, only 17% of the surface ocean reservoir is of Asian anthropogenic origin, as compared to 30% of North American and European origin. The accumulated burden of legacy anthropogenic Hg means that future deposition will increase even if primary anthropogenic emissions are held constant. Aggressive global Hg emission reductions will be necessary just to maintain oceanic Hg concentrations at present levels. ©2013. American Geophysical Union. All Rights Reserved.","container-title":"Global Biogeochemical Cycles","DOI":"10.1002/gbc.20040","ISSN":"08866236","issue":"2","note":"Citation Key: Amos2013","page":"410-421","title":"Legacy impacts of all-time anthropogenic emissions on the global mercury cycle","volume":"27","author":[{"family":"Amos","given":"Helen M."},{"family":"Jacob","given":"Daniel J."},{"family":"Streets","given":"David G."},{"family":"Sunderland","given":"Elsie M."}],"issued":{"date-parts":[["2013",6]]}}},{"id":96,"uris":["http://zotero.org/users/11937628/items/SSPT7MHQ"],"itemData":{"id":96,"type":"article-journal","abstract":"Predicting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 enhancing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approach.","container-title":"Environmental Science &amp; Technology","DOI":"10.1021/es502134t","ISSN":"0013-936X","issue":"16","note":"Citation Key: Amos2014","page":"9514-9522","title":"Global Biogeochemical Implications of Mercury Discharges from Rivers and Sediment Burial","volume":"48","author":[{"family":"Amos","given":"Helen M."},{"family":"Jacob","given":"Daniel J."},{"family":"Kocman","given":"David"},{"family":"Horowitz","given":"Hannah M."},{"family":"Zhang","given":"Yanxu"},{"family":"Dutkiewicz","given":"Stephanie"},{"family":"Horvat","given":"Milena"},{"family":"Corbitt","given":"Elizabeth S."},{"family":"Krabbenhoft","given":"David P."},{"family":"Sunderland","given":"Elsie M."}],"issued":{"date-parts":[["2014",8,19]]}}}],"schema":"https://github.com/citation-style-language/schema/raw/master/csl-citation.json"} </w:instrText>
      </w:r>
      <w:r w:rsidR="009759E4" w:rsidRPr="00551F9B">
        <w:rPr>
          <w:b w:val="0"/>
          <w:bCs w:val="0"/>
          <w:sz w:val="21"/>
          <w:szCs w:val="21"/>
        </w:rPr>
        <w:fldChar w:fldCharType="separate"/>
      </w:r>
      <w:r w:rsidR="009759E4" w:rsidRPr="00551F9B">
        <w:rPr>
          <w:b w:val="0"/>
          <w:bCs w:val="0"/>
          <w:noProof/>
          <w:sz w:val="21"/>
          <w:szCs w:val="21"/>
        </w:rPr>
        <w:t>(GBBM; Amos et al., 2013, 2014)</w:t>
      </w:r>
      <w:r w:rsidR="009759E4" w:rsidRPr="00551F9B">
        <w:rPr>
          <w:b w:val="0"/>
          <w:bCs w:val="0"/>
          <w:sz w:val="21"/>
          <w:szCs w:val="21"/>
        </w:rPr>
        <w:fldChar w:fldCharType="end"/>
      </w:r>
      <w:r w:rsidR="009759E4" w:rsidRPr="00551F9B">
        <w:rPr>
          <w:b w:val="0"/>
          <w:bCs w:val="0"/>
          <w:sz w:val="21"/>
          <w:szCs w:val="21"/>
        </w:rPr>
        <w:t xml:space="preserve">. </w:t>
      </w:r>
    </w:p>
    <w:p w14:paraId="27846322" w14:textId="77777777" w:rsidR="00681223" w:rsidRPr="00681223" w:rsidRDefault="00681223" w:rsidP="00681223">
      <w:pPr>
        <w:pStyle w:val="Heading-Main"/>
        <w:rPr>
          <w:b w:val="0"/>
          <w:bCs w:val="0"/>
        </w:rPr>
      </w:pPr>
      <w:r w:rsidRPr="00681223">
        <w:rPr>
          <w:b w:val="0"/>
          <w:bCs w:val="0"/>
        </w:rPr>
        <w:t>3.3 Implications for Legacy Hg Deposition from Terrestrial and Aquatic Emissions</w:t>
      </w:r>
    </w:p>
    <w:p w14:paraId="1CDBCA3F" w14:textId="6096A02A" w:rsidR="00C32860" w:rsidRDefault="00681223" w:rsidP="00681223">
      <w:pPr>
        <w:pStyle w:val="Heading-Main"/>
        <w:rPr>
          <w:b w:val="0"/>
          <w:bCs w:val="0"/>
        </w:rPr>
      </w:pPr>
      <w:r w:rsidRPr="00681223">
        <w:rPr>
          <w:b w:val="0"/>
          <w:bCs w:val="0"/>
        </w:rPr>
        <w:t xml:space="preserve">Scenarios for deposition of legacy Hg vary among the four SSPs. Legacy deposition peaks before 2035 at levels </w:t>
      </w:r>
      <w:r w:rsidR="0006013B">
        <w:rPr>
          <w:b w:val="0"/>
          <w:bCs w:val="0"/>
        </w:rPr>
        <w:t>20</w:t>
      </w:r>
      <w:r w:rsidRPr="00681223">
        <w:rPr>
          <w:b w:val="0"/>
          <w:bCs w:val="0"/>
        </w:rPr>
        <w:t xml:space="preserve"> – </w:t>
      </w:r>
      <w:r w:rsidR="0006013B">
        <w:rPr>
          <w:b w:val="0"/>
          <w:bCs w:val="0"/>
        </w:rPr>
        <w:t>62</w:t>
      </w:r>
      <w:r w:rsidRPr="00681223">
        <w:rPr>
          <w:b w:val="0"/>
          <w:bCs w:val="0"/>
        </w:rPr>
        <w:t xml:space="preserve"> Mg a</w:t>
      </w:r>
      <w:r w:rsidRPr="00681223">
        <w:rPr>
          <w:b w:val="0"/>
          <w:bCs w:val="0"/>
          <w:vertAlign w:val="superscript"/>
        </w:rPr>
        <w:t>-1</w:t>
      </w:r>
      <w:r w:rsidRPr="00681223">
        <w:rPr>
          <w:b w:val="0"/>
          <w:bCs w:val="0"/>
        </w:rPr>
        <w:t xml:space="preserve"> higher than 2010 under SSPs 1-2.6, 2-4.5, and 5-3.4 (Fig. 5). Legacy deposition under SSP5-8.5 exhibits a larger and later peak, exceeding 2010 deposition by </w:t>
      </w:r>
      <w:r w:rsidR="0006013B">
        <w:rPr>
          <w:b w:val="0"/>
          <w:bCs w:val="0"/>
        </w:rPr>
        <w:t>66</w:t>
      </w:r>
      <w:r w:rsidRPr="00681223">
        <w:rPr>
          <w:b w:val="0"/>
          <w:bCs w:val="0"/>
        </w:rPr>
        <w:t xml:space="preserve"> Mg a</w:t>
      </w:r>
      <w:r w:rsidRPr="00681223">
        <w:rPr>
          <w:b w:val="0"/>
          <w:bCs w:val="0"/>
          <w:vertAlign w:val="superscript"/>
        </w:rPr>
        <w:t>-1</w:t>
      </w:r>
      <w:r w:rsidRPr="00681223">
        <w:rPr>
          <w:b w:val="0"/>
          <w:bCs w:val="0"/>
        </w:rPr>
        <w:t xml:space="preserve"> in 207</w:t>
      </w:r>
      <w:r w:rsidR="00783B23">
        <w:rPr>
          <w:b w:val="0"/>
          <w:bCs w:val="0"/>
        </w:rPr>
        <w:t>1</w:t>
      </w:r>
      <w:r w:rsidRPr="00681223">
        <w:rPr>
          <w:b w:val="0"/>
          <w:bCs w:val="0"/>
        </w:rPr>
        <w:t xml:space="preserve"> (Fig. 5). By </w:t>
      </w:r>
      <w:r w:rsidR="0006013B">
        <w:rPr>
          <w:b w:val="0"/>
          <w:bCs w:val="0"/>
        </w:rPr>
        <w:t>2100,</w:t>
      </w:r>
      <w:r w:rsidRPr="00681223">
        <w:rPr>
          <w:b w:val="0"/>
          <w:bCs w:val="0"/>
        </w:rPr>
        <w:t xml:space="preserve"> relative trends in legacy deposition are notably different, with declines of </w:t>
      </w:r>
      <w:r w:rsidR="0006013B">
        <w:rPr>
          <w:b w:val="0"/>
          <w:bCs w:val="0"/>
        </w:rPr>
        <w:t>330</w:t>
      </w:r>
      <w:r w:rsidRPr="00681223">
        <w:rPr>
          <w:b w:val="0"/>
          <w:bCs w:val="0"/>
        </w:rPr>
        <w:t xml:space="preserve"> – </w:t>
      </w:r>
      <w:r w:rsidR="0006013B">
        <w:rPr>
          <w:b w:val="0"/>
          <w:bCs w:val="0"/>
        </w:rPr>
        <w:t>380</w:t>
      </w:r>
      <w:r w:rsidRPr="00681223">
        <w:rPr>
          <w:b w:val="0"/>
          <w:bCs w:val="0"/>
        </w:rPr>
        <w:t xml:space="preserve"> Mg a</w:t>
      </w:r>
      <w:r w:rsidRPr="00681223">
        <w:rPr>
          <w:b w:val="0"/>
          <w:bCs w:val="0"/>
          <w:vertAlign w:val="superscript"/>
        </w:rPr>
        <w:t>-1</w:t>
      </w:r>
      <w:r w:rsidRPr="00681223">
        <w:rPr>
          <w:b w:val="0"/>
          <w:bCs w:val="0"/>
        </w:rPr>
        <w:t xml:space="preserve"> relative to 2010 for SSPs 1-2.6, 2-4.5 and 5-3.4, compared with </w:t>
      </w:r>
      <w:r w:rsidR="0006013B">
        <w:rPr>
          <w:b w:val="0"/>
          <w:bCs w:val="0"/>
        </w:rPr>
        <w:t>a decline</w:t>
      </w:r>
      <w:r w:rsidRPr="00681223">
        <w:rPr>
          <w:b w:val="0"/>
          <w:bCs w:val="0"/>
        </w:rPr>
        <w:t xml:space="preserve"> of </w:t>
      </w:r>
      <w:r w:rsidR="0006013B">
        <w:rPr>
          <w:b w:val="0"/>
          <w:bCs w:val="0"/>
        </w:rPr>
        <w:t>47</w:t>
      </w:r>
      <w:r w:rsidRPr="00681223">
        <w:rPr>
          <w:b w:val="0"/>
          <w:bCs w:val="0"/>
        </w:rPr>
        <w:t xml:space="preserve"> Mg a</w:t>
      </w:r>
      <w:r w:rsidRPr="00681223">
        <w:rPr>
          <w:b w:val="0"/>
          <w:bCs w:val="0"/>
          <w:vertAlign w:val="superscript"/>
        </w:rPr>
        <w:t>-1</w:t>
      </w:r>
      <w:r w:rsidRPr="00681223">
        <w:rPr>
          <w:b w:val="0"/>
          <w:bCs w:val="0"/>
        </w:rPr>
        <w:t xml:space="preserve"> for SSP5-8.5 (Fig. 5). </w:t>
      </w:r>
      <w:r w:rsidR="0006013B">
        <w:rPr>
          <w:b w:val="0"/>
          <w:bCs w:val="0"/>
        </w:rPr>
        <w:t xml:space="preserve">These end-century declines in </w:t>
      </w:r>
      <w:r w:rsidRPr="00681223">
        <w:rPr>
          <w:b w:val="0"/>
          <w:bCs w:val="0"/>
        </w:rPr>
        <w:t xml:space="preserve">legacy emissions are responsible for </w:t>
      </w:r>
      <w:r w:rsidRPr="0006013B">
        <w:rPr>
          <w:b w:val="0"/>
          <w:bCs w:val="0"/>
        </w:rPr>
        <w:t>2</w:t>
      </w:r>
      <w:r w:rsidR="0006013B" w:rsidRPr="0006013B">
        <w:rPr>
          <w:b w:val="0"/>
          <w:bCs w:val="0"/>
        </w:rPr>
        <w:t>6</w:t>
      </w:r>
      <w:r w:rsidRPr="0006013B">
        <w:rPr>
          <w:b w:val="0"/>
          <w:bCs w:val="0"/>
        </w:rPr>
        <w:t xml:space="preserve"> – </w:t>
      </w:r>
      <w:r w:rsidR="00783B23" w:rsidRPr="0006013B">
        <w:rPr>
          <w:b w:val="0"/>
          <w:bCs w:val="0"/>
        </w:rPr>
        <w:t>2</w:t>
      </w:r>
      <w:r w:rsidR="0006013B" w:rsidRPr="0006013B">
        <w:rPr>
          <w:b w:val="0"/>
          <w:bCs w:val="0"/>
        </w:rPr>
        <w:t>8</w:t>
      </w:r>
      <w:r w:rsidRPr="00681223">
        <w:rPr>
          <w:b w:val="0"/>
          <w:bCs w:val="0"/>
        </w:rPr>
        <w:t>% of total declines in atmospheric Hg deposition to land under SSPs 1-2.6, 2-4.5, and 5-3.4</w:t>
      </w:r>
      <w:r w:rsidR="0006013B">
        <w:rPr>
          <w:b w:val="0"/>
          <w:bCs w:val="0"/>
        </w:rPr>
        <w:t>, compared to 7% for SSP5-8.5</w:t>
      </w:r>
      <w:r w:rsidRPr="00681223">
        <w:rPr>
          <w:b w:val="0"/>
          <w:bCs w:val="0"/>
        </w:rPr>
        <w:t xml:space="preserve">. </w:t>
      </w:r>
    </w:p>
    <w:p w14:paraId="00E4ACA8" w14:textId="77777777" w:rsidR="00C32860" w:rsidRDefault="00C32860">
      <w:pPr>
        <w:rPr>
          <w:rFonts w:eastAsia="Times New Roman"/>
          <w:kern w:val="28"/>
          <w:sz w:val="24"/>
          <w:szCs w:val="24"/>
        </w:rPr>
      </w:pPr>
      <w:r>
        <w:rPr>
          <w:b/>
          <w:bCs/>
        </w:rPr>
        <w:br w:type="page"/>
      </w:r>
    </w:p>
    <w:p w14:paraId="11E0ACEA" w14:textId="41D54645" w:rsidR="004624F9" w:rsidRDefault="008B28C9" w:rsidP="00551F9B">
      <w:pPr>
        <w:pStyle w:val="Heading-Main"/>
        <w:spacing w:after="0" w:line="276" w:lineRule="auto"/>
      </w:pPr>
      <w:r>
        <w:rPr>
          <w:noProof/>
        </w:rPr>
        <w:lastRenderedPageBreak/>
        <w:drawing>
          <wp:inline distT="0" distB="0" distL="0" distR="0" wp14:anchorId="2DF5AAF8" wp14:editId="3CABF9C8">
            <wp:extent cx="3810000" cy="2286000"/>
            <wp:effectExtent l="0" t="0" r="0" b="0"/>
            <wp:docPr id="44211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1179" name="Picture 4421179"/>
                    <pic:cNvPicPr/>
                  </pic:nvPicPr>
                  <pic:blipFill>
                    <a:blip r:embed="rId16"/>
                    <a:stretch>
                      <a:fillRect/>
                    </a:stretch>
                  </pic:blipFill>
                  <pic:spPr>
                    <a:xfrm>
                      <a:off x="0" y="0"/>
                      <a:ext cx="3810000" cy="2286000"/>
                    </a:xfrm>
                    <a:prstGeom prst="rect">
                      <a:avLst/>
                    </a:prstGeom>
                  </pic:spPr>
                </pic:pic>
              </a:graphicData>
            </a:graphic>
          </wp:inline>
        </w:drawing>
      </w:r>
    </w:p>
    <w:p w14:paraId="629DFC80" w14:textId="5EDF44E1" w:rsidR="00681223" w:rsidRPr="00551F9B" w:rsidRDefault="00681223" w:rsidP="00551F9B">
      <w:pPr>
        <w:pStyle w:val="Heading-Main"/>
        <w:spacing w:before="0"/>
        <w:rPr>
          <w:sz w:val="21"/>
          <w:szCs w:val="21"/>
        </w:rPr>
      </w:pPr>
      <w:r w:rsidRPr="00551F9B">
        <w:rPr>
          <w:sz w:val="21"/>
          <w:szCs w:val="21"/>
        </w:rPr>
        <w:t>Figure 5. Mercury (Hg) deposition to land from legacy and natural emissions.</w:t>
      </w:r>
      <w:r w:rsidRPr="00551F9B">
        <w:rPr>
          <w:b w:val="0"/>
          <w:bCs w:val="0"/>
          <w:sz w:val="21"/>
          <w:szCs w:val="21"/>
        </w:rPr>
        <w:t xml:space="preserve"> Trajectories under future emissions (2010</w:t>
      </w:r>
      <w:r w:rsidR="00551F9B">
        <w:rPr>
          <w:b w:val="0"/>
          <w:bCs w:val="0"/>
          <w:sz w:val="21"/>
          <w:szCs w:val="21"/>
        </w:rPr>
        <w:t>-</w:t>
      </w:r>
      <w:r w:rsidRPr="00551F9B">
        <w:rPr>
          <w:b w:val="0"/>
          <w:bCs w:val="0"/>
          <w:sz w:val="21"/>
          <w:szCs w:val="21"/>
        </w:rPr>
        <w:t>2300) are shown for SSPs 1-2.6 (blue</w:t>
      </w:r>
      <w:r w:rsidR="00FC1F5E">
        <w:rPr>
          <w:b w:val="0"/>
          <w:bCs w:val="0"/>
          <w:sz w:val="21"/>
          <w:szCs w:val="21"/>
        </w:rPr>
        <w:t xml:space="preserve"> line</w:t>
      </w:r>
      <w:r w:rsidRPr="00551F9B">
        <w:rPr>
          <w:b w:val="0"/>
          <w:bCs w:val="0"/>
          <w:sz w:val="21"/>
          <w:szCs w:val="21"/>
        </w:rPr>
        <w:t>), 2-4.5 (orange</w:t>
      </w:r>
      <w:r w:rsidR="00FC1F5E">
        <w:rPr>
          <w:b w:val="0"/>
          <w:bCs w:val="0"/>
          <w:sz w:val="21"/>
          <w:szCs w:val="21"/>
        </w:rPr>
        <w:t xml:space="preserve"> line</w:t>
      </w:r>
      <w:r w:rsidRPr="00551F9B">
        <w:rPr>
          <w:b w:val="0"/>
          <w:bCs w:val="0"/>
          <w:sz w:val="21"/>
          <w:szCs w:val="21"/>
        </w:rPr>
        <w:t>), 5-3.4 (yellow</w:t>
      </w:r>
      <w:r w:rsidR="00FC1F5E">
        <w:rPr>
          <w:b w:val="0"/>
          <w:bCs w:val="0"/>
          <w:sz w:val="21"/>
          <w:szCs w:val="21"/>
        </w:rPr>
        <w:t xml:space="preserve"> line</w:t>
      </w:r>
      <w:r w:rsidRPr="00551F9B">
        <w:rPr>
          <w:b w:val="0"/>
          <w:bCs w:val="0"/>
          <w:sz w:val="21"/>
          <w:szCs w:val="21"/>
        </w:rPr>
        <w:t>), and 5-8.5 (red</w:t>
      </w:r>
      <w:r w:rsidR="00FC1F5E">
        <w:rPr>
          <w:b w:val="0"/>
          <w:bCs w:val="0"/>
          <w:sz w:val="21"/>
          <w:szCs w:val="21"/>
        </w:rPr>
        <w:t xml:space="preserve"> line</w:t>
      </w:r>
      <w:r w:rsidRPr="00551F9B">
        <w:rPr>
          <w:b w:val="0"/>
          <w:bCs w:val="0"/>
          <w:sz w:val="21"/>
          <w:szCs w:val="21"/>
        </w:rPr>
        <w:t xml:space="preserve">), in addition to a </w:t>
      </w:r>
      <w:r w:rsidR="00FC1F5E">
        <w:rPr>
          <w:b w:val="0"/>
          <w:bCs w:val="0"/>
          <w:sz w:val="21"/>
          <w:szCs w:val="21"/>
        </w:rPr>
        <w:t>hypothetical</w:t>
      </w:r>
      <w:r w:rsidR="00FC1F5E" w:rsidRPr="00551F9B">
        <w:rPr>
          <w:b w:val="0"/>
          <w:bCs w:val="0"/>
          <w:sz w:val="21"/>
          <w:szCs w:val="21"/>
        </w:rPr>
        <w:t xml:space="preserve"> </w:t>
      </w:r>
      <w:r w:rsidRPr="00551F9B">
        <w:rPr>
          <w:b w:val="0"/>
          <w:bCs w:val="0"/>
          <w:sz w:val="21"/>
          <w:szCs w:val="21"/>
        </w:rPr>
        <w:t xml:space="preserve">scenario </w:t>
      </w:r>
      <w:proofErr w:type="gramStart"/>
      <w:r w:rsidR="00FC1F5E">
        <w:rPr>
          <w:b w:val="0"/>
          <w:bCs w:val="0"/>
          <w:sz w:val="21"/>
          <w:szCs w:val="21"/>
        </w:rPr>
        <w:t>where</w:t>
      </w:r>
      <w:r w:rsidRPr="00551F9B">
        <w:rPr>
          <w:b w:val="0"/>
          <w:bCs w:val="0"/>
          <w:sz w:val="21"/>
          <w:szCs w:val="21"/>
        </w:rPr>
        <w:t xml:space="preserve"> primary anthropogenic emissions</w:t>
      </w:r>
      <w:proofErr w:type="gramEnd"/>
      <w:r w:rsidRPr="00551F9B">
        <w:rPr>
          <w:b w:val="0"/>
          <w:bCs w:val="0"/>
          <w:sz w:val="21"/>
          <w:szCs w:val="21"/>
        </w:rPr>
        <w:t xml:space="preserve"> </w:t>
      </w:r>
      <w:r w:rsidR="00FC1F5E">
        <w:rPr>
          <w:b w:val="0"/>
          <w:bCs w:val="0"/>
          <w:sz w:val="21"/>
          <w:szCs w:val="21"/>
        </w:rPr>
        <w:t>are zero after</w:t>
      </w:r>
      <w:r w:rsidRPr="00551F9B">
        <w:rPr>
          <w:b w:val="0"/>
          <w:bCs w:val="0"/>
          <w:sz w:val="21"/>
          <w:szCs w:val="21"/>
        </w:rPr>
        <w:t xml:space="preserve"> 2010 (dotted black</w:t>
      </w:r>
      <w:r w:rsidR="00FC1F5E">
        <w:rPr>
          <w:b w:val="0"/>
          <w:bCs w:val="0"/>
          <w:sz w:val="21"/>
          <w:szCs w:val="21"/>
        </w:rPr>
        <w:t xml:space="preserve"> line</w:t>
      </w:r>
      <w:r w:rsidRPr="00551F9B">
        <w:rPr>
          <w:b w:val="0"/>
          <w:bCs w:val="0"/>
          <w:sz w:val="21"/>
          <w:szCs w:val="21"/>
        </w:rPr>
        <w:t>).</w:t>
      </w:r>
      <w:r w:rsidR="00CD3205">
        <w:rPr>
          <w:b w:val="0"/>
          <w:bCs w:val="0"/>
          <w:sz w:val="21"/>
          <w:szCs w:val="21"/>
        </w:rPr>
        <w:t xml:space="preserve"> Implications of future trajectories for upper ocean reservoirs are shown in Figure S4.</w:t>
      </w:r>
    </w:p>
    <w:p w14:paraId="61ECADD0" w14:textId="4577720C" w:rsidR="00681223" w:rsidRPr="00681223" w:rsidRDefault="00681223" w:rsidP="00681223">
      <w:pPr>
        <w:pStyle w:val="Heading-Main"/>
        <w:rPr>
          <w:b w:val="0"/>
          <w:bCs w:val="0"/>
        </w:rPr>
      </w:pPr>
      <w:r w:rsidRPr="00681223">
        <w:rPr>
          <w:b w:val="0"/>
          <w:bCs w:val="0"/>
        </w:rPr>
        <w:t>Comparing SSPs 1-2.6 and 5-3.4 provides insights into the consequences of delay</w:t>
      </w:r>
      <w:r w:rsidR="008B593D">
        <w:rPr>
          <w:b w:val="0"/>
          <w:bCs w:val="0"/>
        </w:rPr>
        <w:t>ing</w:t>
      </w:r>
      <w:r w:rsidRPr="00681223">
        <w:rPr>
          <w:b w:val="0"/>
          <w:bCs w:val="0"/>
        </w:rPr>
        <w:t xml:space="preserve"> emission reductions. Cumulative emissions through 2100 are comparable </w:t>
      </w:r>
      <w:r w:rsidR="008B593D">
        <w:rPr>
          <w:b w:val="0"/>
          <w:bCs w:val="0"/>
        </w:rPr>
        <w:t>for</w:t>
      </w:r>
      <w:r w:rsidRPr="00681223">
        <w:rPr>
          <w:b w:val="0"/>
          <w:bCs w:val="0"/>
        </w:rPr>
        <w:t xml:space="preserve"> SSP1-2.6 (101 Gg) and SSP5-3.4 (112 Gg). Additionally, </w:t>
      </w:r>
      <w:r w:rsidR="008B593D">
        <w:rPr>
          <w:b w:val="0"/>
          <w:bCs w:val="0"/>
        </w:rPr>
        <w:t xml:space="preserve">anthropogenic Hg </w:t>
      </w:r>
      <w:r w:rsidRPr="00681223">
        <w:rPr>
          <w:b w:val="0"/>
          <w:bCs w:val="0"/>
        </w:rPr>
        <w:t xml:space="preserve">emissions are lower </w:t>
      </w:r>
      <w:r w:rsidR="008B593D" w:rsidRPr="00681223">
        <w:rPr>
          <w:b w:val="0"/>
          <w:bCs w:val="0"/>
        </w:rPr>
        <w:t xml:space="preserve">in 2100 </w:t>
      </w:r>
      <w:r w:rsidRPr="00681223">
        <w:rPr>
          <w:b w:val="0"/>
          <w:bCs w:val="0"/>
        </w:rPr>
        <w:t>under SSP5-3.4 than SSP1-2.6 (107 Mg a</w:t>
      </w:r>
      <w:r w:rsidRPr="00681223">
        <w:rPr>
          <w:b w:val="0"/>
          <w:bCs w:val="0"/>
          <w:vertAlign w:val="superscript"/>
        </w:rPr>
        <w:t>-1</w:t>
      </w:r>
      <w:r w:rsidRPr="00681223">
        <w:rPr>
          <w:b w:val="0"/>
          <w:bCs w:val="0"/>
        </w:rPr>
        <w:t xml:space="preserve"> and 154 Mg a</w:t>
      </w:r>
      <w:r w:rsidRPr="00681223">
        <w:rPr>
          <w:b w:val="0"/>
          <w:bCs w:val="0"/>
          <w:vertAlign w:val="superscript"/>
        </w:rPr>
        <w:t>-1</w:t>
      </w:r>
      <w:r w:rsidRPr="00681223">
        <w:rPr>
          <w:b w:val="0"/>
          <w:bCs w:val="0"/>
        </w:rPr>
        <w:t>). Higher deposition to anthropogenic receptor regions in 2100 under SSP5-3.4 reflects a legacy deposition penalty for the unrestrained growth of the first three decades of the century. Deposition from legacy emissions is 2</w:t>
      </w:r>
      <w:r w:rsidR="008B593D">
        <w:rPr>
          <w:b w:val="0"/>
          <w:bCs w:val="0"/>
        </w:rPr>
        <w:t>0</w:t>
      </w:r>
      <w:r w:rsidRPr="00681223">
        <w:rPr>
          <w:b w:val="0"/>
          <w:bCs w:val="0"/>
        </w:rPr>
        <w:t xml:space="preserve"> Mg higher in 2100 for SSP5-3.4 </w:t>
      </w:r>
      <w:r w:rsidR="00FC1F5E">
        <w:rPr>
          <w:b w:val="0"/>
          <w:bCs w:val="0"/>
        </w:rPr>
        <w:t>compared to</w:t>
      </w:r>
      <w:r w:rsidR="00FC1F5E" w:rsidRPr="00681223">
        <w:rPr>
          <w:b w:val="0"/>
          <w:bCs w:val="0"/>
        </w:rPr>
        <w:t xml:space="preserve"> </w:t>
      </w:r>
      <w:r w:rsidRPr="00681223">
        <w:rPr>
          <w:b w:val="0"/>
          <w:bCs w:val="0"/>
        </w:rPr>
        <w:t>SSP1-2.6, whereas deposition from primary anthropogenic emissions is 1</w:t>
      </w:r>
      <w:r w:rsidR="008B593D">
        <w:rPr>
          <w:b w:val="0"/>
          <w:bCs w:val="0"/>
        </w:rPr>
        <w:t>6</w:t>
      </w:r>
      <w:r w:rsidRPr="00681223">
        <w:rPr>
          <w:b w:val="0"/>
          <w:bCs w:val="0"/>
        </w:rPr>
        <w:t xml:space="preserve"> Mg lower. This example demonstrates the long-term benefits associated with near-term emissions mitigation</w:t>
      </w:r>
      <w:r w:rsidR="00083C43">
        <w:rPr>
          <w:b w:val="0"/>
          <w:bCs w:val="0"/>
        </w:rPr>
        <w:t xml:space="preserve">, as discussed previously in </w:t>
      </w:r>
      <w:r w:rsidR="00083C43">
        <w:rPr>
          <w:b w:val="0"/>
          <w:bCs w:val="0"/>
        </w:rPr>
        <w:fldChar w:fldCharType="begin"/>
      </w:r>
      <w:r w:rsidR="00083C43">
        <w:rPr>
          <w:b w:val="0"/>
          <w:bCs w:val="0"/>
        </w:rPr>
        <w:instrText xml:space="preserve"> ADDIN ZOTERO_ITEM CSL_CITATION {"citationID":"Ma3r3C5x","properties":{"formattedCitation":"(Angot et al., 2018)","plainCitation":"(Angot et al., 2018)","noteIndex":0},"citationItems":[{"id":510,"uris":["http://zotero.org/users/local/VbtpDxdA/items/E59SCICZ","http://zotero.org/users/11937628/items/E59SCICZ"],"itemData":{"id":510,"type":"article-journal","abstract":"Mercury (Hg) is emitted to air by natural and anthropogenic sources, transports and deposits globally, and bioaccumulates to toxic levels in food webs. It is addressed under the global 2017 Minamata Convention, for which periodic effectiveness evaluation is required. Previous analyses have estimated the impact of different regulatory strategies for future mercury deposition. However, analyses using atmospheric models traditionally hold legacy emissions (recycling of previously deposited Hg) constant, and do not account for their possible future growth. Here, using an integrated modeling approach, we investigate how delays in implementing emissions reductions and the associated growing legacy reservoir affect deposition fluxes to ecosystems in different global regions. Assuming nearly constant yearly emissions relative to 2010, each 5-year delay in peak emissions defers by additional extra ca. 4 years the return to year 2010 global deposition. On a global average, each 5-year delay leads to a 14% decrease in policy impacts on local-scale Hg deposition. We also investigate the response of fish contamination in remote lakes to delayed action. We quantify the consequences of delay for limiting the Hg burden of future generations and show that traditional analyses of policy impacts provide best-case estimates.","container-title":"Environmental Science and Technology","DOI":"10.1021/acs.est.8b04542","ISSN":"15205851","issue":"22","note":"PMID: 30376303\nCitation Key: Angot2018","page":"12968-12977","title":"Global and Local Impacts of Delayed Mercury Mitigation Efforts","volume":"52","author":[{"family":"Angot","given":"Hélène"},{"family":"Hoffman","given":"Nicholas"},{"family":"Giang","given":"Amanda"},{"family":"Thackray","given":"Colin P"},{"family":"Hendricks","given":"Ashley N"},{"family":"Urban","given":"Noel R"},{"family":"Selin","given":"Noelle E"}],"issued":{"date-parts":[["2018"]]}}}],"schema":"https://github.com/citation-style-language/schema/raw/master/csl-citation.json"} </w:instrText>
      </w:r>
      <w:r w:rsidR="00083C43">
        <w:rPr>
          <w:b w:val="0"/>
          <w:bCs w:val="0"/>
        </w:rPr>
        <w:fldChar w:fldCharType="separate"/>
      </w:r>
      <w:r w:rsidR="00083C43">
        <w:rPr>
          <w:b w:val="0"/>
          <w:bCs w:val="0"/>
          <w:noProof/>
        </w:rPr>
        <w:t>Angot et al. (2018)</w:t>
      </w:r>
      <w:r w:rsidR="00083C43">
        <w:rPr>
          <w:b w:val="0"/>
          <w:bCs w:val="0"/>
        </w:rPr>
        <w:fldChar w:fldCharType="end"/>
      </w:r>
      <w:r w:rsidR="00FC1F5E">
        <w:rPr>
          <w:b w:val="0"/>
          <w:bCs w:val="0"/>
        </w:rPr>
        <w:t xml:space="preserve"> and </w:t>
      </w:r>
      <w:r w:rsidR="00827E22">
        <w:rPr>
          <w:b w:val="0"/>
          <w:bCs w:val="0"/>
        </w:rPr>
        <w:fldChar w:fldCharType="begin"/>
      </w:r>
      <w:r w:rsidR="00827E22">
        <w:rPr>
          <w:b w:val="0"/>
          <w:bCs w:val="0"/>
        </w:rPr>
        <w:instrText xml:space="preserve"> ADDIN ZOTERO_ITEM CSL_CITATION {"citationID":"iA5Obp2X","properties":{"formattedCitation":"(Amos et al., 2013)","plainCitation":"(Amos et al., 2013)","noteIndex":0},"citationItems":[{"id":612,"uris":["http://zotero.org/users/local/VbtpDxdA/items/7P2UKX4T","http://zotero.org/users/11937628/items/7P2UKX4T"],"itemData":{"id":612,"type":"article-journal","abstract":"Elevated mercury (Hg) in marine and terrestrial ecosystems is a global health concern because of the formation of toxic methylmercury. Humans have emitted Hg to the atmosphere for millennia, and this Hg has deposited and accumulated into ecosystems globally. Here we present a global biogeochemical model with fully coupled atmospheric, terrestrial, and oceanic Hg reservoirs to better understand human influence on Hg cycling and timescales for responses. We drive the model with a historical inventory of anthropogenic emissions from 2000 BC to present. Results show that anthropogenic perturbations introduced to surface reservoirs (atmosphere, ocean, or terrestrial) accumulate and persist in the subsurface ocean for decades to centuries. The simulated present-day atmosphere is enriched by a factor of 2.6 relative to 1840 levels, consistent with sediment archives, and by a factor of 7.5 relative to natural levels (2000 BC). Legacy anthropogenic Hg re-emitted from surface reservoirs accounts for 60% of present-day atmospheric deposition, compared to 27% from primary anthropogenic emissions, and 13% from natural sources. We find that only 17% of the present-day Hg in the surface ocean is natural and that half of its anthropogenic enrichment originates from pre-1950 emissions. Although Asia is presently the dominant contributor to primary anthropogenic emissions, only 17% of the surface ocean reservoir is of Asian anthropogenic origin, as compared to 30% of North American and European origin. The accumulated burden of legacy anthropogenic Hg means that future deposition will increase even if primary anthropogenic emissions are held constant. Aggressive global Hg emission reductions will be necessary just to maintain oceanic Hg concentrations at present levels. ©2013. American Geophysical Union. All Rights Reserved.","container-title":"Global Biogeochemical Cycles","DOI":"10.1002/gbc.20040","ISSN":"08866236","issue":"2","note":"Citation Key: Amos2013","page":"410-421","title":"Legacy impacts of all-time anthropogenic emissions on the global mercury cycle","volume":"27","author":[{"family":"Amos","given":"Helen M."},{"family":"Jacob","given":"Daniel J."},{"family":"Streets","given":"David G."},{"family":"Sunderland","given":"Elsie M."}],"issued":{"date-parts":[["2013",6]]}}}],"schema":"https://github.com/citation-style-language/schema/raw/master/csl-citation.json"} </w:instrText>
      </w:r>
      <w:r w:rsidR="00827E22">
        <w:rPr>
          <w:b w:val="0"/>
          <w:bCs w:val="0"/>
        </w:rPr>
        <w:fldChar w:fldCharType="separate"/>
      </w:r>
      <w:r w:rsidR="00827E22">
        <w:rPr>
          <w:b w:val="0"/>
          <w:bCs w:val="0"/>
          <w:noProof/>
        </w:rPr>
        <w:t>Amos et al. (2013)</w:t>
      </w:r>
      <w:r w:rsidR="00827E22">
        <w:rPr>
          <w:b w:val="0"/>
          <w:bCs w:val="0"/>
        </w:rPr>
        <w:fldChar w:fldCharType="end"/>
      </w:r>
      <w:r w:rsidR="00827E22">
        <w:rPr>
          <w:b w:val="0"/>
          <w:bCs w:val="0"/>
        </w:rPr>
        <w:t>.</w:t>
      </w:r>
    </w:p>
    <w:p w14:paraId="688441B5" w14:textId="33E3FA4E" w:rsidR="00C32860" w:rsidRPr="00F9555D" w:rsidRDefault="00681223" w:rsidP="00F9555D">
      <w:pPr>
        <w:pStyle w:val="Heading-Main"/>
        <w:rPr>
          <w:b w:val="0"/>
          <w:bCs w:val="0"/>
        </w:rPr>
      </w:pPr>
      <w:r w:rsidRPr="00681223">
        <w:rPr>
          <w:b w:val="0"/>
          <w:bCs w:val="0"/>
        </w:rPr>
        <w:t>By the end of the century, Hg re-emissions from the ocean and land will become relatively more important as sources of Hg deposition (Fig. S3)</w:t>
      </w:r>
      <w:r w:rsidR="00FC1F5E">
        <w:rPr>
          <w:b w:val="0"/>
          <w:bCs w:val="0"/>
        </w:rPr>
        <w:t>,</w:t>
      </w:r>
      <w:r w:rsidRPr="00681223">
        <w:rPr>
          <w:b w:val="0"/>
          <w:bCs w:val="0"/>
        </w:rPr>
        <w:t xml:space="preserve"> but deposition will not be evenly distributed by world region. Our source-receptor modeling suggests that South America receives the largest share of legacy Hg deposition on a per-area basis, receiving 23% higher deposition per unit of terrestrial emissions and 48% higher deposition per unit of ocean evasion than the area-weighted average of all world regions (Fig. 6). Such high rates of deposition over South America are driven by high rates of foliar uptake and wet deposition. In contrast, Oceania receives the lowest areal share of terrestrial emissions (73% of average), and the Former USSR receives the smallest areal share of Hg sourced from oceanic evasion (74% of average) (Fig. 6). Such low deposition is driven by the relative isolation of Oceania from terrestrial emissions and of the Former USSR from ocean emissions. These source-receptor relationships are subject to change in the future due to shifting patterns of historical anthropogenic Hg loading </w:t>
      </w:r>
      <w:r w:rsidRPr="00681223">
        <w:rPr>
          <w:b w:val="0"/>
          <w:bCs w:val="0"/>
        </w:rPr>
        <w:fldChar w:fldCharType="begin"/>
      </w:r>
      <w:r w:rsidRPr="00681223">
        <w:rPr>
          <w:b w:val="0"/>
          <w:bCs w:val="0"/>
        </w:rPr>
        <w:instrText xml:space="preserve"> ADDIN ZOTERO_ITEM CSL_CITATION {"citationID":"n5ReAHOf","properties":{"formattedCitation":"(Zolkos et al., 2022)","plainCitation":"(Zolkos et al., 2022)","dontUpdate":true,"noteIndex":0},"citationItems":[{"id":1023,"uris":["http://zotero.org/users/11937628/items/T4IIHJ22"],"itemData":{"id":1023,"type":"article-journal","abstract":"&lt;p&gt;Russian rivers are the predominant source of riverine mercury to the Arctic Ocean, where methylmercury biomagnifies to high levels in food webs. Pollution controls are thought to have decreased late–20th-century mercury loading to Arctic watersheds, but there are no published long-term observations on mercury in Russian rivers. Here, we present a unique hydrochemistry dataset to determine trends in Russian river particulate mercury concentrations and fluxes in recent decades. Using hydrologic and mercury deposition modeling together with multivariate time series analysis, we determine that 70 to 90% declines in particulate mercury fluxes were driven by pollution reductions and sedimentation in reservoirs. Results suggest that Russian rivers likely dominated over all other sources of mercury to the Arctic Ocean until recently.&lt;/p&gt;","container-title":"Proceedings of the National Academy of Sciences","DOI":"10.1073/pnas.2119857119","ISSN":"0027-8424","issue":"14","note":"Citation Key: Zolkos2022","title":"Multidecadal declines in particulate mercury and sediment export from Russian rivers in the pan-Arctic basin","URL":"https://pnas.org/doi/full/10.1073/pnas.2119857119","volume":"119","author":[{"family":"Zolkos","given":"Scott"},{"family":"Zhulidov","given":"Alexander V."},{"family":"Gurtovaya","given":"Tatiana Yu."},{"family":"Gordeev","given":"Vyacheslav V."},{"family":"Berdnikov","given":"Sergey"},{"family":"Pavlova","given":"Nadezhda"},{"family":"Kalko","given":"Evgenia A."},{"family":"Kuklina","given":"Yana A."},{"family":"Zhulidov","given":"Danil A."},{"family":"Kosmenko","given":"Lyudmila S."},{"family":"Shiklomanov","given":"Alexander I."},{"family":"Suslova","given":"Anya"},{"family":"Geyman","given":"Benjamin M."},{"family":"Thackray","given":"Colin P."},{"family":"Sunderland","given":"Elsie M."},{"family":"Tank","given":"Suzanne E."},{"family":"McClelland","given":"James W."},{"family":"Spencer","given":"Robert G. M."},{"family":"Krabbenhoft","given":"David P."},{"family":"Robarts","given":"Richard"},{"family":"Holmes","given":"Robert M."}],"accessed":{"date-parts":[["2022",3,28]]},"issued":{"date-parts":[["2022",4,5]]}}}],"schema":"https://github.com/citation-style-language/schema/raw/master/csl-citation.json"} </w:instrText>
      </w:r>
      <w:r w:rsidRPr="00681223">
        <w:rPr>
          <w:b w:val="0"/>
          <w:bCs w:val="0"/>
        </w:rPr>
        <w:fldChar w:fldCharType="separate"/>
      </w:r>
      <w:r w:rsidRPr="00681223">
        <w:rPr>
          <w:b w:val="0"/>
          <w:bCs w:val="0"/>
        </w:rPr>
        <w:t>(e.g., Zolkos et al., 2022)</w:t>
      </w:r>
      <w:r w:rsidRPr="00681223">
        <w:rPr>
          <w:b w:val="0"/>
          <w:bCs w:val="0"/>
        </w:rPr>
        <w:fldChar w:fldCharType="end"/>
      </w:r>
      <w:r w:rsidRPr="00681223">
        <w:rPr>
          <w:b w:val="0"/>
          <w:bCs w:val="0"/>
        </w:rPr>
        <w:t xml:space="preserve"> and changing biogeochemical dynamics mediating deposition </w:t>
      </w:r>
      <w:r w:rsidRPr="00681223">
        <w:rPr>
          <w:b w:val="0"/>
          <w:bCs w:val="0"/>
        </w:rPr>
        <w:fldChar w:fldCharType="begin"/>
      </w:r>
      <w:r w:rsidRPr="00681223">
        <w:rPr>
          <w:b w:val="0"/>
          <w:bCs w:val="0"/>
        </w:rPr>
        <w:instrText xml:space="preserve"> ADDIN ZOTERO_ITEM CSL_CITATION {"citationID":"As6HekDi","properties":{"formattedCitation":"(Alexander &amp; Mickley, 2015; Krabbenhoft &amp; Sunderland, 2013; Yang et al., 2019)","plainCitation":"(Alexander &amp; Mickley, 2015; Krabbenhoft &amp; Sunderland, 2013; Yang et al., 2019)","dontUpdate":true,"noteIndex":0},"citationItems":[{"id":748,"uris":["http://zotero.org/users/11937628/items/JJ954T65"],"itemData":{"id":748,"type":"article-journal","abstract":"The oxidizing capacity of the atmosphere, defined as the global mean tropospheric abundance of the hydroxyl radical (OH·), strongly influences air pollution by controlling the lifetimes of gaseous pollutants and the production of particulate matter. Predicting future changes in OH· due to anthropogenic emissions and climate change is of interest to air quality managers, but it is difficult because of multiple competing effects. Models of atmospheric chemistry suggest that these competing effects buffer significant change in OH· in the past and in the near future. However, proxy-based observations for past changes in OH· and other oxidants over the preindustrial-industrial and glacial-interglacial time scales suggest much larger changes than models estimate. Model sensitivity studies show that variability in past and future OH· is highly sensitive to relative emissions of reactive nitrogen and carbon, water vapor, lightning, and stratospheric ozone, implying that one or more of these variables is highly sensitive to climate.","container-title":"Current Pollution Reports","DOI":"10.1007/s40726-015-0006-0","ISSN":"2198-6592","issue":"2","note":"publisher: Springer\nCitation Key: Alexander2015","page":"57-69","title":"Paleo-Perspectives on Potential Future Changes in the Oxidative Capacity of the Atmosphere Due to Climate Change and Anthropogenic Emissions","volume":"1","author":[{"family":"Alexander","given":"Becky"},{"family":"Mickley","given":"Loretta J."}],"issued":{"date-parts":[["2015",6,5]]}}},{"id":495,"uris":["http://zotero.org/users/11937628/items/C9LH4J6K"],"itemData":{"id":495,"type":"article-journal","abstract":"&lt;p&gt;Mercury concentrations in the atmosphere and oceans are affected not only by anthropogenic emissions but also by climate and ecosystem change.&lt;/p&gt;","container-title":"Science","DOI":"10.1126/science.1242838","ISSN":"0036-8075","issue":"6153","note":"publisher: American Association for the Advancement of Science\nCitation Key: Krabbenhoft2013","page":"1457-1458","title":"Global Change and Mercury","volume":"341","author":[{"family":"Krabbenhoft","given":"David P."},{"family":"Sunderland","given":"Elsie M."}],"issued":{"date-parts":[["2013",9,27]]}}},{"id":810,"uris":["http://zotero.org/users/11937628/items/3X7E9UMH"],"itemData":{"id":810,"type":"article-journal","abstract":"Soils are the largest terrestrial pool of mercury (Hg), a neurotoxic pollutant. Pathways of Hg accumulation and loss in forest soils include throughfall, litterfall, soil gas fluxes, and leaching in soil solution, all of which will likely be altered under changing climate. We took advantage of three ongoing climate-change manipulation experiments at the Hubbard Brook Experimental Forest, New Hampshire, USA: a combined growing-season warming and winter freeze-thaw cycle experiment, a throughfall exclusion to mimic drought, and a simulated ice storm experiment to examine the response of the forest Hg cycle to climatic disturbances. Across these three experiments, we compared Hg inputs in throughfall and leaf litterfall and Hg outputs in soil gas fluxes. Soil solution was measured only in the simulated ice storm experiment. We found that northern forest soils retained consistently less Hg by 16–60% in the three climate manipulations compared to the undisturbed controls (~ 7.4 µg Hg m−2 year−1), although soils across all three experiments still served as a net sink for Hg. Growing-season soil warming and combined soil warming and winter freeze-thaw cycles had little effect on litterfall and throughfall flux, but they increased soil Hg0 evasion by 31 and 35%, respectively, relative to the control plots. The drought plots had 5% lower litterfall Hg flux, 50% lower throughfall Hg flux, and 21% lower soil Hg0 evasion than the control plots. The simulated ice storm had 23% higher litterfall Hg flux, 1% higher throughfall Hg flux, 37% higher soil Hg0 evasion, and 151% higher soil Hg leaching than the control plots. These observations suggest that climate changes such as warmer soils in the growing season or more intense ice storms in winter are likely to exacerbate Hg pollution by releasing Hg sequestered in forest soils via evasion and leaching.","container-title":"Biogeochemistry","DOI":"10.1007/s10533-019-00605-1","ISSN":"0168-2563","issue":"1","note":"publisher: Springer International Publishing\nCitation Key: Yang2019\nISBN: 0123456789","page":"1-16","title":"Climate change may alter mercury fluxes in northern hardwood forests","volume":"146","author":[{"family":"Yang","given":"Yang"},{"family":"Meng","given":"Linghui"},{"family":"Yanai","given":"Ruth D."},{"family":"Montesdeoca","given":"Mario"},{"family":"Templer","given":"Pamela H."},{"family":"Asbjornsen","given":"Heidi"},{"family":"Rustad","given":"Lindsey E."},{"family":"Driscoll","given":"Charles T."}],"issued":{"date-parts":[["2019",11,18]]}}}],"schema":"https://github.com/citation-style-language/schema/raw/master/csl-citation.json"} </w:instrText>
      </w:r>
      <w:r w:rsidRPr="00681223">
        <w:rPr>
          <w:b w:val="0"/>
          <w:bCs w:val="0"/>
        </w:rPr>
        <w:fldChar w:fldCharType="separate"/>
      </w:r>
      <w:r w:rsidRPr="00681223">
        <w:rPr>
          <w:b w:val="0"/>
          <w:bCs w:val="0"/>
        </w:rPr>
        <w:t>(e.g., Alexander &amp; Mickley, 2015; Krabbenhoft &amp; Sunderland, 2013; Yang et al., 2019)</w:t>
      </w:r>
      <w:r w:rsidRPr="00681223">
        <w:rPr>
          <w:b w:val="0"/>
          <w:bCs w:val="0"/>
        </w:rPr>
        <w:fldChar w:fldCharType="end"/>
      </w:r>
      <w:r w:rsidRPr="00681223">
        <w:rPr>
          <w:b w:val="0"/>
          <w:bCs w:val="0"/>
        </w:rPr>
        <w:t>.</w:t>
      </w:r>
      <w:r w:rsidR="00C32860">
        <w:rPr>
          <w:b w:val="0"/>
          <w:bCs w:val="0"/>
        </w:rPr>
        <w:br w:type="page"/>
      </w:r>
    </w:p>
    <w:p w14:paraId="3786E302" w14:textId="3859987E" w:rsidR="00681223" w:rsidRPr="00681223" w:rsidRDefault="00551F9B" w:rsidP="00551F9B">
      <w:pPr>
        <w:pStyle w:val="Heading-Main"/>
        <w:spacing w:after="0" w:line="276" w:lineRule="auto"/>
      </w:pPr>
      <w:r>
        <w:rPr>
          <w:noProof/>
        </w:rPr>
        <w:lastRenderedPageBreak/>
        <w:drawing>
          <wp:inline distT="0" distB="0" distL="0" distR="0" wp14:anchorId="28420C5A" wp14:editId="3B1D74BA">
            <wp:extent cx="5120640" cy="2560320"/>
            <wp:effectExtent l="0" t="0" r="0" b="5080"/>
            <wp:docPr id="2496049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04940" name="Picture 249604940"/>
                    <pic:cNvPicPr/>
                  </pic:nvPicPr>
                  <pic:blipFill>
                    <a:blip r:embed="rId17"/>
                    <a:stretch>
                      <a:fillRect/>
                    </a:stretch>
                  </pic:blipFill>
                  <pic:spPr>
                    <a:xfrm>
                      <a:off x="0" y="0"/>
                      <a:ext cx="5120640" cy="2560320"/>
                    </a:xfrm>
                    <a:prstGeom prst="rect">
                      <a:avLst/>
                    </a:prstGeom>
                  </pic:spPr>
                </pic:pic>
              </a:graphicData>
            </a:graphic>
          </wp:inline>
        </w:drawing>
      </w:r>
    </w:p>
    <w:p w14:paraId="4CBF9E3D" w14:textId="77777777" w:rsidR="00681223" w:rsidRPr="00551F9B" w:rsidRDefault="00681223" w:rsidP="00551F9B">
      <w:pPr>
        <w:pStyle w:val="Heading-Main"/>
        <w:spacing w:before="0"/>
        <w:rPr>
          <w:sz w:val="21"/>
          <w:szCs w:val="21"/>
        </w:rPr>
      </w:pPr>
      <w:r w:rsidRPr="00551F9B">
        <w:rPr>
          <w:sz w:val="21"/>
          <w:szCs w:val="21"/>
        </w:rPr>
        <w:t>Figure 6.</w:t>
      </w:r>
      <w:r w:rsidRPr="00551F9B">
        <w:rPr>
          <w:i/>
          <w:iCs/>
          <w:sz w:val="21"/>
          <w:szCs w:val="21"/>
        </w:rPr>
        <w:t xml:space="preserve"> </w:t>
      </w:r>
      <w:r w:rsidRPr="00551F9B">
        <w:rPr>
          <w:sz w:val="21"/>
          <w:szCs w:val="21"/>
        </w:rPr>
        <w:t>Regional differences in area-normalized atmospheric Hg deposition from natural and legacy sources.</w:t>
      </w:r>
      <w:r w:rsidRPr="00551F9B">
        <w:rPr>
          <w:b w:val="0"/>
          <w:bCs w:val="0"/>
          <w:i/>
          <w:iCs/>
          <w:sz w:val="21"/>
          <w:szCs w:val="21"/>
        </w:rPr>
        <w:t xml:space="preserve"> </w:t>
      </w:r>
      <w:r w:rsidRPr="00551F9B">
        <w:rPr>
          <w:b w:val="0"/>
          <w:bCs w:val="0"/>
          <w:sz w:val="21"/>
          <w:szCs w:val="21"/>
        </w:rPr>
        <w:t>Bars represent differences in areal deposition rates between individual receptor regions and the average over land. Positive values mean that receptor regions receive greater deposition per unit area than average, and negative values mean that receptor regions receive less deposition than average. Individual panels show trends in deposition resulting from emissions from the terrestrial biosphere (</w:t>
      </w:r>
      <w:r w:rsidRPr="00551F9B">
        <w:rPr>
          <w:sz w:val="21"/>
          <w:szCs w:val="21"/>
        </w:rPr>
        <w:t>a</w:t>
      </w:r>
      <w:r w:rsidRPr="00551F9B">
        <w:rPr>
          <w:b w:val="0"/>
          <w:bCs w:val="0"/>
          <w:sz w:val="21"/>
          <w:szCs w:val="21"/>
        </w:rPr>
        <w:t>) and from the ocean (</w:t>
      </w:r>
      <w:r w:rsidRPr="00551F9B">
        <w:rPr>
          <w:sz w:val="21"/>
          <w:szCs w:val="21"/>
        </w:rPr>
        <w:t>b</w:t>
      </w:r>
      <w:r w:rsidRPr="00551F9B">
        <w:rPr>
          <w:b w:val="0"/>
          <w:bCs w:val="0"/>
          <w:sz w:val="21"/>
          <w:szCs w:val="21"/>
        </w:rPr>
        <w:t>). Receptor regions are Africa and the Middle East (AFM), Asia (ASA), Europe (EUR), North America (NAM), Oceania (OCA), South America (SAM), and the Former Soviet Union (FSU).</w:t>
      </w:r>
    </w:p>
    <w:p w14:paraId="6E26742E" w14:textId="018BB9B5" w:rsidR="00681223" w:rsidRPr="00681223" w:rsidRDefault="00FC1F5E" w:rsidP="00681223">
      <w:pPr>
        <w:pStyle w:val="Heading-Main"/>
        <w:rPr>
          <w:b w:val="0"/>
          <w:bCs w:val="0"/>
        </w:rPr>
      </w:pPr>
      <w:r>
        <w:rPr>
          <w:b w:val="0"/>
          <w:bCs w:val="0"/>
        </w:rPr>
        <w:t>Globally averaged s</w:t>
      </w:r>
      <w:r w:rsidR="00681223" w:rsidRPr="00681223">
        <w:rPr>
          <w:b w:val="0"/>
          <w:bCs w:val="0"/>
        </w:rPr>
        <w:t>eawater Hg concentrations in the upper ocean (0</w:t>
      </w:r>
      <w:r w:rsidR="00B56720">
        <w:rPr>
          <w:b w:val="0"/>
          <w:bCs w:val="0"/>
        </w:rPr>
        <w:t>-</w:t>
      </w:r>
      <w:r w:rsidR="00681223" w:rsidRPr="00681223">
        <w:rPr>
          <w:b w:val="0"/>
          <w:bCs w:val="0"/>
        </w:rPr>
        <w:t>1</w:t>
      </w:r>
      <w:r w:rsidR="00B56720">
        <w:rPr>
          <w:b w:val="0"/>
          <w:bCs w:val="0"/>
        </w:rPr>
        <w:t>5</w:t>
      </w:r>
      <w:r w:rsidR="00681223" w:rsidRPr="00681223">
        <w:rPr>
          <w:b w:val="0"/>
          <w:bCs w:val="0"/>
        </w:rPr>
        <w:t xml:space="preserve">00 m) are projected to increase over the coming decades across all scenarios in this study. The Hg reservoir in the upper ocean peaks at </w:t>
      </w:r>
      <w:r w:rsidR="0016750E">
        <w:rPr>
          <w:b w:val="0"/>
          <w:bCs w:val="0"/>
        </w:rPr>
        <w:t>1</w:t>
      </w:r>
      <w:r w:rsidR="007C5E1F">
        <w:rPr>
          <w:b w:val="0"/>
          <w:bCs w:val="0"/>
        </w:rPr>
        <w:t>42</w:t>
      </w:r>
      <w:r w:rsidR="00681223" w:rsidRPr="00681223">
        <w:rPr>
          <w:b w:val="0"/>
          <w:bCs w:val="0"/>
        </w:rPr>
        <w:t xml:space="preserve"> to </w:t>
      </w:r>
      <w:r w:rsidR="007C5E1F">
        <w:rPr>
          <w:b w:val="0"/>
          <w:bCs w:val="0"/>
        </w:rPr>
        <w:t>151</w:t>
      </w:r>
      <w:r w:rsidR="00681223" w:rsidRPr="00681223">
        <w:rPr>
          <w:b w:val="0"/>
          <w:bCs w:val="0"/>
        </w:rPr>
        <w:t xml:space="preserve"> Gg between </w:t>
      </w:r>
      <w:r w:rsidR="007C5E1F">
        <w:rPr>
          <w:b w:val="0"/>
          <w:bCs w:val="0"/>
        </w:rPr>
        <w:t>2037</w:t>
      </w:r>
      <w:r w:rsidR="00681223" w:rsidRPr="00681223">
        <w:rPr>
          <w:b w:val="0"/>
          <w:bCs w:val="0"/>
        </w:rPr>
        <w:t xml:space="preserve"> (SSP1-2.6) and </w:t>
      </w:r>
      <w:r w:rsidR="007C5E1F">
        <w:rPr>
          <w:b w:val="0"/>
          <w:bCs w:val="0"/>
        </w:rPr>
        <w:t>2081</w:t>
      </w:r>
      <w:r w:rsidR="00681223" w:rsidRPr="00681223">
        <w:rPr>
          <w:b w:val="0"/>
          <w:bCs w:val="0"/>
        </w:rPr>
        <w:t xml:space="preserve"> (SSP5-8.5) (Fig. S4). Near-term increases in upper ocean Hg concentrations are driven by future rather than historical emissions. Simulated seawater Hg concentrations </w:t>
      </w:r>
      <w:r w:rsidR="0016750E">
        <w:rPr>
          <w:b w:val="0"/>
          <w:bCs w:val="0"/>
        </w:rPr>
        <w:t xml:space="preserve">begin </w:t>
      </w:r>
      <w:r w:rsidR="00681223" w:rsidRPr="00681223">
        <w:rPr>
          <w:b w:val="0"/>
          <w:bCs w:val="0"/>
        </w:rPr>
        <w:t>declin</w:t>
      </w:r>
      <w:r w:rsidR="0016750E">
        <w:rPr>
          <w:b w:val="0"/>
          <w:bCs w:val="0"/>
        </w:rPr>
        <w:t>ing</w:t>
      </w:r>
      <w:r w:rsidR="00681223" w:rsidRPr="00681223">
        <w:rPr>
          <w:b w:val="0"/>
          <w:bCs w:val="0"/>
        </w:rPr>
        <w:t xml:space="preserve"> in 201</w:t>
      </w:r>
      <w:r w:rsidR="0016750E">
        <w:rPr>
          <w:b w:val="0"/>
          <w:bCs w:val="0"/>
        </w:rPr>
        <w:t>5</w:t>
      </w:r>
      <w:r w:rsidR="00681223" w:rsidRPr="00681223">
        <w:rPr>
          <w:b w:val="0"/>
          <w:bCs w:val="0"/>
        </w:rPr>
        <w:t xml:space="preserve"> under a scenario with no future primary anthropogenic Hg releases (Fig. S4). By the end of the 21</w:t>
      </w:r>
      <w:r w:rsidR="00681223" w:rsidRPr="00681223">
        <w:rPr>
          <w:b w:val="0"/>
          <w:bCs w:val="0"/>
          <w:vertAlign w:val="superscript"/>
        </w:rPr>
        <w:t>st</w:t>
      </w:r>
      <w:r w:rsidR="00681223" w:rsidRPr="00681223">
        <w:rPr>
          <w:b w:val="0"/>
          <w:bCs w:val="0"/>
        </w:rPr>
        <w:t xml:space="preserve"> century, upper ocean Hg concentrations are projected to be 1</w:t>
      </w:r>
      <w:r w:rsidR="007C5E1F">
        <w:rPr>
          <w:b w:val="0"/>
          <w:bCs w:val="0"/>
        </w:rPr>
        <w:t>5</w:t>
      </w:r>
      <w:r w:rsidR="00681223" w:rsidRPr="00681223">
        <w:rPr>
          <w:b w:val="0"/>
          <w:bCs w:val="0"/>
        </w:rPr>
        <w:t xml:space="preserve">% lower than 2010 under SSP1-2.6 and are </w:t>
      </w:r>
      <w:r w:rsidR="007C5E1F">
        <w:rPr>
          <w:b w:val="0"/>
          <w:bCs w:val="0"/>
        </w:rPr>
        <w:t>11</w:t>
      </w:r>
      <w:r w:rsidR="00681223" w:rsidRPr="00681223">
        <w:rPr>
          <w:b w:val="0"/>
          <w:bCs w:val="0"/>
        </w:rPr>
        <w:t>% higher than 2010 under SSP5-8.5.</w:t>
      </w:r>
    </w:p>
    <w:p w14:paraId="544409BD" w14:textId="2D0C9F09" w:rsidR="00681223" w:rsidRPr="00681223" w:rsidRDefault="00681223" w:rsidP="00681223">
      <w:pPr>
        <w:pStyle w:val="Heading-Main"/>
      </w:pPr>
      <w:r w:rsidRPr="00681223">
        <w:t>4 Conclusions</w:t>
      </w:r>
    </w:p>
    <w:p w14:paraId="51366942" w14:textId="786DA6F1" w:rsidR="00681223" w:rsidRPr="00681223" w:rsidRDefault="008C240A" w:rsidP="00681223">
      <w:pPr>
        <w:pStyle w:val="Heading-Main"/>
        <w:rPr>
          <w:b w:val="0"/>
          <w:bCs w:val="0"/>
        </w:rPr>
      </w:pPr>
      <w:r>
        <w:rPr>
          <w:b w:val="0"/>
          <w:bCs w:val="0"/>
        </w:rPr>
        <w:t>The SSP</w:t>
      </w:r>
      <w:r w:rsidR="00681223" w:rsidRPr="00681223">
        <w:rPr>
          <w:b w:val="0"/>
          <w:bCs w:val="0"/>
        </w:rPr>
        <w:t xml:space="preserve"> scenarios evaluated in this work result in a greater than two-fold difference in cumulative anthropogenic Hg emissions between 2010 and 2300. Cumulative anthropogenic emissions to air and releases to land and water between 2010 and 2300 range from 710 Gg under the low-bound scenario (SSP1-2.6) to 1710 Gg under the upper-bound scenario (SSP5-8.5). These </w:t>
      </w:r>
      <w:r w:rsidR="00083C43">
        <w:rPr>
          <w:b w:val="0"/>
          <w:bCs w:val="0"/>
        </w:rPr>
        <w:t xml:space="preserve">future </w:t>
      </w:r>
      <w:r w:rsidR="00681223" w:rsidRPr="00681223">
        <w:rPr>
          <w:b w:val="0"/>
          <w:bCs w:val="0"/>
        </w:rPr>
        <w:t xml:space="preserve">releases are comparable to all-time historical anthropogenic emissions of 1540 Gg (80% CI: 1060 – 2800 Gg) </w:t>
      </w:r>
      <w:r w:rsidR="00681223" w:rsidRPr="00681223">
        <w:rPr>
          <w:b w:val="0"/>
          <w:bCs w:val="0"/>
        </w:rPr>
        <w:fldChar w:fldCharType="begin"/>
      </w:r>
      <w:r w:rsidR="00681223" w:rsidRPr="00681223">
        <w:rPr>
          <w:b w:val="0"/>
          <w:bCs w:val="0"/>
        </w:rPr>
        <w:instrText xml:space="preserve"> ADDIN ZOTERO_ITEM CSL_CITATION {"citationID":"9vmNDmOu","properties":{"formattedCitation":"(Streets et al., 2019a)","plainCitation":"(Streets et al., 2019a)","noteIndex":0},"citationItems":[{"id":586,"uris":["http://zotero.org/users/local/VbtpDxdA/items/KKDCXK4A","http://zotero.org/users/11937628/items/KKDCXK4A"],"itemData":{"id":586,"type":"article-journal","abstract":"&lt;p&gt; When released to the biosphere, mercury (Hg) is very mobile and can take millennia to be returned to a secure, long-term repository. Understanding where and when Hg was released as a result of human activities allows better quantification of present-day reemissions and future trajectories of environmental concentrations. In this work, we estimate the time-varying releases of Hg in seven world regions over the 500 year period, 1510–2010. By our estimation, this comprises 95% of all-time anthropogenic releases. Globally, 1.47 Tg of Hg were released in this period, 23% directly to the atmosphere and 77% to land and water bodies. Cumulative releases have been largest in Europe (427 Gg) and North America (413 Gg). In some world regions (Africa/Middle East and Oceania), almost all (&amp;gt;99%) of the Hg is relatively recent (emitted since 1850), whereas in South America it is mostly of older vintage (63% emitted before 1850). Asia was the greatest-emitting region in 2010, while releases in Europe and North America have declined since the 1970s, as recognition of the risks posed by Hg have led to its phase-out in commercial usage. The continued use of Hg in artisanal and small-scale gold mining means that the Africa/Middle East region is now a major contributor. We estimate that 72% of cumulative Hg emissions to air has been in the form of elemental mercury (Hg &lt;sup&gt;0&lt;/sup&gt; ), which has a long lifetime in the atmosphere and can therefore be transported long distances. Our results show that 83% of the total Hg has been released to local water bodies, onto land, or quickly deposited from the air in divalent (Hg &lt;sup&gt;II&lt;/sup&gt; ) form. Regionally, this value ranges from 77% in Africa/Middle East and Oceania to 89% in South America. Results from global biogeochemical modeling indicate improved agreement of the refined emission estimates in this study with archival records of Hg accumulation in estuarine and deep ocean sediment. &lt;/p&gt;","container-title":"Environmental Research Letters","DOI":"10.1088/1748-9326/ab281f","ISSN":"1748-9326","issue":"8","note":"Citation Key: Streets2019b","page":"084004","title":"Five hundred years of anthropogenic mercury: spatial and temporal release profiles*","volume":"14","author":[{"family":"Streets","given":"David G"},{"family":"Horowitz","given":"Hannah M"},{"family":"Lu","given":"Zifeng"},{"family":"Levin","given":"Leonard"},{"family":"Thackray","given":"Colin P"},{"family":"Sunderland","given":"Elsie M"}],"issued":{"date-parts":[["2019",8,1]]}}}],"schema":"https://github.com/citation-style-language/schema/raw/master/csl-citation.json"} </w:instrText>
      </w:r>
      <w:r w:rsidR="00681223" w:rsidRPr="00681223">
        <w:rPr>
          <w:b w:val="0"/>
          <w:bCs w:val="0"/>
        </w:rPr>
        <w:fldChar w:fldCharType="separate"/>
      </w:r>
      <w:r w:rsidR="00681223" w:rsidRPr="00681223">
        <w:rPr>
          <w:b w:val="0"/>
          <w:bCs w:val="0"/>
        </w:rPr>
        <w:t>(Streets et al., 2019a)</w:t>
      </w:r>
      <w:r w:rsidR="00681223" w:rsidRPr="00681223">
        <w:rPr>
          <w:b w:val="0"/>
          <w:bCs w:val="0"/>
        </w:rPr>
        <w:fldChar w:fldCharType="end"/>
      </w:r>
      <w:r w:rsidR="00681223" w:rsidRPr="00681223">
        <w:rPr>
          <w:b w:val="0"/>
          <w:bCs w:val="0"/>
        </w:rPr>
        <w:t xml:space="preserve">. </w:t>
      </w:r>
    </w:p>
    <w:p w14:paraId="2F70DB66" w14:textId="15FBA7E4" w:rsidR="00681223" w:rsidRPr="00681223" w:rsidRDefault="00681223" w:rsidP="00681223">
      <w:pPr>
        <w:pStyle w:val="Heading-Main"/>
        <w:rPr>
          <w:b w:val="0"/>
          <w:bCs w:val="0"/>
        </w:rPr>
      </w:pPr>
      <w:r w:rsidRPr="00681223">
        <w:rPr>
          <w:b w:val="0"/>
          <w:bCs w:val="0"/>
        </w:rPr>
        <w:t xml:space="preserve">Transition of the energy sector away from coal combustion is the largest determinant of differences among scenarios, with lower bound and mid-range scenarios (SSPs 1-2.6, 2-4.5, 5-3.4) all exhibiting similar cumulative emissions due to declining coal usage. By contrast, industrial Hg mining and ASGM releases are projected to grow in relative importance in the </w:t>
      </w:r>
      <w:r w:rsidRPr="00681223">
        <w:rPr>
          <w:b w:val="0"/>
          <w:bCs w:val="0"/>
        </w:rPr>
        <w:lastRenderedPageBreak/>
        <w:t xml:space="preserve">future. These results imply that under the most stringent climate policies, </w:t>
      </w:r>
      <w:r w:rsidR="00083C43">
        <w:rPr>
          <w:b w:val="0"/>
          <w:bCs w:val="0"/>
        </w:rPr>
        <w:t xml:space="preserve">the largest sources of Hg and </w:t>
      </w:r>
      <w:r w:rsidR="00083C43" w:rsidRPr="00083C43">
        <w:rPr>
          <w:b w:val="0"/>
          <w:bCs w:val="0"/>
        </w:rPr>
        <w:t>CO</w:t>
      </w:r>
      <w:r w:rsidR="00083C43" w:rsidRPr="00083C43">
        <w:rPr>
          <w:b w:val="0"/>
          <w:bCs w:val="0"/>
          <w:vertAlign w:val="subscript"/>
        </w:rPr>
        <w:t>2</w:t>
      </w:r>
      <w:r w:rsidR="00083C43">
        <w:rPr>
          <w:b w:val="0"/>
          <w:bCs w:val="0"/>
        </w:rPr>
        <w:t xml:space="preserve"> are likely to become more distinct from one another.</w:t>
      </w:r>
    </w:p>
    <w:p w14:paraId="179DAA67" w14:textId="22670B70" w:rsidR="00681223" w:rsidRPr="00681223" w:rsidRDefault="00681223" w:rsidP="00681223">
      <w:pPr>
        <w:pStyle w:val="Heading-Main"/>
        <w:rPr>
          <w:b w:val="0"/>
          <w:bCs w:val="0"/>
        </w:rPr>
      </w:pPr>
      <w:r w:rsidRPr="00681223">
        <w:rPr>
          <w:b w:val="0"/>
          <w:bCs w:val="0"/>
        </w:rPr>
        <w:t xml:space="preserve">Numerous factors may affect regional Hg deposition patterns in the future. For most regions, reducing primary </w:t>
      </w:r>
      <w:r w:rsidR="008C240A">
        <w:rPr>
          <w:b w:val="0"/>
          <w:bCs w:val="0"/>
        </w:rPr>
        <w:t xml:space="preserve">anthropogenic </w:t>
      </w:r>
      <w:r w:rsidRPr="00681223">
        <w:rPr>
          <w:b w:val="0"/>
          <w:bCs w:val="0"/>
        </w:rPr>
        <w:t>Hg emissions remains the most effective way to reduce deposition, since 55 – 71% of Hg</w:t>
      </w:r>
      <w:r w:rsidRPr="00681223">
        <w:rPr>
          <w:b w:val="0"/>
          <w:bCs w:val="0"/>
          <w:vertAlign w:val="superscript"/>
        </w:rPr>
        <w:t>II</w:t>
      </w:r>
      <w:r w:rsidRPr="00681223">
        <w:rPr>
          <w:b w:val="0"/>
          <w:bCs w:val="0"/>
        </w:rPr>
        <w:t xml:space="preserve"> emissions redeposit to the region of origin, compared to 5 – 13% for Hg</w:t>
      </w:r>
      <w:r w:rsidRPr="00681223">
        <w:rPr>
          <w:b w:val="0"/>
          <w:bCs w:val="0"/>
          <w:vertAlign w:val="superscript"/>
        </w:rPr>
        <w:t>0</w:t>
      </w:r>
      <w:r w:rsidRPr="00681223">
        <w:rPr>
          <w:b w:val="0"/>
          <w:bCs w:val="0"/>
        </w:rPr>
        <w:t xml:space="preserve"> (</w:t>
      </w:r>
      <w:r w:rsidRPr="00825B0F">
        <w:rPr>
          <w:b w:val="0"/>
          <w:bCs w:val="0"/>
        </w:rPr>
        <w:t>Fig. S</w:t>
      </w:r>
      <w:r w:rsidR="00825B0F">
        <w:rPr>
          <w:b w:val="0"/>
          <w:bCs w:val="0"/>
        </w:rPr>
        <w:t>5</w:t>
      </w:r>
      <w:r w:rsidRPr="00681223">
        <w:rPr>
          <w:b w:val="0"/>
          <w:bCs w:val="0"/>
        </w:rPr>
        <w:t>). However, the scenario-based trajectories described in this work indicate that anthropogenic Hg</w:t>
      </w:r>
      <w:r w:rsidRPr="00681223">
        <w:rPr>
          <w:b w:val="0"/>
          <w:bCs w:val="0"/>
          <w:vertAlign w:val="superscript"/>
        </w:rPr>
        <w:t>II</w:t>
      </w:r>
      <w:r w:rsidRPr="00681223">
        <w:rPr>
          <w:b w:val="0"/>
          <w:bCs w:val="0"/>
        </w:rPr>
        <w:t xml:space="preserve"> emissions to air will decline more slowly than Hg</w:t>
      </w:r>
      <w:r w:rsidRPr="00681223">
        <w:rPr>
          <w:b w:val="0"/>
          <w:bCs w:val="0"/>
          <w:vertAlign w:val="superscript"/>
        </w:rPr>
        <w:t>0</w:t>
      </w:r>
      <w:r w:rsidRPr="00681223">
        <w:rPr>
          <w:b w:val="0"/>
          <w:bCs w:val="0"/>
        </w:rPr>
        <w:t>, causing Hg</w:t>
      </w:r>
      <w:r w:rsidRPr="00681223">
        <w:rPr>
          <w:b w:val="0"/>
          <w:bCs w:val="0"/>
          <w:vertAlign w:val="superscript"/>
        </w:rPr>
        <w:t>II</w:t>
      </w:r>
      <w:r w:rsidRPr="00681223">
        <w:rPr>
          <w:b w:val="0"/>
          <w:bCs w:val="0"/>
        </w:rPr>
        <w:t xml:space="preserve"> to grow as a fraction of total anthropogenic Hg emissions to air. As the speciation of anthropogenic Hg emissions shifts towards lower fractions of Hg</w:t>
      </w:r>
      <w:r w:rsidRPr="00681223">
        <w:rPr>
          <w:b w:val="0"/>
          <w:bCs w:val="0"/>
          <w:vertAlign w:val="superscript"/>
        </w:rPr>
        <w:t>0</w:t>
      </w:r>
      <w:r w:rsidRPr="00681223">
        <w:rPr>
          <w:b w:val="0"/>
          <w:bCs w:val="0"/>
        </w:rPr>
        <w:t>, a greater proportion of regional emissions will redeposit to the region of origin. Across all regions, the fraction of self-sourced atmospheric Hg deposition is projected to increase from 33% in 2010 to 35% – 45% in 2100 (Fig. S1).</w:t>
      </w:r>
    </w:p>
    <w:p w14:paraId="04B3AE70" w14:textId="0F5FCBEF" w:rsidR="00B120F3" w:rsidRPr="00DE2E2A" w:rsidRDefault="00681223" w:rsidP="00A31C25">
      <w:pPr>
        <w:pStyle w:val="Heading-Main"/>
        <w:rPr>
          <w:b w:val="0"/>
          <w:bCs w:val="0"/>
          <w:color w:val="FF0000"/>
        </w:rPr>
      </w:pPr>
      <w:r w:rsidRPr="00681223">
        <w:rPr>
          <w:b w:val="0"/>
          <w:bCs w:val="0"/>
        </w:rPr>
        <w:t xml:space="preserve">Regional atmospheric Hg deposition patterns over the next century reflect </w:t>
      </w:r>
      <w:r w:rsidR="00C65B06">
        <w:rPr>
          <w:b w:val="0"/>
          <w:bCs w:val="0"/>
        </w:rPr>
        <w:t xml:space="preserve">trends in the magnitude and spatial distribution of primary anthropogenic emissions as well as </w:t>
      </w:r>
      <w:r w:rsidR="00B921F9">
        <w:rPr>
          <w:b w:val="0"/>
          <w:bCs w:val="0"/>
        </w:rPr>
        <w:t>re-emissions</w:t>
      </w:r>
      <w:r w:rsidR="00C65B06">
        <w:rPr>
          <w:b w:val="0"/>
          <w:bCs w:val="0"/>
        </w:rPr>
        <w:t xml:space="preserve"> from the land and ocean. </w:t>
      </w:r>
      <w:r w:rsidRPr="00681223">
        <w:rPr>
          <w:b w:val="0"/>
          <w:bCs w:val="0"/>
        </w:rPr>
        <w:t xml:space="preserve">In regions where </w:t>
      </w:r>
      <w:r w:rsidR="00C65B06">
        <w:rPr>
          <w:b w:val="0"/>
          <w:bCs w:val="0"/>
        </w:rPr>
        <w:t xml:space="preserve">anthropogenic </w:t>
      </w:r>
      <w:r w:rsidRPr="00681223">
        <w:rPr>
          <w:b w:val="0"/>
          <w:bCs w:val="0"/>
        </w:rPr>
        <w:t xml:space="preserve">Hg emissions reductions are projected to occur, total Hg deposition is expected to decrease, even during periods where global deposition is increasing. This means that domestic policies have significant leverage on domestic Hg deposition </w:t>
      </w:r>
      <w:r w:rsidRPr="00681223">
        <w:rPr>
          <w:b w:val="0"/>
          <w:bCs w:val="0"/>
        </w:rPr>
        <w:fldChar w:fldCharType="begin"/>
      </w:r>
      <w:r w:rsidRPr="00681223">
        <w:rPr>
          <w:b w:val="0"/>
          <w:bCs w:val="0"/>
        </w:rPr>
        <w:instrText xml:space="preserve"> ADDIN ZOTERO_ITEM CSL_CITATION {"citationID":"VrNOfvQX","properties":{"formattedCitation":"(Dai et al., 2023)","plainCitation":"(Dai et al., 2023)","dontUpdate":true,"noteIndex":0},"citationItems":[{"id":1516,"uris":["http://zotero.org/users/11937628/items/4BIBWSHG"],"itemData":{"id":1516,"type":"article-journal","container-title":"Environmental Science &amp; Technology Letters","DOI":"10.1021/acs.estlett.3c00216","issue":"7","journalAbbreviation":"Environ. Sci. Technol. Lett.","note":"publisher: American Chemical Society","page":"589-595","title":"Sociodemographic Disparities in Mercury Exposure from United States Coal-Fired Power Plants","volume":"10","author":[{"family":"Dai","given":"Mona Q."},{"family":"Geyman","given":"Benjamin M."},{"family":"Hu","given":"Xindi C."},{"family":"Thackray","given":"Colin P."},{"family":"Sunderland","given":"Elsie M."}],"issued":{"date-parts":[["2023",7,11]]}}}],"schema":"https://github.com/citation-style-language/schema/raw/master/csl-citation.json"} </w:instrText>
      </w:r>
      <w:r w:rsidRPr="00681223">
        <w:rPr>
          <w:b w:val="0"/>
          <w:bCs w:val="0"/>
        </w:rPr>
        <w:fldChar w:fldCharType="separate"/>
      </w:r>
      <w:r w:rsidRPr="00681223">
        <w:rPr>
          <w:b w:val="0"/>
          <w:bCs w:val="0"/>
        </w:rPr>
        <w:t>(e.g., Dai et al., 2023)</w:t>
      </w:r>
      <w:r w:rsidRPr="00681223">
        <w:rPr>
          <w:b w:val="0"/>
          <w:bCs w:val="0"/>
        </w:rPr>
        <w:fldChar w:fldCharType="end"/>
      </w:r>
      <w:r w:rsidRPr="00681223">
        <w:rPr>
          <w:b w:val="0"/>
          <w:bCs w:val="0"/>
        </w:rPr>
        <w:t>.</w:t>
      </w:r>
      <w:r w:rsidR="00C65B06">
        <w:rPr>
          <w:b w:val="0"/>
          <w:bCs w:val="0"/>
        </w:rPr>
        <w:t xml:space="preserve"> However, </w:t>
      </w:r>
      <w:r w:rsidR="00AF7AA7">
        <w:rPr>
          <w:b w:val="0"/>
          <w:bCs w:val="0"/>
        </w:rPr>
        <w:t xml:space="preserve">greater reductions in anthropogenic emissions are accompanied by larger declines in emissions from the land and ocean. </w:t>
      </w:r>
      <w:r w:rsidR="0093027D">
        <w:rPr>
          <w:b w:val="0"/>
          <w:bCs w:val="0"/>
        </w:rPr>
        <w:t xml:space="preserve">Under SSP1-2.6, 28% of the reduction in atmospheric deposition from 2010 to 2100 was the result of declines in legacy emissions. </w:t>
      </w:r>
      <w:r w:rsidR="00AF7AA7">
        <w:rPr>
          <w:b w:val="0"/>
          <w:bCs w:val="0"/>
        </w:rPr>
        <w:t xml:space="preserve">As a result, globally-coordinated efforts to reduce </w:t>
      </w:r>
      <w:r w:rsidR="0093027D">
        <w:rPr>
          <w:b w:val="0"/>
          <w:bCs w:val="0"/>
        </w:rPr>
        <w:t xml:space="preserve">near-term </w:t>
      </w:r>
      <w:r w:rsidR="00AF7AA7">
        <w:rPr>
          <w:b w:val="0"/>
          <w:bCs w:val="0"/>
        </w:rPr>
        <w:t xml:space="preserve">anthropogenic Hg emissions will produce </w:t>
      </w:r>
      <w:r w:rsidR="0093027D">
        <w:rPr>
          <w:b w:val="0"/>
          <w:bCs w:val="0"/>
        </w:rPr>
        <w:t xml:space="preserve">amplified benefits in terms of long-term declines in atmospheric deposition </w:t>
      </w:r>
      <w:r w:rsidR="0093027D">
        <w:rPr>
          <w:b w:val="0"/>
          <w:bCs w:val="0"/>
        </w:rPr>
        <w:fldChar w:fldCharType="begin"/>
      </w:r>
      <w:r w:rsidR="0093027D">
        <w:rPr>
          <w:b w:val="0"/>
          <w:bCs w:val="0"/>
        </w:rPr>
        <w:instrText xml:space="preserve"> ADDIN ZOTERO_ITEM CSL_CITATION {"citationID":"MiDmav1g","properties":{"formattedCitation":"(Angot et al., 2018)","plainCitation":"(Angot et al., 2018)","noteIndex":0},"citationItems":[{"id":510,"uris":["http://zotero.org/users/local/VbtpDxdA/items/E59SCICZ","http://zotero.org/users/11937628/items/E59SCICZ"],"itemData":{"id":510,"type":"article-journal","abstract":"Mercury (Hg) is emitted to air by natural and anthropogenic sources, transports and deposits globally, and bioaccumulates to toxic levels in food webs. It is addressed under the global 2017 Minamata Convention, for which periodic effectiveness evaluation is required. Previous analyses have estimated the impact of different regulatory strategies for future mercury deposition. However, analyses using atmospheric models traditionally hold legacy emissions (recycling of previously deposited Hg) constant, and do not account for their possible future growth. Here, using an integrated modeling approach, we investigate how delays in implementing emissions reductions and the associated growing legacy reservoir affect deposition fluxes to ecosystems in different global regions. Assuming nearly constant yearly emissions relative to 2010, each 5-year delay in peak emissions defers by additional extra ca. 4 years the return to year 2010 global deposition. On a global average, each 5-year delay leads to a 14% decrease in policy impacts on local-scale Hg deposition. We also investigate the response of fish contamination in remote lakes to delayed action. We quantify the consequences of delay for limiting the Hg burden of future generations and show that traditional analyses of policy impacts provide best-case estimates.","container-title":"Environmental Science and Technology","DOI":"10.1021/acs.est.8b04542","ISSN":"15205851","issue":"22","note":"PMID: 30376303\nCitation Key: Angot2018","page":"12968-12977","title":"Global and Local Impacts of Delayed Mercury Mitigation Efforts","volume":"52","author":[{"family":"Angot","given":"Hélène"},{"family":"Hoffman","given":"Nicholas"},{"family":"Giang","given":"Amanda"},{"family":"Thackray","given":"Colin P"},{"family":"Hendricks","given":"Ashley N"},{"family":"Urban","given":"Noel R"},{"family":"Selin","given":"Noelle E"}],"issued":{"date-parts":[["2018"]]}}}],"schema":"https://github.com/citation-style-language/schema/raw/master/csl-citation.json"} </w:instrText>
      </w:r>
      <w:r w:rsidR="0093027D">
        <w:rPr>
          <w:b w:val="0"/>
          <w:bCs w:val="0"/>
        </w:rPr>
        <w:fldChar w:fldCharType="separate"/>
      </w:r>
      <w:r w:rsidR="0093027D">
        <w:rPr>
          <w:b w:val="0"/>
          <w:bCs w:val="0"/>
          <w:noProof/>
        </w:rPr>
        <w:t>(e.g., Angot et al., 2018)</w:t>
      </w:r>
      <w:r w:rsidR="0093027D">
        <w:rPr>
          <w:b w:val="0"/>
          <w:bCs w:val="0"/>
        </w:rPr>
        <w:fldChar w:fldCharType="end"/>
      </w:r>
      <w:r w:rsidR="0093027D">
        <w:rPr>
          <w:b w:val="0"/>
          <w:bCs w:val="0"/>
        </w:rPr>
        <w:t>.</w:t>
      </w:r>
    </w:p>
    <w:p w14:paraId="3BB30AAB" w14:textId="77777777" w:rsidR="00995CAA" w:rsidRPr="00995CAA" w:rsidRDefault="00995CAA" w:rsidP="00995CAA">
      <w:pPr>
        <w:shd w:val="clear" w:color="auto" w:fill="FFFFFF"/>
        <w:spacing w:before="240" w:line="480" w:lineRule="auto"/>
        <w:rPr>
          <w:rFonts w:eastAsia="Times New Roman"/>
          <w:sz w:val="24"/>
          <w:szCs w:val="24"/>
        </w:rPr>
      </w:pPr>
      <w:r w:rsidRPr="00995CAA">
        <w:rPr>
          <w:rFonts w:eastAsia="Times New Roman"/>
          <w:b/>
          <w:bCs/>
          <w:color w:val="262626"/>
          <w:sz w:val="24"/>
          <w:szCs w:val="24"/>
        </w:rPr>
        <w:t>Acknowledgments</w:t>
      </w:r>
    </w:p>
    <w:p w14:paraId="6119FAA2" w14:textId="2E56ED03" w:rsidR="00995CAA" w:rsidRPr="00744B30" w:rsidRDefault="00FC1F5E" w:rsidP="00744B30">
      <w:pPr>
        <w:shd w:val="clear" w:color="auto" w:fill="FFFFFF"/>
        <w:spacing w:after="240" w:line="276" w:lineRule="auto"/>
        <w:rPr>
          <w:rFonts w:eastAsia="Times New Roman"/>
          <w:color w:val="262626"/>
          <w:sz w:val="24"/>
          <w:szCs w:val="24"/>
        </w:rPr>
      </w:pPr>
      <w:r w:rsidRPr="00A31C25">
        <w:rPr>
          <w:rFonts w:eastAsia="Times New Roman"/>
          <w:color w:val="262626"/>
          <w:sz w:val="24"/>
          <w:szCs w:val="24"/>
        </w:rPr>
        <w:t xml:space="preserve">Financial support for this work was provided by the U.S. National Science Foundation (award numbers 2210173 and 2108452). The authors declare no competing financial interest. </w:t>
      </w:r>
      <w:r w:rsidR="00A31C25" w:rsidRPr="00A31C25">
        <w:rPr>
          <w:rFonts w:eastAsia="Times New Roman"/>
          <w:color w:val="262626"/>
          <w:sz w:val="24"/>
          <w:szCs w:val="24"/>
        </w:rPr>
        <w:t xml:space="preserve">We thank Zig </w:t>
      </w:r>
      <w:proofErr w:type="spellStart"/>
      <w:r w:rsidR="00A31C25" w:rsidRPr="00A31C25">
        <w:rPr>
          <w:rFonts w:eastAsia="Times New Roman"/>
          <w:color w:val="262626"/>
          <w:sz w:val="24"/>
          <w:szCs w:val="24"/>
        </w:rPr>
        <w:t>Klimont</w:t>
      </w:r>
      <w:proofErr w:type="spellEnd"/>
      <w:r w:rsidR="00A31C25" w:rsidRPr="00A31C25">
        <w:rPr>
          <w:rFonts w:eastAsia="Times New Roman"/>
          <w:color w:val="262626"/>
          <w:sz w:val="24"/>
          <w:szCs w:val="24"/>
        </w:rPr>
        <w:t xml:space="preserve"> of IIASA for providing the detailed activity and emissions datasets for the SSPs used in this work. </w:t>
      </w:r>
    </w:p>
    <w:p w14:paraId="3CB0FA2F" w14:textId="77777777" w:rsidR="00995CAA" w:rsidRPr="00B921F9" w:rsidRDefault="00995CAA" w:rsidP="00995CAA">
      <w:pPr>
        <w:shd w:val="clear" w:color="auto" w:fill="FFFFFF"/>
        <w:spacing w:line="480" w:lineRule="auto"/>
        <w:rPr>
          <w:rFonts w:eastAsia="Times New Roman"/>
          <w:sz w:val="24"/>
          <w:szCs w:val="24"/>
        </w:rPr>
      </w:pPr>
      <w:r w:rsidRPr="00B921F9">
        <w:rPr>
          <w:rFonts w:eastAsia="Times New Roman"/>
          <w:b/>
          <w:bCs/>
          <w:color w:val="262626"/>
          <w:sz w:val="24"/>
          <w:szCs w:val="24"/>
        </w:rPr>
        <w:t>Open Research</w:t>
      </w:r>
    </w:p>
    <w:p w14:paraId="3A8023EA" w14:textId="4AD42B8C" w:rsidR="0093027D" w:rsidRPr="00B921F9" w:rsidRDefault="00A31C25" w:rsidP="00A31C25">
      <w:pPr>
        <w:shd w:val="clear" w:color="auto" w:fill="FFFFFF"/>
        <w:spacing w:line="276" w:lineRule="auto"/>
        <w:rPr>
          <w:rFonts w:eastAsia="Times New Roman"/>
          <w:color w:val="262626"/>
          <w:sz w:val="24"/>
          <w:szCs w:val="24"/>
        </w:rPr>
      </w:pPr>
      <w:r w:rsidRPr="00B921F9">
        <w:rPr>
          <w:rFonts w:eastAsia="Times New Roman"/>
          <w:color w:val="262626"/>
          <w:sz w:val="24"/>
          <w:szCs w:val="24"/>
        </w:rPr>
        <w:t>Mercury emission files</w:t>
      </w:r>
      <w:r w:rsidR="00B921F9">
        <w:rPr>
          <w:rFonts w:eastAsia="Times New Roman"/>
          <w:color w:val="262626"/>
          <w:sz w:val="24"/>
          <w:szCs w:val="24"/>
        </w:rPr>
        <w:t xml:space="preserve">, code and </w:t>
      </w:r>
      <w:r w:rsidRPr="00B921F9">
        <w:rPr>
          <w:rFonts w:eastAsia="Times New Roman"/>
          <w:color w:val="262626"/>
          <w:sz w:val="24"/>
          <w:szCs w:val="24"/>
        </w:rPr>
        <w:t xml:space="preserve">model output </w:t>
      </w:r>
      <w:r w:rsidR="008B7FF1">
        <w:rPr>
          <w:rFonts w:eastAsia="Times New Roman"/>
          <w:color w:val="262626"/>
          <w:sz w:val="24"/>
          <w:szCs w:val="24"/>
        </w:rPr>
        <w:t>are available in an OSF repository (</w:t>
      </w:r>
      <w:r w:rsidR="00620952">
        <w:rPr>
          <w:rFonts w:eastAsia="Times New Roman"/>
          <w:color w:val="262626"/>
          <w:sz w:val="24"/>
          <w:szCs w:val="24"/>
        </w:rPr>
        <w:t>peer review link</w:t>
      </w:r>
      <w:r w:rsidR="00755A0B">
        <w:rPr>
          <w:rFonts w:eastAsia="Times New Roman"/>
          <w:color w:val="262626"/>
          <w:sz w:val="24"/>
          <w:szCs w:val="24"/>
        </w:rPr>
        <w:t xml:space="preserve"> provided with submission</w:t>
      </w:r>
      <w:r w:rsidR="00620952">
        <w:rPr>
          <w:rFonts w:eastAsia="Times New Roman"/>
          <w:color w:val="262626"/>
          <w:sz w:val="24"/>
          <w:szCs w:val="24"/>
        </w:rPr>
        <w:t>).</w:t>
      </w:r>
      <w:r w:rsidR="008B7FF1">
        <w:rPr>
          <w:rFonts w:eastAsia="Times New Roman"/>
          <w:color w:val="262626"/>
          <w:sz w:val="24"/>
          <w:szCs w:val="24"/>
        </w:rPr>
        <w:t xml:space="preserve"> </w:t>
      </w:r>
      <w:r w:rsidRPr="00B921F9">
        <w:rPr>
          <w:rFonts w:eastAsia="Times New Roman"/>
          <w:color w:val="262626"/>
          <w:sz w:val="24"/>
          <w:szCs w:val="24"/>
        </w:rPr>
        <w:t>The version of GEOS-Chem used in this study is available from (</w:t>
      </w:r>
      <w:hyperlink r:id="rId18" w:history="1">
        <w:r w:rsidRPr="00B921F9">
          <w:rPr>
            <w:rStyle w:val="Hyperlink"/>
            <w:rFonts w:eastAsia="Times New Roman"/>
            <w:sz w:val="24"/>
            <w:szCs w:val="24"/>
          </w:rPr>
          <w:t>https://doi.org/10.5281/zenodo.3784796</w:t>
        </w:r>
      </w:hyperlink>
      <w:r w:rsidRPr="00B921F9">
        <w:rPr>
          <w:rFonts w:eastAsia="Times New Roman"/>
          <w:color w:val="262626"/>
          <w:sz w:val="24"/>
          <w:szCs w:val="24"/>
        </w:rPr>
        <w:t>).</w:t>
      </w:r>
      <w:r w:rsidR="00995CAA" w:rsidRPr="00B921F9">
        <w:rPr>
          <w:rFonts w:eastAsia="Times New Roman"/>
          <w:sz w:val="24"/>
          <w:szCs w:val="24"/>
        </w:rPr>
        <w:t> </w:t>
      </w:r>
    </w:p>
    <w:p w14:paraId="4FE25D96" w14:textId="77777777" w:rsidR="0093027D" w:rsidRDefault="0093027D">
      <w:pPr>
        <w:rPr>
          <w:rFonts w:eastAsia="Times New Roman"/>
          <w:sz w:val="24"/>
          <w:szCs w:val="24"/>
        </w:rPr>
      </w:pPr>
      <w:r>
        <w:rPr>
          <w:rFonts w:eastAsia="Times New Roman"/>
          <w:sz w:val="24"/>
          <w:szCs w:val="24"/>
        </w:rPr>
        <w:br w:type="page"/>
      </w:r>
    </w:p>
    <w:p w14:paraId="3BE6A8F9" w14:textId="77777777" w:rsidR="00995CAA" w:rsidRPr="00995CAA" w:rsidRDefault="00995CAA" w:rsidP="00995CAA">
      <w:pPr>
        <w:shd w:val="clear" w:color="auto" w:fill="FFFFFF"/>
        <w:spacing w:line="480" w:lineRule="auto"/>
        <w:rPr>
          <w:rFonts w:eastAsia="Times New Roman"/>
          <w:sz w:val="24"/>
          <w:szCs w:val="24"/>
        </w:rPr>
      </w:pPr>
      <w:r w:rsidRPr="00995CAA">
        <w:rPr>
          <w:rFonts w:eastAsia="Times New Roman"/>
          <w:b/>
          <w:bCs/>
          <w:color w:val="262626"/>
          <w:sz w:val="24"/>
          <w:szCs w:val="24"/>
        </w:rPr>
        <w:lastRenderedPageBreak/>
        <w:t>References</w:t>
      </w:r>
    </w:p>
    <w:p w14:paraId="273A01CE" w14:textId="77777777" w:rsidR="005E28D3" w:rsidRPr="005E28D3" w:rsidRDefault="00A31C25" w:rsidP="0042251B">
      <w:pPr>
        <w:pStyle w:val="Bibliography"/>
        <w:spacing w:line="276" w:lineRule="auto"/>
      </w:pPr>
      <w:r>
        <w:fldChar w:fldCharType="begin"/>
      </w:r>
      <w:r>
        <w:instrText xml:space="preserve"> ADDIN ZOTERO_BIBL {"uncited":[],"omitted":[],"custom":[]} CSL_BIBLIOGRAPHY </w:instrText>
      </w:r>
      <w:r>
        <w:fldChar w:fldCharType="separate"/>
      </w:r>
      <w:r w:rsidR="005E28D3" w:rsidRPr="005E28D3">
        <w:t xml:space="preserve">Alexander, B., &amp; Mickley, L. J. (2015). Paleo-Perspectives on Potential Future Changes in the Oxidative Capacity of the Atmosphere Due to Climate Change and Anthropogenic Emissions. </w:t>
      </w:r>
      <w:r w:rsidR="005E28D3" w:rsidRPr="005E28D3">
        <w:rPr>
          <w:i/>
          <w:iCs/>
        </w:rPr>
        <w:t>Current Pollution Reports</w:t>
      </w:r>
      <w:r w:rsidR="005E28D3" w:rsidRPr="005E28D3">
        <w:t xml:space="preserve">, </w:t>
      </w:r>
      <w:r w:rsidR="005E28D3" w:rsidRPr="005E28D3">
        <w:rPr>
          <w:i/>
          <w:iCs/>
        </w:rPr>
        <w:t>1</w:t>
      </w:r>
      <w:r w:rsidR="005E28D3" w:rsidRPr="005E28D3">
        <w:t>(2), 57–69. https://doi.org/10.1007/s40726-015-0006-0</w:t>
      </w:r>
    </w:p>
    <w:p w14:paraId="7763F3F5" w14:textId="77777777" w:rsidR="005E28D3" w:rsidRPr="005E28D3" w:rsidRDefault="005E28D3" w:rsidP="0042251B">
      <w:pPr>
        <w:pStyle w:val="Bibliography"/>
        <w:spacing w:line="276" w:lineRule="auto"/>
      </w:pPr>
      <w:r w:rsidRPr="005E28D3">
        <w:t xml:space="preserve">Amos, H. M., Jacob, D. J., Streets, D. G., &amp; Sunderland, E. M. (2013). Legacy impacts of all-time anthropogenic emissions on the global mercury cycle. </w:t>
      </w:r>
      <w:r w:rsidRPr="005E28D3">
        <w:rPr>
          <w:i/>
          <w:iCs/>
        </w:rPr>
        <w:t>Global Biogeochemical Cycles</w:t>
      </w:r>
      <w:r w:rsidRPr="005E28D3">
        <w:t xml:space="preserve">, </w:t>
      </w:r>
      <w:r w:rsidRPr="005E28D3">
        <w:rPr>
          <w:i/>
          <w:iCs/>
        </w:rPr>
        <w:t>27</w:t>
      </w:r>
      <w:r w:rsidRPr="005E28D3">
        <w:t>(2), 410–421. https://doi.org/10.1002/gbc.20040</w:t>
      </w:r>
    </w:p>
    <w:p w14:paraId="5092E538" w14:textId="77777777" w:rsidR="005E28D3" w:rsidRPr="005E28D3" w:rsidRDefault="005E28D3" w:rsidP="0042251B">
      <w:pPr>
        <w:pStyle w:val="Bibliography"/>
        <w:spacing w:line="276" w:lineRule="auto"/>
      </w:pPr>
      <w:r w:rsidRPr="005E28D3">
        <w:t xml:space="preserve">Amos, H. M., Jacob, D. J., Kocman, D., Horowitz, H. M., Zhang, Y., Dutkiewicz, S., et al. (2014). Global Biogeochemical Implications of Mercury Discharges from Rivers and Sediment Burial. </w:t>
      </w:r>
      <w:r w:rsidRPr="005E28D3">
        <w:rPr>
          <w:i/>
          <w:iCs/>
        </w:rPr>
        <w:t>Environmental Science &amp; Technology</w:t>
      </w:r>
      <w:r w:rsidRPr="005E28D3">
        <w:t xml:space="preserve">, </w:t>
      </w:r>
      <w:r w:rsidRPr="005E28D3">
        <w:rPr>
          <w:i/>
          <w:iCs/>
        </w:rPr>
        <w:t>48</w:t>
      </w:r>
      <w:r w:rsidRPr="005E28D3">
        <w:t>(16), 9514–9522. https://doi.org/10.1021/es502134t</w:t>
      </w:r>
    </w:p>
    <w:p w14:paraId="2E706418" w14:textId="77777777" w:rsidR="005E28D3" w:rsidRPr="005E28D3" w:rsidRDefault="005E28D3" w:rsidP="0042251B">
      <w:pPr>
        <w:pStyle w:val="Bibliography"/>
        <w:spacing w:line="276" w:lineRule="auto"/>
      </w:pPr>
      <w:r w:rsidRPr="005E28D3">
        <w:t xml:space="preserve">Angot, H., Hoffman, N., Giang, A., Thackray, C. P., Hendricks, A. N., Urban, N. R., &amp; Selin, N. E. (2018). Global and Local Impacts of Delayed Mercury Mitigation Efforts. </w:t>
      </w:r>
      <w:r w:rsidRPr="005E28D3">
        <w:rPr>
          <w:i/>
          <w:iCs/>
        </w:rPr>
        <w:t>Environmental Science and Technology</w:t>
      </w:r>
      <w:r w:rsidRPr="005E28D3">
        <w:t xml:space="preserve">, </w:t>
      </w:r>
      <w:r w:rsidRPr="005E28D3">
        <w:rPr>
          <w:i/>
          <w:iCs/>
        </w:rPr>
        <w:t>52</w:t>
      </w:r>
      <w:r w:rsidRPr="005E28D3">
        <w:t>(22), 12968–12977. https://doi.org/10.1021/acs.est.8b04542</w:t>
      </w:r>
    </w:p>
    <w:p w14:paraId="28BCC2E3" w14:textId="77777777" w:rsidR="005E28D3" w:rsidRPr="005E28D3" w:rsidRDefault="005E28D3" w:rsidP="0042251B">
      <w:pPr>
        <w:pStyle w:val="Bibliography"/>
        <w:spacing w:line="276" w:lineRule="auto"/>
      </w:pPr>
      <w:r w:rsidRPr="005E28D3">
        <w:t xml:space="preserve">Basu, N., Bastiansz, A., Dórea, J. G., Fujimura, M., Horvat, M., Shroff, E., et al. (2023). Our evolved understanding of the human health risks of mercury. </w:t>
      </w:r>
      <w:r w:rsidRPr="005E28D3">
        <w:rPr>
          <w:i/>
          <w:iCs/>
        </w:rPr>
        <w:t>Ambio</w:t>
      </w:r>
      <w:r w:rsidRPr="005E28D3">
        <w:t xml:space="preserve">, </w:t>
      </w:r>
      <w:r w:rsidRPr="005E28D3">
        <w:rPr>
          <w:i/>
          <w:iCs/>
        </w:rPr>
        <w:t>52</w:t>
      </w:r>
      <w:r w:rsidRPr="005E28D3">
        <w:t>(5), 877–896. https://doi.org/10.1007/s13280-023-01831-6</w:t>
      </w:r>
    </w:p>
    <w:p w14:paraId="6C8D53F5" w14:textId="77777777" w:rsidR="005E28D3" w:rsidRPr="005E28D3" w:rsidRDefault="005E28D3" w:rsidP="0042251B">
      <w:pPr>
        <w:pStyle w:val="Bibliography"/>
        <w:spacing w:line="276" w:lineRule="auto"/>
      </w:pPr>
      <w:r w:rsidRPr="005E28D3">
        <w:t xml:space="preserve">Corbitt, E. S., Jacob, D. J., Holmes, C. D., Streets, D. G., &amp; Sunderland, E. M. (2011). Global source-receptor relationships for mercury deposition under present-day and 2050 emissions scenarios. </w:t>
      </w:r>
      <w:r w:rsidRPr="005E28D3">
        <w:rPr>
          <w:i/>
          <w:iCs/>
        </w:rPr>
        <w:t>Environmental Science and Technology</w:t>
      </w:r>
      <w:r w:rsidRPr="005E28D3">
        <w:t xml:space="preserve">, </w:t>
      </w:r>
      <w:r w:rsidRPr="005E28D3">
        <w:rPr>
          <w:i/>
          <w:iCs/>
        </w:rPr>
        <w:t>45</w:t>
      </w:r>
      <w:r w:rsidRPr="005E28D3">
        <w:t>(24), 10477–10484. https://doi.org/10.1021/es202496y</w:t>
      </w:r>
    </w:p>
    <w:p w14:paraId="04DAC183" w14:textId="77777777" w:rsidR="005E28D3" w:rsidRPr="005E28D3" w:rsidRDefault="005E28D3" w:rsidP="0042251B">
      <w:pPr>
        <w:pStyle w:val="Bibliography"/>
        <w:spacing w:line="276" w:lineRule="auto"/>
      </w:pPr>
      <w:r w:rsidRPr="005E28D3">
        <w:t xml:space="preserve">Dai, M. Q., Geyman, B. M., Hu, X. C., Thackray, C. P., &amp; Sunderland, E. M. (2023). Sociodemographic Disparities in Mercury Exposure from United States Coal-Fired Power Plants. </w:t>
      </w:r>
      <w:r w:rsidRPr="005E28D3">
        <w:rPr>
          <w:i/>
          <w:iCs/>
        </w:rPr>
        <w:t>Environmental Science &amp; Technology Letters</w:t>
      </w:r>
      <w:r w:rsidRPr="005E28D3">
        <w:t xml:space="preserve">, </w:t>
      </w:r>
      <w:r w:rsidRPr="005E28D3">
        <w:rPr>
          <w:i/>
          <w:iCs/>
        </w:rPr>
        <w:t>10</w:t>
      </w:r>
      <w:r w:rsidRPr="005E28D3">
        <w:t>(7), 589–595. https://doi.org/10.1021/acs.estlett.3c00216</w:t>
      </w:r>
    </w:p>
    <w:p w14:paraId="573E7A75" w14:textId="77777777" w:rsidR="005E28D3" w:rsidRPr="005E28D3" w:rsidRDefault="005E28D3" w:rsidP="0042251B">
      <w:pPr>
        <w:pStyle w:val="Bibliography"/>
        <w:spacing w:line="276" w:lineRule="auto"/>
      </w:pPr>
      <w:r w:rsidRPr="005E28D3">
        <w:t xml:space="preserve">Dellink, R., Chateau, J., Lanzi, E., &amp; Magné, B. (2017). Long-term economic growth projections in the Shared Socioeconomic Pathways. </w:t>
      </w:r>
      <w:r w:rsidRPr="005E28D3">
        <w:rPr>
          <w:i/>
          <w:iCs/>
        </w:rPr>
        <w:t>Global Environmental Change</w:t>
      </w:r>
      <w:r w:rsidRPr="005E28D3">
        <w:t xml:space="preserve">, </w:t>
      </w:r>
      <w:r w:rsidRPr="005E28D3">
        <w:rPr>
          <w:i/>
          <w:iCs/>
        </w:rPr>
        <w:t>42</w:t>
      </w:r>
      <w:r w:rsidRPr="005E28D3">
        <w:t>, 200–214. https://doi.org/10.1016/j.gloenvcha.2015.06.004</w:t>
      </w:r>
    </w:p>
    <w:p w14:paraId="12ECB95E" w14:textId="77777777" w:rsidR="005E28D3" w:rsidRPr="005E28D3" w:rsidRDefault="005E28D3" w:rsidP="0042251B">
      <w:pPr>
        <w:pStyle w:val="Bibliography"/>
        <w:spacing w:line="276" w:lineRule="auto"/>
      </w:pPr>
      <w:r w:rsidRPr="005E28D3">
        <w:t xml:space="preserve">Fricko, O., Havlik, P., Rogelj, J., Klimont, Z., Gusti, M., Johnson, N., et al. (2017). The marker quantification of the Shared Socioeconomic Pathway 2: A middle-of-the-road scenario for the 21st century. </w:t>
      </w:r>
      <w:r w:rsidRPr="005E28D3">
        <w:rPr>
          <w:i/>
          <w:iCs/>
        </w:rPr>
        <w:t>Global Environmental Change</w:t>
      </w:r>
      <w:r w:rsidRPr="005E28D3">
        <w:t xml:space="preserve">, </w:t>
      </w:r>
      <w:r w:rsidRPr="005E28D3">
        <w:rPr>
          <w:i/>
          <w:iCs/>
        </w:rPr>
        <w:t>42</w:t>
      </w:r>
      <w:r w:rsidRPr="005E28D3">
        <w:t>, 251–267. https://doi.org/10.1016/j.gloenvcha.2016.06.004</w:t>
      </w:r>
    </w:p>
    <w:p w14:paraId="1E8FFCFA" w14:textId="77777777" w:rsidR="005E28D3" w:rsidRPr="005E28D3" w:rsidRDefault="005E28D3" w:rsidP="0042251B">
      <w:pPr>
        <w:pStyle w:val="Bibliography"/>
        <w:spacing w:line="276" w:lineRule="auto"/>
      </w:pPr>
      <w:r w:rsidRPr="005E28D3">
        <w:t xml:space="preserve">Gelaro, R., McCarty, W., Suárez, M. J., Todling, R., Molod, A., Takacs, L., et al. (2017). The modern-era retrospective analysis for research and applications, version 2 (MERRA-2). </w:t>
      </w:r>
      <w:r w:rsidRPr="005E28D3">
        <w:rPr>
          <w:i/>
          <w:iCs/>
        </w:rPr>
        <w:t>Journal of Climate</w:t>
      </w:r>
      <w:r w:rsidRPr="005E28D3">
        <w:t xml:space="preserve">, </w:t>
      </w:r>
      <w:r w:rsidRPr="005E28D3">
        <w:rPr>
          <w:i/>
          <w:iCs/>
        </w:rPr>
        <w:t>30</w:t>
      </w:r>
      <w:r w:rsidRPr="005E28D3">
        <w:t>(14), 5419–5454. https://doi.org/10.1175/JCLI-D-16-0758.1</w:t>
      </w:r>
    </w:p>
    <w:p w14:paraId="14E8D4A5" w14:textId="77777777" w:rsidR="005E28D3" w:rsidRDefault="005E28D3" w:rsidP="0042251B">
      <w:pPr>
        <w:pStyle w:val="Bibliography"/>
        <w:spacing w:line="276" w:lineRule="auto"/>
      </w:pPr>
      <w:r w:rsidRPr="005E28D3">
        <w:t xml:space="preserve">Geyman, B. M., Thackray, C. P., Jacob, D. J., &amp; Sunderland, E. M. (2023). Impacts of Volcanic Emissions on the Global Biogeochemical Mercury Cycle: Insights from Satellite Observations and Chemical Transport Modeling. </w:t>
      </w:r>
      <w:r w:rsidRPr="005E28D3">
        <w:rPr>
          <w:i/>
          <w:iCs/>
        </w:rPr>
        <w:t>Geophysical Research Letters</w:t>
      </w:r>
      <w:r w:rsidRPr="005E28D3">
        <w:t xml:space="preserve">, </w:t>
      </w:r>
      <w:r w:rsidRPr="005E28D3">
        <w:rPr>
          <w:i/>
          <w:iCs/>
        </w:rPr>
        <w:t>50</w:t>
      </w:r>
      <w:r w:rsidRPr="005E28D3">
        <w:t>, e2023GRL104667. https://doi.org/10.1029/2023GL104667</w:t>
      </w:r>
    </w:p>
    <w:p w14:paraId="63E0E364" w14:textId="77777777" w:rsidR="008B7FF1" w:rsidRPr="008B7FF1" w:rsidRDefault="008B7FF1" w:rsidP="008B7FF1"/>
    <w:p w14:paraId="43327EE8" w14:textId="77777777" w:rsidR="005E28D3" w:rsidRPr="005E28D3" w:rsidRDefault="005E28D3" w:rsidP="0042251B">
      <w:pPr>
        <w:pStyle w:val="Bibliography"/>
        <w:spacing w:line="276" w:lineRule="auto"/>
      </w:pPr>
      <w:r w:rsidRPr="005E28D3">
        <w:t xml:space="preserve">Gidden, M. J., Riahi, K., Smith, S. J., Fujimori, S., Luderer, G., Kriegler, E., et al. (2019). Global emissions pathways under different socioeconomic scenarios for use in CMIP6: a dataset of harmonized emissions trajectories through the end of the century. </w:t>
      </w:r>
      <w:r w:rsidRPr="005E28D3">
        <w:rPr>
          <w:i/>
          <w:iCs/>
        </w:rPr>
        <w:t>Geoscientific Model Development</w:t>
      </w:r>
      <w:r w:rsidRPr="005E28D3">
        <w:t xml:space="preserve">, </w:t>
      </w:r>
      <w:r w:rsidRPr="005E28D3">
        <w:rPr>
          <w:i/>
          <w:iCs/>
        </w:rPr>
        <w:t>12</w:t>
      </w:r>
      <w:r w:rsidRPr="005E28D3">
        <w:t>(4), 1443–1475. https://doi.org/10.5194/gmd-12-1443-2019</w:t>
      </w:r>
    </w:p>
    <w:p w14:paraId="033B5045" w14:textId="77777777" w:rsidR="005E28D3" w:rsidRPr="005E28D3" w:rsidRDefault="005E28D3" w:rsidP="0042251B">
      <w:pPr>
        <w:pStyle w:val="Bibliography"/>
        <w:spacing w:line="276" w:lineRule="auto"/>
      </w:pPr>
      <w:r w:rsidRPr="005E28D3">
        <w:t xml:space="preserve">Guerrero, S., &amp; Schneider, L. (2023). The global roots of pre-1900 legacy mercury. </w:t>
      </w:r>
      <w:r w:rsidRPr="005E28D3">
        <w:rPr>
          <w:i/>
          <w:iCs/>
        </w:rPr>
        <w:t>Proceedings of the National Academy of Sciences</w:t>
      </w:r>
      <w:r w:rsidRPr="005E28D3">
        <w:t xml:space="preserve">, </w:t>
      </w:r>
      <w:r w:rsidRPr="005E28D3">
        <w:rPr>
          <w:i/>
          <w:iCs/>
        </w:rPr>
        <w:t>120</w:t>
      </w:r>
      <w:r w:rsidRPr="005E28D3">
        <w:t>(31), e2304059120. https://doi.org/10.1073/pnas.2304059120</w:t>
      </w:r>
    </w:p>
    <w:p w14:paraId="15830D35" w14:textId="77777777" w:rsidR="005E28D3" w:rsidRPr="005E28D3" w:rsidRDefault="005E28D3" w:rsidP="0042251B">
      <w:pPr>
        <w:pStyle w:val="Bibliography"/>
        <w:spacing w:line="276" w:lineRule="auto"/>
      </w:pPr>
      <w:r w:rsidRPr="005E28D3">
        <w:t xml:space="preserve">Horowitz, H M, Jacob, D. J., Zhang, Y., Dibble, T. S., Slemr, F., Amos, H. M., et al. (2017). A new mechanism for atmospheric mercury redox chemistry: implications for the global mercury budget. </w:t>
      </w:r>
      <w:r w:rsidRPr="005E28D3">
        <w:rPr>
          <w:i/>
          <w:iCs/>
        </w:rPr>
        <w:t>Atmos. Chem. Phys.</w:t>
      </w:r>
      <w:r w:rsidRPr="005E28D3">
        <w:t xml:space="preserve">, </w:t>
      </w:r>
      <w:r w:rsidRPr="005E28D3">
        <w:rPr>
          <w:i/>
          <w:iCs/>
        </w:rPr>
        <w:t>17</w:t>
      </w:r>
      <w:r w:rsidRPr="005E28D3">
        <w:t>(10), 6353–6371. https://doi.org/10.5194/acp-17-6353-2017</w:t>
      </w:r>
    </w:p>
    <w:p w14:paraId="5F9E6F30" w14:textId="77777777" w:rsidR="005E28D3" w:rsidRPr="005E28D3" w:rsidRDefault="005E28D3" w:rsidP="0042251B">
      <w:pPr>
        <w:pStyle w:val="Bibliography"/>
        <w:spacing w:line="276" w:lineRule="auto"/>
      </w:pPr>
      <w:r w:rsidRPr="005E28D3">
        <w:t xml:space="preserve">Horowitz, Hannah M., Jacob, D. J., Amos, H. M., Streets, D. G., &amp; Sunderland, E. M. (2014). Historical Mercury Releases from Commercial Products: Global Environmental Implications. </w:t>
      </w:r>
      <w:r w:rsidRPr="005E28D3">
        <w:rPr>
          <w:i/>
          <w:iCs/>
        </w:rPr>
        <w:t>Environmental Science &amp; Technology</w:t>
      </w:r>
      <w:r w:rsidRPr="005E28D3">
        <w:t xml:space="preserve">, </w:t>
      </w:r>
      <w:r w:rsidRPr="005E28D3">
        <w:rPr>
          <w:i/>
          <w:iCs/>
        </w:rPr>
        <w:t>48</w:t>
      </w:r>
      <w:r w:rsidRPr="005E28D3">
        <w:t>(17), 10242–10250. https://doi.org/10.1021/es501337j</w:t>
      </w:r>
    </w:p>
    <w:p w14:paraId="5C1C7979" w14:textId="77777777" w:rsidR="005E28D3" w:rsidRPr="005E28D3" w:rsidRDefault="005E28D3" w:rsidP="0042251B">
      <w:pPr>
        <w:pStyle w:val="Bibliography"/>
        <w:spacing w:line="276" w:lineRule="auto"/>
      </w:pPr>
      <w:r w:rsidRPr="005E28D3">
        <w:t xml:space="preserve">Intergovernmental Panel on Climate Change (IPCC). (2023). Summary for Policymakers. In </w:t>
      </w:r>
      <w:r w:rsidRPr="005E28D3">
        <w:rPr>
          <w:i/>
          <w:iCs/>
        </w:rPr>
        <w:t xml:space="preserve">Climate Change 2021 – The Physical Science Basis: Working Group I Contribution to the Sixth Assessment Report of the </w:t>
      </w:r>
      <w:r w:rsidRPr="005E28D3">
        <w:rPr>
          <w:i/>
          <w:iCs/>
        </w:rPr>
        <w:lastRenderedPageBreak/>
        <w:t>Intergovernmental Panel on Climate Change</w:t>
      </w:r>
      <w:r w:rsidRPr="005E28D3">
        <w:t xml:space="preserve"> (pp. 3–32). Cambridge: Cambridge University Press. https://doi.org/10.1017/9781009157896.001</w:t>
      </w:r>
    </w:p>
    <w:p w14:paraId="4B6D0C85" w14:textId="77777777" w:rsidR="005E28D3" w:rsidRPr="005E28D3" w:rsidRDefault="005E28D3" w:rsidP="0042251B">
      <w:pPr>
        <w:pStyle w:val="Bibliography"/>
        <w:spacing w:line="276" w:lineRule="auto"/>
      </w:pPr>
      <w:r w:rsidRPr="005E28D3">
        <w:t xml:space="preserve">Jiang, L., &amp; O’Neill, B. C. (2017). Global urbanization projections for the Shared Socioeconomic Pathways. </w:t>
      </w:r>
      <w:r w:rsidRPr="005E28D3">
        <w:rPr>
          <w:i/>
          <w:iCs/>
        </w:rPr>
        <w:t>Global Environmental Change</w:t>
      </w:r>
      <w:r w:rsidRPr="005E28D3">
        <w:t xml:space="preserve">, </w:t>
      </w:r>
      <w:r w:rsidRPr="005E28D3">
        <w:rPr>
          <w:i/>
          <w:iCs/>
        </w:rPr>
        <w:t>42</w:t>
      </w:r>
      <w:r w:rsidRPr="005E28D3">
        <w:t>, 193–199. https://doi.org/10.1016/j.gloenvcha.2015.03.008</w:t>
      </w:r>
    </w:p>
    <w:p w14:paraId="318623EF" w14:textId="77777777" w:rsidR="005E28D3" w:rsidRPr="005E28D3" w:rsidRDefault="005E28D3" w:rsidP="0042251B">
      <w:pPr>
        <w:pStyle w:val="Bibliography"/>
        <w:spacing w:line="276" w:lineRule="auto"/>
      </w:pPr>
      <w:r w:rsidRPr="005E28D3">
        <w:t xml:space="preserve">Kc, S., &amp; Lutz, W. (2017). The human core of the shared socioeconomic pathways: Population scenarios by age, sex and level of education for all countries to 2100. </w:t>
      </w:r>
      <w:r w:rsidRPr="005E28D3">
        <w:rPr>
          <w:i/>
          <w:iCs/>
        </w:rPr>
        <w:t>Global Environmental Change</w:t>
      </w:r>
      <w:r w:rsidRPr="005E28D3">
        <w:t xml:space="preserve">, </w:t>
      </w:r>
      <w:r w:rsidRPr="005E28D3">
        <w:rPr>
          <w:i/>
          <w:iCs/>
        </w:rPr>
        <w:t>42</w:t>
      </w:r>
      <w:r w:rsidRPr="005E28D3">
        <w:t>, 181–192. https://doi.org/10.1016/j.gloenvcha.2014.06.004</w:t>
      </w:r>
    </w:p>
    <w:p w14:paraId="021D4498" w14:textId="77777777" w:rsidR="005E28D3" w:rsidRPr="005E28D3" w:rsidRDefault="005E28D3" w:rsidP="0042251B">
      <w:pPr>
        <w:pStyle w:val="Bibliography"/>
        <w:spacing w:line="276" w:lineRule="auto"/>
      </w:pPr>
      <w:r w:rsidRPr="005E28D3">
        <w:t xml:space="preserve">Kocman, D., Wilson, S., Amos, H., Telmer, K., Steenhuisen, F., Sunderland, E., et al. (2017). Toward an Assessment of the Global Inventory of Present-Day Mercury Releases to Freshwater Environments. </w:t>
      </w:r>
      <w:r w:rsidRPr="005E28D3">
        <w:rPr>
          <w:i/>
          <w:iCs/>
        </w:rPr>
        <w:t>International Journal of Environmental Research and Public Health</w:t>
      </w:r>
      <w:r w:rsidRPr="005E28D3">
        <w:t xml:space="preserve">, </w:t>
      </w:r>
      <w:r w:rsidRPr="005E28D3">
        <w:rPr>
          <w:i/>
          <w:iCs/>
        </w:rPr>
        <w:t>14</w:t>
      </w:r>
      <w:r w:rsidRPr="005E28D3">
        <w:t>(2), 138. https://doi.org/10.3390/ijerph14020138</w:t>
      </w:r>
    </w:p>
    <w:p w14:paraId="37DD3A9C" w14:textId="77777777" w:rsidR="005E28D3" w:rsidRPr="005E28D3" w:rsidRDefault="005E28D3" w:rsidP="0042251B">
      <w:pPr>
        <w:pStyle w:val="Bibliography"/>
        <w:spacing w:line="276" w:lineRule="auto"/>
      </w:pPr>
      <w:r w:rsidRPr="005E28D3">
        <w:t xml:space="preserve">Krabbenhoft, D. P., &amp; Sunderland, E. M. (2013). Global Change and Mercury. </w:t>
      </w:r>
      <w:r w:rsidRPr="005E28D3">
        <w:rPr>
          <w:i/>
          <w:iCs/>
        </w:rPr>
        <w:t>Science</w:t>
      </w:r>
      <w:r w:rsidRPr="005E28D3">
        <w:t xml:space="preserve">, </w:t>
      </w:r>
      <w:r w:rsidRPr="005E28D3">
        <w:rPr>
          <w:i/>
          <w:iCs/>
        </w:rPr>
        <w:t>341</w:t>
      </w:r>
      <w:r w:rsidRPr="005E28D3">
        <w:t>(6153), 1457–1458. https://doi.org/10.1126/science.1242838</w:t>
      </w:r>
    </w:p>
    <w:p w14:paraId="3D1E3FC7" w14:textId="77777777" w:rsidR="005E28D3" w:rsidRPr="005E28D3" w:rsidRDefault="005E28D3" w:rsidP="0042251B">
      <w:pPr>
        <w:pStyle w:val="Bibliography"/>
        <w:spacing w:line="276" w:lineRule="auto"/>
      </w:pPr>
      <w:r w:rsidRPr="005E28D3">
        <w:t xml:space="preserve">Lund, M. T., Myhre, G., &amp; Samset, B. H. (2019). Anthropogenic aerosol forcing under the Shared Socioeconomic Pathways. </w:t>
      </w:r>
      <w:r w:rsidRPr="005E28D3">
        <w:rPr>
          <w:i/>
          <w:iCs/>
        </w:rPr>
        <w:t>Atmospheric Chemistry and Physics</w:t>
      </w:r>
      <w:r w:rsidRPr="005E28D3">
        <w:t xml:space="preserve">, </w:t>
      </w:r>
      <w:r w:rsidRPr="005E28D3">
        <w:rPr>
          <w:i/>
          <w:iCs/>
        </w:rPr>
        <w:t>19</w:t>
      </w:r>
      <w:r w:rsidRPr="005E28D3">
        <w:t>(22), 13827–13839. https://doi.org/10.5194/acp-19-13827-2019</w:t>
      </w:r>
    </w:p>
    <w:p w14:paraId="4C817C40" w14:textId="77777777" w:rsidR="005E28D3" w:rsidRPr="005E28D3" w:rsidRDefault="005E28D3" w:rsidP="0042251B">
      <w:pPr>
        <w:pStyle w:val="Bibliography"/>
        <w:spacing w:line="276" w:lineRule="auto"/>
      </w:pPr>
      <w:r w:rsidRPr="005E28D3">
        <w:t xml:space="preserve">Meinshausen, M., Nicholls, Z. R. J., Lewis, J., Gidden, M. J., Vogel, E., Freund, M., et al. (2020). The shared socio-economic pathway (SSP) greenhouse gas concentrations and their extensions to 2500. </w:t>
      </w:r>
      <w:r w:rsidRPr="005E28D3">
        <w:rPr>
          <w:i/>
          <w:iCs/>
        </w:rPr>
        <w:t>Geoscientific Model Development</w:t>
      </w:r>
      <w:r w:rsidRPr="005E28D3">
        <w:t xml:space="preserve">, </w:t>
      </w:r>
      <w:r w:rsidRPr="005E28D3">
        <w:rPr>
          <w:i/>
          <w:iCs/>
        </w:rPr>
        <w:t>13</w:t>
      </w:r>
      <w:r w:rsidRPr="005E28D3">
        <w:t>(8), 3571–3605. https://doi.org/10.5194/gmd-13-3571-2020</w:t>
      </w:r>
    </w:p>
    <w:p w14:paraId="1E887D9E" w14:textId="77777777" w:rsidR="005E28D3" w:rsidRPr="005E28D3" w:rsidRDefault="005E28D3" w:rsidP="0042251B">
      <w:pPr>
        <w:pStyle w:val="Bibliography"/>
        <w:spacing w:line="276" w:lineRule="auto"/>
      </w:pPr>
      <w:r w:rsidRPr="005E28D3">
        <w:t xml:space="preserve">Morfeldt, J., Nijs, W., &amp; Silveira, S. (2015). The impact of climate targets on future steel production - An analysis based on a global energy system model. </w:t>
      </w:r>
      <w:r w:rsidRPr="005E28D3">
        <w:rPr>
          <w:i/>
          <w:iCs/>
        </w:rPr>
        <w:t>Journal of Cleaner Production</w:t>
      </w:r>
      <w:r w:rsidRPr="005E28D3">
        <w:t xml:space="preserve">, </w:t>
      </w:r>
      <w:r w:rsidRPr="005E28D3">
        <w:rPr>
          <w:i/>
          <w:iCs/>
        </w:rPr>
        <w:t>103</w:t>
      </w:r>
      <w:r w:rsidRPr="005E28D3">
        <w:t>, 469–482. https://doi.org/10.1016/j.jclepro.2014.04.045</w:t>
      </w:r>
    </w:p>
    <w:p w14:paraId="7547CC1E" w14:textId="77777777" w:rsidR="005E28D3" w:rsidRPr="005E28D3" w:rsidRDefault="005E28D3" w:rsidP="0042251B">
      <w:pPr>
        <w:pStyle w:val="Bibliography"/>
        <w:spacing w:line="276" w:lineRule="auto"/>
      </w:pPr>
      <w:r w:rsidRPr="005E28D3">
        <w:t xml:space="preserve">Myhre, G., Shindell, D., Bréon, F.-M., Collins, W., Fuglestvedt, J., Huang, J., et al. (2013). Anthropogenic and Natural Radiative Forcing. In T. F. Stocker, D. Qin, G.-K. Plattner, M. Tignor, S. K. Allen, J. Boschung, et al. (Eds.), </w:t>
      </w:r>
      <w:r w:rsidRPr="005E28D3">
        <w:rPr>
          <w:i/>
          <w:iCs/>
        </w:rPr>
        <w:t>Climate Change 2013: The Physical Science Basis.Contribution of Working Group I to the Fifth Assessment Report of the Intergovernmental Panel on Climate Change</w:t>
      </w:r>
      <w:r w:rsidRPr="005E28D3">
        <w:t>. Cambridge, United Kingdom and New York, NY, USA: Cambridge University Press.</w:t>
      </w:r>
    </w:p>
    <w:p w14:paraId="5E6EA42A" w14:textId="77777777" w:rsidR="005E28D3" w:rsidRPr="005E28D3" w:rsidRDefault="005E28D3" w:rsidP="0042251B">
      <w:pPr>
        <w:pStyle w:val="Bibliography"/>
        <w:spacing w:line="276" w:lineRule="auto"/>
      </w:pPr>
      <w:r w:rsidRPr="005E28D3">
        <w:t xml:space="preserve">Nazarenko, L. S., Tausnev, N., Russell, G. L., Rind, D., Miller, R. L., Schmidt, G. A., et al. (2022). Future Climate Change Under SSP Emission Scenarios With GISS‐E2.1. </w:t>
      </w:r>
      <w:r w:rsidRPr="005E28D3">
        <w:rPr>
          <w:i/>
          <w:iCs/>
        </w:rPr>
        <w:t>Journal of Advances in Modeling Earth Systems</w:t>
      </w:r>
      <w:r w:rsidRPr="005E28D3">
        <w:t xml:space="preserve">, </w:t>
      </w:r>
      <w:r w:rsidRPr="005E28D3">
        <w:rPr>
          <w:i/>
          <w:iCs/>
        </w:rPr>
        <w:t>14</w:t>
      </w:r>
      <w:r w:rsidRPr="005E28D3">
        <w:t>(7), e2021MS002871. https://doi.org/10.1029/2021MS002871</w:t>
      </w:r>
    </w:p>
    <w:p w14:paraId="559CD678" w14:textId="77777777" w:rsidR="005E28D3" w:rsidRPr="005E28D3" w:rsidRDefault="005E28D3" w:rsidP="0042251B">
      <w:pPr>
        <w:pStyle w:val="Bibliography"/>
        <w:spacing w:line="276" w:lineRule="auto"/>
      </w:pPr>
      <w:r w:rsidRPr="005E28D3">
        <w:t xml:space="preserve">Nriagu, J. O. (1994). Mercury pollution from the past mining of gold and silver in the Americas. </w:t>
      </w:r>
      <w:r w:rsidRPr="005E28D3">
        <w:rPr>
          <w:i/>
          <w:iCs/>
        </w:rPr>
        <w:t>Science of The Total Environment</w:t>
      </w:r>
      <w:r w:rsidRPr="005E28D3">
        <w:t xml:space="preserve">, </w:t>
      </w:r>
      <w:r w:rsidRPr="005E28D3">
        <w:rPr>
          <w:i/>
          <w:iCs/>
        </w:rPr>
        <w:t>149</w:t>
      </w:r>
      <w:r w:rsidRPr="005E28D3">
        <w:t>(3), 167–181. https://doi.org/10.1016/0048-9697(94)90177-5</w:t>
      </w:r>
    </w:p>
    <w:p w14:paraId="7CDC930E" w14:textId="77777777" w:rsidR="005E28D3" w:rsidRPr="005E28D3" w:rsidRDefault="005E28D3" w:rsidP="0042251B">
      <w:pPr>
        <w:pStyle w:val="Bibliography"/>
        <w:spacing w:line="276" w:lineRule="auto"/>
      </w:pPr>
      <w:r w:rsidRPr="005E28D3">
        <w:t xml:space="preserve">O’Neill, B. C., Tebaldi, C., van Vuuren, D. P., Eyring, V., Friedlingstein, P., Hurtt, G., et al. (2016). The Scenario Model Intercomparison Project (ScenarioMIP) for CMIP6. </w:t>
      </w:r>
      <w:r w:rsidRPr="005E28D3">
        <w:rPr>
          <w:i/>
          <w:iCs/>
        </w:rPr>
        <w:t>Geoscientific Model Development</w:t>
      </w:r>
      <w:r w:rsidRPr="005E28D3">
        <w:t xml:space="preserve">, </w:t>
      </w:r>
      <w:r w:rsidRPr="005E28D3">
        <w:rPr>
          <w:i/>
          <w:iCs/>
        </w:rPr>
        <w:t>9</w:t>
      </w:r>
      <w:r w:rsidRPr="005E28D3">
        <w:t>(9), 3461–3482. https://doi.org/10.5194/gmd-9-3461-2016</w:t>
      </w:r>
    </w:p>
    <w:p w14:paraId="35027BA5" w14:textId="77777777" w:rsidR="005E28D3" w:rsidRPr="005E28D3" w:rsidRDefault="005E28D3" w:rsidP="0042251B">
      <w:pPr>
        <w:pStyle w:val="Bibliography"/>
        <w:spacing w:line="276" w:lineRule="auto"/>
      </w:pPr>
      <w:r w:rsidRPr="005E28D3">
        <w:t xml:space="preserve">O’Neill, B. C., Kriegler, E., Ebi, K. L., Kemp-Benedict, E., Riahi, K., Rothman, D. S., et al. (2017). The roads ahead: Narratives for shared socioeconomic pathways describing world futures in the 21st century. </w:t>
      </w:r>
      <w:r w:rsidRPr="005E28D3">
        <w:rPr>
          <w:i/>
          <w:iCs/>
        </w:rPr>
        <w:t>Global Environmental Change</w:t>
      </w:r>
      <w:r w:rsidRPr="005E28D3">
        <w:t xml:space="preserve">, </w:t>
      </w:r>
      <w:r w:rsidRPr="005E28D3">
        <w:rPr>
          <w:i/>
          <w:iCs/>
        </w:rPr>
        <w:t>42</w:t>
      </w:r>
      <w:r w:rsidRPr="005E28D3">
        <w:t>, 169–180. https://doi.org/10.1016/j.gloenvcha.2015.01.004</w:t>
      </w:r>
    </w:p>
    <w:p w14:paraId="3B4E30A6" w14:textId="77777777" w:rsidR="005E28D3" w:rsidRPr="005E28D3" w:rsidRDefault="005E28D3" w:rsidP="0042251B">
      <w:pPr>
        <w:pStyle w:val="Bibliography"/>
        <w:spacing w:line="276" w:lineRule="auto"/>
      </w:pPr>
      <w:r w:rsidRPr="005E28D3">
        <w:t xml:space="preserve">Pacyna, J. M., Travnikov, O., Simone, F. D., Hedgecock, I. M., Sundseth, K., Pacyna, E. G., et al. (2016). Current and future levels of mercury atmospheric pollution on a global scale. </w:t>
      </w:r>
      <w:r w:rsidRPr="005E28D3">
        <w:rPr>
          <w:i/>
          <w:iCs/>
        </w:rPr>
        <w:t>Atmospheric Chemistry and Physics</w:t>
      </w:r>
      <w:r w:rsidRPr="005E28D3">
        <w:t xml:space="preserve">, </w:t>
      </w:r>
      <w:r w:rsidRPr="005E28D3">
        <w:rPr>
          <w:i/>
          <w:iCs/>
        </w:rPr>
        <w:t>16</w:t>
      </w:r>
      <w:r w:rsidRPr="005E28D3">
        <w:t>(19), 12495–12511. https://doi.org/10.5194/acp-16-12495-2016</w:t>
      </w:r>
    </w:p>
    <w:p w14:paraId="41AD23A0" w14:textId="77777777" w:rsidR="005E28D3" w:rsidRPr="005E28D3" w:rsidRDefault="005E28D3" w:rsidP="0042251B">
      <w:pPr>
        <w:pStyle w:val="Bibliography"/>
        <w:spacing w:line="276" w:lineRule="auto"/>
      </w:pPr>
      <w:r w:rsidRPr="005E28D3">
        <w:t xml:space="preserve">Rae, J. W. B., Zhang, Y. G., Liu, X., Foster, G. L., Stoll, H. M., &amp; Whiteford, R. D. M. (2021). Atmospheric CO </w:t>
      </w:r>
      <w:r w:rsidRPr="005E28D3">
        <w:rPr>
          <w:vertAlign w:val="subscript"/>
        </w:rPr>
        <w:t>2</w:t>
      </w:r>
      <w:r w:rsidRPr="005E28D3">
        <w:t xml:space="preserve"> over the Past 66 Million Years from Marine Archives. </w:t>
      </w:r>
      <w:r w:rsidRPr="005E28D3">
        <w:rPr>
          <w:i/>
          <w:iCs/>
        </w:rPr>
        <w:t>Annual Review of Earth and Planetary Sciences</w:t>
      </w:r>
      <w:r w:rsidRPr="005E28D3">
        <w:t xml:space="preserve">, </w:t>
      </w:r>
      <w:r w:rsidRPr="005E28D3">
        <w:rPr>
          <w:i/>
          <w:iCs/>
        </w:rPr>
        <w:t>49</w:t>
      </w:r>
      <w:r w:rsidRPr="005E28D3">
        <w:t>(1), 609–641. https://doi.org/10.1146/annurev-earth-082420-063026</w:t>
      </w:r>
    </w:p>
    <w:p w14:paraId="2A3C8A5E" w14:textId="77777777" w:rsidR="005E28D3" w:rsidRPr="005E28D3" w:rsidRDefault="005E28D3" w:rsidP="0042251B">
      <w:pPr>
        <w:pStyle w:val="Bibliography"/>
        <w:spacing w:line="276" w:lineRule="auto"/>
      </w:pPr>
      <w:r w:rsidRPr="005E28D3">
        <w:t xml:space="preserve">Rao, S., Klimont, Z., Smith, S. J., Van Dingenen, R., Dentener, F., Bouwman, L., et al. (2017). Future air pollution in the Shared Socio-economic Pathways. </w:t>
      </w:r>
      <w:r w:rsidRPr="005E28D3">
        <w:rPr>
          <w:i/>
          <w:iCs/>
        </w:rPr>
        <w:t>Global Environmental Change</w:t>
      </w:r>
      <w:r w:rsidRPr="005E28D3">
        <w:t xml:space="preserve">, </w:t>
      </w:r>
      <w:r w:rsidRPr="005E28D3">
        <w:rPr>
          <w:i/>
          <w:iCs/>
        </w:rPr>
        <w:t>42</w:t>
      </w:r>
      <w:r w:rsidRPr="005E28D3">
        <w:t>, 346–358. https://doi.org/10.1016/j.gloenvcha.2016.05.012</w:t>
      </w:r>
    </w:p>
    <w:p w14:paraId="6F94F86F" w14:textId="77777777" w:rsidR="005E28D3" w:rsidRPr="005E28D3" w:rsidRDefault="005E28D3" w:rsidP="0042251B">
      <w:pPr>
        <w:pStyle w:val="Bibliography"/>
        <w:spacing w:line="276" w:lineRule="auto"/>
      </w:pPr>
      <w:r w:rsidRPr="005E28D3">
        <w:lastRenderedPageBreak/>
        <w:t xml:space="preserve">Riahi, K., van Vuuren, D. P., Kriegler, E., Edmonds, J., O’Neill, B. C., Fujimori, S., et al. (2017). The Shared Socioeconomic Pathways and their energy, land use, and greenhouse gas emissions implications: An overview. </w:t>
      </w:r>
      <w:r w:rsidRPr="005E28D3">
        <w:rPr>
          <w:i/>
          <w:iCs/>
        </w:rPr>
        <w:t>Global Environmental Change</w:t>
      </w:r>
      <w:r w:rsidRPr="005E28D3">
        <w:t xml:space="preserve">, </w:t>
      </w:r>
      <w:r w:rsidRPr="005E28D3">
        <w:rPr>
          <w:i/>
          <w:iCs/>
        </w:rPr>
        <w:t>42</w:t>
      </w:r>
      <w:r w:rsidRPr="005E28D3">
        <w:t>, 153–168. https://doi.org/10.1016/j.gloenvcha.2016.05.009</w:t>
      </w:r>
    </w:p>
    <w:p w14:paraId="410BB4AF" w14:textId="77777777" w:rsidR="005E28D3" w:rsidRPr="005E28D3" w:rsidRDefault="005E28D3" w:rsidP="0042251B">
      <w:pPr>
        <w:pStyle w:val="Bibliography"/>
        <w:spacing w:line="276" w:lineRule="auto"/>
      </w:pPr>
      <w:r w:rsidRPr="005E28D3">
        <w:t xml:space="preserve">Schaefer, K., Elshorbany, Y., Jafarov, E., Schuster, P. F., Striegl, R. G., Wickland, K. P., &amp; Sunderland, E. M. (2020). Potential impacts of mercury released from thawing permafrost. </w:t>
      </w:r>
      <w:r w:rsidRPr="005E28D3">
        <w:rPr>
          <w:i/>
          <w:iCs/>
        </w:rPr>
        <w:t>Nature Communications</w:t>
      </w:r>
      <w:r w:rsidRPr="005E28D3">
        <w:t xml:space="preserve">, </w:t>
      </w:r>
      <w:r w:rsidRPr="005E28D3">
        <w:rPr>
          <w:i/>
          <w:iCs/>
        </w:rPr>
        <w:t>11</w:t>
      </w:r>
      <w:r w:rsidRPr="005E28D3">
        <w:t>(1), 4650. https://doi.org/10.1038/s41467-020-18398-5</w:t>
      </w:r>
    </w:p>
    <w:p w14:paraId="791F68E0" w14:textId="77777777" w:rsidR="005E28D3" w:rsidRPr="005E28D3" w:rsidRDefault="005E28D3" w:rsidP="0042251B">
      <w:pPr>
        <w:pStyle w:val="Bibliography"/>
        <w:spacing w:line="276" w:lineRule="auto"/>
      </w:pPr>
      <w:r w:rsidRPr="005E28D3">
        <w:t xml:space="preserve">Schartup, A. T., Thackray, C. P., Qureshi, A., Dassuncao, C., Gillespie, K., Hanke, A., &amp; Sunderland, E. M. (2019). Climate change and overfishing increase neurotoxicant in marine predators. </w:t>
      </w:r>
      <w:r w:rsidRPr="005E28D3">
        <w:rPr>
          <w:i/>
          <w:iCs/>
        </w:rPr>
        <w:t>Nature</w:t>
      </w:r>
      <w:r w:rsidRPr="005E28D3">
        <w:t xml:space="preserve">, </w:t>
      </w:r>
      <w:r w:rsidRPr="005E28D3">
        <w:rPr>
          <w:i/>
          <w:iCs/>
        </w:rPr>
        <w:t>572</w:t>
      </w:r>
      <w:r w:rsidRPr="005E28D3">
        <w:t>(7771), 648–650. https://doi.org/10.1038/s41586-019-1468-9</w:t>
      </w:r>
    </w:p>
    <w:p w14:paraId="45074845" w14:textId="77777777" w:rsidR="005E28D3" w:rsidRPr="005E28D3" w:rsidRDefault="005E28D3" w:rsidP="0042251B">
      <w:pPr>
        <w:pStyle w:val="Bibliography"/>
        <w:spacing w:line="276" w:lineRule="auto"/>
      </w:pPr>
      <w:r w:rsidRPr="005E28D3">
        <w:t xml:space="preserve">Shah, V., Jacob, D. J., Thackray, C. P., Wang, X., Sunderland, E. M., Dibble, T. S., et al. (2021). Improved Mechanistic Model of the Atmospheric Redox Chemistry of Mercury. </w:t>
      </w:r>
      <w:r w:rsidRPr="005E28D3">
        <w:rPr>
          <w:i/>
          <w:iCs/>
        </w:rPr>
        <w:t>Environmental Science &amp; Technology</w:t>
      </w:r>
      <w:r w:rsidRPr="005E28D3">
        <w:t>, acs.est.1c03160. https://doi.org/10.1021/acs.est.1c03160</w:t>
      </w:r>
    </w:p>
    <w:p w14:paraId="436C5250" w14:textId="77777777" w:rsidR="005E28D3" w:rsidRPr="005E28D3" w:rsidRDefault="005E28D3" w:rsidP="0042251B">
      <w:pPr>
        <w:pStyle w:val="Bibliography"/>
        <w:spacing w:line="276" w:lineRule="auto"/>
      </w:pPr>
      <w:r w:rsidRPr="005E28D3">
        <w:t xml:space="preserve">Steenhuisen, F., &amp; Wilson, S. J. (2019). Development and application of an updated geospatial distribution model for gridding 2015 global mercury emissions. </w:t>
      </w:r>
      <w:r w:rsidRPr="005E28D3">
        <w:rPr>
          <w:i/>
          <w:iCs/>
        </w:rPr>
        <w:t>Atmospheric Environment</w:t>
      </w:r>
      <w:r w:rsidRPr="005E28D3">
        <w:t xml:space="preserve">, </w:t>
      </w:r>
      <w:r w:rsidRPr="005E28D3">
        <w:rPr>
          <w:i/>
          <w:iCs/>
        </w:rPr>
        <w:t>211</w:t>
      </w:r>
      <w:r w:rsidRPr="005E28D3">
        <w:t>(December 2018), 138–150. https://doi.org/10.1016/j.atmosenv.2019.05.003</w:t>
      </w:r>
    </w:p>
    <w:p w14:paraId="2D9E9956" w14:textId="77777777" w:rsidR="005E28D3" w:rsidRPr="005E28D3" w:rsidRDefault="005E28D3" w:rsidP="0042251B">
      <w:pPr>
        <w:pStyle w:val="Bibliography"/>
        <w:spacing w:line="276" w:lineRule="auto"/>
      </w:pPr>
      <w:r w:rsidRPr="005E28D3">
        <w:t xml:space="preserve">Streets, D. G., Zhang, Q., &amp; Wu, Y. (2009). Projections of global mercury emissions in 2050. </w:t>
      </w:r>
      <w:r w:rsidRPr="005E28D3">
        <w:rPr>
          <w:i/>
          <w:iCs/>
        </w:rPr>
        <w:t>Environmental Science and Technology</w:t>
      </w:r>
      <w:r w:rsidRPr="005E28D3">
        <w:t xml:space="preserve">, </w:t>
      </w:r>
      <w:r w:rsidRPr="005E28D3">
        <w:rPr>
          <w:i/>
          <w:iCs/>
        </w:rPr>
        <w:t>43</w:t>
      </w:r>
      <w:r w:rsidRPr="005E28D3">
        <w:t>(8), 2983–2988. https://doi.org/10.1021/es802474j</w:t>
      </w:r>
    </w:p>
    <w:p w14:paraId="386D3CA7" w14:textId="77777777" w:rsidR="005E28D3" w:rsidRPr="005E28D3" w:rsidRDefault="005E28D3" w:rsidP="0042251B">
      <w:pPr>
        <w:pStyle w:val="Bibliography"/>
        <w:spacing w:line="276" w:lineRule="auto"/>
      </w:pPr>
      <w:r w:rsidRPr="005E28D3">
        <w:t xml:space="preserve">Streets, D. G., Devane, M. K., Lu, Z., Bond, T. C., Sunderland, E. M., &amp; Jacob, D. J. (2011). All-time releases of mercury to the atmosphere from human activities. </w:t>
      </w:r>
      <w:r w:rsidRPr="005E28D3">
        <w:rPr>
          <w:i/>
          <w:iCs/>
        </w:rPr>
        <w:t>Environmental Science and Technology</w:t>
      </w:r>
      <w:r w:rsidRPr="005E28D3">
        <w:t xml:space="preserve">, </w:t>
      </w:r>
      <w:r w:rsidRPr="005E28D3">
        <w:rPr>
          <w:i/>
          <w:iCs/>
        </w:rPr>
        <w:t>45</w:t>
      </w:r>
      <w:r w:rsidRPr="005E28D3">
        <w:t>(24), 10485–10491. https://doi.org/10.1021/es202765m</w:t>
      </w:r>
    </w:p>
    <w:p w14:paraId="51BCA64A" w14:textId="77777777" w:rsidR="005E28D3" w:rsidRPr="005E28D3" w:rsidRDefault="005E28D3" w:rsidP="0042251B">
      <w:pPr>
        <w:pStyle w:val="Bibliography"/>
        <w:spacing w:line="276" w:lineRule="auto"/>
      </w:pPr>
      <w:r w:rsidRPr="005E28D3">
        <w:t xml:space="preserve">Streets, D. G., Horowitz, H. M., Jacob, D. J., Lu, Z., Levin, L., ter Schure, A. F. H., &amp; Sunderland, E. M. (2017). Total Mercury Released to the Environment by Human Activities. </w:t>
      </w:r>
      <w:r w:rsidRPr="005E28D3">
        <w:rPr>
          <w:i/>
          <w:iCs/>
        </w:rPr>
        <w:t>Environmental Science &amp; Technology</w:t>
      </w:r>
      <w:r w:rsidRPr="005E28D3">
        <w:t xml:space="preserve">, </w:t>
      </w:r>
      <w:r w:rsidRPr="005E28D3">
        <w:rPr>
          <w:i/>
          <w:iCs/>
        </w:rPr>
        <w:t>51</w:t>
      </w:r>
      <w:r w:rsidRPr="005E28D3">
        <w:t>(11), 5969–5977. https://doi.org/10.1021/acs.est.7b00451</w:t>
      </w:r>
    </w:p>
    <w:p w14:paraId="4D4433A2" w14:textId="77777777" w:rsidR="005E28D3" w:rsidRPr="005E28D3" w:rsidRDefault="005E28D3" w:rsidP="0042251B">
      <w:pPr>
        <w:pStyle w:val="Bibliography"/>
        <w:spacing w:line="276" w:lineRule="auto"/>
      </w:pPr>
      <w:r w:rsidRPr="005E28D3">
        <w:t xml:space="preserve">Streets, D. G., Horowitz, H. M., Lu, Z., Levin, L., Thackray, C. P., &amp; Sunderland, E. M. (2019a). Five hundred years of anthropogenic mercury: spatial and temporal release profiles*. </w:t>
      </w:r>
      <w:r w:rsidRPr="005E28D3">
        <w:rPr>
          <w:i/>
          <w:iCs/>
        </w:rPr>
        <w:t>Environmental Research Letters</w:t>
      </w:r>
      <w:r w:rsidRPr="005E28D3">
        <w:t xml:space="preserve">, </w:t>
      </w:r>
      <w:r w:rsidRPr="005E28D3">
        <w:rPr>
          <w:i/>
          <w:iCs/>
        </w:rPr>
        <w:t>14</w:t>
      </w:r>
      <w:r w:rsidRPr="005E28D3">
        <w:t>(8), 084004. https://doi.org/10.1088/1748-9326/ab281f</w:t>
      </w:r>
    </w:p>
    <w:p w14:paraId="4C7DA405" w14:textId="77777777" w:rsidR="005E28D3" w:rsidRPr="005E28D3" w:rsidRDefault="005E28D3" w:rsidP="0042251B">
      <w:pPr>
        <w:pStyle w:val="Bibliography"/>
        <w:spacing w:line="276" w:lineRule="auto"/>
      </w:pPr>
      <w:r w:rsidRPr="005E28D3">
        <w:t xml:space="preserve">Streets, D. G., Horowitz, H. M., Lu, Z., Levin, L., Thackray, C. P., &amp; Sunderland, E. M. (2019b). Global and regional trends in mercury emissions and concentrations, 2010–2015. </w:t>
      </w:r>
      <w:r w:rsidRPr="005E28D3">
        <w:rPr>
          <w:i/>
          <w:iCs/>
        </w:rPr>
        <w:t>Atmospheric Environment</w:t>
      </w:r>
      <w:r w:rsidRPr="005E28D3">
        <w:t xml:space="preserve">, </w:t>
      </w:r>
      <w:r w:rsidRPr="005E28D3">
        <w:rPr>
          <w:i/>
          <w:iCs/>
        </w:rPr>
        <w:t>201</w:t>
      </w:r>
      <w:r w:rsidRPr="005E28D3">
        <w:t>(December 2018), 417–427. https://doi.org/10.1016/j.atmosenv.2018.12.031</w:t>
      </w:r>
    </w:p>
    <w:p w14:paraId="0B0A2950" w14:textId="77777777" w:rsidR="005E28D3" w:rsidRPr="005E28D3" w:rsidRDefault="005E28D3" w:rsidP="0042251B">
      <w:pPr>
        <w:pStyle w:val="Bibliography"/>
        <w:spacing w:line="276" w:lineRule="auto"/>
      </w:pPr>
      <w:r w:rsidRPr="005E28D3">
        <w:t xml:space="preserve">Sverdrup, H., Koca, D., &amp; Granath, C. (2012). Modelling the gold market, explaining the past and assessing the physical and economical sustainability of future scenarios. </w:t>
      </w:r>
      <w:r w:rsidRPr="005E28D3">
        <w:rPr>
          <w:i/>
          <w:iCs/>
        </w:rPr>
        <w:t>Proceedings of the 30th International Conference of the System Dynamics Society</w:t>
      </w:r>
      <w:r w:rsidRPr="005E28D3">
        <w:t>, 1–23.</w:t>
      </w:r>
    </w:p>
    <w:p w14:paraId="1FDF9F35" w14:textId="77777777" w:rsidR="005E28D3" w:rsidRPr="005E28D3" w:rsidRDefault="005E28D3" w:rsidP="0042251B">
      <w:pPr>
        <w:pStyle w:val="Bibliography"/>
        <w:spacing w:line="276" w:lineRule="auto"/>
      </w:pPr>
      <w:r w:rsidRPr="005E28D3">
        <w:t xml:space="preserve">Sverdrup, H. U., &amp; Olafsdottir, A. H. (2020). System Dynamics Modelling of the Global Extraction, Supply, Price, Reserves, Resources and Environmental Losses of Mercury. </w:t>
      </w:r>
      <w:r w:rsidRPr="005E28D3">
        <w:rPr>
          <w:i/>
          <w:iCs/>
        </w:rPr>
        <w:t>Water, Air, and Soil Pollution</w:t>
      </w:r>
      <w:r w:rsidRPr="005E28D3">
        <w:t xml:space="preserve">, </w:t>
      </w:r>
      <w:r w:rsidRPr="005E28D3">
        <w:rPr>
          <w:i/>
          <w:iCs/>
        </w:rPr>
        <w:t>231</w:t>
      </w:r>
      <w:r w:rsidRPr="005E28D3">
        <w:t>(8), 1–22. https://doi.org/10.1007/s11270-020-04757-x</w:t>
      </w:r>
    </w:p>
    <w:p w14:paraId="60EB701F" w14:textId="77777777" w:rsidR="005E28D3" w:rsidRPr="005E28D3" w:rsidRDefault="005E28D3" w:rsidP="0042251B">
      <w:pPr>
        <w:pStyle w:val="Bibliography"/>
        <w:spacing w:line="276" w:lineRule="auto"/>
      </w:pPr>
      <w:r w:rsidRPr="005E28D3">
        <w:t xml:space="preserve">Sverdrup, H. U., Olafsdottir, A. H., &amp; Ragnarsdottir, K. V. (2019). On the long-term sustainability of copper, zinc and lead supply, using a system dynamics model. </w:t>
      </w:r>
      <w:r w:rsidRPr="005E28D3">
        <w:rPr>
          <w:i/>
          <w:iCs/>
        </w:rPr>
        <w:t>Resources, Conservation and Recycling: X</w:t>
      </w:r>
      <w:r w:rsidRPr="005E28D3">
        <w:t xml:space="preserve">, </w:t>
      </w:r>
      <w:r w:rsidRPr="005E28D3">
        <w:rPr>
          <w:i/>
          <w:iCs/>
        </w:rPr>
        <w:t>4</w:t>
      </w:r>
      <w:r w:rsidRPr="005E28D3">
        <w:t>, 100007. https://doi.org/10.1016/j.rcrx.2019.100007</w:t>
      </w:r>
    </w:p>
    <w:p w14:paraId="4339341F" w14:textId="77777777" w:rsidR="005E28D3" w:rsidRPr="005E28D3" w:rsidRDefault="005E28D3" w:rsidP="0042251B">
      <w:pPr>
        <w:pStyle w:val="Bibliography"/>
        <w:spacing w:line="276" w:lineRule="auto"/>
      </w:pPr>
      <w:r w:rsidRPr="005E28D3">
        <w:t xml:space="preserve">Turnock, S. T., Allen, R. J., Andrews, M., Bauer, S. E., Deushi, M., Emmons, L., et al. (2020). Historical and future changes in air pollutants from CMIP6 models. </w:t>
      </w:r>
      <w:r w:rsidRPr="005E28D3">
        <w:rPr>
          <w:i/>
          <w:iCs/>
        </w:rPr>
        <w:t>Atmospheric Chemistry and Physics</w:t>
      </w:r>
      <w:r w:rsidRPr="005E28D3">
        <w:t xml:space="preserve">, </w:t>
      </w:r>
      <w:r w:rsidRPr="005E28D3">
        <w:rPr>
          <w:i/>
          <w:iCs/>
        </w:rPr>
        <w:t>20</w:t>
      </w:r>
      <w:r w:rsidRPr="005E28D3">
        <w:t>(23), 14547–14579. https://doi.org/10.5194/acp-20-14547-2020</w:t>
      </w:r>
    </w:p>
    <w:p w14:paraId="04916175" w14:textId="77777777" w:rsidR="005E28D3" w:rsidRPr="005E28D3" w:rsidRDefault="005E28D3" w:rsidP="0042251B">
      <w:pPr>
        <w:pStyle w:val="Bibliography"/>
        <w:spacing w:line="276" w:lineRule="auto"/>
      </w:pPr>
      <w:r w:rsidRPr="005E28D3">
        <w:t xml:space="preserve">Watari, T., Nansai, K., Giurco, D., Nakajima, K., McLellan, B., &amp; Helbig, C. (2020). Global Metal Use Targets in Line with Climate Goals. </w:t>
      </w:r>
      <w:r w:rsidRPr="005E28D3">
        <w:rPr>
          <w:i/>
          <w:iCs/>
        </w:rPr>
        <w:t>Environmental Science &amp; Technology</w:t>
      </w:r>
      <w:r w:rsidRPr="005E28D3">
        <w:t xml:space="preserve">, </w:t>
      </w:r>
      <w:r w:rsidRPr="005E28D3">
        <w:rPr>
          <w:i/>
          <w:iCs/>
        </w:rPr>
        <w:t>54</w:t>
      </w:r>
      <w:r w:rsidRPr="005E28D3">
        <w:t>(19), 12476–12483. https://doi.org/10.1021/acs.est.0c02471</w:t>
      </w:r>
    </w:p>
    <w:p w14:paraId="585470F6" w14:textId="77777777" w:rsidR="005E28D3" w:rsidRPr="005E28D3" w:rsidRDefault="005E28D3" w:rsidP="0042251B">
      <w:pPr>
        <w:pStyle w:val="Bibliography"/>
        <w:spacing w:line="276" w:lineRule="auto"/>
      </w:pPr>
      <w:r w:rsidRPr="005E28D3">
        <w:t xml:space="preserve">Watari, T., Nansai, K., &amp; Nakajima, K. (2021). Major metals demand, supply, and environmental impacts to 2100: A critical review. </w:t>
      </w:r>
      <w:r w:rsidRPr="005E28D3">
        <w:rPr>
          <w:i/>
          <w:iCs/>
        </w:rPr>
        <w:t>Resources, Conservation and Recycling</w:t>
      </w:r>
      <w:r w:rsidRPr="005E28D3">
        <w:t xml:space="preserve">, </w:t>
      </w:r>
      <w:r w:rsidRPr="005E28D3">
        <w:rPr>
          <w:i/>
          <w:iCs/>
        </w:rPr>
        <w:t>164</w:t>
      </w:r>
      <w:r w:rsidRPr="005E28D3">
        <w:t>, 105107. https://doi.org/10.1016/j.resconrec.2020.105107</w:t>
      </w:r>
    </w:p>
    <w:p w14:paraId="3A7E74B2" w14:textId="77777777" w:rsidR="005E28D3" w:rsidRPr="005E28D3" w:rsidRDefault="005E28D3" w:rsidP="0042251B">
      <w:pPr>
        <w:pStyle w:val="Bibliography"/>
        <w:spacing w:line="276" w:lineRule="auto"/>
      </w:pPr>
      <w:r w:rsidRPr="005E28D3">
        <w:t xml:space="preserve">Wu, X., Fu, X., Zhang, H., Tang, K., Wang, X., Zhang, H., et al. (2023). Changes in Atmospheric Gaseous Elemental Mercury Concentrations and Isotopic Compositions at Mt. Changbai During 2015–2021 and Mt. </w:t>
      </w:r>
      <w:r w:rsidRPr="005E28D3">
        <w:lastRenderedPageBreak/>
        <w:t xml:space="preserve">Ailao During 2017–2021 in China. </w:t>
      </w:r>
      <w:r w:rsidRPr="005E28D3">
        <w:rPr>
          <w:i/>
          <w:iCs/>
        </w:rPr>
        <w:t>Journal of Geophysical Research: Atmospheres</w:t>
      </w:r>
      <w:r w:rsidRPr="005E28D3">
        <w:t xml:space="preserve">, </w:t>
      </w:r>
      <w:r w:rsidRPr="005E28D3">
        <w:rPr>
          <w:i/>
          <w:iCs/>
        </w:rPr>
        <w:t>128</w:t>
      </w:r>
      <w:r w:rsidRPr="005E28D3">
        <w:t>(10), e2022JD037749. https://doi.org/10.1029/2022JD037749</w:t>
      </w:r>
    </w:p>
    <w:p w14:paraId="204F96A6" w14:textId="77777777" w:rsidR="005E28D3" w:rsidRPr="005E28D3" w:rsidRDefault="005E28D3" w:rsidP="0042251B">
      <w:pPr>
        <w:pStyle w:val="Bibliography"/>
        <w:spacing w:line="276" w:lineRule="auto"/>
      </w:pPr>
      <w:r w:rsidRPr="005E28D3">
        <w:t xml:space="preserve">Yang, Y., Meng, L., Yanai, R. D., Montesdeoca, M., Templer, P. H., Asbjornsen, H., et al. (2019). Climate change may alter mercury fluxes in northern hardwood forests. </w:t>
      </w:r>
      <w:r w:rsidRPr="005E28D3">
        <w:rPr>
          <w:i/>
          <w:iCs/>
        </w:rPr>
        <w:t>Biogeochemistry</w:t>
      </w:r>
      <w:r w:rsidRPr="005E28D3">
        <w:t xml:space="preserve">, </w:t>
      </w:r>
      <w:r w:rsidRPr="005E28D3">
        <w:rPr>
          <w:i/>
          <w:iCs/>
        </w:rPr>
        <w:t>146</w:t>
      </w:r>
      <w:r w:rsidRPr="005E28D3">
        <w:t>(1), 1–16. https://doi.org/10.1007/s10533-019-00605-1</w:t>
      </w:r>
    </w:p>
    <w:p w14:paraId="28532ACF" w14:textId="77777777" w:rsidR="005E28D3" w:rsidRPr="005E28D3" w:rsidRDefault="005E28D3" w:rsidP="0042251B">
      <w:pPr>
        <w:pStyle w:val="Bibliography"/>
        <w:spacing w:line="276" w:lineRule="auto"/>
      </w:pPr>
      <w:r w:rsidRPr="005E28D3">
        <w:t xml:space="preserve">Zhang, C. Y., Han, R., Yu, B., &amp; Wei, Y. M. (2018). Accounting process-related CO2 emissions from global cement production under Shared Socioeconomic Pathways. </w:t>
      </w:r>
      <w:r w:rsidRPr="005E28D3">
        <w:rPr>
          <w:i/>
          <w:iCs/>
        </w:rPr>
        <w:t>Journal of Cleaner Production</w:t>
      </w:r>
      <w:r w:rsidRPr="005E28D3">
        <w:t xml:space="preserve">, </w:t>
      </w:r>
      <w:r w:rsidRPr="005E28D3">
        <w:rPr>
          <w:i/>
          <w:iCs/>
        </w:rPr>
        <w:t>184</w:t>
      </w:r>
      <w:r w:rsidRPr="005E28D3">
        <w:t>, 451–465. https://doi.org/10.1016/j.jclepro.2018.02.284</w:t>
      </w:r>
    </w:p>
    <w:p w14:paraId="199E0C23" w14:textId="77777777" w:rsidR="005E28D3" w:rsidRPr="005E28D3" w:rsidRDefault="005E28D3" w:rsidP="0042251B">
      <w:pPr>
        <w:pStyle w:val="Bibliography"/>
        <w:spacing w:line="276" w:lineRule="auto"/>
      </w:pPr>
      <w:r w:rsidRPr="005E28D3">
        <w:t xml:space="preserve">Zhang, Y., Zhang, L., Cao, S., Liu, X., Jin, J., &amp; Zhao, Y. (2023). Improved Anthropogenic Mercury Emission Inventories for China from 1980 to 2020: Toward More Accurate Effectiveness Evaluation for the Minamata Convention. </w:t>
      </w:r>
      <w:r w:rsidRPr="005E28D3">
        <w:rPr>
          <w:i/>
          <w:iCs/>
        </w:rPr>
        <w:t>Environmental Science &amp; Technology</w:t>
      </w:r>
      <w:r w:rsidRPr="005E28D3">
        <w:t xml:space="preserve">, </w:t>
      </w:r>
      <w:r w:rsidRPr="005E28D3">
        <w:rPr>
          <w:i/>
          <w:iCs/>
        </w:rPr>
        <w:t>57</w:t>
      </w:r>
      <w:r w:rsidRPr="005E28D3">
        <w:t>(23), 8660–8670. https://doi.org/10.1021/acs.est.3c01065</w:t>
      </w:r>
    </w:p>
    <w:p w14:paraId="5F445263" w14:textId="77777777" w:rsidR="005E28D3" w:rsidRPr="005E28D3" w:rsidRDefault="005E28D3" w:rsidP="0042251B">
      <w:pPr>
        <w:pStyle w:val="Bibliography"/>
        <w:spacing w:line="276" w:lineRule="auto"/>
      </w:pPr>
      <w:r w:rsidRPr="005E28D3">
        <w:t xml:space="preserve">Zolkos, S., Zhulidov, A. V., Gurtovaya, T. Yu., Gordeev, V. V., Berdnikov, S., Pavlova, N., et al. (2022). Multidecadal declines in particulate mercury and sediment export from Russian rivers in the pan-Arctic basin. </w:t>
      </w:r>
      <w:r w:rsidRPr="005E28D3">
        <w:rPr>
          <w:i/>
          <w:iCs/>
        </w:rPr>
        <w:t>Proceedings of the National Academy of Sciences</w:t>
      </w:r>
      <w:r w:rsidRPr="005E28D3">
        <w:t xml:space="preserve">, </w:t>
      </w:r>
      <w:r w:rsidRPr="005E28D3">
        <w:rPr>
          <w:i/>
          <w:iCs/>
        </w:rPr>
        <w:t>119</w:t>
      </w:r>
      <w:r w:rsidRPr="005E28D3">
        <w:t>(14). https://doi.org/10.1073/pnas.2119857119</w:t>
      </w:r>
    </w:p>
    <w:p w14:paraId="2B7C9A8E" w14:textId="1602A3DB" w:rsidR="00BF0028" w:rsidRDefault="00A31C25" w:rsidP="0042251B">
      <w:pPr>
        <w:spacing w:line="276" w:lineRule="auto"/>
      </w:pPr>
      <w:r>
        <w:fldChar w:fldCharType="end"/>
      </w:r>
    </w:p>
    <w:sectPr w:rsidR="00BF0028" w:rsidSect="00BD47BB">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5BA907" w14:textId="77777777" w:rsidR="00B63822" w:rsidRDefault="00B63822" w:rsidP="000379AB">
      <w:r>
        <w:separator/>
      </w:r>
    </w:p>
  </w:endnote>
  <w:endnote w:type="continuationSeparator" w:id="0">
    <w:p w14:paraId="11724204" w14:textId="77777777" w:rsidR="00B63822" w:rsidRDefault="00B63822"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4ED28E" w14:textId="2FE9AD18" w:rsidR="00DD6745" w:rsidRDefault="00DD6745" w:rsidP="00B719C8">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CAB05A" w14:textId="77777777" w:rsidR="00B63822" w:rsidRDefault="00B63822" w:rsidP="000379AB">
      <w:r>
        <w:separator/>
      </w:r>
    </w:p>
  </w:footnote>
  <w:footnote w:type="continuationSeparator" w:id="0">
    <w:p w14:paraId="667D41A3" w14:textId="77777777" w:rsidR="00B63822" w:rsidRDefault="00B63822" w:rsidP="000379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5FE63" w14:textId="0C8549C7" w:rsidR="00DD6745" w:rsidRDefault="00DD6745" w:rsidP="007778ED">
    <w:pPr>
      <w:pStyle w:val="Header"/>
      <w:jc w:val="center"/>
    </w:pPr>
    <w:r>
      <w:t xml:space="preserve">manuscript submitted to </w:t>
    </w:r>
    <w:r w:rsidR="00F2196F">
      <w:rPr>
        <w:i/>
      </w:rPr>
      <w:t>Earth’s Future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75CCC" w14:textId="2816AD77" w:rsidR="00DD6745" w:rsidRDefault="00DD6745" w:rsidP="00E31404">
    <w:pPr>
      <w:pStyle w:val="Header"/>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2"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846598895">
    <w:abstractNumId w:val="2"/>
  </w:num>
  <w:num w:numId="2" w16cid:durableId="906064874">
    <w:abstractNumId w:val="1"/>
  </w:num>
  <w:num w:numId="3" w16cid:durableId="124200908">
    <w:abstractNumId w:val="11"/>
  </w:num>
  <w:num w:numId="4" w16cid:durableId="983047291">
    <w:abstractNumId w:val="5"/>
  </w:num>
  <w:num w:numId="5" w16cid:durableId="1416437152">
    <w:abstractNumId w:val="6"/>
  </w:num>
  <w:num w:numId="6" w16cid:durableId="25494253">
    <w:abstractNumId w:val="8"/>
  </w:num>
  <w:num w:numId="7" w16cid:durableId="119541995">
    <w:abstractNumId w:val="9"/>
  </w:num>
  <w:num w:numId="8" w16cid:durableId="1958756824">
    <w:abstractNumId w:val="10"/>
  </w:num>
  <w:num w:numId="9" w16cid:durableId="928124450">
    <w:abstractNumId w:val="3"/>
  </w:num>
  <w:num w:numId="10" w16cid:durableId="1962152298">
    <w:abstractNumId w:val="7"/>
  </w:num>
  <w:num w:numId="11" w16cid:durableId="17976862">
    <w:abstractNumId w:val="4"/>
  </w:num>
  <w:num w:numId="12" w16cid:durableId="1237283164">
    <w:abstractNumId w:val="12"/>
  </w:num>
  <w:num w:numId="13" w16cid:durableId="4397672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7"/>
  <w:hideSpellingErrors/>
  <w:hideGrammaticalError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6077"/>
    <w:rsid w:val="00031829"/>
    <w:rsid w:val="000379AB"/>
    <w:rsid w:val="0006013B"/>
    <w:rsid w:val="0007414F"/>
    <w:rsid w:val="00083C43"/>
    <w:rsid w:val="000B5139"/>
    <w:rsid w:val="000C2478"/>
    <w:rsid w:val="00121C93"/>
    <w:rsid w:val="00122D94"/>
    <w:rsid w:val="00136644"/>
    <w:rsid w:val="00147018"/>
    <w:rsid w:val="0016750E"/>
    <w:rsid w:val="001C11A9"/>
    <w:rsid w:val="001C2B0D"/>
    <w:rsid w:val="001E08C2"/>
    <w:rsid w:val="001E33EF"/>
    <w:rsid w:val="00205265"/>
    <w:rsid w:val="002112B8"/>
    <w:rsid w:val="002242C2"/>
    <w:rsid w:val="00240493"/>
    <w:rsid w:val="00250A5E"/>
    <w:rsid w:val="00277CBE"/>
    <w:rsid w:val="00282DB6"/>
    <w:rsid w:val="00285B31"/>
    <w:rsid w:val="002B6F74"/>
    <w:rsid w:val="002C3263"/>
    <w:rsid w:val="002C74FF"/>
    <w:rsid w:val="002E7898"/>
    <w:rsid w:val="002F1A8D"/>
    <w:rsid w:val="002F2289"/>
    <w:rsid w:val="002F3B11"/>
    <w:rsid w:val="003137C3"/>
    <w:rsid w:val="00321596"/>
    <w:rsid w:val="003242AD"/>
    <w:rsid w:val="00366917"/>
    <w:rsid w:val="0037466A"/>
    <w:rsid w:val="003C18D2"/>
    <w:rsid w:val="003E660A"/>
    <w:rsid w:val="003F199B"/>
    <w:rsid w:val="00400425"/>
    <w:rsid w:val="004009A6"/>
    <w:rsid w:val="0040718C"/>
    <w:rsid w:val="0042251B"/>
    <w:rsid w:val="00440A22"/>
    <w:rsid w:val="00456CBD"/>
    <w:rsid w:val="004624F9"/>
    <w:rsid w:val="0046739F"/>
    <w:rsid w:val="00470950"/>
    <w:rsid w:val="00473551"/>
    <w:rsid w:val="00491D21"/>
    <w:rsid w:val="004B5AAE"/>
    <w:rsid w:val="004D7974"/>
    <w:rsid w:val="00514B45"/>
    <w:rsid w:val="005167EA"/>
    <w:rsid w:val="005358D5"/>
    <w:rsid w:val="00545B6C"/>
    <w:rsid w:val="00551F9B"/>
    <w:rsid w:val="00562C9F"/>
    <w:rsid w:val="00562D64"/>
    <w:rsid w:val="0057441D"/>
    <w:rsid w:val="00575C0B"/>
    <w:rsid w:val="005842D9"/>
    <w:rsid w:val="005C482D"/>
    <w:rsid w:val="005E1969"/>
    <w:rsid w:val="005E28D3"/>
    <w:rsid w:val="005F722F"/>
    <w:rsid w:val="0061101F"/>
    <w:rsid w:val="00620952"/>
    <w:rsid w:val="00676FB0"/>
    <w:rsid w:val="006803B5"/>
    <w:rsid w:val="00681223"/>
    <w:rsid w:val="006842EE"/>
    <w:rsid w:val="00696AD4"/>
    <w:rsid w:val="006A2773"/>
    <w:rsid w:val="006C4619"/>
    <w:rsid w:val="006D19B4"/>
    <w:rsid w:val="006E6AB6"/>
    <w:rsid w:val="006F0D4D"/>
    <w:rsid w:val="006F1419"/>
    <w:rsid w:val="006F662E"/>
    <w:rsid w:val="00705C5D"/>
    <w:rsid w:val="007100CD"/>
    <w:rsid w:val="007169A7"/>
    <w:rsid w:val="00744B30"/>
    <w:rsid w:val="00755A0B"/>
    <w:rsid w:val="00761EAE"/>
    <w:rsid w:val="007778ED"/>
    <w:rsid w:val="00783B23"/>
    <w:rsid w:val="00796FB8"/>
    <w:rsid w:val="007A7642"/>
    <w:rsid w:val="007B4B93"/>
    <w:rsid w:val="007C5E1F"/>
    <w:rsid w:val="00813315"/>
    <w:rsid w:val="00816F21"/>
    <w:rsid w:val="008202D0"/>
    <w:rsid w:val="00824DA4"/>
    <w:rsid w:val="00825B0F"/>
    <w:rsid w:val="00827E22"/>
    <w:rsid w:val="008417BA"/>
    <w:rsid w:val="00855B07"/>
    <w:rsid w:val="0086472D"/>
    <w:rsid w:val="00872F69"/>
    <w:rsid w:val="008A6077"/>
    <w:rsid w:val="008B28C9"/>
    <w:rsid w:val="008B4658"/>
    <w:rsid w:val="008B593D"/>
    <w:rsid w:val="008B7FF1"/>
    <w:rsid w:val="008C0C97"/>
    <w:rsid w:val="008C240A"/>
    <w:rsid w:val="008C6A37"/>
    <w:rsid w:val="008D3087"/>
    <w:rsid w:val="008E58E5"/>
    <w:rsid w:val="00921FF7"/>
    <w:rsid w:val="0093027D"/>
    <w:rsid w:val="00942178"/>
    <w:rsid w:val="009546E4"/>
    <w:rsid w:val="0097213C"/>
    <w:rsid w:val="009759E4"/>
    <w:rsid w:val="00975D9D"/>
    <w:rsid w:val="0097687D"/>
    <w:rsid w:val="00995CAA"/>
    <w:rsid w:val="009B68DA"/>
    <w:rsid w:val="009C63D9"/>
    <w:rsid w:val="009E721A"/>
    <w:rsid w:val="00A1073D"/>
    <w:rsid w:val="00A31C25"/>
    <w:rsid w:val="00A44E37"/>
    <w:rsid w:val="00AA11F3"/>
    <w:rsid w:val="00AA14A0"/>
    <w:rsid w:val="00AB46CF"/>
    <w:rsid w:val="00AD03B0"/>
    <w:rsid w:val="00AF33DA"/>
    <w:rsid w:val="00AF7AA7"/>
    <w:rsid w:val="00B120F3"/>
    <w:rsid w:val="00B56720"/>
    <w:rsid w:val="00B63822"/>
    <w:rsid w:val="00B719C8"/>
    <w:rsid w:val="00B81C79"/>
    <w:rsid w:val="00B82556"/>
    <w:rsid w:val="00B828C4"/>
    <w:rsid w:val="00B82D19"/>
    <w:rsid w:val="00B85E35"/>
    <w:rsid w:val="00B921F9"/>
    <w:rsid w:val="00BA2DF4"/>
    <w:rsid w:val="00BB4168"/>
    <w:rsid w:val="00BD256A"/>
    <w:rsid w:val="00BD47BB"/>
    <w:rsid w:val="00BF0028"/>
    <w:rsid w:val="00C04181"/>
    <w:rsid w:val="00C14023"/>
    <w:rsid w:val="00C225E9"/>
    <w:rsid w:val="00C32860"/>
    <w:rsid w:val="00C333FB"/>
    <w:rsid w:val="00C3475A"/>
    <w:rsid w:val="00C65B06"/>
    <w:rsid w:val="00C77FBD"/>
    <w:rsid w:val="00C81368"/>
    <w:rsid w:val="00C81692"/>
    <w:rsid w:val="00C94AA5"/>
    <w:rsid w:val="00CB4D1E"/>
    <w:rsid w:val="00CB7BED"/>
    <w:rsid w:val="00CC1FEC"/>
    <w:rsid w:val="00CC3037"/>
    <w:rsid w:val="00CC4CBE"/>
    <w:rsid w:val="00CD3205"/>
    <w:rsid w:val="00CF3DEE"/>
    <w:rsid w:val="00D16948"/>
    <w:rsid w:val="00D50A01"/>
    <w:rsid w:val="00D749CD"/>
    <w:rsid w:val="00D810E5"/>
    <w:rsid w:val="00D94839"/>
    <w:rsid w:val="00D9528F"/>
    <w:rsid w:val="00DA5D6A"/>
    <w:rsid w:val="00DC28D8"/>
    <w:rsid w:val="00DD6745"/>
    <w:rsid w:val="00DE2E2A"/>
    <w:rsid w:val="00DE3F91"/>
    <w:rsid w:val="00E1280C"/>
    <w:rsid w:val="00E31404"/>
    <w:rsid w:val="00E31513"/>
    <w:rsid w:val="00E44D12"/>
    <w:rsid w:val="00E664DF"/>
    <w:rsid w:val="00E67B96"/>
    <w:rsid w:val="00E8561E"/>
    <w:rsid w:val="00ED65D7"/>
    <w:rsid w:val="00EE433D"/>
    <w:rsid w:val="00EF04CF"/>
    <w:rsid w:val="00F06E50"/>
    <w:rsid w:val="00F13598"/>
    <w:rsid w:val="00F21080"/>
    <w:rsid w:val="00F2196F"/>
    <w:rsid w:val="00F30F4B"/>
    <w:rsid w:val="00F45E57"/>
    <w:rsid w:val="00F71CD1"/>
    <w:rsid w:val="00F939AA"/>
    <w:rsid w:val="00F9555D"/>
    <w:rsid w:val="00F95990"/>
    <w:rsid w:val="00FB7F18"/>
    <w:rsid w:val="00FC1F5E"/>
    <w:rsid w:val="00FC3EAC"/>
    <w:rsid w:val="00FC49C6"/>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609C9FC"/>
  <w15:docId w15:val="{BAF26257-7DB4-FE46-8B1F-77476B62A1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8A6077"/>
    <w:rPr>
      <w:rFonts w:ascii="Times New Roman" w:eastAsia="Calibri"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sz w:val="24"/>
      <w:szCs w:val="24"/>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sz w:val="24"/>
      <w:szCs w:val="24"/>
    </w:rPr>
  </w:style>
  <w:style w:type="paragraph" w:customStyle="1" w:styleId="Text">
    <w:name w:val="Text"/>
    <w:basedOn w:val="Normal"/>
    <w:rsid w:val="008A6077"/>
    <w:pPr>
      <w:spacing w:before="120"/>
      <w:ind w:firstLine="720"/>
    </w:pPr>
    <w:rPr>
      <w:rFonts w:eastAsia="Times New Roman"/>
      <w:sz w:val="24"/>
      <w:szCs w:val="24"/>
    </w:rPr>
  </w:style>
  <w:style w:type="paragraph" w:customStyle="1" w:styleId="FigureorTableCaption">
    <w:name w:val="Figure or Table Caption"/>
    <w:basedOn w:val="Normal"/>
    <w:rsid w:val="008A6077"/>
    <w:pPr>
      <w:keepNext/>
      <w:spacing w:before="240"/>
      <w:outlineLvl w:val="0"/>
    </w:pPr>
    <w:rPr>
      <w:rFonts w:eastAsia="Times New Roman"/>
      <w:kern w:val="28"/>
      <w:sz w:val="24"/>
      <w:szCs w:val="24"/>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sz w:val="24"/>
      <w:szCs w:val="24"/>
    </w:rPr>
  </w:style>
  <w:style w:type="paragraph" w:customStyle="1" w:styleId="Abstract">
    <w:name w:val="Abstract"/>
    <w:basedOn w:val="Normal"/>
    <w:qFormat/>
    <w:rsid w:val="00400425"/>
    <w:pPr>
      <w:spacing w:before="120"/>
    </w:pPr>
    <w:rPr>
      <w:rFonts w:eastAsia="Times New Roman"/>
      <w:sz w:val="24"/>
      <w:szCs w:val="24"/>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semiHidden/>
    <w:unhideWhenUsed/>
    <w:rsid w:val="002F3B11"/>
    <w:rPr>
      <w:sz w:val="24"/>
      <w:szCs w:val="24"/>
    </w:rPr>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styleId="UnresolvedMention">
    <w:name w:val="Unresolved Mention"/>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character" w:styleId="LineNumber">
    <w:name w:val="line number"/>
    <w:basedOn w:val="DefaultParagraphFont"/>
    <w:uiPriority w:val="99"/>
    <w:semiHidden/>
    <w:unhideWhenUsed/>
    <w:rsid w:val="00BD47BB"/>
  </w:style>
  <w:style w:type="character" w:styleId="CommentReference">
    <w:name w:val="annotation reference"/>
    <w:basedOn w:val="DefaultParagraphFont"/>
    <w:uiPriority w:val="99"/>
    <w:semiHidden/>
    <w:unhideWhenUsed/>
    <w:rsid w:val="00681223"/>
    <w:rPr>
      <w:sz w:val="16"/>
      <w:szCs w:val="16"/>
    </w:rPr>
  </w:style>
  <w:style w:type="paragraph" w:styleId="CommentText">
    <w:name w:val="annotation text"/>
    <w:basedOn w:val="Normal"/>
    <w:link w:val="CommentTextChar"/>
    <w:uiPriority w:val="99"/>
    <w:semiHidden/>
    <w:unhideWhenUsed/>
    <w:rsid w:val="00681223"/>
  </w:style>
  <w:style w:type="character" w:customStyle="1" w:styleId="CommentTextChar">
    <w:name w:val="Comment Text Char"/>
    <w:basedOn w:val="DefaultParagraphFont"/>
    <w:link w:val="CommentText"/>
    <w:uiPriority w:val="99"/>
    <w:semiHidden/>
    <w:rsid w:val="00681223"/>
    <w:rPr>
      <w:rFonts w:ascii="Times New Roman" w:eastAsia="Calibri"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681223"/>
    <w:rPr>
      <w:b/>
      <w:bCs/>
    </w:rPr>
  </w:style>
  <w:style w:type="character" w:customStyle="1" w:styleId="CommentSubjectChar">
    <w:name w:val="Comment Subject Char"/>
    <w:basedOn w:val="CommentTextChar"/>
    <w:link w:val="CommentSubject"/>
    <w:uiPriority w:val="99"/>
    <w:semiHidden/>
    <w:rsid w:val="00681223"/>
    <w:rPr>
      <w:rFonts w:ascii="Times New Roman" w:eastAsia="Calibri" w:hAnsi="Times New Roman" w:cs="Times New Roman"/>
      <w:b/>
      <w:bCs/>
      <w:sz w:val="20"/>
      <w:szCs w:val="20"/>
    </w:rPr>
  </w:style>
  <w:style w:type="paragraph" w:styleId="Bibliography">
    <w:name w:val="Bibliography"/>
    <w:basedOn w:val="Normal"/>
    <w:next w:val="Normal"/>
    <w:uiPriority w:val="37"/>
    <w:unhideWhenUsed/>
    <w:rsid w:val="00A31C25"/>
    <w:pPr>
      <w:spacing w:line="480" w:lineRule="auto"/>
      <w:ind w:left="720" w:hanging="720"/>
    </w:pPr>
  </w:style>
  <w:style w:type="paragraph" w:styleId="Revision">
    <w:name w:val="Revision"/>
    <w:hidden/>
    <w:uiPriority w:val="99"/>
    <w:semiHidden/>
    <w:rsid w:val="006803B5"/>
    <w:rPr>
      <w:rFonts w:ascii="Times New Roman" w:eastAsia="Calibri"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809442167">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1937057821">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emf"/><Relationship Id="rId18" Type="http://schemas.openxmlformats.org/officeDocument/2006/relationships/hyperlink" Target="https://doi.org/10.5281/zenodo.3784796"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geyman@fas.harvard.edu" TargetMode="Externa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1718A4-D1A3-AE41-A382-18042F0A85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22</Pages>
  <Words>47271</Words>
  <Characters>268978</Characters>
  <Application>Microsoft Office Word</Application>
  <DocSecurity>0</DocSecurity>
  <Lines>3735</Lines>
  <Paragraphs>903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315346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Geyman, Benjamin</cp:lastModifiedBy>
  <cp:revision>4</cp:revision>
  <cp:lastPrinted>2023-10-26T22:26:00Z</cp:lastPrinted>
  <dcterms:created xsi:type="dcterms:W3CDTF">2023-10-27T21:52:00Z</dcterms:created>
  <dcterms:modified xsi:type="dcterms:W3CDTF">2023-11-01T17:57:00Z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zotero-version="6.0.28"&gt;&lt;session id="yb0nB2Hz"/&gt;&lt;style id="http://www.zotero.org/styles/american-geophysical-union" hasBibliography="1" bibliographyStyleHasBeenSet="1"/&gt;&lt;prefs&gt;&lt;pref name="fieldType" value="Field"/&gt;&lt;/prefs&gt;&lt;/data&gt;</vt:lpwstr>
  </property>
</Properties>
</file>