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E8AB0C" w14:textId="7EDB5F2B" w:rsidR="00B651BA" w:rsidRPr="00B651BA" w:rsidRDefault="0051479C" w:rsidP="00B651BA">
      <w:pPr>
        <w:pStyle w:val="IETPaperTitle"/>
        <w:jc w:val="center"/>
        <w:rPr>
          <w:sz w:val="24"/>
          <w:szCs w:val="20"/>
        </w:rPr>
      </w:pPr>
      <w:r w:rsidRPr="00B065D6">
        <w:rPr>
          <w:rFonts w:ascii="Arial" w:hAnsi="Arial" w:cs="Arial"/>
          <w:sz w:val="24"/>
          <w:szCs w:val="20"/>
        </w:rPr>
        <w:fldChar w:fldCharType="begin"/>
      </w:r>
      <w:r w:rsidRPr="00B065D6">
        <w:rPr>
          <w:rFonts w:ascii="Arial" w:hAnsi="Arial" w:cs="Arial"/>
          <w:sz w:val="24"/>
          <w:szCs w:val="20"/>
        </w:rPr>
        <w:instrText xml:space="preserve"> MACROBUTTON MTEditEquationSection2 </w:instrText>
      </w:r>
      <w:r w:rsidRPr="00B065D6">
        <w:rPr>
          <w:rStyle w:val="MTEquationSection"/>
          <w:color w:val="auto"/>
        </w:rPr>
        <w:instrText>Equation Chapter 1 Section 1</w:instrText>
      </w:r>
      <w:r w:rsidRPr="00B065D6">
        <w:rPr>
          <w:rFonts w:ascii="Arial" w:hAnsi="Arial" w:cs="Arial"/>
          <w:sz w:val="24"/>
          <w:szCs w:val="20"/>
        </w:rPr>
        <w:fldChar w:fldCharType="begin"/>
      </w:r>
      <w:r w:rsidRPr="00B065D6">
        <w:rPr>
          <w:rFonts w:ascii="Arial" w:hAnsi="Arial" w:cs="Arial"/>
          <w:sz w:val="24"/>
          <w:szCs w:val="20"/>
        </w:rPr>
        <w:instrText xml:space="preserve"> SEQ MTEqn \r \h \* MERGEFORMAT </w:instrText>
      </w:r>
      <w:r w:rsidRPr="00B065D6">
        <w:rPr>
          <w:rFonts w:ascii="Arial" w:hAnsi="Arial" w:cs="Arial"/>
          <w:sz w:val="24"/>
          <w:szCs w:val="20"/>
        </w:rPr>
        <w:fldChar w:fldCharType="end"/>
      </w:r>
      <w:r w:rsidRPr="00B065D6">
        <w:rPr>
          <w:rFonts w:ascii="Arial" w:hAnsi="Arial" w:cs="Arial"/>
          <w:sz w:val="24"/>
          <w:szCs w:val="20"/>
        </w:rPr>
        <w:fldChar w:fldCharType="begin"/>
      </w:r>
      <w:r w:rsidRPr="00B065D6">
        <w:rPr>
          <w:rFonts w:ascii="Arial" w:hAnsi="Arial" w:cs="Arial"/>
          <w:sz w:val="24"/>
          <w:szCs w:val="20"/>
        </w:rPr>
        <w:instrText xml:space="preserve"> SEQ MTSec \r 1 \h \* MERGEFORMAT </w:instrText>
      </w:r>
      <w:r w:rsidRPr="00B065D6">
        <w:rPr>
          <w:rFonts w:ascii="Arial" w:hAnsi="Arial" w:cs="Arial"/>
          <w:sz w:val="24"/>
          <w:szCs w:val="20"/>
        </w:rPr>
        <w:fldChar w:fldCharType="end"/>
      </w:r>
      <w:r w:rsidRPr="00B065D6">
        <w:rPr>
          <w:rFonts w:ascii="Arial" w:hAnsi="Arial" w:cs="Arial"/>
          <w:sz w:val="24"/>
          <w:szCs w:val="20"/>
        </w:rPr>
        <w:fldChar w:fldCharType="begin"/>
      </w:r>
      <w:r w:rsidRPr="00B065D6">
        <w:rPr>
          <w:rFonts w:ascii="Arial" w:hAnsi="Arial" w:cs="Arial"/>
          <w:sz w:val="24"/>
          <w:szCs w:val="20"/>
        </w:rPr>
        <w:instrText xml:space="preserve"> SEQ MTChap \r 1 \h \* MERGEFORMAT </w:instrText>
      </w:r>
      <w:r w:rsidRPr="00B065D6">
        <w:rPr>
          <w:rFonts w:ascii="Arial" w:hAnsi="Arial" w:cs="Arial"/>
          <w:sz w:val="24"/>
          <w:szCs w:val="20"/>
        </w:rPr>
        <w:fldChar w:fldCharType="end"/>
      </w:r>
      <w:r w:rsidRPr="00B065D6">
        <w:rPr>
          <w:rFonts w:ascii="Arial" w:hAnsi="Arial" w:cs="Arial"/>
          <w:sz w:val="24"/>
          <w:szCs w:val="20"/>
        </w:rPr>
        <w:fldChar w:fldCharType="end"/>
      </w:r>
      <w:r w:rsidR="00B651BA">
        <w:rPr>
          <w:sz w:val="24"/>
          <w:szCs w:val="20"/>
        </w:rPr>
        <w:t>D</w:t>
      </w:r>
      <w:r w:rsidR="00B651BA" w:rsidRPr="00B651BA">
        <w:rPr>
          <w:sz w:val="24"/>
          <w:szCs w:val="20"/>
        </w:rPr>
        <w:t xml:space="preserve">ynamic </w:t>
      </w:r>
      <w:r w:rsidR="00B651BA">
        <w:rPr>
          <w:sz w:val="24"/>
          <w:szCs w:val="20"/>
        </w:rPr>
        <w:t>R</w:t>
      </w:r>
      <w:r w:rsidR="00B651BA" w:rsidRPr="00B651BA">
        <w:rPr>
          <w:sz w:val="24"/>
          <w:szCs w:val="20"/>
        </w:rPr>
        <w:t xml:space="preserve">estoration Electricity Price </w:t>
      </w:r>
      <w:r w:rsidR="00B651BA">
        <w:rPr>
          <w:sz w:val="24"/>
          <w:szCs w:val="20"/>
        </w:rPr>
        <w:t>O</w:t>
      </w:r>
      <w:r w:rsidR="00B651BA" w:rsidRPr="00B651BA">
        <w:rPr>
          <w:sz w:val="24"/>
          <w:szCs w:val="20"/>
        </w:rPr>
        <w:t xml:space="preserve">ptimization </w:t>
      </w:r>
      <w:r w:rsidR="00B651BA">
        <w:rPr>
          <w:sz w:val="24"/>
          <w:szCs w:val="20"/>
        </w:rPr>
        <w:t>M</w:t>
      </w:r>
      <w:r w:rsidR="00B651BA" w:rsidRPr="00B651BA">
        <w:rPr>
          <w:sz w:val="24"/>
          <w:szCs w:val="20"/>
        </w:rPr>
        <w:t xml:space="preserve">ethod to </w:t>
      </w:r>
      <w:r w:rsidR="00B651BA">
        <w:rPr>
          <w:sz w:val="24"/>
          <w:szCs w:val="20"/>
        </w:rPr>
        <w:t>E</w:t>
      </w:r>
      <w:r w:rsidR="00B651BA" w:rsidRPr="00B651BA">
        <w:rPr>
          <w:sz w:val="24"/>
          <w:szCs w:val="20"/>
        </w:rPr>
        <w:t xml:space="preserve">nhance the </w:t>
      </w:r>
      <w:r w:rsidR="00B651BA">
        <w:rPr>
          <w:sz w:val="24"/>
          <w:szCs w:val="20"/>
        </w:rPr>
        <w:t>R</w:t>
      </w:r>
      <w:r w:rsidR="00B651BA" w:rsidRPr="00B651BA">
        <w:rPr>
          <w:sz w:val="24"/>
          <w:szCs w:val="20"/>
        </w:rPr>
        <w:t xml:space="preserve">esilience of </w:t>
      </w:r>
      <w:r w:rsidR="00B651BA">
        <w:rPr>
          <w:sz w:val="24"/>
          <w:szCs w:val="20"/>
        </w:rPr>
        <w:t>D</w:t>
      </w:r>
      <w:r w:rsidR="00B651BA" w:rsidRPr="00B651BA">
        <w:rPr>
          <w:sz w:val="24"/>
          <w:szCs w:val="20"/>
        </w:rPr>
        <w:t xml:space="preserve">istribution </w:t>
      </w:r>
      <w:r w:rsidR="00B651BA">
        <w:rPr>
          <w:sz w:val="24"/>
          <w:szCs w:val="20"/>
        </w:rPr>
        <w:t>N</w:t>
      </w:r>
      <w:r w:rsidR="00B651BA" w:rsidRPr="00B651BA">
        <w:rPr>
          <w:sz w:val="24"/>
          <w:szCs w:val="20"/>
        </w:rPr>
        <w:t xml:space="preserve">etworks </w:t>
      </w:r>
      <w:r w:rsidR="00B651BA">
        <w:rPr>
          <w:rFonts w:hint="eastAsia"/>
          <w:sz w:val="24"/>
          <w:szCs w:val="20"/>
        </w:rPr>
        <w:t>with</w:t>
      </w:r>
      <w:r w:rsidR="00B651BA">
        <w:rPr>
          <w:sz w:val="24"/>
          <w:szCs w:val="20"/>
        </w:rPr>
        <w:t xml:space="preserve"> MMG</w:t>
      </w:r>
    </w:p>
    <w:p w14:paraId="70B335CF" w14:textId="77777777" w:rsidR="00B651BA" w:rsidRPr="00B651BA" w:rsidRDefault="00B651BA" w:rsidP="001353F5">
      <w:pPr>
        <w:pStyle w:val="IETPaperTitle"/>
        <w:jc w:val="both"/>
        <w:rPr>
          <w:rFonts w:ascii="Arial" w:hAnsi="Arial" w:cs="Arial"/>
          <w:sz w:val="24"/>
          <w:szCs w:val="20"/>
        </w:rPr>
      </w:pPr>
    </w:p>
    <w:p w14:paraId="73BA6CF9" w14:textId="7F96919E" w:rsidR="001353F5" w:rsidRPr="00DF47DD" w:rsidRDefault="001353F5" w:rsidP="00691212">
      <w:pPr>
        <w:spacing w:line="360" w:lineRule="auto"/>
        <w:jc w:val="center"/>
        <w:rPr>
          <w:sz w:val="22"/>
          <w:szCs w:val="20"/>
        </w:rPr>
      </w:pPr>
      <w:proofErr w:type="spellStart"/>
      <w:r w:rsidRPr="00B065D6">
        <w:rPr>
          <w:sz w:val="22"/>
          <w:szCs w:val="20"/>
        </w:rPr>
        <w:t>Hongkun</w:t>
      </w:r>
      <w:proofErr w:type="spellEnd"/>
      <w:r w:rsidRPr="00B065D6">
        <w:rPr>
          <w:sz w:val="22"/>
          <w:szCs w:val="20"/>
        </w:rPr>
        <w:t xml:space="preserve"> Wang</w:t>
      </w:r>
      <w:r w:rsidR="00DF47DD" w:rsidRPr="00DF47DD">
        <w:rPr>
          <w:sz w:val="22"/>
          <w:szCs w:val="20"/>
          <w:vertAlign w:val="superscript"/>
        </w:rPr>
        <w:t>1</w:t>
      </w:r>
      <w:r w:rsidRPr="00B065D6">
        <w:rPr>
          <w:sz w:val="22"/>
          <w:szCs w:val="20"/>
        </w:rPr>
        <w:t xml:space="preserve">, </w:t>
      </w:r>
      <w:bookmarkStart w:id="0" w:name="_Hlk146192448"/>
      <w:bookmarkStart w:id="1" w:name="OLE_LINK5"/>
      <w:bookmarkStart w:id="2" w:name="OLE_LINK6"/>
      <w:proofErr w:type="spellStart"/>
      <w:r w:rsidR="00675AB8" w:rsidRPr="00B065D6">
        <w:rPr>
          <w:sz w:val="22"/>
          <w:szCs w:val="20"/>
        </w:rPr>
        <w:t>Yujie</w:t>
      </w:r>
      <w:proofErr w:type="spellEnd"/>
      <w:r w:rsidR="00675AB8" w:rsidRPr="00B065D6">
        <w:rPr>
          <w:sz w:val="22"/>
          <w:szCs w:val="20"/>
        </w:rPr>
        <w:t xml:space="preserve"> Gao</w:t>
      </w:r>
      <w:bookmarkEnd w:id="0"/>
      <w:r w:rsidR="00DF47DD" w:rsidRPr="00DF47DD">
        <w:rPr>
          <w:sz w:val="22"/>
          <w:szCs w:val="20"/>
          <w:vertAlign w:val="superscript"/>
        </w:rPr>
        <w:t>1</w:t>
      </w:r>
      <w:r w:rsidR="00675AB8" w:rsidRPr="00B065D6">
        <w:rPr>
          <w:sz w:val="22"/>
          <w:szCs w:val="20"/>
        </w:rPr>
        <w:t xml:space="preserve">, </w:t>
      </w:r>
      <w:bookmarkStart w:id="3" w:name="_Hlk146192418"/>
      <w:r w:rsidR="00675AB8" w:rsidRPr="00B065D6">
        <w:rPr>
          <w:sz w:val="22"/>
          <w:szCs w:val="20"/>
        </w:rPr>
        <w:t>H</w:t>
      </w:r>
      <w:r w:rsidR="00675AB8" w:rsidRPr="00B065D6">
        <w:rPr>
          <w:rFonts w:hint="eastAsia"/>
          <w:sz w:val="22"/>
          <w:szCs w:val="20"/>
        </w:rPr>
        <w:t>ong</w:t>
      </w:r>
      <w:r w:rsidRPr="00B065D6">
        <w:rPr>
          <w:rFonts w:hint="eastAsia"/>
          <w:sz w:val="22"/>
          <w:szCs w:val="20"/>
        </w:rPr>
        <w:t xml:space="preserve"> </w:t>
      </w:r>
      <w:bookmarkEnd w:id="1"/>
      <w:bookmarkEnd w:id="2"/>
      <w:r w:rsidR="00675AB8" w:rsidRPr="00B065D6">
        <w:rPr>
          <w:sz w:val="22"/>
          <w:szCs w:val="20"/>
        </w:rPr>
        <w:t>Zhang</w:t>
      </w:r>
      <w:bookmarkEnd w:id="3"/>
      <w:r w:rsidRPr="00404E04">
        <w:rPr>
          <w:sz w:val="22"/>
          <w:szCs w:val="20"/>
          <w:vertAlign w:val="superscript"/>
        </w:rPr>
        <w:t>*</w:t>
      </w:r>
      <w:r w:rsidR="00DF47DD">
        <w:rPr>
          <w:sz w:val="22"/>
          <w:szCs w:val="20"/>
          <w:vertAlign w:val="superscript"/>
        </w:rPr>
        <w:t>1</w:t>
      </w:r>
      <w:r w:rsidRPr="00B065D6">
        <w:rPr>
          <w:rFonts w:hint="eastAsia"/>
          <w:sz w:val="22"/>
          <w:szCs w:val="20"/>
        </w:rPr>
        <w:t>,</w:t>
      </w:r>
      <w:r w:rsidRPr="00B065D6">
        <w:rPr>
          <w:sz w:val="22"/>
          <w:szCs w:val="20"/>
        </w:rPr>
        <w:t xml:space="preserve"> </w:t>
      </w:r>
      <w:bookmarkStart w:id="4" w:name="_Hlk146192461"/>
      <w:r w:rsidR="00675AB8" w:rsidRPr="00B065D6">
        <w:rPr>
          <w:sz w:val="22"/>
          <w:szCs w:val="20"/>
        </w:rPr>
        <w:t>Dongmei Yan</w:t>
      </w:r>
      <w:bookmarkEnd w:id="4"/>
      <w:r w:rsidR="00DF47DD" w:rsidRPr="00DF47DD">
        <w:rPr>
          <w:sz w:val="22"/>
          <w:szCs w:val="20"/>
          <w:vertAlign w:val="superscript"/>
        </w:rPr>
        <w:t>1</w:t>
      </w:r>
      <w:r w:rsidRPr="00B065D6">
        <w:rPr>
          <w:sz w:val="22"/>
          <w:szCs w:val="20"/>
        </w:rPr>
        <w:t xml:space="preserve">, </w:t>
      </w:r>
      <w:bookmarkStart w:id="5" w:name="_Hlk146192470"/>
      <w:r w:rsidR="00A63573" w:rsidRPr="00B065D6">
        <w:rPr>
          <w:sz w:val="22"/>
          <w:szCs w:val="20"/>
        </w:rPr>
        <w:t>Hongwei Li</w:t>
      </w:r>
      <w:bookmarkEnd w:id="5"/>
      <w:r w:rsidR="00DF47DD" w:rsidRPr="00DF47DD">
        <w:rPr>
          <w:sz w:val="22"/>
          <w:szCs w:val="20"/>
          <w:vertAlign w:val="superscript"/>
        </w:rPr>
        <w:t>1</w:t>
      </w:r>
    </w:p>
    <w:p w14:paraId="51F38C22" w14:textId="04614A74" w:rsidR="001353F5" w:rsidRPr="00B065D6" w:rsidRDefault="00DF47DD" w:rsidP="00691212">
      <w:pPr>
        <w:spacing w:line="360" w:lineRule="auto"/>
        <w:jc w:val="center"/>
        <w:rPr>
          <w:sz w:val="20"/>
          <w:szCs w:val="20"/>
        </w:rPr>
      </w:pPr>
      <w:bookmarkStart w:id="6" w:name="OLE_LINK9"/>
      <w:bookmarkStart w:id="7" w:name="OLE_LINK10"/>
      <w:r>
        <w:rPr>
          <w:sz w:val="20"/>
          <w:szCs w:val="20"/>
        </w:rPr>
        <w:t xml:space="preserve">1 </w:t>
      </w:r>
      <w:r w:rsidR="001353F5" w:rsidRPr="00B065D6">
        <w:rPr>
          <w:sz w:val="20"/>
          <w:szCs w:val="20"/>
        </w:rPr>
        <w:t>College of Mechanical and Electrical Engineering</w:t>
      </w:r>
      <w:bookmarkEnd w:id="6"/>
      <w:bookmarkEnd w:id="7"/>
      <w:r w:rsidR="001353F5" w:rsidRPr="00B065D6">
        <w:rPr>
          <w:sz w:val="20"/>
          <w:szCs w:val="20"/>
        </w:rPr>
        <w:t xml:space="preserve">, </w:t>
      </w:r>
      <w:proofErr w:type="spellStart"/>
      <w:r w:rsidR="001353F5" w:rsidRPr="00B065D6">
        <w:rPr>
          <w:sz w:val="20"/>
          <w:szCs w:val="20"/>
        </w:rPr>
        <w:t>Shihezi</w:t>
      </w:r>
      <w:proofErr w:type="spellEnd"/>
      <w:r w:rsidR="001353F5" w:rsidRPr="00B065D6">
        <w:rPr>
          <w:sz w:val="20"/>
          <w:szCs w:val="20"/>
        </w:rPr>
        <w:t xml:space="preserve"> University, </w:t>
      </w:r>
      <w:proofErr w:type="spellStart"/>
      <w:r w:rsidR="001353F5" w:rsidRPr="00B065D6">
        <w:rPr>
          <w:sz w:val="20"/>
          <w:szCs w:val="20"/>
        </w:rPr>
        <w:t>Shihezi</w:t>
      </w:r>
      <w:proofErr w:type="spellEnd"/>
      <w:r w:rsidR="001353F5" w:rsidRPr="00B065D6">
        <w:rPr>
          <w:sz w:val="20"/>
          <w:szCs w:val="20"/>
        </w:rPr>
        <w:t xml:space="preserve">, </w:t>
      </w:r>
      <w:r w:rsidR="00047B59">
        <w:rPr>
          <w:sz w:val="20"/>
          <w:szCs w:val="20"/>
        </w:rPr>
        <w:t xml:space="preserve">832000, </w:t>
      </w:r>
      <w:r w:rsidR="001353F5" w:rsidRPr="00B065D6">
        <w:rPr>
          <w:sz w:val="20"/>
          <w:szCs w:val="20"/>
        </w:rPr>
        <w:t>China</w:t>
      </w:r>
    </w:p>
    <w:p w14:paraId="3810DD55" w14:textId="08365625" w:rsidR="001353F5" w:rsidRPr="00047B59" w:rsidRDefault="00DF47DD" w:rsidP="00691212">
      <w:pPr>
        <w:spacing w:line="360" w:lineRule="auto"/>
        <w:jc w:val="center"/>
        <w:rPr>
          <w:sz w:val="20"/>
          <w:szCs w:val="20"/>
        </w:rPr>
      </w:pPr>
      <w:r w:rsidRPr="00404E04">
        <w:rPr>
          <w:sz w:val="20"/>
          <w:szCs w:val="20"/>
        </w:rPr>
        <w:t>*</w:t>
      </w:r>
      <w:r>
        <w:rPr>
          <w:sz w:val="20"/>
          <w:szCs w:val="20"/>
        </w:rPr>
        <w:t xml:space="preserve"> </w:t>
      </w:r>
      <w:r w:rsidR="00A63573" w:rsidRPr="00404E04">
        <w:rPr>
          <w:b/>
          <w:bCs/>
          <w:sz w:val="20"/>
          <w:szCs w:val="20"/>
        </w:rPr>
        <w:t>Corresponding author</w:t>
      </w:r>
      <w:r w:rsidR="00A63573" w:rsidRPr="00B065D6">
        <w:rPr>
          <w:rFonts w:hint="eastAsia"/>
          <w:sz w:val="20"/>
          <w:szCs w:val="20"/>
        </w:rPr>
        <w:t>：</w:t>
      </w:r>
      <w:r>
        <w:fldChar w:fldCharType="begin"/>
      </w:r>
      <w:r>
        <w:instrText>HYPERLINK "mailto:zhanghong1802@163.com"</w:instrText>
      </w:r>
      <w:r>
        <w:fldChar w:fldCharType="separate"/>
      </w:r>
      <w:r w:rsidR="00A63573" w:rsidRPr="00047B59">
        <w:rPr>
          <w:rStyle w:val="ac"/>
          <w:color w:val="auto"/>
          <w:sz w:val="20"/>
          <w:szCs w:val="20"/>
          <w:u w:val="none"/>
        </w:rPr>
        <w:t>zhanghong1802@163.com</w:t>
      </w:r>
      <w:r>
        <w:rPr>
          <w:rStyle w:val="ac"/>
          <w:color w:val="auto"/>
          <w:sz w:val="20"/>
          <w:szCs w:val="20"/>
          <w:u w:val="none"/>
        </w:rPr>
        <w:fldChar w:fldCharType="end"/>
      </w:r>
      <w:r w:rsidR="00047B59" w:rsidRPr="00047B59">
        <w:rPr>
          <w:rStyle w:val="ac"/>
          <w:color w:val="auto"/>
          <w:sz w:val="20"/>
          <w:szCs w:val="20"/>
          <w:u w:val="none"/>
        </w:rPr>
        <w:t>;</w:t>
      </w:r>
      <w:r w:rsidR="00047B59">
        <w:rPr>
          <w:rStyle w:val="ac"/>
          <w:color w:val="auto"/>
          <w:sz w:val="20"/>
          <w:szCs w:val="20"/>
          <w:u w:val="none"/>
        </w:rPr>
        <w:t xml:space="preserve"> </w:t>
      </w:r>
      <w:r w:rsidR="00047B59" w:rsidRPr="00047B59">
        <w:rPr>
          <w:rStyle w:val="ac"/>
          <w:color w:val="auto"/>
          <w:sz w:val="20"/>
          <w:szCs w:val="20"/>
          <w:u w:val="none"/>
        </w:rPr>
        <w:t xml:space="preserve">No. 221, North 4th Road, </w:t>
      </w:r>
      <w:proofErr w:type="spellStart"/>
      <w:r w:rsidR="00047B59" w:rsidRPr="00047B59">
        <w:rPr>
          <w:rStyle w:val="ac"/>
          <w:color w:val="auto"/>
          <w:sz w:val="20"/>
          <w:szCs w:val="20"/>
          <w:u w:val="none"/>
        </w:rPr>
        <w:t>Shihezi</w:t>
      </w:r>
      <w:proofErr w:type="spellEnd"/>
      <w:r w:rsidR="00047B59" w:rsidRPr="00047B59">
        <w:rPr>
          <w:rStyle w:val="ac"/>
          <w:color w:val="auto"/>
          <w:sz w:val="20"/>
          <w:szCs w:val="20"/>
          <w:u w:val="none"/>
        </w:rPr>
        <w:t xml:space="preserve"> City, Xinjiang</w:t>
      </w:r>
    </w:p>
    <w:p w14:paraId="7A07D17A" w14:textId="7A78A85D" w:rsidR="00D41274" w:rsidRPr="00DF47DD" w:rsidRDefault="00DF47DD" w:rsidP="00DF47DD">
      <w:pPr>
        <w:jc w:val="both"/>
        <w:rPr>
          <w:sz w:val="20"/>
          <w:szCs w:val="20"/>
        </w:rPr>
      </w:pPr>
      <w:r w:rsidRPr="00DF47DD">
        <w:rPr>
          <w:b/>
          <w:bCs/>
          <w:sz w:val="20"/>
          <w:szCs w:val="20"/>
        </w:rPr>
        <w:t>Author Contributions:</w:t>
      </w:r>
      <w:r w:rsidR="000129DD">
        <w:t xml:space="preserve"> </w:t>
      </w:r>
      <w:proofErr w:type="spellStart"/>
      <w:r w:rsidR="00DB4EF9" w:rsidRPr="000129DD">
        <w:rPr>
          <w:sz w:val="20"/>
          <w:szCs w:val="20"/>
        </w:rPr>
        <w:t>Hongkun</w:t>
      </w:r>
      <w:proofErr w:type="spellEnd"/>
      <w:r w:rsidR="00DB4EF9" w:rsidRPr="000129DD">
        <w:rPr>
          <w:sz w:val="20"/>
          <w:szCs w:val="20"/>
        </w:rPr>
        <w:t xml:space="preserve"> Wang</w:t>
      </w:r>
      <w:r w:rsidR="00DB4EF9" w:rsidRPr="00DF47DD">
        <w:rPr>
          <w:sz w:val="20"/>
          <w:szCs w:val="20"/>
        </w:rPr>
        <w:t xml:space="preserve"> supervised the study, coordinated the investigations, and checked the manuscript’s logical structure. </w:t>
      </w:r>
      <w:proofErr w:type="spellStart"/>
      <w:r w:rsidR="00DB4EF9" w:rsidRPr="000129DD">
        <w:rPr>
          <w:sz w:val="20"/>
          <w:szCs w:val="20"/>
        </w:rPr>
        <w:t>Yujie</w:t>
      </w:r>
      <w:proofErr w:type="spellEnd"/>
      <w:r w:rsidR="00DB4EF9" w:rsidRPr="000129DD">
        <w:rPr>
          <w:sz w:val="20"/>
          <w:szCs w:val="20"/>
        </w:rPr>
        <w:t xml:space="preserve"> Gao</w:t>
      </w:r>
      <w:r w:rsidR="00DB4EF9" w:rsidRPr="00DF47DD">
        <w:rPr>
          <w:sz w:val="20"/>
          <w:szCs w:val="20"/>
        </w:rPr>
        <w:t xml:space="preserve"> validated the simulation and </w:t>
      </w:r>
      <w:r w:rsidR="00DB4EF9">
        <w:rPr>
          <w:sz w:val="20"/>
          <w:szCs w:val="20"/>
        </w:rPr>
        <w:t>d</w:t>
      </w:r>
      <w:r w:rsidR="00DB4EF9" w:rsidRPr="00695E42">
        <w:rPr>
          <w:sz w:val="20"/>
          <w:szCs w:val="20"/>
        </w:rPr>
        <w:t>ata curation</w:t>
      </w:r>
      <w:r w:rsidR="00DB4EF9" w:rsidRPr="00DF47DD">
        <w:rPr>
          <w:sz w:val="20"/>
          <w:szCs w:val="20"/>
        </w:rPr>
        <w:t>.</w:t>
      </w:r>
      <w:r w:rsidR="00DB4EF9">
        <w:rPr>
          <w:sz w:val="20"/>
          <w:szCs w:val="20"/>
        </w:rPr>
        <w:t xml:space="preserve"> </w:t>
      </w:r>
      <w:r w:rsidR="000129DD" w:rsidRPr="000129DD">
        <w:rPr>
          <w:sz w:val="20"/>
          <w:szCs w:val="20"/>
        </w:rPr>
        <w:t>Hong Zhang</w:t>
      </w:r>
      <w:r w:rsidRPr="00DF47DD">
        <w:rPr>
          <w:sz w:val="20"/>
          <w:szCs w:val="20"/>
        </w:rPr>
        <w:t xml:space="preserve"> wrote this article, designed the </w:t>
      </w:r>
      <w:r w:rsidR="00695E42">
        <w:rPr>
          <w:rFonts w:hint="eastAsia"/>
          <w:sz w:val="20"/>
          <w:szCs w:val="20"/>
        </w:rPr>
        <w:t>o</w:t>
      </w:r>
      <w:r w:rsidR="00695E42" w:rsidRPr="00695E42">
        <w:rPr>
          <w:sz w:val="20"/>
          <w:szCs w:val="20"/>
        </w:rPr>
        <w:t>ptimization methods</w:t>
      </w:r>
      <w:r w:rsidRPr="00DF47DD">
        <w:rPr>
          <w:sz w:val="20"/>
          <w:szCs w:val="20"/>
        </w:rPr>
        <w:t xml:space="preserve">, drew the figures, and performed the simulation as well as the </w:t>
      </w:r>
      <w:r w:rsidR="00695E42" w:rsidRPr="00695E42">
        <w:rPr>
          <w:sz w:val="20"/>
          <w:szCs w:val="20"/>
        </w:rPr>
        <w:t>calculus analysis</w:t>
      </w:r>
      <w:r w:rsidRPr="00DF47DD">
        <w:rPr>
          <w:sz w:val="20"/>
          <w:szCs w:val="20"/>
        </w:rPr>
        <w:t xml:space="preserve">. </w:t>
      </w:r>
      <w:r w:rsidR="000129DD" w:rsidRPr="000129DD">
        <w:rPr>
          <w:sz w:val="20"/>
          <w:szCs w:val="20"/>
        </w:rPr>
        <w:t>Dongmei Yan</w:t>
      </w:r>
      <w:r w:rsidRPr="00DF47DD">
        <w:rPr>
          <w:sz w:val="20"/>
          <w:szCs w:val="20"/>
        </w:rPr>
        <w:t xml:space="preserve"> reviewed the writing and editing. </w:t>
      </w:r>
      <w:r w:rsidR="000129DD" w:rsidRPr="000129DD">
        <w:rPr>
          <w:sz w:val="20"/>
          <w:szCs w:val="20"/>
        </w:rPr>
        <w:t>Hongwei Li</w:t>
      </w:r>
      <w:r w:rsidRPr="00DF47DD">
        <w:rPr>
          <w:sz w:val="20"/>
          <w:szCs w:val="20"/>
        </w:rPr>
        <w:t xml:space="preserve"> provided practical suggestions and evaluated the feasibility of the application. All authors have read and agreed to the published version of the manuscript.</w:t>
      </w:r>
    </w:p>
    <w:p w14:paraId="2EFB6152" w14:textId="77777777" w:rsidR="00441DB7" w:rsidRDefault="00DF47DD" w:rsidP="00114C16">
      <w:pPr>
        <w:jc w:val="both"/>
        <w:rPr>
          <w:sz w:val="20"/>
          <w:szCs w:val="20"/>
        </w:rPr>
      </w:pPr>
      <w:r w:rsidRPr="00DF47DD">
        <w:rPr>
          <w:b/>
          <w:bCs/>
          <w:sz w:val="20"/>
          <w:szCs w:val="20"/>
        </w:rPr>
        <w:t>Funding</w:t>
      </w:r>
      <w:r w:rsidRPr="00DF47DD">
        <w:rPr>
          <w:rFonts w:hint="eastAsia"/>
          <w:b/>
          <w:bCs/>
          <w:sz w:val="20"/>
          <w:szCs w:val="20"/>
        </w:rPr>
        <w:t>：</w:t>
      </w:r>
      <w:r w:rsidRPr="00DF47DD">
        <w:rPr>
          <w:rFonts w:hint="eastAsia"/>
          <w:sz w:val="20"/>
          <w:szCs w:val="20"/>
        </w:rPr>
        <w:t>This work was supported by Corps Key Laboratory Open Project of Modern Agricultural Machinery (XDNJ2022002)</w:t>
      </w:r>
      <w:r w:rsidRPr="00DF47DD">
        <w:rPr>
          <w:rFonts w:hint="eastAsia"/>
          <w:sz w:val="20"/>
          <w:szCs w:val="20"/>
        </w:rPr>
        <w:t>；</w:t>
      </w:r>
      <w:proofErr w:type="spellStart"/>
      <w:r w:rsidRPr="00DF47DD">
        <w:rPr>
          <w:rFonts w:hint="eastAsia"/>
          <w:sz w:val="20"/>
          <w:szCs w:val="20"/>
        </w:rPr>
        <w:t>Shihezi</w:t>
      </w:r>
      <w:proofErr w:type="spellEnd"/>
      <w:r w:rsidRPr="00DF47DD">
        <w:rPr>
          <w:rFonts w:hint="eastAsia"/>
          <w:sz w:val="20"/>
          <w:szCs w:val="20"/>
        </w:rPr>
        <w:t xml:space="preserve"> University Independent Project (ZZZC</w:t>
      </w:r>
      <w:proofErr w:type="gramStart"/>
      <w:r w:rsidRPr="00DF47DD">
        <w:rPr>
          <w:rFonts w:hint="eastAsia"/>
          <w:sz w:val="20"/>
          <w:szCs w:val="20"/>
        </w:rPr>
        <w:t>2022003;ZZZC</w:t>
      </w:r>
      <w:proofErr w:type="gramEnd"/>
      <w:r w:rsidRPr="00DF47DD">
        <w:rPr>
          <w:rFonts w:hint="eastAsia"/>
          <w:sz w:val="20"/>
          <w:szCs w:val="20"/>
        </w:rPr>
        <w:t>202107)</w:t>
      </w:r>
    </w:p>
    <w:p w14:paraId="04E534FB" w14:textId="0DCC428F" w:rsidR="00114C16" w:rsidRDefault="00114C16" w:rsidP="00114C16">
      <w:pPr>
        <w:jc w:val="both"/>
        <w:rPr>
          <w:sz w:val="20"/>
          <w:szCs w:val="20"/>
        </w:rPr>
      </w:pPr>
      <w:r w:rsidRPr="00114C16">
        <w:rPr>
          <w:b/>
          <w:bCs/>
          <w:sz w:val="20"/>
          <w:szCs w:val="20"/>
        </w:rPr>
        <w:t>Conflict of Interest statement</w:t>
      </w:r>
      <w:r>
        <w:rPr>
          <w:rFonts w:hint="eastAsia"/>
          <w:sz w:val="20"/>
          <w:szCs w:val="20"/>
        </w:rPr>
        <w:t>：</w:t>
      </w:r>
      <w:r w:rsidR="003E1F30" w:rsidRPr="00590038">
        <w:rPr>
          <w:sz w:val="20"/>
          <w:szCs w:val="20"/>
        </w:rPr>
        <w:t>The authors declare no conflict of interest.</w:t>
      </w:r>
    </w:p>
    <w:p w14:paraId="4F454D76" w14:textId="5B1980ED" w:rsidR="00114C16" w:rsidRDefault="00114C16" w:rsidP="00114C16">
      <w:pPr>
        <w:jc w:val="both"/>
        <w:rPr>
          <w:sz w:val="20"/>
          <w:szCs w:val="20"/>
        </w:rPr>
      </w:pPr>
      <w:r w:rsidRPr="00114C16">
        <w:rPr>
          <w:b/>
          <w:bCs/>
          <w:sz w:val="20"/>
          <w:szCs w:val="20"/>
        </w:rPr>
        <w:t>Permission to reproduce materials from other sources</w:t>
      </w:r>
      <w:r>
        <w:rPr>
          <w:rFonts w:hint="eastAsia"/>
          <w:sz w:val="20"/>
          <w:szCs w:val="20"/>
        </w:rPr>
        <w:t>：</w:t>
      </w:r>
      <w:r w:rsidR="000129DD" w:rsidRPr="000129DD">
        <w:rPr>
          <w:sz w:val="20"/>
          <w:szCs w:val="20"/>
        </w:rPr>
        <w:t>Not applicable.</w:t>
      </w:r>
    </w:p>
    <w:p w14:paraId="5B60A401" w14:textId="7022113B" w:rsidR="00114C16" w:rsidRPr="00590038" w:rsidRDefault="00114C16" w:rsidP="00114C16">
      <w:pPr>
        <w:jc w:val="both"/>
        <w:rPr>
          <w:sz w:val="20"/>
          <w:szCs w:val="20"/>
        </w:rPr>
      </w:pPr>
      <w:r w:rsidRPr="00114C16">
        <w:rPr>
          <w:b/>
          <w:bCs/>
          <w:sz w:val="20"/>
          <w:szCs w:val="20"/>
        </w:rPr>
        <w:t>Data Availability statement</w:t>
      </w:r>
      <w:r w:rsidRPr="00114C16">
        <w:rPr>
          <w:rFonts w:hint="eastAsia"/>
          <w:b/>
          <w:bCs/>
          <w:sz w:val="20"/>
          <w:szCs w:val="20"/>
        </w:rPr>
        <w:t>：</w:t>
      </w:r>
      <w:r w:rsidR="003E1F30" w:rsidRPr="00590038">
        <w:rPr>
          <w:sz w:val="20"/>
          <w:szCs w:val="20"/>
        </w:rPr>
        <w:t>Not applicable.</w:t>
      </w:r>
    </w:p>
    <w:p w14:paraId="77ED5734" w14:textId="77777777" w:rsidR="00114C16" w:rsidRDefault="00114C16" w:rsidP="00114C16">
      <w:pPr>
        <w:jc w:val="both"/>
        <w:rPr>
          <w:sz w:val="20"/>
          <w:szCs w:val="20"/>
        </w:rPr>
      </w:pPr>
    </w:p>
    <w:p w14:paraId="2033751E" w14:textId="2AE6962F" w:rsidR="00114C16" w:rsidRPr="00B065D6" w:rsidRDefault="00114C16" w:rsidP="00114C16">
      <w:pPr>
        <w:jc w:val="both"/>
        <w:rPr>
          <w:sz w:val="20"/>
          <w:szCs w:val="20"/>
        </w:rPr>
        <w:sectPr w:rsidR="00114C16" w:rsidRPr="00B065D6" w:rsidSect="00441DB7">
          <w:footerReference w:type="default" r:id="rId8"/>
          <w:pgSz w:w="11906" w:h="16838"/>
          <w:pgMar w:top="1440" w:right="1440" w:bottom="1440" w:left="1440" w:header="567" w:footer="0" w:gutter="0"/>
          <w:cols w:space="708"/>
          <w:docGrid w:linePitch="360"/>
        </w:sectPr>
      </w:pPr>
    </w:p>
    <w:p w14:paraId="7120D3AA" w14:textId="028B1BBB" w:rsidR="00D2572E" w:rsidRPr="00B065D6" w:rsidRDefault="00D41274" w:rsidP="00D15ADA">
      <w:pPr>
        <w:pStyle w:val="IETAbstractText"/>
        <w:jc w:val="both"/>
        <w:rPr>
          <w:sz w:val="20"/>
          <w:szCs w:val="20"/>
        </w:rPr>
      </w:pPr>
      <w:r w:rsidRPr="00B065D6">
        <w:rPr>
          <w:sz w:val="20"/>
          <w:szCs w:val="20"/>
        </w:rPr>
        <w:t>Ab</w:t>
      </w:r>
      <w:r w:rsidR="0064799C" w:rsidRPr="00B065D6">
        <w:rPr>
          <w:sz w:val="20"/>
          <w:szCs w:val="20"/>
        </w:rPr>
        <w:t>s</w:t>
      </w:r>
      <w:r w:rsidRPr="00B065D6">
        <w:rPr>
          <w:sz w:val="20"/>
          <w:szCs w:val="20"/>
        </w:rPr>
        <w:t>tract</w:t>
      </w:r>
      <w:r w:rsidR="005C79D2" w:rsidRPr="00B065D6">
        <w:rPr>
          <w:sz w:val="20"/>
          <w:szCs w:val="20"/>
        </w:rPr>
        <w:t>:</w:t>
      </w:r>
      <w:r w:rsidR="00D15ADA" w:rsidRPr="00B065D6">
        <w:rPr>
          <w:sz w:val="20"/>
          <w:szCs w:val="20"/>
        </w:rPr>
        <w:t xml:space="preserve"> </w:t>
      </w:r>
      <w:r w:rsidR="006C449C" w:rsidRPr="00B065D6">
        <w:rPr>
          <w:sz w:val="20"/>
          <w:szCs w:val="20"/>
        </w:rPr>
        <w:t>Resilience is one of the main features of smart distribution network, and a microgrid access to the distribution network provides an effective way to improve resilience. Microgrid and distribution network belong to different interests, so it is necessary to use price leverage to actively guide microgrid</w:t>
      </w:r>
      <w:r w:rsidR="0057024A" w:rsidRPr="00B065D6">
        <w:rPr>
          <w:sz w:val="20"/>
          <w:szCs w:val="20"/>
        </w:rPr>
        <w:t>s</w:t>
      </w:r>
      <w:r w:rsidR="006C449C" w:rsidRPr="00B065D6">
        <w:rPr>
          <w:sz w:val="20"/>
          <w:szCs w:val="20"/>
        </w:rPr>
        <w:t xml:space="preserve"> and flexible resources within microgrid to participate in post-disaster restoration of distribution network and enhance the resilience. Firstly, this paper </w:t>
      </w:r>
      <w:r w:rsidR="0057024A" w:rsidRPr="00B065D6">
        <w:rPr>
          <w:sz w:val="20"/>
          <w:szCs w:val="20"/>
        </w:rPr>
        <w:t xml:space="preserve">proposes </w:t>
      </w:r>
      <w:r w:rsidR="006C449C" w:rsidRPr="00B065D6">
        <w:rPr>
          <w:sz w:val="20"/>
          <w:szCs w:val="20"/>
        </w:rPr>
        <w:t xml:space="preserve">a dynamic restoration electricity price response mechanism for distribution network after extreme disasters and </w:t>
      </w:r>
      <w:r w:rsidR="0057024A" w:rsidRPr="00B065D6">
        <w:rPr>
          <w:sz w:val="20"/>
          <w:szCs w:val="20"/>
        </w:rPr>
        <w:t xml:space="preserve">constructs </w:t>
      </w:r>
      <w:r w:rsidR="006C449C" w:rsidRPr="00B065D6">
        <w:rPr>
          <w:sz w:val="20"/>
          <w:szCs w:val="20"/>
        </w:rPr>
        <w:t xml:space="preserve">a power response model for loads and electric vehicles within the microgrid. Secondly, the optimal scheduling model of distribution network with multiple-microgrid is proposed to improve the restoration rate of critical </w:t>
      </w:r>
      <w:proofErr w:type="gramStart"/>
      <w:r w:rsidR="006C449C" w:rsidRPr="00B065D6">
        <w:rPr>
          <w:sz w:val="20"/>
          <w:szCs w:val="20"/>
        </w:rPr>
        <w:t>loads</w:t>
      </w:r>
      <w:r w:rsidR="006E7644" w:rsidRPr="00B065D6">
        <w:rPr>
          <w:sz w:val="20"/>
          <w:szCs w:val="20"/>
        </w:rPr>
        <w:t>(</w:t>
      </w:r>
      <w:proofErr w:type="gramEnd"/>
      <w:r w:rsidR="006E7644" w:rsidRPr="00B065D6">
        <w:rPr>
          <w:sz w:val="20"/>
          <w:szCs w:val="20"/>
        </w:rPr>
        <w:t>RRCL)</w:t>
      </w:r>
      <w:r w:rsidR="006C449C" w:rsidRPr="00B065D6">
        <w:rPr>
          <w:sz w:val="20"/>
          <w:szCs w:val="20"/>
        </w:rPr>
        <w:t xml:space="preserve"> </w:t>
      </w:r>
      <w:r w:rsidR="00EB43AD" w:rsidRPr="00B065D6">
        <w:rPr>
          <w:sz w:val="20"/>
          <w:szCs w:val="20"/>
        </w:rPr>
        <w:t>in</w:t>
      </w:r>
      <w:r w:rsidR="006C449C" w:rsidRPr="00B065D6">
        <w:rPr>
          <w:sz w:val="20"/>
          <w:szCs w:val="20"/>
        </w:rPr>
        <w:t xml:space="preserve"> the distribution network. Single microgrid achieves the largest microgrid revenue and restoration contribution, and multi-microgrid uses the power headroom index to optimize the dynamic restoration electricity price to achieve the smallest power purchase cost of distribution network. Finally, the optimal scheduling method for resilience enhancement of distribution networks with MMG considering dynamic restoration electricity price response mechanism is validated by dual microgrid access to IEEE 33-node distribution system. The simulation results show that the proposed optimization method effectively improves the RRCL of distribution network.</w:t>
      </w:r>
    </w:p>
    <w:p w14:paraId="4F6650A9" w14:textId="08C2ED3C" w:rsidR="006067BA" w:rsidRDefault="001C1910" w:rsidP="001C1910">
      <w:pPr>
        <w:pStyle w:val="IETAbstractText"/>
        <w:jc w:val="both"/>
        <w:rPr>
          <w:rFonts w:hint="eastAsia"/>
          <w:sz w:val="20"/>
          <w:szCs w:val="20"/>
        </w:rPr>
      </w:pPr>
      <w:r>
        <w:rPr>
          <w:rFonts w:hint="eastAsia"/>
          <w:sz w:val="20"/>
          <w:szCs w:val="20"/>
        </w:rPr>
        <w:t>Key</w:t>
      </w:r>
      <w:r>
        <w:rPr>
          <w:sz w:val="20"/>
          <w:szCs w:val="20"/>
        </w:rPr>
        <w:t xml:space="preserve"> </w:t>
      </w:r>
      <w:r>
        <w:rPr>
          <w:rFonts w:hint="eastAsia"/>
          <w:sz w:val="20"/>
          <w:szCs w:val="20"/>
        </w:rPr>
        <w:t>word</w:t>
      </w:r>
      <w:r>
        <w:rPr>
          <w:sz w:val="20"/>
          <w:szCs w:val="20"/>
        </w:rPr>
        <w:t>: m</w:t>
      </w:r>
      <w:r w:rsidRPr="001C1910">
        <w:rPr>
          <w:sz w:val="20"/>
          <w:szCs w:val="20"/>
        </w:rPr>
        <w:t>ulti-microgrids; resilience; dynamic electricity price; restoration rate of critical loads; optimization scheduling</w:t>
      </w:r>
    </w:p>
    <w:p w14:paraId="3576BC68" w14:textId="77777777" w:rsidR="001C1910" w:rsidRDefault="001C1910" w:rsidP="001C1910"/>
    <w:p w14:paraId="2A1B8A34" w14:textId="77777777" w:rsidR="001C1910" w:rsidRPr="001C1910" w:rsidRDefault="001C1910" w:rsidP="001C1910">
      <w:pPr>
        <w:rPr>
          <w:rFonts w:hint="eastAsia"/>
        </w:rPr>
        <w:sectPr w:rsidR="001C1910" w:rsidRPr="001C1910" w:rsidSect="0066346B">
          <w:footerReference w:type="default" r:id="rId9"/>
          <w:type w:val="continuous"/>
          <w:pgSz w:w="11906" w:h="16838" w:code="9"/>
          <w:pgMar w:top="1077" w:right="811" w:bottom="2438" w:left="811" w:header="680" w:footer="850" w:gutter="0"/>
          <w:cols w:space="238"/>
          <w:docGrid w:linePitch="360"/>
        </w:sectPr>
      </w:pPr>
    </w:p>
    <w:p w14:paraId="7D91A3BC" w14:textId="38FCCFA2" w:rsidR="00E14E6A" w:rsidRPr="00B065D6" w:rsidRDefault="00E14E6A" w:rsidP="00CA1288">
      <w:pPr>
        <w:rPr>
          <w:b/>
          <w:sz w:val="20"/>
          <w:szCs w:val="20"/>
        </w:rPr>
      </w:pPr>
      <w:r w:rsidRPr="00B065D6">
        <w:rPr>
          <w:b/>
          <w:sz w:val="20"/>
          <w:szCs w:val="20"/>
        </w:rPr>
        <w:t>Nomenclature</w:t>
      </w:r>
    </w:p>
    <w:tbl>
      <w:tblPr>
        <w:tblW w:w="0" w:type="auto"/>
        <w:tblLook w:val="0000" w:firstRow="0" w:lastRow="0" w:firstColumn="0" w:lastColumn="0" w:noHBand="0" w:noVBand="0"/>
      </w:tblPr>
      <w:tblGrid>
        <w:gridCol w:w="1450"/>
        <w:gridCol w:w="3425"/>
      </w:tblGrid>
      <w:tr w:rsidR="00B065D6" w:rsidRPr="00B065D6" w14:paraId="11699834" w14:textId="77777777" w:rsidTr="00784F7D">
        <w:trPr>
          <w:trHeight w:val="20"/>
        </w:trPr>
        <w:tc>
          <w:tcPr>
            <w:tcW w:w="993" w:type="dxa"/>
            <w:vAlign w:val="center"/>
          </w:tcPr>
          <w:p w14:paraId="45330100" w14:textId="10102FC5" w:rsidR="003835D5" w:rsidRPr="00B065D6" w:rsidRDefault="00046147" w:rsidP="00784F7D">
            <w:pPr>
              <w:pStyle w:val="af9"/>
              <w:snapToGrid w:val="0"/>
              <w:ind w:firstLine="0"/>
              <w:jc w:val="center"/>
              <w:textAlignment w:val="center"/>
              <w:rPr>
                <w:rFonts w:ascii="Calibri" w:hAnsi="Calibri"/>
                <w:i/>
                <w:sz w:val="22"/>
              </w:rPr>
            </w:pPr>
            <w:r w:rsidRPr="00B065D6">
              <w:rPr>
                <w:i/>
                <w:iCs/>
                <w:position w:val="-12"/>
              </w:rPr>
              <w:t>P</w:t>
            </w:r>
            <w:r w:rsidRPr="00B065D6">
              <w:rPr>
                <w:i/>
                <w:iCs/>
                <w:position w:val="-12"/>
                <w:vertAlign w:val="subscript"/>
              </w:rPr>
              <w:t>HIM</w:t>
            </w:r>
          </w:p>
        </w:tc>
        <w:tc>
          <w:tcPr>
            <w:tcW w:w="3872" w:type="dxa"/>
            <w:vAlign w:val="center"/>
          </w:tcPr>
          <w:p w14:paraId="50BA2D53" w14:textId="7AA0B617" w:rsidR="003835D5" w:rsidRPr="00B065D6" w:rsidRDefault="003835D5" w:rsidP="00784F7D">
            <w:pPr>
              <w:pStyle w:val="af9"/>
              <w:snapToGrid w:val="0"/>
              <w:ind w:firstLine="0"/>
              <w:jc w:val="center"/>
              <w:rPr>
                <w:rFonts w:ascii="Calibri" w:hAnsi="Calibri"/>
                <w:i/>
                <w:sz w:val="22"/>
              </w:rPr>
            </w:pPr>
            <w:r w:rsidRPr="00B065D6">
              <w:t>the</w:t>
            </w:r>
            <w:r w:rsidR="008C74B2" w:rsidRPr="00B065D6">
              <w:t xml:space="preserve"> PHI of MMG</w:t>
            </w:r>
          </w:p>
        </w:tc>
      </w:tr>
      <w:tr w:rsidR="00B065D6" w:rsidRPr="00B065D6" w14:paraId="1900BD5E" w14:textId="77777777" w:rsidTr="00784F7D">
        <w:trPr>
          <w:trHeight w:val="20"/>
        </w:trPr>
        <w:tc>
          <w:tcPr>
            <w:tcW w:w="993" w:type="dxa"/>
            <w:vAlign w:val="center"/>
          </w:tcPr>
          <w:p w14:paraId="1B00CE92" w14:textId="00FD167F" w:rsidR="003835D5" w:rsidRPr="00B065D6" w:rsidRDefault="00046147" w:rsidP="00784F7D">
            <w:pPr>
              <w:pStyle w:val="af9"/>
              <w:snapToGrid w:val="0"/>
              <w:ind w:firstLine="0"/>
              <w:jc w:val="center"/>
              <w:rPr>
                <w:i/>
              </w:rPr>
            </w:pPr>
            <w:r w:rsidRPr="00B065D6">
              <w:rPr>
                <w:position w:val="-12"/>
              </w:rPr>
              <w:object w:dxaOrig="439" w:dyaOrig="379" w14:anchorId="44F145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1" o:spid="_x0000_i1025" type="#_x0000_t75" style="width:18.85pt;height:15.85pt;mso-position-horizontal-relative:page;mso-position-vertical-relative:page" o:ole="">
                  <v:imagedata r:id="rId10" o:title=""/>
                </v:shape>
                <o:OLEObject Type="Embed" ProgID="Equation.DSMT4" ShapeID="Object 11" DrawAspect="Content" ObjectID="_1758727452" r:id="rId11"/>
              </w:object>
            </w:r>
          </w:p>
        </w:tc>
        <w:tc>
          <w:tcPr>
            <w:tcW w:w="3872" w:type="dxa"/>
            <w:vAlign w:val="center"/>
          </w:tcPr>
          <w:p w14:paraId="09017C0D" w14:textId="6CD77B38" w:rsidR="003835D5" w:rsidRPr="00B065D6" w:rsidRDefault="00046147" w:rsidP="00784F7D">
            <w:pPr>
              <w:pStyle w:val="af9"/>
              <w:snapToGrid w:val="0"/>
              <w:ind w:firstLine="0"/>
              <w:jc w:val="center"/>
            </w:pPr>
            <w:r w:rsidRPr="00B065D6">
              <w:t>the critical load expectation value of NPF</w:t>
            </w:r>
          </w:p>
        </w:tc>
      </w:tr>
      <w:tr w:rsidR="00B065D6" w:rsidRPr="00B065D6" w14:paraId="0DDC3CD0" w14:textId="77777777" w:rsidTr="00784F7D">
        <w:trPr>
          <w:trHeight w:val="20"/>
        </w:trPr>
        <w:tc>
          <w:tcPr>
            <w:tcW w:w="993" w:type="dxa"/>
            <w:vAlign w:val="center"/>
          </w:tcPr>
          <w:p w14:paraId="4C6D6CEE" w14:textId="4E98FB37" w:rsidR="003835D5" w:rsidRPr="00B065D6" w:rsidRDefault="00784F7D" w:rsidP="00784F7D">
            <w:pPr>
              <w:pStyle w:val="af9"/>
              <w:snapToGrid w:val="0"/>
              <w:ind w:firstLine="0"/>
              <w:jc w:val="center"/>
              <w:rPr>
                <w:rFonts w:ascii="Calibri" w:hAnsi="Calibri"/>
                <w:i/>
                <w:sz w:val="22"/>
              </w:rPr>
            </w:pPr>
            <w:r w:rsidRPr="00B065D6">
              <w:rPr>
                <w:rFonts w:ascii="Times New Roman" w:hAnsi="Times New Roman"/>
                <w:position w:val="-12"/>
              </w:rPr>
              <w:object w:dxaOrig="599" w:dyaOrig="379" w14:anchorId="0F0ACC81">
                <v:shape id="Object 16" o:spid="_x0000_i1026" type="#_x0000_t75" style="width:23.15pt;height:15pt;mso-position-horizontal-relative:page;mso-position-vertical-relative:page" o:ole="">
                  <v:imagedata r:id="rId12" o:title=""/>
                </v:shape>
                <o:OLEObject Type="Embed" ProgID="Equation.DSMT4" ShapeID="Object 16" DrawAspect="Content" ObjectID="_1758727453" r:id="rId13"/>
              </w:object>
            </w:r>
          </w:p>
        </w:tc>
        <w:tc>
          <w:tcPr>
            <w:tcW w:w="3872" w:type="dxa"/>
            <w:vAlign w:val="center"/>
          </w:tcPr>
          <w:p w14:paraId="1CF8BFA1" w14:textId="6734DDBD" w:rsidR="003835D5" w:rsidRPr="00B065D6" w:rsidRDefault="00241D6F" w:rsidP="00784F7D">
            <w:pPr>
              <w:pStyle w:val="af9"/>
              <w:snapToGrid w:val="0"/>
              <w:ind w:firstLine="0"/>
              <w:jc w:val="center"/>
              <w:rPr>
                <w:rFonts w:ascii="Calibri" w:hAnsi="Calibri"/>
                <w:i/>
                <w:sz w:val="22"/>
              </w:rPr>
            </w:pPr>
            <w:r w:rsidRPr="00B065D6">
              <w:rPr>
                <w:rFonts w:ascii="Times New Roman" w:hAnsi="Times New Roman"/>
              </w:rPr>
              <w:t xml:space="preserve">the total load power at time </w:t>
            </w:r>
            <w:r w:rsidRPr="00B065D6">
              <w:rPr>
                <w:rFonts w:ascii="Times New Roman" w:hAnsi="Times New Roman"/>
                <w:i/>
                <w:iCs/>
              </w:rPr>
              <w:t>t</w:t>
            </w:r>
            <w:r w:rsidRPr="00B065D6">
              <w:rPr>
                <w:rFonts w:ascii="Times New Roman" w:hAnsi="Times New Roman"/>
              </w:rPr>
              <w:t xml:space="preserve"> of the </w:t>
            </w:r>
            <w:proofErr w:type="spellStart"/>
            <w:r w:rsidRPr="00B065D6">
              <w:rPr>
                <w:rFonts w:ascii="Times New Roman" w:hAnsi="Times New Roman"/>
                <w:i/>
                <w:iCs/>
              </w:rPr>
              <w:t>m</w:t>
            </w:r>
            <w:r w:rsidRPr="00B065D6">
              <w:rPr>
                <w:rFonts w:ascii="Times New Roman" w:hAnsi="Times New Roman"/>
              </w:rPr>
              <w:t>th</w:t>
            </w:r>
            <w:proofErr w:type="spellEnd"/>
            <w:r w:rsidRPr="00B065D6">
              <w:rPr>
                <w:rFonts w:ascii="Times New Roman" w:hAnsi="Times New Roman"/>
              </w:rPr>
              <w:t xml:space="preserve"> microgrid</w:t>
            </w:r>
          </w:p>
        </w:tc>
      </w:tr>
      <w:tr w:rsidR="00B065D6" w:rsidRPr="00B065D6" w14:paraId="0940B63E" w14:textId="77777777" w:rsidTr="00784F7D">
        <w:trPr>
          <w:trHeight w:val="20"/>
        </w:trPr>
        <w:tc>
          <w:tcPr>
            <w:tcW w:w="993" w:type="dxa"/>
            <w:vAlign w:val="center"/>
          </w:tcPr>
          <w:p w14:paraId="5515A950" w14:textId="70104ABC" w:rsidR="003835D5" w:rsidRPr="00B065D6" w:rsidRDefault="00784F7D" w:rsidP="00784F7D">
            <w:pPr>
              <w:pStyle w:val="af9"/>
              <w:snapToGrid w:val="0"/>
              <w:ind w:firstLine="0"/>
              <w:jc w:val="center"/>
              <w:rPr>
                <w:rFonts w:ascii="Calibri" w:hAnsi="Calibri"/>
                <w:sz w:val="22"/>
              </w:rPr>
            </w:pPr>
            <w:r w:rsidRPr="00B065D6">
              <w:rPr>
                <w:position w:val="-12"/>
              </w:rPr>
              <w:object w:dxaOrig="519" w:dyaOrig="379" w14:anchorId="6EA8D9C0">
                <v:shape id="Object 17" o:spid="_x0000_i1027" type="#_x0000_t75" style="width:18.85pt;height:15pt;mso-position-horizontal-relative:page;mso-position-vertical-relative:page" o:ole="">
                  <v:imagedata r:id="rId14" o:title=""/>
                </v:shape>
                <o:OLEObject Type="Embed" ProgID="Equation.DSMT4" ShapeID="Object 17" DrawAspect="Content" ObjectID="_1758727454" r:id="rId15"/>
              </w:object>
            </w:r>
          </w:p>
        </w:tc>
        <w:tc>
          <w:tcPr>
            <w:tcW w:w="3872" w:type="dxa"/>
            <w:vAlign w:val="center"/>
          </w:tcPr>
          <w:p w14:paraId="3B0D5348" w14:textId="0434D09C" w:rsidR="003835D5" w:rsidRPr="00B065D6" w:rsidRDefault="00241D6F" w:rsidP="00784F7D">
            <w:pPr>
              <w:pStyle w:val="af9"/>
              <w:snapToGrid w:val="0"/>
              <w:ind w:firstLine="0"/>
              <w:jc w:val="center"/>
              <w:rPr>
                <w:rFonts w:ascii="Calibri" w:hAnsi="Calibri"/>
                <w:sz w:val="22"/>
              </w:rPr>
            </w:pPr>
            <w:r w:rsidRPr="00B065D6">
              <w:rPr>
                <w:rFonts w:ascii="Times New Roman" w:hAnsi="Times New Roman"/>
              </w:rPr>
              <w:t>the interruptible load power</w:t>
            </w:r>
          </w:p>
        </w:tc>
      </w:tr>
      <w:tr w:rsidR="00B065D6" w:rsidRPr="00B065D6" w14:paraId="55A2A26A" w14:textId="77777777" w:rsidTr="00784F7D">
        <w:trPr>
          <w:trHeight w:val="20"/>
        </w:trPr>
        <w:tc>
          <w:tcPr>
            <w:tcW w:w="993" w:type="dxa"/>
            <w:vAlign w:val="center"/>
          </w:tcPr>
          <w:p w14:paraId="129C2E23" w14:textId="76A8A218" w:rsidR="003835D5" w:rsidRPr="00B065D6" w:rsidRDefault="00784F7D" w:rsidP="00784F7D">
            <w:pPr>
              <w:pStyle w:val="af9"/>
              <w:snapToGrid w:val="0"/>
              <w:ind w:firstLine="0"/>
              <w:jc w:val="center"/>
              <w:rPr>
                <w:iCs/>
              </w:rPr>
            </w:pPr>
            <w:r w:rsidRPr="00B065D6">
              <w:rPr>
                <w:position w:val="-12"/>
              </w:rPr>
              <w:object w:dxaOrig="559" w:dyaOrig="379" w14:anchorId="091D8DA2">
                <v:shape id="Object 18" o:spid="_x0000_i1028" type="#_x0000_t75" style="width:21.45pt;height:16.7pt;mso-position-horizontal-relative:page;mso-position-vertical-relative:page" o:ole="">
                  <v:imagedata r:id="rId16" o:title=""/>
                </v:shape>
                <o:OLEObject Type="Embed" ProgID="Equation.DSMT4" ShapeID="Object 18" DrawAspect="Content" ObjectID="_1758727455" r:id="rId17"/>
              </w:object>
            </w:r>
          </w:p>
        </w:tc>
        <w:tc>
          <w:tcPr>
            <w:tcW w:w="3872" w:type="dxa"/>
            <w:vAlign w:val="center"/>
          </w:tcPr>
          <w:p w14:paraId="0CA29E61" w14:textId="12A18426" w:rsidR="003835D5" w:rsidRPr="00B065D6" w:rsidRDefault="00621C18" w:rsidP="00784F7D">
            <w:pPr>
              <w:pStyle w:val="af9"/>
              <w:snapToGrid w:val="0"/>
              <w:ind w:firstLine="0"/>
              <w:jc w:val="center"/>
              <w:rPr>
                <w:rFonts w:ascii="Calibri" w:hAnsi="Calibri"/>
                <w:sz w:val="22"/>
              </w:rPr>
            </w:pPr>
            <w:r w:rsidRPr="00B065D6">
              <w:rPr>
                <w:rFonts w:ascii="Times New Roman" w:hAnsi="Times New Roman"/>
              </w:rPr>
              <w:t>the emergency regulation load power</w:t>
            </w:r>
          </w:p>
        </w:tc>
      </w:tr>
      <w:tr w:rsidR="00B065D6" w:rsidRPr="00B065D6" w14:paraId="351D205D" w14:textId="77777777" w:rsidTr="00784F7D">
        <w:trPr>
          <w:trHeight w:val="20"/>
        </w:trPr>
        <w:tc>
          <w:tcPr>
            <w:tcW w:w="993" w:type="dxa"/>
            <w:vAlign w:val="center"/>
          </w:tcPr>
          <w:p w14:paraId="5B3D98AB" w14:textId="1F34392F" w:rsidR="003835D5" w:rsidRPr="00B065D6" w:rsidRDefault="00784F7D" w:rsidP="00784F7D">
            <w:pPr>
              <w:pStyle w:val="af9"/>
              <w:snapToGrid w:val="0"/>
              <w:ind w:firstLine="0"/>
              <w:jc w:val="center"/>
              <w:rPr>
                <w:iCs/>
              </w:rPr>
            </w:pPr>
            <w:r w:rsidRPr="00B065D6">
              <w:rPr>
                <w:position w:val="-12"/>
              </w:rPr>
              <w:object w:dxaOrig="639" w:dyaOrig="379" w14:anchorId="3F8E65C5">
                <v:shape id="Object 19" o:spid="_x0000_i1029" type="#_x0000_t75" style="width:24pt;height:15.85pt;mso-position-horizontal-relative:page;mso-position-vertical-relative:page" o:ole="">
                  <v:imagedata r:id="rId18" o:title=""/>
                </v:shape>
                <o:OLEObject Type="Embed" ProgID="Equation.DSMT4" ShapeID="Object 19" DrawAspect="Content" ObjectID="_1758727456" r:id="rId19"/>
              </w:object>
            </w:r>
          </w:p>
        </w:tc>
        <w:tc>
          <w:tcPr>
            <w:tcW w:w="3872" w:type="dxa"/>
            <w:vAlign w:val="center"/>
          </w:tcPr>
          <w:p w14:paraId="6516C1FE" w14:textId="5B882A2B" w:rsidR="003835D5" w:rsidRPr="00B065D6" w:rsidRDefault="002C11D3" w:rsidP="00784F7D">
            <w:pPr>
              <w:pStyle w:val="af9"/>
              <w:snapToGrid w:val="0"/>
              <w:ind w:firstLine="0"/>
              <w:jc w:val="center"/>
              <w:rPr>
                <w:rFonts w:ascii="Calibri" w:hAnsi="Calibri"/>
                <w:sz w:val="22"/>
              </w:rPr>
            </w:pPr>
            <w:r w:rsidRPr="00B065D6">
              <w:rPr>
                <w:shd w:val="clear" w:color="auto" w:fill="FFFFFF"/>
              </w:rPr>
              <w:t>the actual load demand power</w:t>
            </w:r>
          </w:p>
        </w:tc>
      </w:tr>
      <w:tr w:rsidR="00B065D6" w:rsidRPr="00B065D6" w14:paraId="1DA99B80" w14:textId="77777777" w:rsidTr="00784F7D">
        <w:trPr>
          <w:trHeight w:val="20"/>
        </w:trPr>
        <w:tc>
          <w:tcPr>
            <w:tcW w:w="993" w:type="dxa"/>
            <w:vAlign w:val="center"/>
          </w:tcPr>
          <w:p w14:paraId="396F69A0" w14:textId="4ED0AC70" w:rsidR="003835D5" w:rsidRPr="00B065D6" w:rsidRDefault="00784F7D" w:rsidP="00784F7D">
            <w:pPr>
              <w:pStyle w:val="af9"/>
              <w:snapToGrid w:val="0"/>
              <w:ind w:firstLine="0"/>
              <w:jc w:val="center"/>
              <w:rPr>
                <w:iCs/>
              </w:rPr>
            </w:pPr>
            <w:r w:rsidRPr="00B065D6">
              <w:rPr>
                <w:position w:val="-12"/>
              </w:rPr>
              <w:object w:dxaOrig="599" w:dyaOrig="379" w14:anchorId="2D33F5A1">
                <v:shape id="Object 20" o:spid="_x0000_i1030" type="#_x0000_t75" style="width:24.45pt;height:15.85pt;mso-position-horizontal-relative:page;mso-position-vertical-relative:page" o:ole="">
                  <v:imagedata r:id="rId20" o:title=""/>
                </v:shape>
                <o:OLEObject Type="Embed" ProgID="Equation.DSMT4" ShapeID="Object 20" DrawAspect="Content" ObjectID="_1758727457" r:id="rId21"/>
              </w:object>
            </w:r>
          </w:p>
        </w:tc>
        <w:tc>
          <w:tcPr>
            <w:tcW w:w="3872" w:type="dxa"/>
            <w:vAlign w:val="center"/>
          </w:tcPr>
          <w:p w14:paraId="0233F0CD" w14:textId="3F9904BD" w:rsidR="003835D5" w:rsidRPr="00B065D6" w:rsidRDefault="002C11D3" w:rsidP="00784F7D">
            <w:pPr>
              <w:pStyle w:val="af9"/>
              <w:snapToGrid w:val="0"/>
              <w:ind w:firstLine="0"/>
              <w:jc w:val="center"/>
            </w:pPr>
            <w:r w:rsidRPr="00B065D6">
              <w:rPr>
                <w:rFonts w:ascii="Times New Roman" w:hAnsi="Times New Roman"/>
              </w:rPr>
              <w:t>the critical load power</w:t>
            </w:r>
          </w:p>
        </w:tc>
      </w:tr>
      <w:tr w:rsidR="00B065D6" w:rsidRPr="00B065D6" w14:paraId="4944B66D" w14:textId="77777777" w:rsidTr="00784F7D">
        <w:trPr>
          <w:trHeight w:val="20"/>
        </w:trPr>
        <w:tc>
          <w:tcPr>
            <w:tcW w:w="993" w:type="dxa"/>
            <w:vAlign w:val="center"/>
          </w:tcPr>
          <w:p w14:paraId="0EBF4BBB" w14:textId="7C654DD6" w:rsidR="003835D5" w:rsidRPr="00B065D6" w:rsidRDefault="002C11D3" w:rsidP="00784F7D">
            <w:pPr>
              <w:pStyle w:val="af9"/>
              <w:snapToGrid w:val="0"/>
              <w:ind w:firstLine="0"/>
              <w:jc w:val="center"/>
              <w:rPr>
                <w:rFonts w:ascii="Calibri" w:hAnsi="Calibri"/>
                <w:iCs/>
                <w:sz w:val="22"/>
              </w:rPr>
            </w:pPr>
            <w:r w:rsidRPr="00B065D6">
              <w:rPr>
                <w:position w:val="-12"/>
              </w:rPr>
              <w:object w:dxaOrig="419" w:dyaOrig="379" w14:anchorId="0EA4D6EA">
                <v:shape id="Object 21" o:spid="_x0000_i1031" type="#_x0000_t75" style="width:14.15pt;height:14.15pt;mso-position-horizontal-relative:page;mso-position-vertical-relative:page" o:ole="">
                  <v:imagedata r:id="rId22" o:title=""/>
                </v:shape>
                <o:OLEObject Type="Embed" ProgID="Equation.DSMT4" ShapeID="Object 21" DrawAspect="Content" ObjectID="_1758727458" r:id="rId23"/>
              </w:object>
            </w:r>
            <w:r w:rsidR="001526E0" w:rsidRPr="00B065D6">
              <w:rPr>
                <w:rFonts w:hint="eastAsia"/>
                <w:lang w:eastAsia="zh-CN"/>
              </w:rPr>
              <w:t>,</w:t>
            </w:r>
            <w:r w:rsidRPr="00B065D6">
              <w:rPr>
                <w:position w:val="-12"/>
              </w:rPr>
              <w:object w:dxaOrig="439" w:dyaOrig="379" w14:anchorId="49FED3C3">
                <v:shape id="Object 22" o:spid="_x0000_i1032" type="#_x0000_t75" style="width:14.55pt;height:14.55pt;mso-position-horizontal-relative:page;mso-position-vertical-relative:page" o:ole="">
                  <v:imagedata r:id="rId24" o:title=""/>
                </v:shape>
                <o:OLEObject Type="Embed" ProgID="Equation.DSMT4" ShapeID="Object 22" DrawAspect="Content" ObjectID="_1758727459" r:id="rId25"/>
              </w:object>
            </w:r>
          </w:p>
        </w:tc>
        <w:tc>
          <w:tcPr>
            <w:tcW w:w="3872" w:type="dxa"/>
            <w:vAlign w:val="center"/>
          </w:tcPr>
          <w:p w14:paraId="5BC90153" w14:textId="4AD9F25E" w:rsidR="003835D5" w:rsidRPr="00B065D6" w:rsidRDefault="002C11D3" w:rsidP="00784F7D">
            <w:pPr>
              <w:pStyle w:val="af9"/>
              <w:snapToGrid w:val="0"/>
              <w:ind w:firstLine="0"/>
              <w:jc w:val="center"/>
              <w:rPr>
                <w:rFonts w:ascii="Calibri" w:hAnsi="Calibri"/>
                <w:sz w:val="22"/>
                <w:lang w:eastAsia="zh-CN"/>
              </w:rPr>
            </w:pPr>
            <w:r w:rsidRPr="00B065D6">
              <w:t>the control variables of interruptible load and emergency regulation load</w:t>
            </w:r>
          </w:p>
        </w:tc>
      </w:tr>
      <w:tr w:rsidR="00B065D6" w:rsidRPr="00B065D6" w14:paraId="19BD7869" w14:textId="77777777" w:rsidTr="00784F7D">
        <w:trPr>
          <w:trHeight w:val="20"/>
        </w:trPr>
        <w:tc>
          <w:tcPr>
            <w:tcW w:w="993" w:type="dxa"/>
            <w:vAlign w:val="center"/>
          </w:tcPr>
          <w:p w14:paraId="6C17554D" w14:textId="21B9B043" w:rsidR="003835D5" w:rsidRPr="00B065D6" w:rsidRDefault="00FD67B3" w:rsidP="00784F7D">
            <w:pPr>
              <w:pStyle w:val="af9"/>
              <w:snapToGrid w:val="0"/>
              <w:ind w:firstLine="0"/>
              <w:jc w:val="center"/>
              <w:rPr>
                <w:iCs/>
              </w:rPr>
            </w:pPr>
            <w:r w:rsidRPr="00B065D6">
              <w:rPr>
                <w:position w:val="-12"/>
              </w:rPr>
              <w:object w:dxaOrig="1199" w:dyaOrig="379" w14:anchorId="343D3957">
                <v:shape id="Object 30" o:spid="_x0000_i1033" type="#_x0000_t75" style="width:43.3pt;height:14.55pt;mso-wrap-style:square;mso-position-horizontal-relative:page;mso-position-vertical-relative:page" o:ole="">
                  <v:imagedata r:id="rId26" o:title=""/>
                </v:shape>
                <o:OLEObject Type="Embed" ProgID="Equation.DSMT4" ShapeID="Object 30" DrawAspect="Content" ObjectID="_1758727460" r:id="rId27"/>
              </w:object>
            </w:r>
          </w:p>
        </w:tc>
        <w:tc>
          <w:tcPr>
            <w:tcW w:w="3872" w:type="dxa"/>
            <w:vAlign w:val="center"/>
          </w:tcPr>
          <w:p w14:paraId="563065C7" w14:textId="6ADBA423" w:rsidR="003835D5" w:rsidRPr="00B065D6" w:rsidRDefault="00FD67B3" w:rsidP="00784F7D">
            <w:pPr>
              <w:pStyle w:val="af9"/>
              <w:snapToGrid w:val="0"/>
              <w:ind w:firstLine="0"/>
              <w:jc w:val="center"/>
            </w:pPr>
            <w:r w:rsidRPr="00B065D6">
              <w:t>the charge satisfaction indices</w:t>
            </w:r>
          </w:p>
        </w:tc>
      </w:tr>
      <w:tr w:rsidR="00B065D6" w:rsidRPr="00B065D6" w14:paraId="532AA712" w14:textId="77777777" w:rsidTr="00784F7D">
        <w:trPr>
          <w:trHeight w:val="20"/>
        </w:trPr>
        <w:tc>
          <w:tcPr>
            <w:tcW w:w="993" w:type="dxa"/>
            <w:vAlign w:val="center"/>
          </w:tcPr>
          <w:p w14:paraId="14C103F4" w14:textId="2E382A7D" w:rsidR="003835D5" w:rsidRPr="00B065D6" w:rsidRDefault="00784F7D" w:rsidP="00784F7D">
            <w:pPr>
              <w:pStyle w:val="af9"/>
              <w:snapToGrid w:val="0"/>
              <w:ind w:firstLine="0"/>
              <w:jc w:val="center"/>
            </w:pPr>
            <w:r w:rsidRPr="00B065D6">
              <w:rPr>
                <w:position w:val="-12"/>
              </w:rPr>
              <w:object w:dxaOrig="1219" w:dyaOrig="379" w14:anchorId="51E97487">
                <v:shape id="Object 31" o:spid="_x0000_i1034" type="#_x0000_t75" style="width:40.7pt;height:13.7pt;mso-wrap-style:square;mso-position-horizontal-relative:page;mso-position-vertical-relative:page" o:ole="">
                  <v:imagedata r:id="rId28" o:title=""/>
                </v:shape>
                <o:OLEObject Type="Embed" ProgID="Equation.DSMT4" ShapeID="Object 31" DrawAspect="Content" ObjectID="_1758727461" r:id="rId29"/>
              </w:object>
            </w:r>
          </w:p>
        </w:tc>
        <w:tc>
          <w:tcPr>
            <w:tcW w:w="3872" w:type="dxa"/>
            <w:vAlign w:val="center"/>
          </w:tcPr>
          <w:p w14:paraId="4BC156C5" w14:textId="41B8B08F" w:rsidR="003835D5" w:rsidRPr="00B065D6" w:rsidRDefault="00784F7D" w:rsidP="00784F7D">
            <w:pPr>
              <w:pStyle w:val="af9"/>
              <w:snapToGrid w:val="0"/>
              <w:ind w:firstLine="0"/>
              <w:jc w:val="center"/>
            </w:pPr>
            <w:r w:rsidRPr="00B065D6">
              <w:rPr>
                <w:lang w:eastAsia="zh-CN"/>
              </w:rPr>
              <w:t xml:space="preserve">the </w:t>
            </w:r>
            <w:r w:rsidRPr="00B065D6">
              <w:t>discharge satisfaction indices</w:t>
            </w:r>
          </w:p>
        </w:tc>
      </w:tr>
      <w:tr w:rsidR="00B065D6" w:rsidRPr="00B065D6" w14:paraId="0727F8CB" w14:textId="77777777" w:rsidTr="00784F7D">
        <w:trPr>
          <w:trHeight w:val="20"/>
        </w:trPr>
        <w:tc>
          <w:tcPr>
            <w:tcW w:w="993" w:type="dxa"/>
            <w:vAlign w:val="center"/>
          </w:tcPr>
          <w:p w14:paraId="26583FC6" w14:textId="60E92110" w:rsidR="003835D5" w:rsidRPr="00B065D6" w:rsidRDefault="00D35B26" w:rsidP="00784F7D">
            <w:pPr>
              <w:pStyle w:val="af9"/>
              <w:snapToGrid w:val="0"/>
              <w:ind w:firstLine="0"/>
              <w:jc w:val="center"/>
              <w:rPr>
                <w:lang w:eastAsia="zh-CN"/>
              </w:rPr>
            </w:pPr>
            <w:proofErr w:type="spellStart"/>
            <w:r w:rsidRPr="00B065D6">
              <w:rPr>
                <w:rFonts w:hint="eastAsia"/>
                <w:i/>
                <w:iCs/>
                <w:lang w:eastAsia="zh-CN"/>
              </w:rPr>
              <w:t>t</w:t>
            </w:r>
            <w:r w:rsidRPr="00B065D6">
              <w:rPr>
                <w:i/>
                <w:iCs/>
                <w:vertAlign w:val="subscript"/>
                <w:lang w:eastAsia="zh-CN"/>
              </w:rPr>
              <w:t>ia</w:t>
            </w:r>
            <w:proofErr w:type="spellEnd"/>
          </w:p>
        </w:tc>
        <w:tc>
          <w:tcPr>
            <w:tcW w:w="3872" w:type="dxa"/>
            <w:vAlign w:val="center"/>
          </w:tcPr>
          <w:p w14:paraId="2293476E" w14:textId="17C0E21E" w:rsidR="003835D5" w:rsidRPr="00B065D6" w:rsidRDefault="00D35B26" w:rsidP="00784F7D">
            <w:pPr>
              <w:pStyle w:val="af9"/>
              <w:snapToGrid w:val="0"/>
              <w:ind w:firstLine="0"/>
              <w:jc w:val="center"/>
            </w:pPr>
            <w:r w:rsidRPr="00B065D6">
              <w:t>the EV arrival time</w:t>
            </w:r>
          </w:p>
        </w:tc>
      </w:tr>
      <w:tr w:rsidR="00B065D6" w:rsidRPr="00B065D6" w14:paraId="175DBB54" w14:textId="77777777" w:rsidTr="00784F7D">
        <w:trPr>
          <w:trHeight w:val="20"/>
        </w:trPr>
        <w:tc>
          <w:tcPr>
            <w:tcW w:w="993" w:type="dxa"/>
            <w:vAlign w:val="center"/>
          </w:tcPr>
          <w:p w14:paraId="23802F35" w14:textId="074EA6D7" w:rsidR="003835D5" w:rsidRPr="00B065D6" w:rsidRDefault="00D35B26" w:rsidP="00784F7D">
            <w:pPr>
              <w:pStyle w:val="af9"/>
              <w:snapToGrid w:val="0"/>
              <w:ind w:firstLine="0"/>
              <w:jc w:val="center"/>
            </w:pPr>
            <w:proofErr w:type="spellStart"/>
            <w:r w:rsidRPr="00B065D6">
              <w:rPr>
                <w:i/>
                <w:shd w:val="clear" w:color="auto" w:fill="FFFFFF"/>
              </w:rPr>
              <w:t>t</w:t>
            </w:r>
            <w:r w:rsidRPr="00B065D6">
              <w:rPr>
                <w:i/>
                <w:shd w:val="clear" w:color="auto" w:fill="FFFFFF"/>
                <w:vertAlign w:val="subscript"/>
              </w:rPr>
              <w:t>id</w:t>
            </w:r>
            <w:proofErr w:type="spellEnd"/>
          </w:p>
        </w:tc>
        <w:tc>
          <w:tcPr>
            <w:tcW w:w="3872" w:type="dxa"/>
            <w:vAlign w:val="center"/>
          </w:tcPr>
          <w:p w14:paraId="079FC538" w14:textId="50ED5BB2" w:rsidR="003835D5" w:rsidRPr="00B065D6" w:rsidRDefault="00D35B26" w:rsidP="00784F7D">
            <w:pPr>
              <w:pStyle w:val="af9"/>
              <w:snapToGrid w:val="0"/>
              <w:ind w:firstLine="0"/>
              <w:jc w:val="center"/>
            </w:pPr>
            <w:r w:rsidRPr="00B065D6">
              <w:t>the EV departure time</w:t>
            </w:r>
          </w:p>
        </w:tc>
      </w:tr>
      <w:tr w:rsidR="00B065D6" w:rsidRPr="00B065D6" w14:paraId="229CF9CA" w14:textId="77777777" w:rsidTr="00784F7D">
        <w:trPr>
          <w:trHeight w:val="20"/>
        </w:trPr>
        <w:tc>
          <w:tcPr>
            <w:tcW w:w="993" w:type="dxa"/>
            <w:vAlign w:val="center"/>
          </w:tcPr>
          <w:p w14:paraId="01E85206" w14:textId="052CC41C" w:rsidR="003835D5" w:rsidRPr="00B065D6" w:rsidRDefault="00D35B26" w:rsidP="00784F7D">
            <w:pPr>
              <w:pStyle w:val="af9"/>
              <w:snapToGrid w:val="0"/>
              <w:ind w:firstLine="0"/>
              <w:jc w:val="center"/>
              <w:rPr>
                <w:i/>
              </w:rPr>
            </w:pPr>
            <w:r w:rsidRPr="00B065D6">
              <w:rPr>
                <w:position w:val="-14"/>
              </w:rPr>
              <w:object w:dxaOrig="539" w:dyaOrig="379" w14:anchorId="09C45CEF">
                <v:shape id="Object 34" o:spid="_x0000_i1035" type="#_x0000_t75" style="width:21.45pt;height:16.7pt;mso-wrap-style:square;mso-position-horizontal-relative:page;mso-position-vertical-relative:page" o:ole="">
                  <v:imagedata r:id="rId30" o:title=""/>
                </v:shape>
                <o:OLEObject Type="Embed" ProgID="Equation.DSMT4" ShapeID="Object 34" DrawAspect="Content" ObjectID="_1758727462" r:id="rId31"/>
              </w:object>
            </w:r>
          </w:p>
        </w:tc>
        <w:tc>
          <w:tcPr>
            <w:tcW w:w="3872" w:type="dxa"/>
            <w:vAlign w:val="center"/>
          </w:tcPr>
          <w:p w14:paraId="489F4EC0" w14:textId="3E9710B4" w:rsidR="003835D5" w:rsidRPr="00B065D6" w:rsidRDefault="00D35B26" w:rsidP="00784F7D">
            <w:pPr>
              <w:pStyle w:val="af9"/>
              <w:snapToGrid w:val="0"/>
              <w:ind w:firstLine="0"/>
              <w:jc w:val="center"/>
            </w:pPr>
            <w:r w:rsidRPr="00B065D6">
              <w:t>the EV maximum charge/discharge response start time</w:t>
            </w:r>
          </w:p>
        </w:tc>
      </w:tr>
      <w:tr w:rsidR="00B065D6" w:rsidRPr="00B065D6" w14:paraId="19B38757" w14:textId="77777777" w:rsidTr="00784F7D">
        <w:trPr>
          <w:trHeight w:val="20"/>
        </w:trPr>
        <w:tc>
          <w:tcPr>
            <w:tcW w:w="993" w:type="dxa"/>
            <w:vAlign w:val="center"/>
          </w:tcPr>
          <w:p w14:paraId="7B278349" w14:textId="65884CFA" w:rsidR="003835D5" w:rsidRPr="00B065D6" w:rsidRDefault="001526E0" w:rsidP="00784F7D">
            <w:pPr>
              <w:pStyle w:val="af9"/>
              <w:snapToGrid w:val="0"/>
              <w:ind w:firstLine="0"/>
              <w:jc w:val="center"/>
            </w:pPr>
            <w:r w:rsidRPr="00B065D6">
              <w:rPr>
                <w:position w:val="-14"/>
              </w:rPr>
              <w:object w:dxaOrig="419" w:dyaOrig="379" w14:anchorId="6DDDAB9D">
                <v:shape id="Object 35" o:spid="_x0000_i1036" type="#_x0000_t75" style="width:15.85pt;height:15.85pt;mso-wrap-style:square;mso-position-horizontal-relative:page;mso-position-vertical-relative:page" o:ole="">
                  <v:imagedata r:id="rId32" o:title=""/>
                </v:shape>
                <o:OLEObject Type="Embed" ProgID="Equation.DSMT4" ShapeID="Object 35" DrawAspect="Content" ObjectID="_1758727463" r:id="rId33"/>
              </w:object>
            </w:r>
          </w:p>
        </w:tc>
        <w:tc>
          <w:tcPr>
            <w:tcW w:w="3872" w:type="dxa"/>
            <w:vAlign w:val="center"/>
          </w:tcPr>
          <w:p w14:paraId="35E47D9C" w14:textId="31511304" w:rsidR="003835D5" w:rsidRPr="00B065D6" w:rsidRDefault="001526E0" w:rsidP="00784F7D">
            <w:pPr>
              <w:pStyle w:val="af9"/>
              <w:snapToGrid w:val="0"/>
              <w:ind w:firstLine="0"/>
              <w:jc w:val="center"/>
            </w:pPr>
            <w:r w:rsidRPr="00B065D6">
              <w:t>the initial EV charge/discharge capacity</w:t>
            </w:r>
          </w:p>
        </w:tc>
      </w:tr>
      <w:tr w:rsidR="00B065D6" w:rsidRPr="00B065D6" w14:paraId="3F50F8EB" w14:textId="77777777" w:rsidTr="00784F7D">
        <w:trPr>
          <w:trHeight w:val="20"/>
        </w:trPr>
        <w:tc>
          <w:tcPr>
            <w:tcW w:w="993" w:type="dxa"/>
            <w:vAlign w:val="center"/>
          </w:tcPr>
          <w:p w14:paraId="175BDAE4" w14:textId="1F0D701E" w:rsidR="003835D5" w:rsidRPr="00B065D6" w:rsidRDefault="001526E0" w:rsidP="00784F7D">
            <w:pPr>
              <w:pStyle w:val="af9"/>
              <w:snapToGrid w:val="0"/>
              <w:ind w:firstLine="0"/>
              <w:jc w:val="center"/>
              <w:rPr>
                <w:iCs/>
              </w:rPr>
            </w:pPr>
            <w:r w:rsidRPr="00B065D6">
              <w:rPr>
                <w:position w:val="-14"/>
              </w:rPr>
              <w:object w:dxaOrig="499" w:dyaOrig="379" w14:anchorId="31BC75CD">
                <v:shape id="Object 36" o:spid="_x0000_i1037" type="#_x0000_t75" style="width:21.45pt;height:16.7pt;mso-wrap-style:square;mso-position-horizontal-relative:page;mso-position-vertical-relative:page" o:ole="">
                  <v:imagedata r:id="rId34" o:title=""/>
                </v:shape>
                <o:OLEObject Type="Embed" ProgID="Equation.DSMT4" ShapeID="Object 36" DrawAspect="Content" ObjectID="_1758727464" r:id="rId35"/>
              </w:object>
            </w:r>
          </w:p>
        </w:tc>
        <w:tc>
          <w:tcPr>
            <w:tcW w:w="3872" w:type="dxa"/>
            <w:vAlign w:val="center"/>
          </w:tcPr>
          <w:p w14:paraId="39E91ED7" w14:textId="67805E15" w:rsidR="003835D5" w:rsidRPr="00B065D6" w:rsidRDefault="001526E0" w:rsidP="00784F7D">
            <w:pPr>
              <w:pStyle w:val="af9"/>
              <w:snapToGrid w:val="0"/>
              <w:ind w:firstLine="0"/>
              <w:jc w:val="center"/>
            </w:pPr>
            <w:r w:rsidRPr="00B065D6">
              <w:t>the maximum allowable charge/discharge capacity of the EV battery</w:t>
            </w:r>
          </w:p>
        </w:tc>
      </w:tr>
      <w:tr w:rsidR="00B065D6" w:rsidRPr="00B065D6" w14:paraId="33CD35F7" w14:textId="77777777" w:rsidTr="00784F7D">
        <w:trPr>
          <w:trHeight w:val="20"/>
        </w:trPr>
        <w:tc>
          <w:tcPr>
            <w:tcW w:w="993" w:type="dxa"/>
            <w:vAlign w:val="center"/>
          </w:tcPr>
          <w:p w14:paraId="206A2EE8" w14:textId="0FFDB59E" w:rsidR="003835D5" w:rsidRPr="00B065D6" w:rsidRDefault="001526E0" w:rsidP="00784F7D">
            <w:pPr>
              <w:pStyle w:val="af9"/>
              <w:snapToGrid w:val="0"/>
              <w:ind w:firstLine="0"/>
              <w:jc w:val="center"/>
              <w:rPr>
                <w:rFonts w:ascii="Times New Roman" w:hAnsi="Times New Roman"/>
                <w:i/>
                <w:lang w:eastAsia="zh-CN"/>
              </w:rPr>
            </w:pPr>
            <w:r w:rsidRPr="00B065D6">
              <w:rPr>
                <w:position w:val="-14"/>
              </w:rPr>
              <w:object w:dxaOrig="459" w:dyaOrig="379" w14:anchorId="72E058CF">
                <v:shape id="Object 37" o:spid="_x0000_i1038" type="#_x0000_t75" style="width:18.45pt;height:18.45pt;mso-wrap-style:square;mso-position-horizontal-relative:page;mso-position-vertical-relative:page" o:ole="">
                  <v:imagedata r:id="rId36" o:title=""/>
                </v:shape>
                <o:OLEObject Type="Embed" ProgID="Equation.DSMT4" ShapeID="Object 37" DrawAspect="Content" ObjectID="_1758727465" r:id="rId37"/>
              </w:object>
            </w:r>
          </w:p>
        </w:tc>
        <w:tc>
          <w:tcPr>
            <w:tcW w:w="3872" w:type="dxa"/>
            <w:vAlign w:val="center"/>
          </w:tcPr>
          <w:p w14:paraId="24964476" w14:textId="2CD391E2" w:rsidR="003835D5" w:rsidRPr="00B065D6" w:rsidRDefault="001526E0" w:rsidP="00784F7D">
            <w:pPr>
              <w:pStyle w:val="af9"/>
              <w:snapToGrid w:val="0"/>
              <w:ind w:firstLine="0"/>
              <w:jc w:val="center"/>
            </w:pPr>
            <w:r w:rsidRPr="00B065D6">
              <w:t>the desired charge/discharge capacity</w:t>
            </w:r>
          </w:p>
        </w:tc>
      </w:tr>
      <w:tr w:rsidR="00B065D6" w:rsidRPr="00B065D6" w14:paraId="0CF7A0E4" w14:textId="77777777" w:rsidTr="00784F7D">
        <w:trPr>
          <w:trHeight w:val="20"/>
        </w:trPr>
        <w:tc>
          <w:tcPr>
            <w:tcW w:w="993" w:type="dxa"/>
            <w:vAlign w:val="center"/>
          </w:tcPr>
          <w:p w14:paraId="629C0910" w14:textId="27FEC987" w:rsidR="003835D5" w:rsidRPr="00B065D6" w:rsidRDefault="001526E0" w:rsidP="00784F7D">
            <w:pPr>
              <w:pStyle w:val="af9"/>
              <w:snapToGrid w:val="0"/>
              <w:ind w:firstLine="0"/>
              <w:jc w:val="center"/>
            </w:pPr>
            <w:r w:rsidRPr="00B065D6">
              <w:rPr>
                <w:position w:val="-14"/>
              </w:rPr>
              <w:object w:dxaOrig="479" w:dyaOrig="379" w14:anchorId="6DAD0F82">
                <v:shape id="Object 38" o:spid="_x0000_i1039" type="#_x0000_t75" style="width:23.15pt;height:18.45pt;mso-wrap-style:square;mso-position-horizontal-relative:page;mso-position-vertical-relative:page" o:ole="">
                  <v:imagedata r:id="rId38" o:title=""/>
                </v:shape>
                <o:OLEObject Type="Embed" ProgID="Equation.DSMT4" ShapeID="Object 38" DrawAspect="Content" ObjectID="_1758727466" r:id="rId39"/>
              </w:object>
            </w:r>
          </w:p>
        </w:tc>
        <w:tc>
          <w:tcPr>
            <w:tcW w:w="3872" w:type="dxa"/>
            <w:vAlign w:val="center"/>
          </w:tcPr>
          <w:p w14:paraId="17149DD5" w14:textId="4C5F1910" w:rsidR="003835D5" w:rsidRPr="00B065D6" w:rsidRDefault="001526E0" w:rsidP="00784F7D">
            <w:pPr>
              <w:pStyle w:val="af9"/>
              <w:snapToGrid w:val="0"/>
              <w:ind w:firstLine="0"/>
              <w:jc w:val="center"/>
            </w:pPr>
            <w:r w:rsidRPr="00B065D6">
              <w:t>the minimum allowable charge/discharge capacity</w:t>
            </w:r>
          </w:p>
        </w:tc>
      </w:tr>
      <w:tr w:rsidR="00B065D6" w:rsidRPr="00B065D6" w14:paraId="7CEE7804" w14:textId="77777777" w:rsidTr="00784F7D">
        <w:trPr>
          <w:trHeight w:val="20"/>
        </w:trPr>
        <w:tc>
          <w:tcPr>
            <w:tcW w:w="993" w:type="dxa"/>
            <w:vAlign w:val="center"/>
          </w:tcPr>
          <w:p w14:paraId="12E3FA43" w14:textId="7BC656A0" w:rsidR="003835D5" w:rsidRPr="00B065D6" w:rsidRDefault="001526E0" w:rsidP="00784F7D">
            <w:pPr>
              <w:pStyle w:val="af9"/>
              <w:snapToGrid w:val="0"/>
              <w:ind w:firstLine="0"/>
              <w:jc w:val="center"/>
            </w:pPr>
            <w:r w:rsidRPr="00B065D6">
              <w:rPr>
                <w:position w:val="-14"/>
              </w:rPr>
              <w:object w:dxaOrig="299" w:dyaOrig="379" w14:anchorId="1EA2CEF8">
                <v:shape id="Object 39" o:spid="_x0000_i1040" type="#_x0000_t75" style="width:13.7pt;height:18pt;mso-wrap-style:square;mso-position-horizontal-relative:page;mso-position-vertical-relative:page" o:ole="">
                  <v:imagedata r:id="rId40" o:title=""/>
                </v:shape>
                <o:OLEObject Type="Embed" ProgID="Equation.DSMT4" ShapeID="Object 39" DrawAspect="Content" ObjectID="_1758727467" r:id="rId41"/>
              </w:object>
            </w:r>
          </w:p>
        </w:tc>
        <w:tc>
          <w:tcPr>
            <w:tcW w:w="3872" w:type="dxa"/>
            <w:vAlign w:val="center"/>
          </w:tcPr>
          <w:p w14:paraId="4F048EFE" w14:textId="6BB02447" w:rsidR="003835D5" w:rsidRPr="00B065D6" w:rsidRDefault="001526E0" w:rsidP="00784F7D">
            <w:pPr>
              <w:pStyle w:val="af9"/>
              <w:snapToGrid w:val="0"/>
              <w:ind w:firstLine="0"/>
              <w:jc w:val="center"/>
            </w:pPr>
            <w:r w:rsidRPr="00B065D6">
              <w:rPr>
                <w:rFonts w:ascii="Times New Roman" w:hAnsi="Times New Roman"/>
              </w:rPr>
              <w:t xml:space="preserve">the capacity of charging/discharging the EV at time </w:t>
            </w:r>
            <w:r w:rsidRPr="00B065D6">
              <w:rPr>
                <w:rFonts w:ascii="Times New Roman" w:hAnsi="Times New Roman"/>
                <w:i/>
                <w:iCs/>
              </w:rPr>
              <w:t>t</w:t>
            </w:r>
          </w:p>
        </w:tc>
      </w:tr>
      <w:tr w:rsidR="00B065D6" w:rsidRPr="00B065D6" w14:paraId="2AA74E03" w14:textId="77777777" w:rsidTr="00784F7D">
        <w:trPr>
          <w:trHeight w:val="20"/>
        </w:trPr>
        <w:tc>
          <w:tcPr>
            <w:tcW w:w="993" w:type="dxa"/>
            <w:vAlign w:val="center"/>
          </w:tcPr>
          <w:p w14:paraId="637F382C" w14:textId="49A1E3A8" w:rsidR="003835D5" w:rsidRPr="00B065D6" w:rsidRDefault="00071C85" w:rsidP="00784F7D">
            <w:pPr>
              <w:pStyle w:val="af9"/>
              <w:snapToGrid w:val="0"/>
              <w:ind w:firstLine="0"/>
              <w:jc w:val="center"/>
            </w:pPr>
            <w:r w:rsidRPr="00B065D6">
              <w:rPr>
                <w:position w:val="-12"/>
              </w:rPr>
              <w:object w:dxaOrig="559" w:dyaOrig="379" w14:anchorId="1BE81E48">
                <v:shape id="Object 40" o:spid="_x0000_i1041" type="#_x0000_t75" style="width:20.55pt;height:16.7pt;mso-wrap-style:square;mso-position-horizontal-relative:page;mso-position-vertical-relative:page" o:ole="">
                  <v:imagedata r:id="rId42" o:title=""/>
                </v:shape>
                <o:OLEObject Type="Embed" ProgID="Equation.DSMT4" ShapeID="Object 40" DrawAspect="Content" ObjectID="_1758727468" r:id="rId43"/>
              </w:object>
            </w:r>
          </w:p>
        </w:tc>
        <w:tc>
          <w:tcPr>
            <w:tcW w:w="3872" w:type="dxa"/>
            <w:vAlign w:val="center"/>
          </w:tcPr>
          <w:p w14:paraId="229AE09B" w14:textId="059D9661" w:rsidR="003835D5" w:rsidRPr="00B065D6" w:rsidRDefault="00071C85" w:rsidP="00784F7D">
            <w:pPr>
              <w:pStyle w:val="af9"/>
              <w:snapToGrid w:val="0"/>
              <w:ind w:firstLine="0"/>
              <w:jc w:val="center"/>
            </w:pPr>
            <w:r w:rsidRPr="00B065D6">
              <w:t xml:space="preserve">the charging power of EV at time </w:t>
            </w:r>
            <w:r w:rsidRPr="00B065D6">
              <w:rPr>
                <w:i/>
                <w:iCs/>
              </w:rPr>
              <w:t>t</w:t>
            </w:r>
          </w:p>
        </w:tc>
      </w:tr>
      <w:tr w:rsidR="00B065D6" w:rsidRPr="00B065D6" w14:paraId="72C6B922" w14:textId="77777777" w:rsidTr="00784F7D">
        <w:trPr>
          <w:trHeight w:val="20"/>
        </w:trPr>
        <w:tc>
          <w:tcPr>
            <w:tcW w:w="993" w:type="dxa"/>
            <w:vAlign w:val="center"/>
          </w:tcPr>
          <w:p w14:paraId="6F68894D" w14:textId="32E2CEF3" w:rsidR="003835D5" w:rsidRPr="00B065D6" w:rsidRDefault="00CA7BDF" w:rsidP="00784F7D">
            <w:pPr>
              <w:pStyle w:val="af9"/>
              <w:snapToGrid w:val="0"/>
              <w:ind w:firstLine="0"/>
              <w:jc w:val="center"/>
            </w:pPr>
            <w:r w:rsidRPr="00B065D6">
              <w:rPr>
                <w:position w:val="-12"/>
              </w:rPr>
              <w:object w:dxaOrig="259" w:dyaOrig="359" w14:anchorId="15B1FACC">
                <v:shape id="Object 41" o:spid="_x0000_i1042" type="#_x0000_t75" style="width:13.3pt;height:13.3pt;mso-wrap-style:square;mso-position-horizontal-relative:page;mso-position-vertical-relative:page" o:ole="">
                  <v:imagedata r:id="rId44" o:title=""/>
                </v:shape>
                <o:OLEObject Type="Embed" ProgID="Equation.DSMT4" ShapeID="Object 41" DrawAspect="Content" ObjectID="_1758727469" r:id="rId45"/>
              </w:object>
            </w:r>
            <w:r w:rsidRPr="00B065D6">
              <w:t>,</w:t>
            </w:r>
            <w:r w:rsidRPr="00B065D6">
              <w:rPr>
                <w:position w:val="-12"/>
              </w:rPr>
              <w:object w:dxaOrig="279" w:dyaOrig="359" w14:anchorId="39D88554">
                <v:shape id="Object 42" o:spid="_x0000_i1043" type="#_x0000_t75" style="width:14.15pt;height:14.15pt;mso-wrap-style:square;mso-position-horizontal-relative:page;mso-position-vertical-relative:page" o:ole="">
                  <v:imagedata r:id="rId46" o:title=""/>
                </v:shape>
                <o:OLEObject Type="Embed" ProgID="Equation.DSMT4" ShapeID="Object 42" DrawAspect="Content" ObjectID="_1758727470" r:id="rId47"/>
              </w:object>
            </w:r>
          </w:p>
        </w:tc>
        <w:tc>
          <w:tcPr>
            <w:tcW w:w="3872" w:type="dxa"/>
            <w:vAlign w:val="center"/>
          </w:tcPr>
          <w:p w14:paraId="1868425D" w14:textId="64DA4698" w:rsidR="003835D5" w:rsidRPr="00B065D6" w:rsidRDefault="00CA7BDF" w:rsidP="00784F7D">
            <w:pPr>
              <w:pStyle w:val="af9"/>
              <w:snapToGrid w:val="0"/>
              <w:ind w:firstLine="0"/>
              <w:jc w:val="center"/>
            </w:pPr>
            <w:r w:rsidRPr="00B065D6">
              <w:t>the charging/discharging efficiency</w:t>
            </w:r>
          </w:p>
        </w:tc>
      </w:tr>
      <w:tr w:rsidR="00B065D6" w:rsidRPr="00B065D6" w14:paraId="4C0DF114" w14:textId="77777777" w:rsidTr="00784F7D">
        <w:trPr>
          <w:trHeight w:val="20"/>
        </w:trPr>
        <w:tc>
          <w:tcPr>
            <w:tcW w:w="993" w:type="dxa"/>
            <w:vAlign w:val="center"/>
          </w:tcPr>
          <w:p w14:paraId="4CB934E7" w14:textId="4E67E5A1" w:rsidR="003835D5" w:rsidRPr="00B065D6" w:rsidRDefault="00CA7BDF" w:rsidP="00784F7D">
            <w:pPr>
              <w:pStyle w:val="af9"/>
              <w:snapToGrid w:val="0"/>
              <w:ind w:firstLine="0"/>
              <w:jc w:val="center"/>
            </w:pPr>
            <w:r w:rsidRPr="00B065D6">
              <w:rPr>
                <w:position w:val="-12"/>
              </w:rPr>
              <w:object w:dxaOrig="499" w:dyaOrig="379" w14:anchorId="72A84C65">
                <v:shape id="Object 43" o:spid="_x0000_i1044" type="#_x0000_t75" style="width:21pt;height:16.7pt;mso-wrap-style:square;mso-position-horizontal-relative:page;mso-position-vertical-relative:page" o:ole="">
                  <v:imagedata r:id="rId48" o:title=""/>
                </v:shape>
                <o:OLEObject Type="Embed" ProgID="Equation.DSMT4" ShapeID="Object 43" DrawAspect="Content" ObjectID="_1758727471" r:id="rId49"/>
              </w:object>
            </w:r>
          </w:p>
        </w:tc>
        <w:tc>
          <w:tcPr>
            <w:tcW w:w="3872" w:type="dxa"/>
            <w:vAlign w:val="center"/>
          </w:tcPr>
          <w:p w14:paraId="782F5CF4" w14:textId="4047A1C9" w:rsidR="003835D5" w:rsidRPr="00B065D6" w:rsidRDefault="00CA7BDF" w:rsidP="00784F7D">
            <w:pPr>
              <w:pStyle w:val="af9"/>
              <w:snapToGrid w:val="0"/>
              <w:ind w:firstLine="0"/>
              <w:jc w:val="center"/>
            </w:pPr>
            <w:r w:rsidRPr="00B065D6">
              <w:t>the maximum allowable charging/discharging power of EV</w:t>
            </w:r>
          </w:p>
        </w:tc>
      </w:tr>
      <w:tr w:rsidR="00B065D6" w:rsidRPr="00B065D6" w14:paraId="1CC38FC5" w14:textId="77777777" w:rsidTr="00784F7D">
        <w:trPr>
          <w:trHeight w:val="20"/>
        </w:trPr>
        <w:tc>
          <w:tcPr>
            <w:tcW w:w="993" w:type="dxa"/>
            <w:vAlign w:val="center"/>
          </w:tcPr>
          <w:p w14:paraId="4DE67098" w14:textId="3F1281B9" w:rsidR="003835D5" w:rsidRPr="00B065D6" w:rsidRDefault="00CA4B51" w:rsidP="00784F7D">
            <w:pPr>
              <w:pStyle w:val="af9"/>
              <w:snapToGrid w:val="0"/>
              <w:ind w:firstLine="0"/>
              <w:jc w:val="center"/>
              <w:rPr>
                <w:iCs/>
              </w:rPr>
            </w:pPr>
            <w:r w:rsidRPr="00B065D6">
              <w:rPr>
                <w:position w:val="-14"/>
              </w:rPr>
              <w:object w:dxaOrig="399" w:dyaOrig="399" w14:anchorId="3E5494CB">
                <v:shape id="Object 50" o:spid="_x0000_i1045" type="#_x0000_t75" style="width:16.7pt;height:16.7pt;mso-wrap-style:square;mso-position-horizontal-relative:page;mso-position-vertical-relative:page" o:ole="">
                  <v:imagedata r:id="rId50" o:title=""/>
                </v:shape>
                <o:OLEObject Type="Embed" ProgID="Equation.DSMT4" ShapeID="Object 50" DrawAspect="Content" ObjectID="_1758727472" r:id="rId51"/>
              </w:object>
            </w:r>
          </w:p>
        </w:tc>
        <w:tc>
          <w:tcPr>
            <w:tcW w:w="3872" w:type="dxa"/>
            <w:vAlign w:val="center"/>
          </w:tcPr>
          <w:p w14:paraId="1C7A5961" w14:textId="5B852953" w:rsidR="003835D5" w:rsidRPr="00B065D6" w:rsidRDefault="00CA4B51" w:rsidP="00784F7D">
            <w:pPr>
              <w:pStyle w:val="af9"/>
              <w:snapToGrid w:val="0"/>
              <w:ind w:firstLine="0"/>
              <w:jc w:val="center"/>
            </w:pPr>
            <w:r w:rsidRPr="00B065D6">
              <w:t xml:space="preserve">the total revenue of the microgrid </w:t>
            </w:r>
            <w:r w:rsidRPr="00B065D6">
              <w:rPr>
                <w:i/>
                <w:iCs/>
              </w:rPr>
              <w:t>m</w:t>
            </w:r>
          </w:p>
        </w:tc>
      </w:tr>
      <w:tr w:rsidR="00B065D6" w:rsidRPr="00B065D6" w14:paraId="07EAE6E8" w14:textId="77777777" w:rsidTr="00784F7D">
        <w:trPr>
          <w:trHeight w:val="20"/>
        </w:trPr>
        <w:tc>
          <w:tcPr>
            <w:tcW w:w="993" w:type="dxa"/>
            <w:vAlign w:val="center"/>
          </w:tcPr>
          <w:p w14:paraId="156F2E85" w14:textId="5CAF55C4" w:rsidR="003835D5" w:rsidRPr="00B065D6" w:rsidRDefault="00CA4B51" w:rsidP="00784F7D">
            <w:pPr>
              <w:pStyle w:val="af9"/>
              <w:snapToGrid w:val="0"/>
              <w:ind w:firstLine="0"/>
              <w:jc w:val="center"/>
            </w:pPr>
            <w:r w:rsidRPr="00B065D6">
              <w:rPr>
                <w:position w:val="-12"/>
              </w:rPr>
              <w:object w:dxaOrig="339" w:dyaOrig="379" w14:anchorId="6A448621">
                <v:shape id="Object 51" o:spid="_x0000_i1046" type="#_x0000_t75" style="width:12.45pt;height:15.85pt;mso-wrap-style:square;mso-position-horizontal-relative:page;mso-position-vertical-relative:page" o:ole="">
                  <v:imagedata r:id="rId52" o:title=""/>
                </v:shape>
                <o:OLEObject Type="Embed" ProgID="Equation.DSMT4" ShapeID="Object 51" DrawAspect="Content" ObjectID="_1758727473" r:id="rId53"/>
              </w:object>
            </w:r>
          </w:p>
        </w:tc>
        <w:tc>
          <w:tcPr>
            <w:tcW w:w="3872" w:type="dxa"/>
            <w:vAlign w:val="center"/>
          </w:tcPr>
          <w:p w14:paraId="65584F66" w14:textId="1DE8D135" w:rsidR="003835D5" w:rsidRPr="00B065D6" w:rsidRDefault="00CA4B51" w:rsidP="00784F7D">
            <w:pPr>
              <w:pStyle w:val="af9"/>
              <w:snapToGrid w:val="0"/>
              <w:ind w:firstLine="0"/>
              <w:jc w:val="center"/>
            </w:pPr>
            <w:r w:rsidRPr="00B065D6">
              <w:t>the revenue of electricity sales</w:t>
            </w:r>
          </w:p>
        </w:tc>
      </w:tr>
      <w:tr w:rsidR="00B065D6" w:rsidRPr="00B065D6" w14:paraId="69486F19" w14:textId="77777777" w:rsidTr="00784F7D">
        <w:trPr>
          <w:trHeight w:val="20"/>
        </w:trPr>
        <w:tc>
          <w:tcPr>
            <w:tcW w:w="993" w:type="dxa"/>
            <w:vAlign w:val="center"/>
          </w:tcPr>
          <w:p w14:paraId="59A90681" w14:textId="33D8C100" w:rsidR="003835D5" w:rsidRPr="00B065D6" w:rsidRDefault="00CA4B51" w:rsidP="00784F7D">
            <w:pPr>
              <w:pStyle w:val="af9"/>
              <w:snapToGrid w:val="0"/>
              <w:ind w:firstLine="0"/>
              <w:jc w:val="center"/>
            </w:pPr>
            <w:r w:rsidRPr="00B065D6">
              <w:rPr>
                <w:position w:val="-12"/>
              </w:rPr>
              <w:object w:dxaOrig="339" w:dyaOrig="379" w14:anchorId="4B5A3BF4">
                <v:shape id="Object 52" o:spid="_x0000_i1047" type="#_x0000_t75" style="width:13.3pt;height:17.55pt;mso-wrap-style:square;mso-position-horizontal-relative:page;mso-position-vertical-relative:page" o:ole="">
                  <v:imagedata r:id="rId54" o:title=""/>
                </v:shape>
                <o:OLEObject Type="Embed" ProgID="Equation.DSMT4" ShapeID="Object 52" DrawAspect="Content" ObjectID="_1758727474" r:id="rId55"/>
              </w:object>
            </w:r>
          </w:p>
        </w:tc>
        <w:tc>
          <w:tcPr>
            <w:tcW w:w="3872" w:type="dxa"/>
            <w:vAlign w:val="center"/>
          </w:tcPr>
          <w:p w14:paraId="446B73DB" w14:textId="299A27F3" w:rsidR="003835D5" w:rsidRPr="00B065D6" w:rsidRDefault="005C6C81" w:rsidP="00784F7D">
            <w:pPr>
              <w:pStyle w:val="af9"/>
              <w:snapToGrid w:val="0"/>
              <w:ind w:firstLine="0"/>
              <w:jc w:val="center"/>
            </w:pPr>
            <w:r w:rsidRPr="00B065D6">
              <w:rPr>
                <w:rFonts w:hint="eastAsia"/>
                <w:lang w:eastAsia="zh-CN"/>
              </w:rPr>
              <w:t>t</w:t>
            </w:r>
            <w:r w:rsidR="00A7707B" w:rsidRPr="00B065D6">
              <w:t>he controllable load compensation cost</w:t>
            </w:r>
          </w:p>
        </w:tc>
      </w:tr>
      <w:tr w:rsidR="00B065D6" w:rsidRPr="00B065D6" w14:paraId="7EEB5EAB" w14:textId="77777777" w:rsidTr="00784F7D">
        <w:trPr>
          <w:trHeight w:val="20"/>
        </w:trPr>
        <w:tc>
          <w:tcPr>
            <w:tcW w:w="993" w:type="dxa"/>
            <w:vAlign w:val="center"/>
          </w:tcPr>
          <w:p w14:paraId="1ADB0A6B" w14:textId="63063E89" w:rsidR="003835D5" w:rsidRPr="00B065D6" w:rsidRDefault="00A7707B" w:rsidP="00784F7D">
            <w:pPr>
              <w:pStyle w:val="af9"/>
              <w:snapToGrid w:val="0"/>
              <w:ind w:firstLine="0"/>
              <w:jc w:val="center"/>
            </w:pPr>
            <w:r w:rsidRPr="00B065D6">
              <w:rPr>
                <w:position w:val="-12"/>
              </w:rPr>
              <w:object w:dxaOrig="339" w:dyaOrig="379" w14:anchorId="7B2822CA">
                <v:shape id="Object 53" o:spid="_x0000_i1048" type="#_x0000_t75" style="width:12.85pt;height:16.7pt;mso-wrap-style:square;mso-position-horizontal-relative:page;mso-position-vertical-relative:page" o:ole="">
                  <v:imagedata r:id="rId56" o:title=""/>
                </v:shape>
                <o:OLEObject Type="Embed" ProgID="Equation.DSMT4" ShapeID="Object 53" DrawAspect="Content" ObjectID="_1758727475" r:id="rId57"/>
              </w:object>
            </w:r>
          </w:p>
        </w:tc>
        <w:tc>
          <w:tcPr>
            <w:tcW w:w="3872" w:type="dxa"/>
            <w:vAlign w:val="center"/>
          </w:tcPr>
          <w:p w14:paraId="602B79C5" w14:textId="58A109CF" w:rsidR="003835D5" w:rsidRPr="00B065D6" w:rsidRDefault="00A7707B" w:rsidP="00784F7D">
            <w:pPr>
              <w:pStyle w:val="af9"/>
              <w:snapToGrid w:val="0"/>
              <w:ind w:firstLine="0"/>
              <w:jc w:val="center"/>
            </w:pPr>
            <w:r w:rsidRPr="00B065D6">
              <w:t xml:space="preserve">the </w:t>
            </w:r>
            <w:proofErr w:type="spellStart"/>
            <w:r w:rsidRPr="00B065D6">
              <w:t>microgas</w:t>
            </w:r>
            <w:proofErr w:type="spellEnd"/>
            <w:r w:rsidRPr="00B065D6">
              <w:t xml:space="preserve"> turbine fuel cost</w:t>
            </w:r>
          </w:p>
        </w:tc>
      </w:tr>
      <w:tr w:rsidR="00B065D6" w:rsidRPr="00B065D6" w14:paraId="6048ED48" w14:textId="77777777" w:rsidTr="00784F7D">
        <w:trPr>
          <w:trHeight w:val="20"/>
        </w:trPr>
        <w:tc>
          <w:tcPr>
            <w:tcW w:w="993" w:type="dxa"/>
            <w:vAlign w:val="center"/>
          </w:tcPr>
          <w:p w14:paraId="269BB9BD" w14:textId="0077D74D" w:rsidR="003835D5" w:rsidRPr="00B065D6" w:rsidRDefault="00A7707B" w:rsidP="00784F7D">
            <w:pPr>
              <w:pStyle w:val="af9"/>
              <w:snapToGrid w:val="0"/>
              <w:ind w:firstLine="0"/>
              <w:jc w:val="center"/>
            </w:pPr>
            <w:r w:rsidRPr="00B065D6">
              <w:rPr>
                <w:position w:val="-12"/>
              </w:rPr>
              <w:object w:dxaOrig="419" w:dyaOrig="379" w14:anchorId="48689303">
                <v:shape id="Object 54" o:spid="_x0000_i1049" type="#_x0000_t75" style="width:15.85pt;height:15.85pt;mso-wrap-style:square;mso-position-horizontal-relative:page;mso-position-vertical-relative:page" o:ole="">
                  <v:imagedata r:id="rId58" o:title=""/>
                </v:shape>
                <o:OLEObject Type="Embed" ProgID="Equation.DSMT4" ShapeID="Object 54" DrawAspect="Content" ObjectID="_1758727476" r:id="rId59"/>
              </w:object>
            </w:r>
          </w:p>
        </w:tc>
        <w:tc>
          <w:tcPr>
            <w:tcW w:w="3872" w:type="dxa"/>
            <w:vAlign w:val="center"/>
          </w:tcPr>
          <w:p w14:paraId="3F3145A0" w14:textId="0BAC0545" w:rsidR="003835D5" w:rsidRPr="00B065D6" w:rsidRDefault="00A7707B" w:rsidP="00784F7D">
            <w:pPr>
              <w:pStyle w:val="af9"/>
              <w:snapToGrid w:val="0"/>
              <w:ind w:firstLine="0"/>
              <w:jc w:val="center"/>
            </w:pPr>
            <w:r w:rsidRPr="00B065D6">
              <w:t xml:space="preserve">the contribution rate for CRCL of the microgrid </w:t>
            </w:r>
            <w:r w:rsidRPr="00B065D6">
              <w:rPr>
                <w:i/>
                <w:iCs/>
              </w:rPr>
              <w:t>m</w:t>
            </w:r>
            <w:r w:rsidRPr="00B065D6">
              <w:t xml:space="preserve"> to the passive microgrid</w:t>
            </w:r>
          </w:p>
        </w:tc>
      </w:tr>
      <w:tr w:rsidR="00B065D6" w:rsidRPr="00B065D6" w14:paraId="642672EE" w14:textId="77777777" w:rsidTr="00784F7D">
        <w:trPr>
          <w:trHeight w:val="20"/>
        </w:trPr>
        <w:tc>
          <w:tcPr>
            <w:tcW w:w="993" w:type="dxa"/>
            <w:vAlign w:val="center"/>
          </w:tcPr>
          <w:p w14:paraId="68C3BB0C" w14:textId="16099AFF" w:rsidR="003835D5" w:rsidRPr="00B065D6" w:rsidRDefault="00BD36D9" w:rsidP="00784F7D">
            <w:pPr>
              <w:pStyle w:val="af9"/>
              <w:snapToGrid w:val="0"/>
              <w:ind w:firstLine="0"/>
              <w:jc w:val="center"/>
            </w:pPr>
            <w:r w:rsidRPr="00B065D6">
              <w:rPr>
                <w:position w:val="-12"/>
              </w:rPr>
              <w:object w:dxaOrig="279" w:dyaOrig="379" w14:anchorId="5203A280">
                <v:shape id="Object 55" o:spid="_x0000_i1050" type="#_x0000_t75" style="width:13.7pt;height:18pt;mso-wrap-style:square;mso-position-horizontal-relative:page;mso-position-vertical-relative:page" o:ole="">
                  <v:imagedata r:id="rId60" o:title=""/>
                </v:shape>
                <o:OLEObject Type="Embed" ProgID="Equation.DSMT4" ShapeID="Object 55" DrawAspect="Content" ObjectID="_1758727477" r:id="rId61"/>
              </w:object>
            </w:r>
          </w:p>
        </w:tc>
        <w:tc>
          <w:tcPr>
            <w:tcW w:w="3872" w:type="dxa"/>
            <w:vAlign w:val="center"/>
          </w:tcPr>
          <w:p w14:paraId="37EB97AC" w14:textId="35338743" w:rsidR="003835D5" w:rsidRPr="00B065D6" w:rsidRDefault="00BD36D9" w:rsidP="00784F7D">
            <w:pPr>
              <w:pStyle w:val="af9"/>
              <w:snapToGrid w:val="0"/>
              <w:ind w:firstLine="0"/>
              <w:jc w:val="center"/>
            </w:pPr>
            <w:r w:rsidRPr="00B065D6">
              <w:t xml:space="preserve">the time-of-use </w:t>
            </w:r>
            <w:r w:rsidR="00256458" w:rsidRPr="00B065D6">
              <w:t>price</w:t>
            </w:r>
            <w:r w:rsidRPr="00B065D6">
              <w:t xml:space="preserve"> for microgrid</w:t>
            </w:r>
          </w:p>
        </w:tc>
      </w:tr>
      <w:tr w:rsidR="00B065D6" w:rsidRPr="00B065D6" w14:paraId="734C6582" w14:textId="77777777" w:rsidTr="00784F7D">
        <w:trPr>
          <w:trHeight w:val="20"/>
        </w:trPr>
        <w:tc>
          <w:tcPr>
            <w:tcW w:w="993" w:type="dxa"/>
            <w:vAlign w:val="center"/>
          </w:tcPr>
          <w:p w14:paraId="3213FF4F" w14:textId="55A71694" w:rsidR="003835D5" w:rsidRPr="00B065D6" w:rsidRDefault="00256458" w:rsidP="00784F7D">
            <w:pPr>
              <w:pStyle w:val="af9"/>
              <w:snapToGrid w:val="0"/>
              <w:ind w:firstLine="0"/>
              <w:jc w:val="center"/>
            </w:pPr>
            <w:r w:rsidRPr="00B065D6">
              <w:rPr>
                <w:position w:val="-12"/>
              </w:rPr>
              <w:object w:dxaOrig="299" w:dyaOrig="379" w14:anchorId="7F5872B6">
                <v:shape id="Object 56" o:spid="_x0000_i1051" type="#_x0000_t75" style="width:13.7pt;height:18.45pt;mso-wrap-style:square;mso-position-horizontal-relative:page;mso-position-vertical-relative:page" o:ole="">
                  <v:imagedata r:id="rId62" o:title=""/>
                </v:shape>
                <o:OLEObject Type="Embed" ProgID="Equation.DSMT4" ShapeID="Object 56" DrawAspect="Content" ObjectID="_1758727478" r:id="rId63"/>
              </w:object>
            </w:r>
          </w:p>
        </w:tc>
        <w:tc>
          <w:tcPr>
            <w:tcW w:w="3872" w:type="dxa"/>
            <w:vAlign w:val="center"/>
          </w:tcPr>
          <w:p w14:paraId="4436544A" w14:textId="34FCBD7C" w:rsidR="003835D5" w:rsidRPr="00B065D6" w:rsidRDefault="00256458" w:rsidP="00784F7D">
            <w:pPr>
              <w:pStyle w:val="af9"/>
              <w:snapToGrid w:val="0"/>
              <w:ind w:firstLine="0"/>
              <w:jc w:val="center"/>
            </w:pPr>
            <w:r w:rsidRPr="00B065D6">
              <w:t>the contracted compensation tariff for interruptible load</w:t>
            </w:r>
          </w:p>
        </w:tc>
      </w:tr>
      <w:tr w:rsidR="00B065D6" w:rsidRPr="00B065D6" w14:paraId="14D651ED" w14:textId="77777777" w:rsidTr="00784F7D">
        <w:trPr>
          <w:trHeight w:val="20"/>
        </w:trPr>
        <w:tc>
          <w:tcPr>
            <w:tcW w:w="993" w:type="dxa"/>
            <w:vAlign w:val="center"/>
          </w:tcPr>
          <w:p w14:paraId="54DF2922" w14:textId="20911A1F" w:rsidR="003835D5" w:rsidRPr="00B065D6" w:rsidRDefault="00256458" w:rsidP="00784F7D">
            <w:pPr>
              <w:pStyle w:val="af9"/>
              <w:snapToGrid w:val="0"/>
              <w:ind w:firstLine="0"/>
              <w:jc w:val="center"/>
            </w:pPr>
            <w:r w:rsidRPr="00B065D6">
              <w:rPr>
                <w:position w:val="-12"/>
              </w:rPr>
              <w:object w:dxaOrig="279" w:dyaOrig="379" w14:anchorId="6CB899FF">
                <v:shape id="Object 57" o:spid="_x0000_i1052" type="#_x0000_t75" style="width:13.7pt;height:17.55pt;mso-wrap-style:square;mso-position-horizontal-relative:page;mso-position-vertical-relative:page" o:ole="">
                  <v:imagedata r:id="rId64" o:title=""/>
                </v:shape>
                <o:OLEObject Type="Embed" ProgID="Equation.DSMT4" ShapeID="Object 57" DrawAspect="Content" ObjectID="_1758727479" r:id="rId65"/>
              </w:object>
            </w:r>
          </w:p>
        </w:tc>
        <w:tc>
          <w:tcPr>
            <w:tcW w:w="3872" w:type="dxa"/>
            <w:vAlign w:val="center"/>
          </w:tcPr>
          <w:p w14:paraId="1039CF67" w14:textId="547C65A7" w:rsidR="003835D5" w:rsidRPr="00B065D6" w:rsidRDefault="00256458" w:rsidP="00784F7D">
            <w:pPr>
              <w:pStyle w:val="af9"/>
              <w:snapToGrid w:val="0"/>
              <w:ind w:firstLine="0"/>
              <w:jc w:val="center"/>
            </w:pPr>
            <w:r w:rsidRPr="00B065D6">
              <w:t>the compensation price for emergency regulated load</w:t>
            </w:r>
          </w:p>
        </w:tc>
      </w:tr>
      <w:tr w:rsidR="00B065D6" w:rsidRPr="00B065D6" w14:paraId="0A6A3654" w14:textId="77777777" w:rsidTr="00784F7D">
        <w:trPr>
          <w:trHeight w:val="20"/>
        </w:trPr>
        <w:tc>
          <w:tcPr>
            <w:tcW w:w="993" w:type="dxa"/>
            <w:vAlign w:val="center"/>
          </w:tcPr>
          <w:p w14:paraId="7D11AAB7" w14:textId="7958781B" w:rsidR="003835D5" w:rsidRPr="00B065D6" w:rsidRDefault="00256458" w:rsidP="00784F7D">
            <w:pPr>
              <w:pStyle w:val="af9"/>
              <w:snapToGrid w:val="0"/>
              <w:ind w:firstLine="0"/>
              <w:jc w:val="center"/>
            </w:pPr>
            <w:r w:rsidRPr="00B065D6">
              <w:rPr>
                <w:position w:val="-12"/>
              </w:rPr>
              <w:object w:dxaOrig="439" w:dyaOrig="379" w14:anchorId="467BD0AC">
                <v:shape id="Object 58" o:spid="_x0000_i1053" type="#_x0000_t75" style="width:17.55pt;height:17.55pt;mso-wrap-style:square;mso-position-horizontal-relative:page;mso-position-vertical-relative:page" o:ole="">
                  <v:imagedata r:id="rId66" o:title=""/>
                </v:shape>
                <o:OLEObject Type="Embed" ProgID="Equation.DSMT4" ShapeID="Object 58" DrawAspect="Content" ObjectID="_1758727480" r:id="rId67"/>
              </w:object>
            </w:r>
          </w:p>
        </w:tc>
        <w:tc>
          <w:tcPr>
            <w:tcW w:w="3872" w:type="dxa"/>
            <w:vAlign w:val="center"/>
          </w:tcPr>
          <w:p w14:paraId="29CF2279" w14:textId="591BD71E" w:rsidR="003835D5" w:rsidRPr="00B065D6" w:rsidRDefault="00256458" w:rsidP="00784F7D">
            <w:pPr>
              <w:pStyle w:val="af9"/>
              <w:snapToGrid w:val="0"/>
              <w:ind w:firstLine="0"/>
              <w:jc w:val="center"/>
            </w:pPr>
            <w:r w:rsidRPr="00B065D6">
              <w:t>the dynamic RP for distribution network NPF</w:t>
            </w:r>
          </w:p>
        </w:tc>
      </w:tr>
      <w:tr w:rsidR="00B065D6" w:rsidRPr="00B065D6" w14:paraId="7B38B36B" w14:textId="77777777" w:rsidTr="00784F7D">
        <w:trPr>
          <w:trHeight w:val="20"/>
        </w:trPr>
        <w:tc>
          <w:tcPr>
            <w:tcW w:w="993" w:type="dxa"/>
            <w:vAlign w:val="center"/>
          </w:tcPr>
          <w:p w14:paraId="27B2FB1A" w14:textId="08EB0A2A" w:rsidR="003835D5" w:rsidRPr="00B065D6" w:rsidRDefault="0089571C" w:rsidP="00784F7D">
            <w:pPr>
              <w:pStyle w:val="af9"/>
              <w:snapToGrid w:val="0"/>
              <w:ind w:firstLine="0"/>
              <w:jc w:val="center"/>
              <w:rPr>
                <w:rFonts w:ascii="Times New Roman" w:hAnsi="Times New Roman"/>
                <w:lang w:eastAsia="zh-CN"/>
              </w:rPr>
            </w:pPr>
            <w:r w:rsidRPr="00B065D6">
              <w:rPr>
                <w:position w:val="-12"/>
              </w:rPr>
              <w:object w:dxaOrig="559" w:dyaOrig="379" w14:anchorId="19E4A31B">
                <v:shape id="Object 59" o:spid="_x0000_i1054" type="#_x0000_t75" style="width:20.55pt;height:16.7pt;mso-wrap-style:square;mso-position-horizontal-relative:page;mso-position-vertical-relative:page" o:ole="">
                  <v:imagedata r:id="rId68" o:title=""/>
                </v:shape>
                <o:OLEObject Type="Embed" ProgID="Equation.DSMT4" ShapeID="Object 59" DrawAspect="Content" ObjectID="_1758727481" r:id="rId69"/>
              </w:object>
            </w:r>
          </w:p>
        </w:tc>
        <w:tc>
          <w:tcPr>
            <w:tcW w:w="3872" w:type="dxa"/>
            <w:vAlign w:val="center"/>
          </w:tcPr>
          <w:p w14:paraId="1857CBF8" w14:textId="7218ABA9" w:rsidR="003835D5" w:rsidRPr="00B065D6" w:rsidRDefault="0089571C" w:rsidP="00784F7D">
            <w:pPr>
              <w:pStyle w:val="af9"/>
              <w:snapToGrid w:val="0"/>
              <w:ind w:firstLine="0"/>
              <w:jc w:val="center"/>
            </w:pPr>
            <w:r w:rsidRPr="00B065D6">
              <w:t>the MG incoming power</w:t>
            </w:r>
          </w:p>
        </w:tc>
      </w:tr>
      <w:tr w:rsidR="00B065D6" w:rsidRPr="00B065D6" w14:paraId="4ADEC82A" w14:textId="77777777" w:rsidTr="00784F7D">
        <w:trPr>
          <w:trHeight w:val="20"/>
        </w:trPr>
        <w:tc>
          <w:tcPr>
            <w:tcW w:w="993" w:type="dxa"/>
            <w:vAlign w:val="center"/>
          </w:tcPr>
          <w:p w14:paraId="49481744" w14:textId="0478A63A" w:rsidR="003835D5" w:rsidRPr="00B065D6" w:rsidRDefault="0089571C" w:rsidP="00784F7D">
            <w:pPr>
              <w:pStyle w:val="af9"/>
              <w:snapToGrid w:val="0"/>
              <w:ind w:firstLine="0"/>
              <w:jc w:val="center"/>
              <w:rPr>
                <w:i/>
              </w:rPr>
            </w:pPr>
            <w:r w:rsidRPr="00B065D6">
              <w:rPr>
                <w:position w:val="-12"/>
              </w:rPr>
              <w:object w:dxaOrig="439" w:dyaOrig="379" w14:anchorId="2CBF107F">
                <v:shape id="Object 60" o:spid="_x0000_i1055" type="#_x0000_t75" style="width:18.45pt;height:18.45pt;mso-wrap-style:square;mso-position-horizontal-relative:page;mso-position-vertical-relative:page" o:ole="">
                  <v:imagedata r:id="rId70" o:title=""/>
                </v:shape>
                <o:OLEObject Type="Embed" ProgID="Equation.DSMT4" ShapeID="Object 60" DrawAspect="Content" ObjectID="_1758727482" r:id="rId71"/>
              </w:object>
            </w:r>
          </w:p>
        </w:tc>
        <w:tc>
          <w:tcPr>
            <w:tcW w:w="3872" w:type="dxa"/>
            <w:vAlign w:val="center"/>
          </w:tcPr>
          <w:p w14:paraId="6DB16E3B" w14:textId="2040D9F1" w:rsidR="003835D5" w:rsidRPr="00B065D6" w:rsidRDefault="0089571C" w:rsidP="00784F7D">
            <w:pPr>
              <w:pStyle w:val="af9"/>
              <w:snapToGrid w:val="0"/>
              <w:ind w:firstLine="0"/>
              <w:jc w:val="center"/>
            </w:pPr>
            <w:r w:rsidRPr="00B065D6">
              <w:t>the distribution network NPF expected power</w:t>
            </w:r>
          </w:p>
        </w:tc>
      </w:tr>
      <w:tr w:rsidR="00B065D6" w:rsidRPr="00B065D6" w14:paraId="6A518CC3" w14:textId="77777777" w:rsidTr="00784F7D">
        <w:trPr>
          <w:trHeight w:val="20"/>
        </w:trPr>
        <w:tc>
          <w:tcPr>
            <w:tcW w:w="993" w:type="dxa"/>
            <w:vAlign w:val="center"/>
          </w:tcPr>
          <w:p w14:paraId="5FB1E17A" w14:textId="4C602949" w:rsidR="003835D5" w:rsidRPr="00B065D6" w:rsidRDefault="0089571C" w:rsidP="00784F7D">
            <w:pPr>
              <w:pStyle w:val="af9"/>
              <w:snapToGrid w:val="0"/>
              <w:ind w:firstLine="0"/>
              <w:jc w:val="center"/>
              <w:rPr>
                <w:lang w:eastAsia="zh-CN"/>
              </w:rPr>
            </w:pPr>
            <w:r w:rsidRPr="00B065D6">
              <w:rPr>
                <w:rFonts w:hint="eastAsia"/>
                <w:i/>
                <w:iCs/>
                <w:lang w:eastAsia="zh-CN"/>
              </w:rPr>
              <w:t>T</w:t>
            </w:r>
            <w:proofErr w:type="gramStart"/>
            <w:r w:rsidRPr="00B065D6">
              <w:rPr>
                <w:vertAlign w:val="subscript"/>
                <w:lang w:eastAsia="zh-CN"/>
              </w:rPr>
              <w:t>0</w:t>
            </w:r>
            <w:r w:rsidRPr="00B065D6">
              <w:rPr>
                <w:lang w:eastAsia="zh-CN"/>
              </w:rPr>
              <w:t>,</w:t>
            </w:r>
            <w:r w:rsidRPr="00B065D6">
              <w:rPr>
                <w:i/>
                <w:iCs/>
                <w:lang w:eastAsia="zh-CN"/>
              </w:rPr>
              <w:t>T</w:t>
            </w:r>
            <w:r w:rsidRPr="00B065D6">
              <w:rPr>
                <w:i/>
                <w:iCs/>
                <w:vertAlign w:val="subscript"/>
                <w:lang w:eastAsia="zh-CN"/>
              </w:rPr>
              <w:t>d</w:t>
            </w:r>
            <w:proofErr w:type="gramEnd"/>
          </w:p>
        </w:tc>
        <w:tc>
          <w:tcPr>
            <w:tcW w:w="3872" w:type="dxa"/>
            <w:vAlign w:val="center"/>
          </w:tcPr>
          <w:p w14:paraId="4623E694" w14:textId="1ADE9FC9" w:rsidR="003835D5" w:rsidRPr="00B065D6" w:rsidRDefault="0089571C" w:rsidP="00784F7D">
            <w:pPr>
              <w:pStyle w:val="af9"/>
              <w:snapToGrid w:val="0"/>
              <w:ind w:firstLine="0"/>
              <w:jc w:val="center"/>
            </w:pPr>
            <w:r w:rsidRPr="00B065D6">
              <w:t xml:space="preserve">the distribution network fault </w:t>
            </w:r>
            <w:proofErr w:type="gramStart"/>
            <w:r w:rsidRPr="00B065D6">
              <w:t>start</w:t>
            </w:r>
            <w:proofErr w:type="gramEnd"/>
            <w:r w:rsidRPr="00B065D6">
              <w:t xml:space="preserve"> time and fault end time</w:t>
            </w:r>
          </w:p>
        </w:tc>
      </w:tr>
      <w:tr w:rsidR="00B065D6" w:rsidRPr="00B065D6" w14:paraId="343A47B4" w14:textId="77777777" w:rsidTr="00784F7D">
        <w:trPr>
          <w:trHeight w:val="20"/>
        </w:trPr>
        <w:tc>
          <w:tcPr>
            <w:tcW w:w="993" w:type="dxa"/>
            <w:vAlign w:val="center"/>
          </w:tcPr>
          <w:p w14:paraId="5591FC3D" w14:textId="02F69AF9" w:rsidR="003835D5" w:rsidRPr="00B065D6" w:rsidRDefault="008A75EA" w:rsidP="00784F7D">
            <w:pPr>
              <w:pStyle w:val="af9"/>
              <w:snapToGrid w:val="0"/>
              <w:ind w:firstLine="0"/>
              <w:jc w:val="center"/>
            </w:pPr>
            <w:r w:rsidRPr="00B065D6">
              <w:rPr>
                <w:position w:val="-14"/>
              </w:rPr>
              <w:object w:dxaOrig="439" w:dyaOrig="379" w14:anchorId="312A0808">
                <v:shape id="Object 63" o:spid="_x0000_i1056" type="#_x0000_t75" style="width:18.45pt;height:18.45pt;mso-wrap-style:square;mso-position-horizontal-relative:page;mso-position-vertical-relative:page" o:ole="">
                  <v:imagedata r:id="rId72" o:title=""/>
                </v:shape>
                <o:OLEObject Type="Embed" ProgID="Equation.DSMT4" ShapeID="Object 63" DrawAspect="Content" ObjectID="_1758727483" r:id="rId73"/>
              </w:object>
            </w:r>
          </w:p>
        </w:tc>
        <w:tc>
          <w:tcPr>
            <w:tcW w:w="3872" w:type="dxa"/>
            <w:vAlign w:val="center"/>
          </w:tcPr>
          <w:p w14:paraId="5C86A379" w14:textId="0CF1E506" w:rsidR="003835D5" w:rsidRPr="00B065D6" w:rsidRDefault="008A75EA" w:rsidP="00784F7D">
            <w:pPr>
              <w:pStyle w:val="af9"/>
              <w:snapToGrid w:val="0"/>
              <w:ind w:firstLine="0"/>
              <w:jc w:val="center"/>
            </w:pPr>
            <w:r w:rsidRPr="00B065D6">
              <w:t>the natural gas price</w:t>
            </w:r>
          </w:p>
        </w:tc>
      </w:tr>
      <w:tr w:rsidR="00B065D6" w:rsidRPr="00B065D6" w14:paraId="594F0228" w14:textId="77777777" w:rsidTr="00784F7D">
        <w:trPr>
          <w:trHeight w:val="20"/>
        </w:trPr>
        <w:tc>
          <w:tcPr>
            <w:tcW w:w="993" w:type="dxa"/>
            <w:vAlign w:val="center"/>
          </w:tcPr>
          <w:p w14:paraId="3ADD89B3" w14:textId="3060867F" w:rsidR="003835D5" w:rsidRPr="00B065D6" w:rsidRDefault="008A75EA" w:rsidP="00784F7D">
            <w:pPr>
              <w:pStyle w:val="af9"/>
              <w:snapToGrid w:val="0"/>
              <w:ind w:firstLine="0"/>
              <w:jc w:val="center"/>
            </w:pPr>
            <w:r w:rsidRPr="00B065D6">
              <w:rPr>
                <w:position w:val="-14"/>
              </w:rPr>
              <w:object w:dxaOrig="1839" w:dyaOrig="399" w14:anchorId="6025C0A5">
                <v:shape id="Object 64" o:spid="_x0000_i1057" type="#_x0000_t75" style="width:61.7pt;height:13.7pt;mso-wrap-style:square;mso-position-horizontal-relative:page;mso-position-vertical-relative:page" o:ole="">
                  <v:imagedata r:id="rId74" o:title=""/>
                </v:shape>
                <o:OLEObject Type="Embed" ProgID="Equation.DSMT4" ShapeID="Object 64" DrawAspect="Content" ObjectID="_1758727484" r:id="rId75"/>
              </w:object>
            </w:r>
          </w:p>
        </w:tc>
        <w:tc>
          <w:tcPr>
            <w:tcW w:w="3872" w:type="dxa"/>
            <w:vAlign w:val="center"/>
          </w:tcPr>
          <w:p w14:paraId="5FF8728A" w14:textId="249B15B0" w:rsidR="003835D5" w:rsidRPr="00B065D6" w:rsidRDefault="008A75EA" w:rsidP="00784F7D">
            <w:pPr>
              <w:pStyle w:val="af9"/>
              <w:snapToGrid w:val="0"/>
              <w:ind w:firstLine="0"/>
              <w:jc w:val="center"/>
            </w:pPr>
            <w:r w:rsidRPr="00B065D6">
              <w:t>the low calorific value of natural gas</w:t>
            </w:r>
          </w:p>
        </w:tc>
      </w:tr>
      <w:tr w:rsidR="00B065D6" w:rsidRPr="00B065D6" w14:paraId="26612943" w14:textId="77777777" w:rsidTr="00784F7D">
        <w:trPr>
          <w:trHeight w:val="20"/>
        </w:trPr>
        <w:tc>
          <w:tcPr>
            <w:tcW w:w="993" w:type="dxa"/>
            <w:vAlign w:val="center"/>
          </w:tcPr>
          <w:p w14:paraId="47129332" w14:textId="4ABDB155" w:rsidR="003835D5" w:rsidRPr="00B065D6" w:rsidRDefault="005050A1" w:rsidP="00784F7D">
            <w:pPr>
              <w:pStyle w:val="af9"/>
              <w:snapToGrid w:val="0"/>
              <w:ind w:firstLine="0"/>
              <w:jc w:val="center"/>
            </w:pPr>
            <w:r w:rsidRPr="00B065D6">
              <w:rPr>
                <w:position w:val="-12"/>
              </w:rPr>
              <w:object w:dxaOrig="539" w:dyaOrig="379" w14:anchorId="2C177726">
                <v:shape id="Object 65" o:spid="_x0000_i1058" type="#_x0000_t75" style="width:23.15pt;height:18.45pt;mso-wrap-style:square;mso-position-horizontal-relative:page;mso-position-vertical-relative:page" o:ole="">
                  <v:imagedata r:id="rId76" o:title=""/>
                </v:shape>
                <o:OLEObject Type="Embed" ProgID="Equation.DSMT4" ShapeID="Object 65" DrawAspect="Content" ObjectID="_1758727485" r:id="rId77"/>
              </w:object>
            </w:r>
          </w:p>
        </w:tc>
        <w:tc>
          <w:tcPr>
            <w:tcW w:w="3872" w:type="dxa"/>
            <w:vAlign w:val="center"/>
          </w:tcPr>
          <w:p w14:paraId="2EA5B6C3" w14:textId="48D4A327" w:rsidR="003835D5" w:rsidRPr="00B065D6" w:rsidRDefault="005050A1" w:rsidP="00784F7D">
            <w:pPr>
              <w:pStyle w:val="af9"/>
              <w:snapToGrid w:val="0"/>
              <w:ind w:firstLine="0"/>
              <w:jc w:val="center"/>
            </w:pPr>
            <w:r w:rsidRPr="00B065D6">
              <w:t>the start-up state parameter of gas turbine</w:t>
            </w:r>
          </w:p>
        </w:tc>
      </w:tr>
      <w:tr w:rsidR="00B065D6" w:rsidRPr="00B065D6" w14:paraId="05021B14" w14:textId="77777777" w:rsidTr="00784F7D">
        <w:trPr>
          <w:trHeight w:val="20"/>
        </w:trPr>
        <w:tc>
          <w:tcPr>
            <w:tcW w:w="993" w:type="dxa"/>
            <w:vAlign w:val="center"/>
          </w:tcPr>
          <w:p w14:paraId="7878C1AF" w14:textId="4F97F8D4" w:rsidR="003835D5" w:rsidRPr="00B065D6" w:rsidRDefault="005050A1" w:rsidP="00784F7D">
            <w:pPr>
              <w:pStyle w:val="af9"/>
              <w:snapToGrid w:val="0"/>
              <w:ind w:firstLine="0"/>
              <w:jc w:val="center"/>
              <w:rPr>
                <w:iCs/>
              </w:rPr>
            </w:pPr>
            <w:r w:rsidRPr="00B065D6">
              <w:rPr>
                <w:position w:val="-12"/>
              </w:rPr>
              <w:object w:dxaOrig="399" w:dyaOrig="379" w14:anchorId="0F92E51E">
                <v:shape id="Object 66" o:spid="_x0000_i1059" type="#_x0000_t75" style="width:16.7pt;height:16.7pt;mso-wrap-style:square;mso-position-horizontal-relative:page;mso-position-vertical-relative:page" o:ole="">
                  <v:imagedata r:id="rId78" o:title=""/>
                </v:shape>
                <o:OLEObject Type="Embed" ProgID="Equation.DSMT4" ShapeID="Object 66" DrawAspect="Content" ObjectID="_1758727486" r:id="rId79"/>
              </w:object>
            </w:r>
          </w:p>
        </w:tc>
        <w:tc>
          <w:tcPr>
            <w:tcW w:w="3872" w:type="dxa"/>
            <w:vAlign w:val="center"/>
          </w:tcPr>
          <w:p w14:paraId="4BAB4851" w14:textId="74A043E2" w:rsidR="003835D5" w:rsidRPr="00B065D6" w:rsidRDefault="005050A1" w:rsidP="00784F7D">
            <w:pPr>
              <w:pStyle w:val="af9"/>
              <w:snapToGrid w:val="0"/>
              <w:ind w:firstLine="0"/>
              <w:jc w:val="center"/>
            </w:pPr>
            <w:r w:rsidRPr="00B065D6">
              <w:rPr>
                <w:rFonts w:ascii="Times New Roman" w:hAnsi="Times New Roman"/>
              </w:rPr>
              <w:t>the start-up cost of gas turbine</w:t>
            </w:r>
          </w:p>
        </w:tc>
      </w:tr>
      <w:tr w:rsidR="00B065D6" w:rsidRPr="00B065D6" w14:paraId="42D67A5A" w14:textId="77777777" w:rsidTr="00784F7D">
        <w:trPr>
          <w:trHeight w:val="20"/>
        </w:trPr>
        <w:tc>
          <w:tcPr>
            <w:tcW w:w="993" w:type="dxa"/>
            <w:vAlign w:val="center"/>
          </w:tcPr>
          <w:p w14:paraId="3CD584F7" w14:textId="5AACC641" w:rsidR="003835D5" w:rsidRPr="00B065D6" w:rsidRDefault="005050A1" w:rsidP="00784F7D">
            <w:pPr>
              <w:pStyle w:val="af9"/>
              <w:snapToGrid w:val="0"/>
              <w:ind w:firstLine="0"/>
              <w:jc w:val="center"/>
              <w:rPr>
                <w:iCs/>
              </w:rPr>
            </w:pPr>
            <w:r w:rsidRPr="00B065D6">
              <w:rPr>
                <w:position w:val="-6"/>
              </w:rPr>
              <w:object w:dxaOrig="1059" w:dyaOrig="259" w14:anchorId="437F3247">
                <v:shape id="Object 67" o:spid="_x0000_i1060" type="#_x0000_t75" style="width:42.85pt;height:12.45pt;mso-wrap-style:square;mso-position-horizontal-relative:page;mso-position-vertical-relative:page" o:ole="">
                  <v:imagedata r:id="rId80" o:title=""/>
                </v:shape>
                <o:OLEObject Type="Embed" ProgID="Equation.DSMT4" ShapeID="Object 67" DrawAspect="Content" ObjectID="_1758727487" r:id="rId81"/>
              </w:object>
            </w:r>
          </w:p>
        </w:tc>
        <w:tc>
          <w:tcPr>
            <w:tcW w:w="3872" w:type="dxa"/>
            <w:vAlign w:val="center"/>
          </w:tcPr>
          <w:p w14:paraId="665AC222" w14:textId="305090DF" w:rsidR="003835D5" w:rsidRPr="00B065D6" w:rsidRDefault="005050A1" w:rsidP="00784F7D">
            <w:pPr>
              <w:pStyle w:val="af9"/>
              <w:snapToGrid w:val="0"/>
              <w:ind w:firstLine="0"/>
              <w:jc w:val="center"/>
            </w:pPr>
            <w:r w:rsidRPr="00B065D6">
              <w:t>the dispatch time</w:t>
            </w:r>
          </w:p>
        </w:tc>
      </w:tr>
      <w:tr w:rsidR="00B065D6" w:rsidRPr="00B065D6" w14:paraId="109DD6E2" w14:textId="77777777" w:rsidTr="00784F7D">
        <w:trPr>
          <w:trHeight w:val="20"/>
        </w:trPr>
        <w:tc>
          <w:tcPr>
            <w:tcW w:w="993" w:type="dxa"/>
            <w:vAlign w:val="center"/>
          </w:tcPr>
          <w:p w14:paraId="3920AD08" w14:textId="27CA2FBB" w:rsidR="003835D5" w:rsidRPr="00B065D6" w:rsidRDefault="003107E4" w:rsidP="00784F7D">
            <w:pPr>
              <w:pStyle w:val="af9"/>
              <w:snapToGrid w:val="0"/>
              <w:ind w:firstLine="0"/>
              <w:jc w:val="center"/>
            </w:pPr>
            <w:r w:rsidRPr="00B065D6">
              <w:rPr>
                <w:position w:val="-12"/>
              </w:rPr>
              <w:object w:dxaOrig="539" w:dyaOrig="379" w14:anchorId="7DBD584E">
                <v:shape id="Object 77" o:spid="_x0000_i1061" type="#_x0000_t75" style="width:22.3pt;height:17.55pt;mso-wrap-style:square;mso-position-horizontal-relative:page;mso-position-vertical-relative:page" o:ole="">
                  <v:imagedata r:id="rId82" o:title=""/>
                </v:shape>
                <o:OLEObject Type="Embed" ProgID="Equation.DSMT4" ShapeID="Object 77" DrawAspect="Content" ObjectID="_1758727488" r:id="rId83"/>
              </w:object>
            </w:r>
          </w:p>
        </w:tc>
        <w:tc>
          <w:tcPr>
            <w:tcW w:w="3872" w:type="dxa"/>
            <w:vAlign w:val="center"/>
          </w:tcPr>
          <w:p w14:paraId="359AD9AF" w14:textId="10D2E0B5" w:rsidR="003835D5" w:rsidRPr="00B065D6" w:rsidRDefault="003107E4" w:rsidP="00784F7D">
            <w:pPr>
              <w:pStyle w:val="af9"/>
              <w:snapToGrid w:val="0"/>
              <w:ind w:firstLine="0"/>
              <w:jc w:val="center"/>
            </w:pPr>
            <w:r w:rsidRPr="00B065D6">
              <w:t>the gas turbine slope rate</w:t>
            </w:r>
          </w:p>
        </w:tc>
      </w:tr>
      <w:tr w:rsidR="00B065D6" w:rsidRPr="00B065D6" w14:paraId="0A72463A" w14:textId="77777777" w:rsidTr="00784F7D">
        <w:trPr>
          <w:trHeight w:val="20"/>
        </w:trPr>
        <w:tc>
          <w:tcPr>
            <w:tcW w:w="993" w:type="dxa"/>
            <w:vAlign w:val="center"/>
          </w:tcPr>
          <w:p w14:paraId="12495A72" w14:textId="313DA478" w:rsidR="003835D5" w:rsidRPr="00B065D6" w:rsidRDefault="003107E4" w:rsidP="00784F7D">
            <w:pPr>
              <w:pStyle w:val="af9"/>
              <w:snapToGrid w:val="0"/>
              <w:ind w:firstLine="0"/>
              <w:jc w:val="center"/>
            </w:pPr>
            <w:r w:rsidRPr="00B065D6">
              <w:rPr>
                <w:position w:val="-14"/>
              </w:rPr>
              <w:object w:dxaOrig="539" w:dyaOrig="399" w14:anchorId="56627E58">
                <v:shape id="Object 78" o:spid="_x0000_i1062" type="#_x0000_t75" style="width:22.3pt;height:17.55pt;mso-wrap-style:square;mso-position-horizontal-relative:page;mso-position-vertical-relative:page" o:ole="">
                  <v:imagedata r:id="rId84" o:title=""/>
                </v:shape>
                <o:OLEObject Type="Embed" ProgID="Equation.DSMT4" ShapeID="Object 78" DrawAspect="Content" ObjectID="_1758727489" r:id="rId85"/>
              </w:object>
            </w:r>
          </w:p>
        </w:tc>
        <w:tc>
          <w:tcPr>
            <w:tcW w:w="3872" w:type="dxa"/>
            <w:vAlign w:val="center"/>
          </w:tcPr>
          <w:p w14:paraId="231F7FB0" w14:textId="74CD0E91" w:rsidR="003835D5" w:rsidRPr="00B065D6" w:rsidRDefault="003107E4" w:rsidP="00784F7D">
            <w:pPr>
              <w:pStyle w:val="af9"/>
              <w:snapToGrid w:val="0"/>
              <w:ind w:firstLine="0"/>
              <w:jc w:val="center"/>
            </w:pPr>
            <w:r w:rsidRPr="00B065D6">
              <w:t>the gas turbine climb rate</w:t>
            </w:r>
          </w:p>
        </w:tc>
      </w:tr>
      <w:tr w:rsidR="00B065D6" w:rsidRPr="00B065D6" w14:paraId="4E2F3674" w14:textId="77777777" w:rsidTr="00784F7D">
        <w:trPr>
          <w:trHeight w:val="20"/>
        </w:trPr>
        <w:tc>
          <w:tcPr>
            <w:tcW w:w="993" w:type="dxa"/>
            <w:vAlign w:val="center"/>
          </w:tcPr>
          <w:p w14:paraId="5CFCD6E4" w14:textId="5035CB15" w:rsidR="003835D5" w:rsidRPr="00B065D6" w:rsidRDefault="00410664" w:rsidP="00784F7D">
            <w:pPr>
              <w:pStyle w:val="af9"/>
              <w:snapToGrid w:val="0"/>
              <w:ind w:firstLine="0"/>
              <w:jc w:val="center"/>
            </w:pPr>
            <w:r w:rsidRPr="00B065D6">
              <w:rPr>
                <w:position w:val="-12"/>
              </w:rPr>
              <w:object w:dxaOrig="439" w:dyaOrig="379" w14:anchorId="22CA9152">
                <v:shape id="Object 81" o:spid="_x0000_i1063" type="#_x0000_t75" style="width:20.15pt;height:20.15pt;mso-wrap-style:square;mso-position-horizontal-relative:page;mso-position-vertical-relative:page" o:ole="">
                  <v:imagedata r:id="rId86" o:title=""/>
                </v:shape>
                <o:OLEObject Type="Embed" ProgID="Equation.DSMT4" ShapeID="Object 81" DrawAspect="Content" ObjectID="_1758727490" r:id="rId87"/>
              </w:object>
            </w:r>
          </w:p>
        </w:tc>
        <w:tc>
          <w:tcPr>
            <w:tcW w:w="3872" w:type="dxa"/>
            <w:vAlign w:val="center"/>
          </w:tcPr>
          <w:p w14:paraId="6ACCCF07" w14:textId="4085CE64" w:rsidR="003835D5" w:rsidRPr="00B065D6" w:rsidRDefault="00410664" w:rsidP="00784F7D">
            <w:pPr>
              <w:pStyle w:val="af9"/>
              <w:snapToGrid w:val="0"/>
              <w:ind w:firstLine="0"/>
              <w:jc w:val="center"/>
              <w:rPr>
                <w:lang w:eastAsia="zh-CN"/>
              </w:rPr>
            </w:pPr>
            <w:r w:rsidRPr="00B065D6">
              <w:rPr>
                <w:lang w:eastAsia="zh-CN"/>
              </w:rPr>
              <w:t>the electricity price during the restoration period</w:t>
            </w:r>
          </w:p>
        </w:tc>
      </w:tr>
      <w:tr w:rsidR="00B065D6" w:rsidRPr="00B065D6" w14:paraId="49975423" w14:textId="77777777" w:rsidTr="00784F7D">
        <w:trPr>
          <w:trHeight w:val="20"/>
        </w:trPr>
        <w:tc>
          <w:tcPr>
            <w:tcW w:w="993" w:type="dxa"/>
            <w:vAlign w:val="center"/>
          </w:tcPr>
          <w:p w14:paraId="0635D399" w14:textId="4E1ABBCD" w:rsidR="00410664" w:rsidRPr="00B065D6" w:rsidRDefault="009024FD" w:rsidP="00784F7D">
            <w:pPr>
              <w:pStyle w:val="af9"/>
              <w:snapToGrid w:val="0"/>
              <w:ind w:firstLine="0"/>
              <w:jc w:val="center"/>
            </w:pPr>
            <w:r w:rsidRPr="00B065D6">
              <w:rPr>
                <w:position w:val="-12"/>
              </w:rPr>
              <w:object w:dxaOrig="459" w:dyaOrig="359" w14:anchorId="6B8450C0">
                <v:shape id="Object 82" o:spid="_x0000_i1064" type="#_x0000_t75" style="width:23.15pt;height:18pt;mso-position-horizontal-relative:page;mso-position-vertical-relative:page" o:ole="">
                  <v:imagedata r:id="rId88" o:title=""/>
                </v:shape>
                <o:OLEObject Type="Embed" ProgID="Equation.DSMT4" ShapeID="Object 82" DrawAspect="Content" ObjectID="_1758727491" r:id="rId89"/>
              </w:object>
            </w:r>
          </w:p>
        </w:tc>
        <w:tc>
          <w:tcPr>
            <w:tcW w:w="3872" w:type="dxa"/>
            <w:vAlign w:val="center"/>
          </w:tcPr>
          <w:p w14:paraId="5A033F11" w14:textId="52AE4277" w:rsidR="00410664" w:rsidRPr="00B065D6" w:rsidRDefault="009024FD" w:rsidP="00784F7D">
            <w:pPr>
              <w:pStyle w:val="af9"/>
              <w:snapToGrid w:val="0"/>
              <w:ind w:firstLine="0"/>
              <w:jc w:val="center"/>
              <w:rPr>
                <w:lang w:eastAsia="zh-CN"/>
              </w:rPr>
            </w:pPr>
            <w:r w:rsidRPr="00B065D6">
              <w:rPr>
                <w:lang w:eastAsia="zh-CN"/>
              </w:rPr>
              <w:t>the basic electricity price</w:t>
            </w:r>
          </w:p>
        </w:tc>
      </w:tr>
      <w:tr w:rsidR="00B065D6" w:rsidRPr="00B065D6" w14:paraId="27D319A5" w14:textId="77777777" w:rsidTr="00784F7D">
        <w:trPr>
          <w:trHeight w:val="20"/>
        </w:trPr>
        <w:tc>
          <w:tcPr>
            <w:tcW w:w="993" w:type="dxa"/>
            <w:vAlign w:val="center"/>
          </w:tcPr>
          <w:p w14:paraId="67343EB0" w14:textId="583D3920" w:rsidR="009024FD" w:rsidRPr="00B065D6" w:rsidRDefault="009024FD" w:rsidP="00784F7D">
            <w:pPr>
              <w:pStyle w:val="af9"/>
              <w:snapToGrid w:val="0"/>
              <w:ind w:firstLine="0"/>
              <w:jc w:val="center"/>
            </w:pPr>
            <w:r w:rsidRPr="00B065D6">
              <w:rPr>
                <w:position w:val="-12"/>
              </w:rPr>
              <w:object w:dxaOrig="459" w:dyaOrig="359" w14:anchorId="0A2C1563">
                <v:shape id="Object 83" o:spid="_x0000_i1065" type="#_x0000_t75" style="width:23.15pt;height:18pt;mso-position-horizontal-relative:page;mso-position-vertical-relative:page" o:ole="">
                  <v:imagedata r:id="rId90" o:title=""/>
                </v:shape>
                <o:OLEObject Type="Embed" ProgID="Equation.DSMT4" ShapeID="Object 83" DrawAspect="Content" ObjectID="_1758727492" r:id="rId91"/>
              </w:object>
            </w:r>
          </w:p>
        </w:tc>
        <w:tc>
          <w:tcPr>
            <w:tcW w:w="3872" w:type="dxa"/>
            <w:vAlign w:val="center"/>
          </w:tcPr>
          <w:p w14:paraId="5A55C77E" w14:textId="35C5E86A" w:rsidR="009024FD" w:rsidRPr="00B065D6" w:rsidRDefault="009024FD" w:rsidP="00784F7D">
            <w:pPr>
              <w:pStyle w:val="af9"/>
              <w:snapToGrid w:val="0"/>
              <w:ind w:firstLine="0"/>
              <w:jc w:val="center"/>
              <w:rPr>
                <w:lang w:eastAsia="zh-CN"/>
              </w:rPr>
            </w:pPr>
            <w:r w:rsidRPr="00B065D6">
              <w:rPr>
                <w:lang w:eastAsia="zh-CN"/>
              </w:rPr>
              <w:t>the highest electricity price</w:t>
            </w:r>
          </w:p>
        </w:tc>
      </w:tr>
      <w:tr w:rsidR="00B065D6" w:rsidRPr="00B065D6" w14:paraId="7CF15C97" w14:textId="77777777" w:rsidTr="00784F7D">
        <w:trPr>
          <w:trHeight w:val="20"/>
        </w:trPr>
        <w:tc>
          <w:tcPr>
            <w:tcW w:w="993" w:type="dxa"/>
            <w:vAlign w:val="center"/>
          </w:tcPr>
          <w:p w14:paraId="62A18563" w14:textId="742F62D9" w:rsidR="009024FD" w:rsidRPr="00B065D6" w:rsidRDefault="009024FD" w:rsidP="00784F7D">
            <w:pPr>
              <w:pStyle w:val="af9"/>
              <w:snapToGrid w:val="0"/>
              <w:ind w:firstLine="0"/>
              <w:jc w:val="center"/>
            </w:pPr>
            <w:r w:rsidRPr="00B065D6">
              <w:rPr>
                <w:position w:val="-12"/>
              </w:rPr>
              <w:object w:dxaOrig="459" w:dyaOrig="359" w14:anchorId="54985CDD">
                <v:shape id="Object 84" o:spid="_x0000_i1066" type="#_x0000_t75" style="width:23.15pt;height:18pt;mso-position-horizontal-relative:page;mso-position-vertical-relative:page" o:ole="">
                  <v:imagedata r:id="rId92" o:title=""/>
                </v:shape>
                <o:OLEObject Type="Embed" ProgID="Equation.DSMT4" ShapeID="Object 84" DrawAspect="Content" ObjectID="_1758727493" r:id="rId93"/>
              </w:object>
            </w:r>
          </w:p>
        </w:tc>
        <w:tc>
          <w:tcPr>
            <w:tcW w:w="3872" w:type="dxa"/>
            <w:vAlign w:val="center"/>
          </w:tcPr>
          <w:p w14:paraId="69870C57" w14:textId="252D50F8" w:rsidR="009024FD" w:rsidRPr="00B065D6" w:rsidRDefault="009024FD" w:rsidP="00784F7D">
            <w:pPr>
              <w:pStyle w:val="af9"/>
              <w:snapToGrid w:val="0"/>
              <w:ind w:firstLine="0"/>
              <w:jc w:val="center"/>
              <w:rPr>
                <w:lang w:eastAsia="zh-CN"/>
              </w:rPr>
            </w:pPr>
            <w:r w:rsidRPr="00B065D6">
              <w:rPr>
                <w:lang w:eastAsia="zh-CN"/>
              </w:rPr>
              <w:t>the restoration promotion electricity price</w:t>
            </w:r>
          </w:p>
        </w:tc>
      </w:tr>
      <w:tr w:rsidR="00B065D6" w:rsidRPr="00B065D6" w14:paraId="484E6058" w14:textId="77777777" w:rsidTr="00784F7D">
        <w:trPr>
          <w:trHeight w:val="20"/>
        </w:trPr>
        <w:tc>
          <w:tcPr>
            <w:tcW w:w="993" w:type="dxa"/>
            <w:vAlign w:val="center"/>
          </w:tcPr>
          <w:p w14:paraId="0E9AFEF8" w14:textId="2AE0B6F0" w:rsidR="009024FD" w:rsidRPr="00B065D6" w:rsidRDefault="009024FD" w:rsidP="00784F7D">
            <w:pPr>
              <w:pStyle w:val="af9"/>
              <w:snapToGrid w:val="0"/>
              <w:ind w:firstLine="0"/>
              <w:jc w:val="center"/>
            </w:pPr>
            <w:r w:rsidRPr="00B065D6">
              <w:rPr>
                <w:position w:val="-14"/>
              </w:rPr>
              <w:object w:dxaOrig="739" w:dyaOrig="379" w14:anchorId="5658E1F1">
                <v:shape id="Object 85" o:spid="_x0000_i1067" type="#_x0000_t75" style="width:36pt;height:20.15pt;mso-wrap-style:square;mso-position-horizontal-relative:page;mso-position-vertical-relative:page" o:ole="">
                  <v:imagedata r:id="rId94" o:title=""/>
                </v:shape>
                <o:OLEObject Type="Embed" ProgID="Equation.DSMT4" ShapeID="Object 85" DrawAspect="Content" ObjectID="_1758727494" r:id="rId95"/>
              </w:object>
            </w:r>
          </w:p>
        </w:tc>
        <w:tc>
          <w:tcPr>
            <w:tcW w:w="3872" w:type="dxa"/>
            <w:vAlign w:val="center"/>
          </w:tcPr>
          <w:p w14:paraId="6B341674" w14:textId="4EF3E279" w:rsidR="009024FD" w:rsidRPr="00B065D6" w:rsidRDefault="009024FD" w:rsidP="00784F7D">
            <w:pPr>
              <w:pStyle w:val="af9"/>
              <w:snapToGrid w:val="0"/>
              <w:ind w:firstLine="0"/>
              <w:jc w:val="center"/>
              <w:rPr>
                <w:lang w:eastAsia="zh-CN"/>
              </w:rPr>
            </w:pPr>
            <w:r w:rsidRPr="00B065D6">
              <w:rPr>
                <w:lang w:eastAsia="zh-CN"/>
              </w:rPr>
              <w:t>the power headroom index under the basic electricity price</w:t>
            </w:r>
          </w:p>
        </w:tc>
      </w:tr>
      <w:tr w:rsidR="00B065D6" w:rsidRPr="00B065D6" w14:paraId="1A201990" w14:textId="77777777" w:rsidTr="00784F7D">
        <w:trPr>
          <w:trHeight w:val="20"/>
        </w:trPr>
        <w:tc>
          <w:tcPr>
            <w:tcW w:w="993" w:type="dxa"/>
            <w:vAlign w:val="center"/>
          </w:tcPr>
          <w:p w14:paraId="35BA6453" w14:textId="3B90850B" w:rsidR="009024FD" w:rsidRPr="00B065D6" w:rsidRDefault="009024FD" w:rsidP="00784F7D">
            <w:pPr>
              <w:pStyle w:val="af9"/>
              <w:snapToGrid w:val="0"/>
              <w:ind w:firstLine="0"/>
              <w:jc w:val="center"/>
            </w:pPr>
            <w:r w:rsidRPr="00B065D6">
              <w:rPr>
                <w:position w:val="-14"/>
              </w:rPr>
              <w:object w:dxaOrig="739" w:dyaOrig="379" w14:anchorId="70AD1877">
                <v:shape id="Object 86" o:spid="_x0000_i1068" type="#_x0000_t75" style="width:36pt;height:20.15pt;mso-wrap-style:square;mso-position-horizontal-relative:page;mso-position-vertical-relative:page" o:ole="">
                  <v:imagedata r:id="rId96" o:title=""/>
                </v:shape>
                <o:OLEObject Type="Embed" ProgID="Equation.DSMT4" ShapeID="Object 86" DrawAspect="Content" ObjectID="_1758727495" r:id="rId97"/>
              </w:object>
            </w:r>
          </w:p>
        </w:tc>
        <w:tc>
          <w:tcPr>
            <w:tcW w:w="3872" w:type="dxa"/>
            <w:vAlign w:val="center"/>
          </w:tcPr>
          <w:p w14:paraId="4AA79586" w14:textId="3836C486" w:rsidR="009024FD" w:rsidRPr="00B065D6" w:rsidRDefault="009024FD" w:rsidP="00784F7D">
            <w:pPr>
              <w:pStyle w:val="af9"/>
              <w:snapToGrid w:val="0"/>
              <w:ind w:firstLine="0"/>
              <w:jc w:val="center"/>
              <w:rPr>
                <w:lang w:eastAsia="zh-CN"/>
              </w:rPr>
            </w:pPr>
            <w:r w:rsidRPr="00B065D6">
              <w:rPr>
                <w:lang w:eastAsia="zh-CN"/>
              </w:rPr>
              <w:t>the power headroom index under the highest electricity price</w:t>
            </w:r>
          </w:p>
        </w:tc>
      </w:tr>
    </w:tbl>
    <w:p w14:paraId="270A9152" w14:textId="77777777" w:rsidR="00E14E6A" w:rsidRPr="00B065D6" w:rsidRDefault="00E14E6A" w:rsidP="00E14E6A">
      <w:pPr>
        <w:pStyle w:val="IETHeading1"/>
        <w:numPr>
          <w:ilvl w:val="0"/>
          <w:numId w:val="2"/>
        </w:numPr>
        <w:rPr>
          <w:rFonts w:ascii="Times New Roman" w:hAnsi="Times New Roman" w:cs="Times New Roman"/>
          <w:sz w:val="20"/>
          <w:szCs w:val="20"/>
        </w:rPr>
      </w:pPr>
      <w:r w:rsidRPr="00B065D6">
        <w:rPr>
          <w:rFonts w:ascii="Times New Roman" w:hAnsi="Times New Roman" w:cs="Times New Roman"/>
          <w:sz w:val="20"/>
          <w:szCs w:val="20"/>
        </w:rPr>
        <w:t>Introduction</w:t>
      </w:r>
    </w:p>
    <w:p w14:paraId="5B75C7C9" w14:textId="13F7A5DE" w:rsidR="0048694E" w:rsidRPr="00B065D6" w:rsidRDefault="000E5034" w:rsidP="00AF4E5D">
      <w:pPr>
        <w:pStyle w:val="IETParagraph"/>
        <w:spacing w:line="240" w:lineRule="auto"/>
        <w:ind w:firstLine="454"/>
        <w:rPr>
          <w:sz w:val="20"/>
          <w:szCs w:val="20"/>
        </w:rPr>
      </w:pPr>
      <w:r w:rsidRPr="00B065D6">
        <w:rPr>
          <w:sz w:val="20"/>
          <w:szCs w:val="20"/>
        </w:rPr>
        <w:t xml:space="preserve">The safe and reliable operation of the power system is one of the important guarantees for industrial production and social life in modern society. However, the frequent occurrence of extreme natural disasters </w:t>
      </w:r>
      <w:proofErr w:type="gramStart"/>
      <w:r w:rsidRPr="00B065D6">
        <w:rPr>
          <w:sz w:val="20"/>
          <w:szCs w:val="20"/>
        </w:rPr>
        <w:t>have</w:t>
      </w:r>
      <w:proofErr w:type="gramEnd"/>
      <w:r w:rsidRPr="00B065D6">
        <w:rPr>
          <w:sz w:val="20"/>
          <w:szCs w:val="20"/>
        </w:rPr>
        <w:t xml:space="preserve"> caused large-scale and widespread power disruptions, resulting in huge social and economic losses and bringing unprecedented challenges for the power system. According to statistics, about 80% of major power outages are caused by natural disasters, and distribution network accidents account for about 80% to 90%, which highlights </w:t>
      </w:r>
      <w:r w:rsidR="00663187" w:rsidRPr="00B065D6">
        <w:rPr>
          <w:sz w:val="20"/>
          <w:szCs w:val="20"/>
        </w:rPr>
        <w:t>the lack of resilience and effective measures to deal with extreme disasters for the distribution network.</w:t>
      </w:r>
      <w:r w:rsidR="00E24E0B" w:rsidRPr="00B065D6">
        <w:rPr>
          <w:sz w:val="20"/>
          <w:szCs w:val="20"/>
        </w:rPr>
        <w:t xml:space="preserve"> </w:t>
      </w:r>
      <w:r w:rsidRPr="00B065D6">
        <w:rPr>
          <w:sz w:val="20"/>
          <w:szCs w:val="20"/>
        </w:rPr>
        <w:t xml:space="preserve">With the development of distributed energy, the distribution system gradually becomes energy utilization </w:t>
      </w:r>
      <w:proofErr w:type="spellStart"/>
      <w:r w:rsidRPr="00B065D6">
        <w:rPr>
          <w:sz w:val="20"/>
          <w:szCs w:val="20"/>
        </w:rPr>
        <w:t>center</w:t>
      </w:r>
      <w:proofErr w:type="spellEnd"/>
      <w:r w:rsidRPr="00B065D6">
        <w:rPr>
          <w:sz w:val="20"/>
          <w:szCs w:val="20"/>
        </w:rPr>
        <w:t>, and the modern distribution system gradually becomes large and complex physical network system, so the resilience enhancement of the distribution system becomes more and more urgent and important.</w:t>
      </w:r>
    </w:p>
    <w:p w14:paraId="5DE3B6C7" w14:textId="5EC756F4" w:rsidR="00AF4E5D" w:rsidRPr="00B065D6" w:rsidRDefault="00AF4E5D" w:rsidP="003855DB">
      <w:pPr>
        <w:pStyle w:val="IETParagraph"/>
        <w:spacing w:line="240" w:lineRule="auto"/>
        <w:ind w:firstLine="454"/>
        <w:rPr>
          <w:sz w:val="20"/>
          <w:szCs w:val="20"/>
        </w:rPr>
      </w:pPr>
      <w:r w:rsidRPr="00B065D6">
        <w:rPr>
          <w:sz w:val="20"/>
          <w:szCs w:val="20"/>
        </w:rPr>
        <w:t>At this stage, scholars at home and abroad have researched and achieved certain results on power system resilience. The literature [1] summarizes the views of scholars and proposes that resilience refers to the ability of the power system to prevent, resist, and quickly restore load in response to extreme events with low probability-high loss. The literature [2] review</w:t>
      </w:r>
      <w:r w:rsidR="00C853A9" w:rsidRPr="00B065D6">
        <w:rPr>
          <w:sz w:val="20"/>
          <w:szCs w:val="20"/>
        </w:rPr>
        <w:t>s</w:t>
      </w:r>
      <w:r w:rsidRPr="00B065D6">
        <w:rPr>
          <w:sz w:val="20"/>
          <w:szCs w:val="20"/>
        </w:rPr>
        <w:t xml:space="preserve"> the definition of </w:t>
      </w:r>
      <w:r w:rsidR="00FC1F20" w:rsidRPr="00B065D6">
        <w:rPr>
          <w:sz w:val="20"/>
          <w:szCs w:val="20"/>
        </w:rPr>
        <w:t>resilient power grids</w:t>
      </w:r>
      <w:r w:rsidRPr="00B065D6">
        <w:rPr>
          <w:sz w:val="20"/>
          <w:szCs w:val="20"/>
        </w:rPr>
        <w:t xml:space="preserve"> and its key characteristics, and propose</w:t>
      </w:r>
      <w:r w:rsidR="00FC1F20" w:rsidRPr="00B065D6">
        <w:rPr>
          <w:sz w:val="20"/>
          <w:szCs w:val="20"/>
        </w:rPr>
        <w:t>s</w:t>
      </w:r>
      <w:r w:rsidRPr="00B065D6">
        <w:rPr>
          <w:sz w:val="20"/>
          <w:szCs w:val="20"/>
        </w:rPr>
        <w:t xml:space="preserve"> that resilience is the core characteristic. The literature [3] propose</w:t>
      </w:r>
      <w:r w:rsidR="003855DB" w:rsidRPr="00B065D6">
        <w:rPr>
          <w:sz w:val="20"/>
          <w:szCs w:val="20"/>
        </w:rPr>
        <w:t>s</w:t>
      </w:r>
      <w:r w:rsidRPr="00B065D6">
        <w:rPr>
          <w:sz w:val="20"/>
          <w:szCs w:val="20"/>
        </w:rPr>
        <w:t xml:space="preserve"> that </w:t>
      </w:r>
      <w:r w:rsidR="003855DB" w:rsidRPr="00B065D6">
        <w:rPr>
          <w:sz w:val="20"/>
          <w:szCs w:val="20"/>
        </w:rPr>
        <w:t xml:space="preserve">the </w:t>
      </w:r>
      <w:r w:rsidRPr="00B065D6">
        <w:rPr>
          <w:sz w:val="20"/>
          <w:szCs w:val="20"/>
        </w:rPr>
        <w:t xml:space="preserve">integrated energy system is an important development direction to enhance the resilience of distribution networks. In terms of resilience enhancement, prevention, resilience and recovery measures are mainly focused on the prevention and preparation phase, resistance and infiltration phase and rapid </w:t>
      </w:r>
      <w:r w:rsidRPr="00B065D6">
        <w:rPr>
          <w:sz w:val="20"/>
          <w:szCs w:val="20"/>
        </w:rPr>
        <w:t xml:space="preserve">recovery phase when the power system is hit by extreme disasters. The literature [4-5] </w:t>
      </w:r>
      <w:r w:rsidR="00E24E0B" w:rsidRPr="00B065D6">
        <w:rPr>
          <w:sz w:val="20"/>
          <w:szCs w:val="20"/>
        </w:rPr>
        <w:t>propose</w:t>
      </w:r>
      <w:r w:rsidRPr="00B065D6">
        <w:rPr>
          <w:sz w:val="20"/>
          <w:szCs w:val="20"/>
        </w:rPr>
        <w:t xml:space="preserve"> an optimal allocation method for mobile energy storage to enhance the resilience of the distribution network, which effectively improves the ability of the distribution network to withstand disasters. The literature [6] propose</w:t>
      </w:r>
      <w:r w:rsidR="00AD27B4" w:rsidRPr="00B065D6">
        <w:rPr>
          <w:sz w:val="20"/>
          <w:szCs w:val="20"/>
        </w:rPr>
        <w:t>s</w:t>
      </w:r>
      <w:r w:rsidRPr="00B065D6">
        <w:rPr>
          <w:sz w:val="20"/>
          <w:szCs w:val="20"/>
        </w:rPr>
        <w:t xml:space="preserve"> an integrated resilience enhancement strategy to achieve resilience enhancement of the distribution network in the presence of climatic hazards. The literature [7] consider</w:t>
      </w:r>
      <w:r w:rsidR="00534C34" w:rsidRPr="00B065D6">
        <w:rPr>
          <w:sz w:val="20"/>
          <w:szCs w:val="20"/>
        </w:rPr>
        <w:t>s</w:t>
      </w:r>
      <w:r w:rsidRPr="00B065D6">
        <w:rPr>
          <w:sz w:val="20"/>
          <w:szCs w:val="20"/>
        </w:rPr>
        <w:t xml:space="preserve"> the relevance of multiple uncertainties </w:t>
      </w:r>
      <w:r w:rsidR="00534C34" w:rsidRPr="00B065D6">
        <w:rPr>
          <w:sz w:val="20"/>
          <w:szCs w:val="20"/>
        </w:rPr>
        <w:t>about</w:t>
      </w:r>
      <w:r w:rsidRPr="00B065D6">
        <w:rPr>
          <w:sz w:val="20"/>
          <w:szCs w:val="20"/>
        </w:rPr>
        <w:t xml:space="preserve"> natural disasters and propose</w:t>
      </w:r>
      <w:r w:rsidR="00534C34" w:rsidRPr="00B065D6">
        <w:rPr>
          <w:sz w:val="20"/>
          <w:szCs w:val="20"/>
        </w:rPr>
        <w:t>s</w:t>
      </w:r>
      <w:r w:rsidRPr="00B065D6">
        <w:rPr>
          <w:sz w:val="20"/>
          <w:szCs w:val="20"/>
        </w:rPr>
        <w:t xml:space="preserve"> a resilience enhancement investment plan for distribution networks based on probabilistic values. The literature [8] construct</w:t>
      </w:r>
      <w:r w:rsidR="00A92CEE" w:rsidRPr="00B065D6">
        <w:rPr>
          <w:sz w:val="20"/>
          <w:szCs w:val="20"/>
        </w:rPr>
        <w:t>s</w:t>
      </w:r>
      <w:r w:rsidRPr="00B065D6">
        <w:rPr>
          <w:sz w:val="20"/>
          <w:szCs w:val="20"/>
        </w:rPr>
        <w:t xml:space="preserve"> a planning framework based on deep reinforcement learning</w:t>
      </w:r>
      <w:r w:rsidR="00A92CEE" w:rsidRPr="00B065D6">
        <w:rPr>
          <w:sz w:val="20"/>
          <w:szCs w:val="20"/>
        </w:rPr>
        <w:t>,</w:t>
      </w:r>
      <w:r w:rsidRPr="00B065D6">
        <w:rPr>
          <w:sz w:val="20"/>
          <w:szCs w:val="20"/>
        </w:rPr>
        <w:t xml:space="preserve"> </w:t>
      </w:r>
      <w:r w:rsidR="00157084" w:rsidRPr="00B065D6">
        <w:rPr>
          <w:sz w:val="20"/>
          <w:szCs w:val="20"/>
        </w:rPr>
        <w:t xml:space="preserve">and </w:t>
      </w:r>
      <w:r w:rsidRPr="00B065D6">
        <w:rPr>
          <w:sz w:val="20"/>
          <w:szCs w:val="20"/>
        </w:rPr>
        <w:t>enhanc</w:t>
      </w:r>
      <w:r w:rsidR="00A92CEE" w:rsidRPr="00B065D6">
        <w:rPr>
          <w:sz w:val="20"/>
          <w:szCs w:val="20"/>
        </w:rPr>
        <w:t>ing</w:t>
      </w:r>
      <w:r w:rsidRPr="00B065D6">
        <w:rPr>
          <w:sz w:val="20"/>
          <w:szCs w:val="20"/>
        </w:rPr>
        <w:t xml:space="preserve"> the long-term resilience of distribution systems through reinforcement strategies. The literature [9] propose</w:t>
      </w:r>
      <w:r w:rsidR="00157084" w:rsidRPr="00B065D6">
        <w:rPr>
          <w:sz w:val="20"/>
          <w:szCs w:val="20"/>
        </w:rPr>
        <w:t>s</w:t>
      </w:r>
      <w:r w:rsidRPr="00B065D6">
        <w:rPr>
          <w:sz w:val="20"/>
          <w:szCs w:val="20"/>
        </w:rPr>
        <w:t xml:space="preserve"> an integrated planning framework to improve the combined resilience of distribution network and water distribution network to withstand hurricanes. In the literature [10], an optimal configuration method of gas turbine and gas storage system in an electric-gas interconnected system </w:t>
      </w:r>
      <w:r w:rsidR="00157084" w:rsidRPr="00B065D6">
        <w:rPr>
          <w:sz w:val="20"/>
          <w:szCs w:val="20"/>
        </w:rPr>
        <w:t>is</w:t>
      </w:r>
      <w:r w:rsidRPr="00B065D6">
        <w:rPr>
          <w:sz w:val="20"/>
          <w:szCs w:val="20"/>
        </w:rPr>
        <w:t xml:space="preserve"> proposed</w:t>
      </w:r>
      <w:r w:rsidR="00157084" w:rsidRPr="00B065D6">
        <w:rPr>
          <w:sz w:val="20"/>
          <w:szCs w:val="20"/>
        </w:rPr>
        <w:t>,</w:t>
      </w:r>
      <w:r w:rsidRPr="00B065D6">
        <w:rPr>
          <w:sz w:val="20"/>
          <w:szCs w:val="20"/>
        </w:rPr>
        <w:t xml:space="preserve"> </w:t>
      </w:r>
      <w:r w:rsidR="00157084" w:rsidRPr="00B065D6">
        <w:rPr>
          <w:sz w:val="20"/>
          <w:szCs w:val="20"/>
        </w:rPr>
        <w:t>and</w:t>
      </w:r>
      <w:r w:rsidRPr="00B065D6">
        <w:rPr>
          <w:sz w:val="20"/>
          <w:szCs w:val="20"/>
        </w:rPr>
        <w:t xml:space="preserve"> </w:t>
      </w:r>
      <w:proofErr w:type="spellStart"/>
      <w:r w:rsidRPr="00B065D6">
        <w:rPr>
          <w:sz w:val="20"/>
          <w:szCs w:val="20"/>
        </w:rPr>
        <w:t>analyze</w:t>
      </w:r>
      <w:r w:rsidR="00157084" w:rsidRPr="00B065D6">
        <w:rPr>
          <w:sz w:val="20"/>
          <w:szCs w:val="20"/>
        </w:rPr>
        <w:t>s</w:t>
      </w:r>
      <w:proofErr w:type="spellEnd"/>
      <w:r w:rsidRPr="00B065D6">
        <w:rPr>
          <w:sz w:val="20"/>
          <w:szCs w:val="20"/>
        </w:rPr>
        <w:t xml:space="preserve"> the resilience level of the system under different scenarios.</w:t>
      </w:r>
    </w:p>
    <w:p w14:paraId="7D41E254" w14:textId="3ADF0CA9" w:rsidR="00045E3F" w:rsidRPr="00B065D6" w:rsidRDefault="00157084" w:rsidP="00045E3F">
      <w:pPr>
        <w:pStyle w:val="IETParagraph"/>
        <w:spacing w:line="240" w:lineRule="auto"/>
        <w:ind w:firstLine="454"/>
        <w:rPr>
          <w:sz w:val="20"/>
          <w:szCs w:val="20"/>
        </w:rPr>
      </w:pPr>
      <w:r w:rsidRPr="00B065D6">
        <w:rPr>
          <w:sz w:val="20"/>
          <w:szCs w:val="20"/>
        </w:rPr>
        <w:t xml:space="preserve">Coordinated optimal scheduling of distributed generators and energy storage can achieve rapid post-disaster restoration and reduce the interruption time of power loads and </w:t>
      </w:r>
      <w:r w:rsidR="009B4E39" w:rsidRPr="00B065D6">
        <w:rPr>
          <w:sz w:val="20"/>
          <w:szCs w:val="20"/>
        </w:rPr>
        <w:t>power</w:t>
      </w:r>
      <w:r w:rsidRPr="00B065D6">
        <w:rPr>
          <w:sz w:val="20"/>
          <w:szCs w:val="20"/>
        </w:rPr>
        <w:t>. The literature [11] propos</w:t>
      </w:r>
      <w:r w:rsidR="00B213F7" w:rsidRPr="00B065D6">
        <w:rPr>
          <w:sz w:val="20"/>
          <w:szCs w:val="20"/>
        </w:rPr>
        <w:t>es</w:t>
      </w:r>
      <w:r w:rsidRPr="00B065D6">
        <w:rPr>
          <w:sz w:val="20"/>
          <w:szCs w:val="20"/>
        </w:rPr>
        <w:t xml:space="preserve"> a joint planning-attack-network reconfiguration optimization model </w:t>
      </w:r>
      <w:r w:rsidR="00B213F7" w:rsidRPr="00B065D6">
        <w:rPr>
          <w:sz w:val="20"/>
          <w:szCs w:val="20"/>
        </w:rPr>
        <w:t xml:space="preserve">of DG </w:t>
      </w:r>
      <w:r w:rsidRPr="00B065D6">
        <w:rPr>
          <w:sz w:val="20"/>
          <w:szCs w:val="20"/>
        </w:rPr>
        <w:t>to enhance the resilience of the distribution network. In the literature [12], a hierarchical management strategy is proposed to improve the anti-risk ability and post-disaster resilience of the distribution network considering the coordination of regional multi-energy systems. Based on the constructed probability model of low-frequency and high-loss events, the literature [13] propose</w:t>
      </w:r>
      <w:r w:rsidR="004A0D84" w:rsidRPr="00B065D6">
        <w:rPr>
          <w:sz w:val="20"/>
          <w:szCs w:val="20"/>
        </w:rPr>
        <w:t>s</w:t>
      </w:r>
      <w:r w:rsidRPr="00B065D6">
        <w:rPr>
          <w:sz w:val="20"/>
          <w:szCs w:val="20"/>
        </w:rPr>
        <w:t xml:space="preserve"> an optimal scheduling method under extreme events with renewable energy generators participating in the day-ahead energy and spinning reserve market, which explores a new way to improve the resilience of the distribution network from the perspective of the electricity market. In literature [14], it consider</w:t>
      </w:r>
      <w:r w:rsidR="004A0D84" w:rsidRPr="00B065D6">
        <w:rPr>
          <w:sz w:val="20"/>
          <w:szCs w:val="20"/>
        </w:rPr>
        <w:t>s</w:t>
      </w:r>
      <w:r w:rsidRPr="00B065D6">
        <w:rPr>
          <w:sz w:val="20"/>
          <w:szCs w:val="20"/>
        </w:rPr>
        <w:t xml:space="preserve"> emergency operation decisions and restoration decisions that can minimize the loss of power system load during restoration. In literature [15], it propos</w:t>
      </w:r>
      <w:r w:rsidR="004A0D84" w:rsidRPr="00B065D6">
        <w:rPr>
          <w:sz w:val="20"/>
          <w:szCs w:val="20"/>
        </w:rPr>
        <w:t>es</w:t>
      </w:r>
      <w:r w:rsidRPr="00B065D6">
        <w:rPr>
          <w:sz w:val="20"/>
          <w:szCs w:val="20"/>
        </w:rPr>
        <w:t xml:space="preserve"> a two-stage approach to enhance the resilience of the distribution network by reconfiguring the intentional islanding of the distribution network consider</w:t>
      </w:r>
      <w:r w:rsidR="002967C0" w:rsidRPr="00B065D6">
        <w:rPr>
          <w:sz w:val="20"/>
          <w:szCs w:val="20"/>
        </w:rPr>
        <w:t>ing</w:t>
      </w:r>
      <w:r w:rsidRPr="00B065D6">
        <w:rPr>
          <w:sz w:val="20"/>
          <w:szCs w:val="20"/>
        </w:rPr>
        <w:t xml:space="preserve"> of extreme events. With the continuous development of microgrid technology, the study of microgrid participation in enhancing the resilience of distribution networks is becoming a new direction of interest. The literature [16] propose</w:t>
      </w:r>
      <w:r w:rsidR="00433D9C" w:rsidRPr="00B065D6">
        <w:rPr>
          <w:sz w:val="20"/>
          <w:szCs w:val="20"/>
        </w:rPr>
        <w:t>s</w:t>
      </w:r>
      <w:r w:rsidRPr="00B065D6">
        <w:rPr>
          <w:sz w:val="20"/>
          <w:szCs w:val="20"/>
        </w:rPr>
        <w:t xml:space="preserve"> a resilience enhancement model </w:t>
      </w:r>
      <w:r w:rsidR="00433D9C" w:rsidRPr="00B065D6">
        <w:rPr>
          <w:sz w:val="20"/>
          <w:szCs w:val="20"/>
        </w:rPr>
        <w:t>of</w:t>
      </w:r>
      <w:r w:rsidRPr="00B065D6">
        <w:rPr>
          <w:sz w:val="20"/>
          <w:szCs w:val="20"/>
        </w:rPr>
        <w:t xml:space="preserve"> distribution networks with the participation of micro-energy grids, and establish</w:t>
      </w:r>
      <w:r w:rsidR="00433D9C" w:rsidRPr="00B065D6">
        <w:rPr>
          <w:sz w:val="20"/>
          <w:szCs w:val="20"/>
        </w:rPr>
        <w:t>es</w:t>
      </w:r>
      <w:r w:rsidRPr="00B065D6">
        <w:rPr>
          <w:sz w:val="20"/>
          <w:szCs w:val="20"/>
        </w:rPr>
        <w:t xml:space="preserve"> a rolling management scheme for cold, heat, and electric loads under natural disasters, which achieve</w:t>
      </w:r>
      <w:r w:rsidR="00433D9C" w:rsidRPr="00B065D6">
        <w:rPr>
          <w:sz w:val="20"/>
          <w:szCs w:val="20"/>
        </w:rPr>
        <w:t>s</w:t>
      </w:r>
      <w:r w:rsidRPr="00B065D6">
        <w:rPr>
          <w:sz w:val="20"/>
          <w:szCs w:val="20"/>
        </w:rPr>
        <w:t xml:space="preserve"> effective support of resilience of distribution networks by micro-energy grids. The literature [17] propose</w:t>
      </w:r>
      <w:r w:rsidR="00433D9C" w:rsidRPr="00B065D6">
        <w:rPr>
          <w:sz w:val="20"/>
          <w:szCs w:val="20"/>
        </w:rPr>
        <w:t>s</w:t>
      </w:r>
      <w:r w:rsidRPr="00B065D6">
        <w:rPr>
          <w:sz w:val="20"/>
          <w:szCs w:val="20"/>
        </w:rPr>
        <w:t xml:space="preserve"> a differentiated operation model </w:t>
      </w:r>
      <w:r w:rsidR="00433D9C" w:rsidRPr="00B065D6">
        <w:rPr>
          <w:sz w:val="20"/>
          <w:szCs w:val="20"/>
        </w:rPr>
        <w:t>of</w:t>
      </w:r>
      <w:r w:rsidRPr="00B065D6">
        <w:rPr>
          <w:sz w:val="20"/>
          <w:szCs w:val="20"/>
        </w:rPr>
        <w:t xml:space="preserve"> distribution networks with microgrids, which is used to enhance the post-disaster restoration of distribution networks.</w:t>
      </w:r>
    </w:p>
    <w:p w14:paraId="0BDF8B32" w14:textId="38C4D3FC" w:rsidR="0048694E" w:rsidRPr="00B065D6" w:rsidRDefault="00157084" w:rsidP="00514178">
      <w:pPr>
        <w:pStyle w:val="IETParagraph"/>
        <w:spacing w:line="240" w:lineRule="auto"/>
        <w:ind w:firstLine="454"/>
        <w:rPr>
          <w:sz w:val="20"/>
          <w:szCs w:val="20"/>
        </w:rPr>
      </w:pPr>
      <w:r w:rsidRPr="00B065D6">
        <w:rPr>
          <w:sz w:val="20"/>
          <w:szCs w:val="20"/>
        </w:rPr>
        <w:t xml:space="preserve">All of the above-mentioned literatures </w:t>
      </w:r>
      <w:r w:rsidR="00045E3F" w:rsidRPr="00B065D6">
        <w:rPr>
          <w:sz w:val="20"/>
          <w:szCs w:val="20"/>
        </w:rPr>
        <w:t>all focus on enhancing the resilience of distribution network from technical measures such as infrastructure reinforcement, plan and optimization of energy storage and distributed power sources, without considering the power market mechanism.</w:t>
      </w:r>
      <w:r w:rsidR="00045E3F" w:rsidRPr="00B065D6">
        <w:rPr>
          <w:rFonts w:hint="eastAsia"/>
          <w:sz w:val="20"/>
          <w:szCs w:val="20"/>
        </w:rPr>
        <w:t xml:space="preserve"> </w:t>
      </w:r>
      <w:r w:rsidRPr="00B065D6">
        <w:rPr>
          <w:sz w:val="20"/>
          <w:szCs w:val="20"/>
        </w:rPr>
        <w:t xml:space="preserve">This paper provides a new way to explore the power market mechanism to improve the resilience of distribution networks </w:t>
      </w:r>
      <w:r w:rsidRPr="00B065D6">
        <w:rPr>
          <w:sz w:val="20"/>
          <w:szCs w:val="20"/>
        </w:rPr>
        <w:lastRenderedPageBreak/>
        <w:t xml:space="preserve">with multiple microgrids through the optimization of dynamic electricity price. Firstly, </w:t>
      </w:r>
      <w:r w:rsidR="002C2371" w:rsidRPr="00B065D6">
        <w:rPr>
          <w:sz w:val="20"/>
          <w:szCs w:val="20"/>
        </w:rPr>
        <w:t>it</w:t>
      </w:r>
      <w:r w:rsidRPr="00B065D6">
        <w:rPr>
          <w:sz w:val="20"/>
          <w:szCs w:val="20"/>
        </w:rPr>
        <w:t xml:space="preserve"> construct</w:t>
      </w:r>
      <w:r w:rsidR="002C2371" w:rsidRPr="00B065D6">
        <w:rPr>
          <w:sz w:val="20"/>
          <w:szCs w:val="20"/>
        </w:rPr>
        <w:t>s</w:t>
      </w:r>
      <w:r w:rsidRPr="00B065D6">
        <w:rPr>
          <w:sz w:val="20"/>
          <w:szCs w:val="20"/>
        </w:rPr>
        <w:t xml:space="preserve"> a dynamic restoration electricity price response mechanism containing the linkage between electricity price and power headroom index after extreme disasters in microgrid distribution networks, and establish a power response model for load and electric vehicles within the microgrid to characterize the response of electricity price. Secondly, </w:t>
      </w:r>
      <w:r w:rsidR="00195AD6" w:rsidRPr="00B065D6">
        <w:rPr>
          <w:sz w:val="20"/>
          <w:szCs w:val="20"/>
        </w:rPr>
        <w:t xml:space="preserve">coordinated optimal scheduling model </w:t>
      </w:r>
      <w:r w:rsidR="00514178" w:rsidRPr="00B065D6">
        <w:rPr>
          <w:sz w:val="20"/>
          <w:szCs w:val="20"/>
        </w:rPr>
        <w:t>of MMG considering dynamic restoration electricity price response mechanism to enhance RRCL of distribution network is proposed. The single microgrid optimization model achieves the maximum revenue and restoration contribution of distribution network, and transmits the grid response power from the microgrid to the distribution network.</w:t>
      </w:r>
      <w:r w:rsidRPr="00B065D6">
        <w:rPr>
          <w:sz w:val="20"/>
          <w:szCs w:val="20"/>
        </w:rPr>
        <w:t xml:space="preserve"> Construction of a three-step dynamic restoration tariff optimization model for distribution networks containing microgrids to achieve multi-microgrid optimization with maximum power purchase cost for restoration of critical loads in distribution networks. Finally, the proposed optimal scheduling method considering restoration electricity price response mechanism is validated </w:t>
      </w:r>
      <w:r w:rsidR="00CE279C" w:rsidRPr="00B065D6">
        <w:rPr>
          <w:sz w:val="20"/>
          <w:szCs w:val="20"/>
        </w:rPr>
        <w:t>by</w:t>
      </w:r>
      <w:r w:rsidRPr="00B065D6">
        <w:rPr>
          <w:sz w:val="20"/>
          <w:szCs w:val="20"/>
        </w:rPr>
        <w:t xml:space="preserve"> dual microgrid access to IEEE 33-node distribution system, and the simulation results show that the method can effectively improve the </w:t>
      </w:r>
      <w:r w:rsidR="00CE279C" w:rsidRPr="00B065D6">
        <w:rPr>
          <w:sz w:val="20"/>
          <w:szCs w:val="20"/>
        </w:rPr>
        <w:t>RRCL</w:t>
      </w:r>
      <w:r w:rsidRPr="00B065D6">
        <w:rPr>
          <w:sz w:val="20"/>
          <w:szCs w:val="20"/>
        </w:rPr>
        <w:t xml:space="preserve"> of the distribution network.</w:t>
      </w:r>
    </w:p>
    <w:p w14:paraId="3294E8E4" w14:textId="5FF2B3E5" w:rsidR="00E027AA" w:rsidRPr="00B065D6" w:rsidRDefault="008A7418" w:rsidP="00E027AA">
      <w:pPr>
        <w:pStyle w:val="IETHeading1"/>
        <w:numPr>
          <w:ilvl w:val="0"/>
          <w:numId w:val="2"/>
        </w:numPr>
        <w:jc w:val="both"/>
        <w:rPr>
          <w:rStyle w:val="a7"/>
          <w:rFonts w:ascii="Times New Roman" w:hAnsi="Times New Roman" w:cs="Times New Roman"/>
          <w:b/>
          <w:bCs/>
          <w:sz w:val="20"/>
          <w:szCs w:val="20"/>
        </w:rPr>
      </w:pPr>
      <w:r w:rsidRPr="00B065D6">
        <w:rPr>
          <w:rStyle w:val="a7"/>
          <w:rFonts w:ascii="Times New Roman" w:hAnsi="Times New Roman" w:cs="Times New Roman"/>
          <w:b/>
          <w:bCs/>
          <w:sz w:val="20"/>
          <w:szCs w:val="20"/>
        </w:rPr>
        <w:t>MMG</w:t>
      </w:r>
      <w:r w:rsidR="00E027AA" w:rsidRPr="00B065D6">
        <w:rPr>
          <w:rStyle w:val="a7"/>
          <w:rFonts w:ascii="Times New Roman" w:hAnsi="Times New Roman" w:cs="Times New Roman"/>
          <w:b/>
          <w:bCs/>
          <w:sz w:val="20"/>
          <w:szCs w:val="20"/>
        </w:rPr>
        <w:t xml:space="preserve"> system after </w:t>
      </w:r>
      <w:r w:rsidR="00A82C37" w:rsidRPr="00B065D6">
        <w:rPr>
          <w:rStyle w:val="a7"/>
          <w:rFonts w:ascii="Times New Roman" w:hAnsi="Times New Roman" w:cs="Times New Roman"/>
          <w:b/>
          <w:bCs/>
          <w:sz w:val="20"/>
          <w:szCs w:val="20"/>
        </w:rPr>
        <w:t xml:space="preserve">a </w:t>
      </w:r>
      <w:r w:rsidR="00E027AA" w:rsidRPr="00B065D6">
        <w:rPr>
          <w:rStyle w:val="a7"/>
          <w:rFonts w:ascii="Times New Roman" w:hAnsi="Times New Roman" w:cs="Times New Roman"/>
          <w:b/>
          <w:bCs/>
          <w:sz w:val="20"/>
          <w:szCs w:val="20"/>
        </w:rPr>
        <w:t>distribution network disaster</w:t>
      </w:r>
    </w:p>
    <w:p w14:paraId="63008FE1" w14:textId="1B34C81E" w:rsidR="00E027AA" w:rsidRPr="00B065D6" w:rsidRDefault="00E027AA" w:rsidP="00E027AA">
      <w:pPr>
        <w:pStyle w:val="IETHeading2"/>
        <w:numPr>
          <w:ilvl w:val="1"/>
          <w:numId w:val="2"/>
        </w:numPr>
        <w:ind w:left="431" w:hanging="431"/>
        <w:jc w:val="both"/>
        <w:rPr>
          <w:rFonts w:ascii="Times New Roman" w:hAnsi="Times New Roman"/>
          <w:sz w:val="20"/>
          <w:szCs w:val="20"/>
        </w:rPr>
      </w:pPr>
      <w:r w:rsidRPr="00B065D6">
        <w:rPr>
          <w:rFonts w:ascii="Times New Roman" w:hAnsi="Times New Roman"/>
          <w:sz w:val="20"/>
          <w:szCs w:val="20"/>
        </w:rPr>
        <w:t>Multi-microgrid structure after distribution network disasters due to faults</w:t>
      </w:r>
    </w:p>
    <w:p w14:paraId="73313924" w14:textId="61161171" w:rsidR="00F865AC" w:rsidRPr="00B065D6" w:rsidRDefault="00F865AC" w:rsidP="00E027AA">
      <w:pPr>
        <w:pStyle w:val="IETParagraph"/>
        <w:spacing w:line="240" w:lineRule="auto"/>
        <w:ind w:firstLine="454"/>
        <w:rPr>
          <w:sz w:val="20"/>
          <w:szCs w:val="20"/>
        </w:rPr>
      </w:pPr>
      <w:r w:rsidRPr="00B065D6">
        <w:rPr>
          <w:sz w:val="20"/>
          <w:szCs w:val="20"/>
        </w:rPr>
        <w:t xml:space="preserve">The distribution network is attacked by extreme natural disasters, resulting in multiple failures </w:t>
      </w:r>
      <w:r w:rsidR="005104E7" w:rsidRPr="00B065D6">
        <w:rPr>
          <w:sz w:val="20"/>
          <w:szCs w:val="20"/>
        </w:rPr>
        <w:t>in</w:t>
      </w:r>
      <w:r w:rsidRPr="00B065D6">
        <w:rPr>
          <w:sz w:val="20"/>
          <w:szCs w:val="20"/>
        </w:rPr>
        <w:t xml:space="preserve"> the distribution network and making it </w:t>
      </w:r>
      <w:r w:rsidR="005104E7" w:rsidRPr="00B065D6">
        <w:rPr>
          <w:sz w:val="20"/>
          <w:szCs w:val="20"/>
        </w:rPr>
        <w:t xml:space="preserve">is </w:t>
      </w:r>
      <w:r w:rsidRPr="00B065D6">
        <w:rPr>
          <w:sz w:val="20"/>
          <w:szCs w:val="20"/>
        </w:rPr>
        <w:t xml:space="preserve">extremely easy to form isolated areas of power loss. Therefore, the MMG structure in the recovery phase after an extreme disaster is not exactly the same as the </w:t>
      </w:r>
      <w:r w:rsidR="008A7418" w:rsidRPr="00B065D6">
        <w:rPr>
          <w:sz w:val="20"/>
          <w:szCs w:val="20"/>
        </w:rPr>
        <w:t>MMG</w:t>
      </w:r>
      <w:r w:rsidRPr="00B065D6">
        <w:rPr>
          <w:sz w:val="20"/>
          <w:szCs w:val="20"/>
        </w:rPr>
        <w:t xml:space="preserve"> structure in the normal operation </w:t>
      </w:r>
      <w:r w:rsidR="00003D0C" w:rsidRPr="00B065D6">
        <w:rPr>
          <w:sz w:val="20"/>
          <w:szCs w:val="20"/>
        </w:rPr>
        <w:t>phase</w:t>
      </w:r>
      <w:r w:rsidRPr="00B065D6">
        <w:rPr>
          <w:sz w:val="20"/>
          <w:szCs w:val="20"/>
        </w:rPr>
        <w:t xml:space="preserve">. After an extreme disaster, the distribution network is cut into a number of island networks by faulty lines or equipment, such networks do not have ability to supply power, temporarily called the network of power failure (NPF). If the NPF is connected to other MGs in the distribution network after an extreme natural disaster, a certain amount of power can be provided to restore power of critical loads in the NPF when the power in the MGs is sufficient, which </w:t>
      </w:r>
      <w:r w:rsidR="00A226F9" w:rsidRPr="00B065D6">
        <w:rPr>
          <w:sz w:val="20"/>
          <w:szCs w:val="20"/>
        </w:rPr>
        <w:t>enhance</w:t>
      </w:r>
      <w:r w:rsidRPr="00B065D6">
        <w:rPr>
          <w:sz w:val="20"/>
          <w:szCs w:val="20"/>
        </w:rPr>
        <w:t xml:space="preserve">s the </w:t>
      </w:r>
      <w:r w:rsidR="00A226F9" w:rsidRPr="00B065D6">
        <w:rPr>
          <w:sz w:val="20"/>
          <w:szCs w:val="20"/>
        </w:rPr>
        <w:t>RRCL</w:t>
      </w:r>
      <w:r w:rsidRPr="00B065D6">
        <w:rPr>
          <w:sz w:val="20"/>
          <w:szCs w:val="20"/>
        </w:rPr>
        <w:t xml:space="preserve"> </w:t>
      </w:r>
      <w:r w:rsidR="00A226F9" w:rsidRPr="00B065D6">
        <w:rPr>
          <w:sz w:val="20"/>
          <w:szCs w:val="20"/>
        </w:rPr>
        <w:t>of</w:t>
      </w:r>
      <w:r w:rsidRPr="00B065D6">
        <w:rPr>
          <w:sz w:val="20"/>
          <w:szCs w:val="20"/>
        </w:rPr>
        <w:t xml:space="preserve"> the distribution network. The </w:t>
      </w:r>
      <w:r w:rsidR="00CA293E" w:rsidRPr="00B065D6">
        <w:rPr>
          <w:sz w:val="20"/>
          <w:szCs w:val="20"/>
        </w:rPr>
        <w:t xml:space="preserve">formed </w:t>
      </w:r>
      <w:r w:rsidR="00A226F9" w:rsidRPr="00B065D6">
        <w:rPr>
          <w:sz w:val="20"/>
          <w:szCs w:val="20"/>
        </w:rPr>
        <w:t>MMG</w:t>
      </w:r>
      <w:r w:rsidRPr="00B065D6">
        <w:rPr>
          <w:sz w:val="20"/>
          <w:szCs w:val="20"/>
        </w:rPr>
        <w:t xml:space="preserve"> structure due to faults in the post-disaster recovery phase of the distribution network is shown in Figure 1.</w:t>
      </w:r>
    </w:p>
    <w:p w14:paraId="7A1A9DF0" w14:textId="2D162574" w:rsidR="00F865AC" w:rsidRPr="00B065D6" w:rsidRDefault="00CA293E" w:rsidP="00CA293E">
      <w:pPr>
        <w:pStyle w:val="IETParagraph"/>
        <w:spacing w:line="240" w:lineRule="auto"/>
        <w:ind w:firstLine="0"/>
        <w:jc w:val="center"/>
        <w:rPr>
          <w:sz w:val="20"/>
          <w:szCs w:val="20"/>
        </w:rPr>
      </w:pPr>
      <w:r w:rsidRPr="00B065D6">
        <w:rPr>
          <w:rFonts w:hint="eastAsia"/>
          <w:b/>
          <w:bCs/>
          <w:noProof/>
        </w:rPr>
        <w:drawing>
          <wp:inline distT="0" distB="0" distL="114300" distR="114300" wp14:anchorId="45A79142" wp14:editId="6928E515">
            <wp:extent cx="3049762" cy="1503960"/>
            <wp:effectExtent l="0" t="0" r="0" b="1270"/>
            <wp:docPr id="13" name="图片 13" descr="绘图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绘图17"/>
                    <pic:cNvPicPr>
                      <a:picLocks noChangeAspect="1"/>
                    </pic:cNvPicPr>
                  </pic:nvPicPr>
                  <pic:blipFill>
                    <a:blip r:embed="rId98"/>
                    <a:stretch>
                      <a:fillRect/>
                    </a:stretch>
                  </pic:blipFill>
                  <pic:spPr>
                    <a:xfrm>
                      <a:off x="0" y="0"/>
                      <a:ext cx="3051525" cy="1504829"/>
                    </a:xfrm>
                    <a:prstGeom prst="rect">
                      <a:avLst/>
                    </a:prstGeom>
                  </pic:spPr>
                </pic:pic>
              </a:graphicData>
            </a:graphic>
          </wp:inline>
        </w:drawing>
      </w:r>
    </w:p>
    <w:p w14:paraId="703C9780" w14:textId="0B211AB1" w:rsidR="00CA293E" w:rsidRPr="00B065D6" w:rsidRDefault="00CA293E" w:rsidP="00CA293E">
      <w:pPr>
        <w:pStyle w:val="IETParagraph"/>
        <w:spacing w:line="240" w:lineRule="auto"/>
        <w:ind w:firstLine="0"/>
        <w:jc w:val="center"/>
        <w:rPr>
          <w:sz w:val="20"/>
          <w:szCs w:val="20"/>
        </w:rPr>
      </w:pPr>
      <w:bookmarkStart w:id="8" w:name="_Hlk144287061"/>
      <w:r w:rsidRPr="00B065D6">
        <w:rPr>
          <w:b/>
          <w:i/>
          <w:iCs/>
          <w:sz w:val="20"/>
        </w:rPr>
        <w:t>Fig.</w:t>
      </w:r>
      <w:proofErr w:type="gramStart"/>
      <w:r w:rsidRPr="00B065D6">
        <w:rPr>
          <w:b/>
          <w:i/>
          <w:iCs/>
          <w:sz w:val="20"/>
        </w:rPr>
        <w:t>1</w:t>
      </w:r>
      <w:r w:rsidRPr="00B065D6">
        <w:rPr>
          <w:sz w:val="20"/>
          <w:szCs w:val="20"/>
        </w:rPr>
        <w:t xml:space="preserve">  </w:t>
      </w:r>
      <w:r w:rsidRPr="00B065D6">
        <w:rPr>
          <w:i/>
          <w:iCs/>
          <w:sz w:val="20"/>
        </w:rPr>
        <w:t>MMG</w:t>
      </w:r>
      <w:proofErr w:type="gramEnd"/>
      <w:r w:rsidRPr="00B065D6">
        <w:rPr>
          <w:i/>
          <w:iCs/>
          <w:sz w:val="20"/>
        </w:rPr>
        <w:t xml:space="preserve"> structure in recovery phase of </w:t>
      </w:r>
      <w:r w:rsidR="00F77457" w:rsidRPr="00B065D6">
        <w:rPr>
          <w:i/>
          <w:iCs/>
          <w:sz w:val="20"/>
        </w:rPr>
        <w:t xml:space="preserve">the </w:t>
      </w:r>
      <w:r w:rsidRPr="00B065D6">
        <w:rPr>
          <w:i/>
          <w:iCs/>
          <w:sz w:val="20"/>
        </w:rPr>
        <w:t>distribution network</w:t>
      </w:r>
    </w:p>
    <w:bookmarkEnd w:id="8"/>
    <w:p w14:paraId="1C25F493" w14:textId="781EE6A5" w:rsidR="0048694E" w:rsidRPr="00B065D6" w:rsidRDefault="00F77457" w:rsidP="00C06BEA">
      <w:pPr>
        <w:pStyle w:val="IETParagraph"/>
        <w:spacing w:line="240" w:lineRule="auto"/>
        <w:ind w:firstLine="454"/>
        <w:rPr>
          <w:sz w:val="20"/>
          <w:szCs w:val="20"/>
        </w:rPr>
      </w:pPr>
      <w:r w:rsidRPr="00B065D6">
        <w:rPr>
          <w:sz w:val="20"/>
          <w:szCs w:val="20"/>
        </w:rPr>
        <w:t xml:space="preserve">The MMG structure of the distribution network after an extreme disaster can be regarded as a two-layer agent structure. The distribution network layer mainly considers NPF, which is part or all of the distribution network. In this paper, it is assumed that the distribution network does not lose </w:t>
      </w:r>
      <w:r w:rsidRPr="00B065D6">
        <w:rPr>
          <w:sz w:val="20"/>
          <w:szCs w:val="20"/>
        </w:rPr>
        <w:t xml:space="preserve">the coordinated control function of NPF under extreme disasters, only fails to realize primary power transmission, and also assumed that the disaster resistance strength of microgrid is higher than that of distribution network. If the actual microgrid is damaged, the support of the microgrid to the resilience of the distribution network can be disregarded, which does not affect the validity of the proposed method. </w:t>
      </w:r>
      <w:r w:rsidR="00B854F2" w:rsidRPr="00B065D6">
        <w:rPr>
          <w:sz w:val="20"/>
          <w:szCs w:val="20"/>
        </w:rPr>
        <w:t xml:space="preserve">In order to fully utilize the effect of MG on the resilience enhancement of the distribution network, </w:t>
      </w:r>
      <w:r w:rsidRPr="00B065D6">
        <w:rPr>
          <w:sz w:val="20"/>
          <w:szCs w:val="20"/>
        </w:rPr>
        <w:t xml:space="preserve">the </w:t>
      </w:r>
      <w:r w:rsidR="00B854F2" w:rsidRPr="00B065D6">
        <w:rPr>
          <w:sz w:val="20"/>
          <w:szCs w:val="20"/>
        </w:rPr>
        <w:t>resilience</w:t>
      </w:r>
      <w:r w:rsidRPr="00B065D6">
        <w:rPr>
          <w:sz w:val="20"/>
          <w:szCs w:val="20"/>
        </w:rPr>
        <w:t xml:space="preserve"> of critical loads </w:t>
      </w:r>
      <w:r w:rsidR="00B854F2" w:rsidRPr="00B065D6">
        <w:rPr>
          <w:sz w:val="20"/>
          <w:szCs w:val="20"/>
        </w:rPr>
        <w:t>are</w:t>
      </w:r>
      <w:r w:rsidRPr="00B065D6">
        <w:rPr>
          <w:sz w:val="20"/>
          <w:szCs w:val="20"/>
        </w:rPr>
        <w:t xml:space="preserve"> generally given </w:t>
      </w:r>
      <w:proofErr w:type="gramStart"/>
      <w:r w:rsidRPr="00B065D6">
        <w:rPr>
          <w:sz w:val="20"/>
          <w:szCs w:val="20"/>
        </w:rPr>
        <w:t>priority</w:t>
      </w:r>
      <w:r w:rsidRPr="00B065D6">
        <w:rPr>
          <w:sz w:val="20"/>
          <w:szCs w:val="20"/>
          <w:vertAlign w:val="superscript"/>
        </w:rPr>
        <w:t>[</w:t>
      </w:r>
      <w:proofErr w:type="gramEnd"/>
      <w:r w:rsidRPr="00B065D6">
        <w:rPr>
          <w:sz w:val="20"/>
          <w:szCs w:val="20"/>
          <w:vertAlign w:val="superscript"/>
        </w:rPr>
        <w:t>16]</w:t>
      </w:r>
      <w:r w:rsidRPr="00B065D6">
        <w:rPr>
          <w:sz w:val="20"/>
          <w:szCs w:val="20"/>
        </w:rPr>
        <w:t xml:space="preserve">. In this paper, the load </w:t>
      </w:r>
      <w:r w:rsidR="00C06BEA" w:rsidRPr="00B065D6">
        <w:rPr>
          <w:sz w:val="20"/>
          <w:szCs w:val="20"/>
        </w:rPr>
        <w:t>resilience</w:t>
      </w:r>
      <w:r w:rsidRPr="00B065D6">
        <w:rPr>
          <w:sz w:val="20"/>
          <w:szCs w:val="20"/>
        </w:rPr>
        <w:t xml:space="preserve"> of NPF only considers the critical loads. MG agent is able to coordinate with the distribution network and its own internal sources and loads, and maximize the benefits.</w:t>
      </w:r>
    </w:p>
    <w:p w14:paraId="77247A86" w14:textId="1B24C709" w:rsidR="0048694E" w:rsidRPr="00B065D6" w:rsidRDefault="0000190A" w:rsidP="00300DD4">
      <w:pPr>
        <w:pStyle w:val="IETHeading2"/>
        <w:numPr>
          <w:ilvl w:val="1"/>
          <w:numId w:val="2"/>
        </w:numPr>
        <w:ind w:left="431" w:hanging="431"/>
        <w:jc w:val="both"/>
        <w:rPr>
          <w:rFonts w:ascii="Times New Roman" w:hAnsi="Times New Roman"/>
          <w:sz w:val="20"/>
          <w:szCs w:val="20"/>
        </w:rPr>
      </w:pPr>
      <w:bookmarkStart w:id="9" w:name="_Hlk143537422"/>
      <w:r w:rsidRPr="00B065D6">
        <w:rPr>
          <w:rFonts w:ascii="Times New Roman" w:hAnsi="Times New Roman"/>
          <w:sz w:val="20"/>
          <w:szCs w:val="20"/>
        </w:rPr>
        <w:t xml:space="preserve">Electricity price response mechanism for enhancing resilience of </w:t>
      </w:r>
      <w:r w:rsidRPr="00B065D6">
        <w:rPr>
          <w:rFonts w:ascii="Times New Roman" w:hAnsi="Times New Roman" w:hint="eastAsia"/>
          <w:sz w:val="20"/>
          <w:szCs w:val="20"/>
        </w:rPr>
        <w:t>the</w:t>
      </w:r>
      <w:r w:rsidRPr="00B065D6">
        <w:rPr>
          <w:rFonts w:ascii="Times New Roman" w:hAnsi="Times New Roman"/>
          <w:sz w:val="20"/>
          <w:szCs w:val="20"/>
        </w:rPr>
        <w:t xml:space="preserve"> distribution network</w:t>
      </w:r>
    </w:p>
    <w:bookmarkEnd w:id="9"/>
    <w:p w14:paraId="4A37F0AF" w14:textId="5201A5A7" w:rsidR="0000190A" w:rsidRPr="00B065D6" w:rsidRDefault="0000190A" w:rsidP="005E316F">
      <w:pPr>
        <w:pStyle w:val="IETParagraph"/>
        <w:spacing w:line="240" w:lineRule="auto"/>
        <w:ind w:firstLine="454"/>
        <w:rPr>
          <w:sz w:val="20"/>
          <w:szCs w:val="20"/>
        </w:rPr>
      </w:pPr>
      <w:r w:rsidRPr="00B065D6">
        <w:rPr>
          <w:sz w:val="20"/>
          <w:szCs w:val="20"/>
        </w:rPr>
        <w:t xml:space="preserve">In order to enhance the RRCL of NPF, the post-fault resilience enhancement of </w:t>
      </w:r>
      <w:r w:rsidR="00C32072" w:rsidRPr="00B065D6">
        <w:rPr>
          <w:sz w:val="20"/>
          <w:szCs w:val="20"/>
        </w:rPr>
        <w:t xml:space="preserve">the distribution system with </w:t>
      </w:r>
      <w:r w:rsidRPr="00B065D6">
        <w:rPr>
          <w:sz w:val="20"/>
          <w:szCs w:val="20"/>
        </w:rPr>
        <w:t xml:space="preserve">MMG needs to fully consider the </w:t>
      </w:r>
      <w:r w:rsidR="00C32072" w:rsidRPr="00B065D6">
        <w:rPr>
          <w:sz w:val="20"/>
          <w:szCs w:val="20"/>
        </w:rPr>
        <w:t>size</w:t>
      </w:r>
      <w:r w:rsidRPr="00B065D6">
        <w:rPr>
          <w:sz w:val="20"/>
          <w:szCs w:val="20"/>
        </w:rPr>
        <w:t xml:space="preserve"> relationship of the power deficit between grid-connected power available from each MG and load demand</w:t>
      </w:r>
      <w:r w:rsidR="00C32072" w:rsidRPr="00B065D6">
        <w:rPr>
          <w:sz w:val="20"/>
          <w:szCs w:val="20"/>
        </w:rPr>
        <w:t xml:space="preserve"> of NPF</w:t>
      </w:r>
      <w:r w:rsidRPr="00B065D6">
        <w:rPr>
          <w:sz w:val="20"/>
          <w:szCs w:val="20"/>
        </w:rPr>
        <w:t xml:space="preserve">, </w:t>
      </w:r>
      <w:r w:rsidR="00C32072" w:rsidRPr="00B065D6">
        <w:rPr>
          <w:sz w:val="20"/>
          <w:szCs w:val="20"/>
        </w:rPr>
        <w:t>and it</w:t>
      </w:r>
      <w:r w:rsidRPr="00B065D6">
        <w:rPr>
          <w:sz w:val="20"/>
          <w:szCs w:val="20"/>
        </w:rPr>
        <w:t xml:space="preserve"> is called the power headroom </w:t>
      </w:r>
      <w:proofErr w:type="gramStart"/>
      <w:r w:rsidRPr="00B065D6">
        <w:rPr>
          <w:sz w:val="20"/>
          <w:szCs w:val="20"/>
        </w:rPr>
        <w:t>index</w:t>
      </w:r>
      <w:r w:rsidR="008C74B2" w:rsidRPr="00B065D6">
        <w:rPr>
          <w:sz w:val="20"/>
          <w:szCs w:val="20"/>
        </w:rPr>
        <w:t>(</w:t>
      </w:r>
      <w:proofErr w:type="gramEnd"/>
      <w:r w:rsidR="008C74B2" w:rsidRPr="00B065D6">
        <w:rPr>
          <w:sz w:val="20"/>
          <w:szCs w:val="20"/>
        </w:rPr>
        <w:t>PHI)</w:t>
      </w:r>
      <w:r w:rsidR="00C32072" w:rsidRPr="00B065D6">
        <w:rPr>
          <w:sz w:val="20"/>
          <w:szCs w:val="20"/>
        </w:rPr>
        <w:t xml:space="preserve">, which is conducive to </w:t>
      </w:r>
      <w:r w:rsidR="005E316F" w:rsidRPr="00B065D6">
        <w:rPr>
          <w:sz w:val="20"/>
          <w:szCs w:val="20"/>
        </w:rPr>
        <w:t>set</w:t>
      </w:r>
      <w:r w:rsidR="00C32072" w:rsidRPr="00B065D6">
        <w:rPr>
          <w:sz w:val="20"/>
          <w:szCs w:val="20"/>
        </w:rPr>
        <w:t xml:space="preserve"> dynamic restoration electricity price </w:t>
      </w:r>
      <w:r w:rsidR="005E316F" w:rsidRPr="00B065D6">
        <w:rPr>
          <w:sz w:val="20"/>
          <w:szCs w:val="20"/>
        </w:rPr>
        <w:t>of</w:t>
      </w:r>
      <w:r w:rsidR="00C32072" w:rsidRPr="00B065D6">
        <w:rPr>
          <w:sz w:val="20"/>
          <w:szCs w:val="20"/>
        </w:rPr>
        <w:t xml:space="preserve"> NPF</w:t>
      </w:r>
      <w:r w:rsidRPr="00B065D6">
        <w:rPr>
          <w:sz w:val="20"/>
          <w:szCs w:val="20"/>
        </w:rPr>
        <w:t xml:space="preserve">. Therefore, </w:t>
      </w:r>
      <w:r w:rsidR="008C74B2" w:rsidRPr="00B065D6">
        <w:rPr>
          <w:sz w:val="20"/>
          <w:szCs w:val="20"/>
        </w:rPr>
        <w:t xml:space="preserve">the </w:t>
      </w:r>
      <w:r w:rsidRPr="00B065D6">
        <w:rPr>
          <w:sz w:val="20"/>
          <w:szCs w:val="20"/>
        </w:rPr>
        <w:t xml:space="preserve">PHI of MMG is established to describe the </w:t>
      </w:r>
      <w:r w:rsidR="008C74B2" w:rsidRPr="00B065D6">
        <w:rPr>
          <w:sz w:val="20"/>
          <w:szCs w:val="20"/>
        </w:rPr>
        <w:t>size</w:t>
      </w:r>
      <w:r w:rsidRPr="00B065D6">
        <w:rPr>
          <w:sz w:val="20"/>
          <w:szCs w:val="20"/>
        </w:rPr>
        <w:t xml:space="preserve"> relationship between the two, and its expression is shown in equation (1).</w:t>
      </w:r>
    </w:p>
    <w:p w14:paraId="33B246D7" w14:textId="60E98B01" w:rsidR="0048694E" w:rsidRPr="00B065D6" w:rsidRDefault="0048694E" w:rsidP="00D67748">
      <w:pPr>
        <w:pStyle w:val="MTDisplayEquation"/>
        <w:tabs>
          <w:tab w:val="clear" w:pos="4880"/>
          <w:tab w:val="right" w:pos="4875"/>
        </w:tabs>
        <w:ind w:firstLine="0"/>
      </w:pPr>
      <w:r w:rsidRPr="00B065D6">
        <w:tab/>
      </w:r>
      <w:r w:rsidR="008C74B2" w:rsidRPr="00B065D6">
        <w:rPr>
          <w:position w:val="-30"/>
        </w:rPr>
        <w:object w:dxaOrig="2780" w:dyaOrig="959" w14:anchorId="605DEDB2">
          <v:shape id="Object 9" o:spid="_x0000_i1069" type="#_x0000_t75" style="width:112.3pt;height:39pt;mso-position-horizontal-relative:page;mso-position-vertical-relative:page" o:ole="">
            <v:imagedata r:id="rId99" o:title=""/>
          </v:shape>
          <o:OLEObject Type="Embed" ProgID="Equation.DSMT4" ShapeID="Object 9" DrawAspect="Content" ObjectID="_1758727496" r:id="rId100"/>
        </w:object>
      </w:r>
      <w:r w:rsidRPr="00B065D6">
        <w:tab/>
      </w:r>
      <w:r w:rsidRPr="00B065D6">
        <w:rPr>
          <w:sz w:val="20"/>
          <w:szCs w:val="20"/>
        </w:rPr>
        <w:fldChar w:fldCharType="begin"/>
      </w:r>
      <w:r w:rsidRPr="00B065D6">
        <w:rPr>
          <w:sz w:val="20"/>
          <w:szCs w:val="20"/>
        </w:rPr>
        <w:instrText xml:space="preserve"> MACROBUTTON MTPlaceRef \* MERGEFORMAT </w:instrText>
      </w:r>
      <w:r w:rsidRPr="00B065D6">
        <w:rPr>
          <w:sz w:val="20"/>
          <w:szCs w:val="20"/>
        </w:rPr>
        <w:fldChar w:fldCharType="begin"/>
      </w:r>
      <w:r w:rsidRPr="00B065D6">
        <w:rPr>
          <w:sz w:val="20"/>
          <w:szCs w:val="20"/>
        </w:rPr>
        <w:instrText xml:space="preserve"> SEQ MTEqn \h \* MERGEFORMAT </w:instrText>
      </w:r>
      <w:r w:rsidRPr="00B065D6">
        <w:rPr>
          <w:sz w:val="20"/>
          <w:szCs w:val="20"/>
        </w:rPr>
        <w:fldChar w:fldCharType="end"/>
      </w:r>
      <w:r w:rsidRPr="00B065D6">
        <w:rPr>
          <w:sz w:val="20"/>
          <w:szCs w:val="20"/>
        </w:rPr>
        <w:instrText>(</w:instrText>
      </w:r>
      <w:r w:rsidR="00DB4376" w:rsidRPr="00B065D6">
        <w:rPr>
          <w:sz w:val="20"/>
          <w:szCs w:val="20"/>
        </w:rPr>
        <w:fldChar w:fldCharType="begin"/>
      </w:r>
      <w:r w:rsidR="00DB4376" w:rsidRPr="00B065D6">
        <w:rPr>
          <w:sz w:val="20"/>
          <w:szCs w:val="20"/>
        </w:rPr>
        <w:instrText xml:space="preserve"> SEQ MTEqn \c \* Arabic \* MERGEFORMAT </w:instrText>
      </w:r>
      <w:r w:rsidR="00DB4376" w:rsidRPr="00B065D6">
        <w:rPr>
          <w:sz w:val="20"/>
          <w:szCs w:val="20"/>
        </w:rPr>
        <w:fldChar w:fldCharType="separate"/>
      </w:r>
      <w:r w:rsidR="00E8005D" w:rsidRPr="00B065D6">
        <w:rPr>
          <w:noProof/>
          <w:sz w:val="20"/>
          <w:szCs w:val="20"/>
        </w:rPr>
        <w:instrText>1</w:instrText>
      </w:r>
      <w:r w:rsidR="00DB4376" w:rsidRPr="00B065D6">
        <w:rPr>
          <w:sz w:val="20"/>
          <w:szCs w:val="20"/>
        </w:rPr>
        <w:fldChar w:fldCharType="end"/>
      </w:r>
      <w:r w:rsidRPr="00B065D6">
        <w:rPr>
          <w:sz w:val="20"/>
          <w:szCs w:val="20"/>
        </w:rPr>
        <w:instrText>)</w:instrText>
      </w:r>
      <w:r w:rsidRPr="00B065D6">
        <w:rPr>
          <w:sz w:val="20"/>
          <w:szCs w:val="20"/>
        </w:rPr>
        <w:fldChar w:fldCharType="end"/>
      </w:r>
    </w:p>
    <w:p w14:paraId="1EC682E0" w14:textId="04B66687" w:rsidR="007E5C43" w:rsidRPr="00B065D6" w:rsidRDefault="007E5C43" w:rsidP="007E5C43">
      <w:pPr>
        <w:pStyle w:val="IETParagraph"/>
        <w:kinsoku w:val="0"/>
        <w:overflowPunct w:val="0"/>
        <w:autoSpaceDE w:val="0"/>
        <w:autoSpaceDN w:val="0"/>
        <w:adjustRightInd w:val="0"/>
        <w:snapToGrid w:val="0"/>
        <w:spacing w:line="240" w:lineRule="auto"/>
        <w:ind w:firstLine="454"/>
        <w:rPr>
          <w:sz w:val="20"/>
          <w:szCs w:val="20"/>
        </w:rPr>
      </w:pPr>
      <w:r w:rsidRPr="00B065D6">
        <w:rPr>
          <w:sz w:val="20"/>
          <w:szCs w:val="20"/>
        </w:rPr>
        <w:t xml:space="preserve">If </w:t>
      </w:r>
      <w:r w:rsidRPr="00B065D6">
        <w:rPr>
          <w:position w:val="-12"/>
        </w:rPr>
        <w:object w:dxaOrig="839" w:dyaOrig="359" w14:anchorId="7E15AFBC">
          <v:shape id="Object 12" o:spid="_x0000_i1070" type="#_x0000_t75" style="width:35.55pt;height:13.3pt;mso-wrap-style:square;mso-position-horizontal-relative:page;mso-position-vertical-relative:page" o:ole="">
            <v:imagedata r:id="rId101" o:title=""/>
          </v:shape>
          <o:OLEObject Type="Embed" ProgID="Equation.DSMT4" ShapeID="Object 12" DrawAspect="Content" ObjectID="_1758727497" r:id="rId102"/>
        </w:object>
      </w:r>
      <w:r w:rsidRPr="00B065D6">
        <w:rPr>
          <w:sz w:val="20"/>
          <w:szCs w:val="20"/>
        </w:rPr>
        <w:t>, the MMG feed-in power meets the NPF critical load recovery, if</w:t>
      </w:r>
      <w:r w:rsidR="00300DD4" w:rsidRPr="00B065D6">
        <w:rPr>
          <w:sz w:val="20"/>
          <w:szCs w:val="20"/>
        </w:rPr>
        <w:t xml:space="preserve"> </w:t>
      </w:r>
      <w:r w:rsidRPr="00B065D6">
        <w:rPr>
          <w:position w:val="-12"/>
        </w:rPr>
        <w:object w:dxaOrig="839" w:dyaOrig="359" w14:anchorId="73F0A22E">
          <v:shape id="_x0000_i1071" type="#_x0000_t75" style="width:35.55pt;height:13.3pt;mso-wrap-style:square;mso-position-horizontal-relative:page;mso-position-vertical-relative:page" o:ole="">
            <v:imagedata r:id="rId101" o:title=""/>
          </v:shape>
          <o:OLEObject Type="Embed" ProgID="Equation.DSMT4" ShapeID="_x0000_i1071" DrawAspect="Content" ObjectID="_1758727498" r:id="rId103"/>
        </w:object>
      </w:r>
      <w:r w:rsidRPr="00B065D6">
        <w:rPr>
          <w:sz w:val="20"/>
          <w:szCs w:val="20"/>
        </w:rPr>
        <w:t>, the MMG feed-in power does not meet the NPF critical load recovery, and the distribution grid restoration electricity price should be increased to motivate and guide the controllable loads, EVs, and gas turbines to actively participate in post-disaster critical load restoration in the NPF.</w:t>
      </w:r>
    </w:p>
    <w:p w14:paraId="13CF8A7C" w14:textId="64A2C4E7" w:rsidR="007E5C43" w:rsidRPr="00B065D6" w:rsidRDefault="0073768F" w:rsidP="00A83B91">
      <w:pPr>
        <w:pStyle w:val="IETParagraph"/>
        <w:adjustRightInd w:val="0"/>
        <w:snapToGrid w:val="0"/>
        <w:spacing w:line="240" w:lineRule="auto"/>
        <w:ind w:firstLine="454"/>
        <w:rPr>
          <w:sz w:val="20"/>
          <w:szCs w:val="20"/>
        </w:rPr>
      </w:pPr>
      <w:r w:rsidRPr="00B065D6">
        <w:rPr>
          <w:sz w:val="20"/>
          <w:szCs w:val="20"/>
        </w:rPr>
        <w:t xml:space="preserve">Therefore, the MMG participates in coordinated operation of </w:t>
      </w:r>
      <w:r w:rsidR="00640CB0" w:rsidRPr="00B065D6">
        <w:rPr>
          <w:sz w:val="20"/>
          <w:szCs w:val="20"/>
        </w:rPr>
        <w:t xml:space="preserve">the </w:t>
      </w:r>
      <w:r w:rsidRPr="00B065D6">
        <w:rPr>
          <w:sz w:val="20"/>
          <w:szCs w:val="20"/>
        </w:rPr>
        <w:t>distribution network resilience enhancement needs to be considered in the following 3 aspects.</w:t>
      </w:r>
    </w:p>
    <w:p w14:paraId="737D57A1" w14:textId="06A5D22F" w:rsidR="007E5C43" w:rsidRPr="00B065D6" w:rsidRDefault="00300DD4" w:rsidP="00A83B91">
      <w:pPr>
        <w:pStyle w:val="IETParagraph"/>
        <w:adjustRightInd w:val="0"/>
        <w:snapToGrid w:val="0"/>
        <w:spacing w:line="240" w:lineRule="auto"/>
        <w:ind w:firstLine="454"/>
        <w:rPr>
          <w:sz w:val="20"/>
          <w:szCs w:val="20"/>
        </w:rPr>
      </w:pPr>
      <w:r w:rsidRPr="00B065D6">
        <w:rPr>
          <w:sz w:val="20"/>
          <w:szCs w:val="20"/>
        </w:rPr>
        <w:t>(1) The optimal scheduling of single MG system needs to consider the operating characteristics and economy of DG, load and EV to meet the safe and economic operation of MG.</w:t>
      </w:r>
    </w:p>
    <w:p w14:paraId="32BACF84" w14:textId="4255ADB6" w:rsidR="00300DD4" w:rsidRPr="00B065D6" w:rsidRDefault="00300DD4" w:rsidP="00A83B91">
      <w:pPr>
        <w:pStyle w:val="IETParagraph"/>
        <w:adjustRightInd w:val="0"/>
        <w:snapToGrid w:val="0"/>
        <w:spacing w:line="240" w:lineRule="auto"/>
        <w:ind w:firstLine="454"/>
        <w:rPr>
          <w:sz w:val="20"/>
          <w:szCs w:val="20"/>
        </w:rPr>
      </w:pPr>
      <w:r w:rsidRPr="00B065D6">
        <w:rPr>
          <w:sz w:val="20"/>
          <w:szCs w:val="20"/>
        </w:rPr>
        <w:t>(2) Considering the limitation of MG’s internal power supply during island operation, NPF only considers the recovery of critical loads. At the same time, to balance the interests of multiple parties in the distribution network and MG, it is necessary to formulate a reasonable dynamic restoration electricity price mechanism, and the price mechanism is used to guide multiple resources in MG to participate in the restoration of critical loads in the distribution network.</w:t>
      </w:r>
    </w:p>
    <w:p w14:paraId="55206EE7" w14:textId="3C3EB7A6" w:rsidR="00300DD4" w:rsidRPr="00B065D6" w:rsidRDefault="00300DD4" w:rsidP="00A83B91">
      <w:pPr>
        <w:pStyle w:val="IETParagraph"/>
        <w:adjustRightInd w:val="0"/>
        <w:snapToGrid w:val="0"/>
        <w:spacing w:line="240" w:lineRule="auto"/>
        <w:ind w:firstLine="454"/>
        <w:rPr>
          <w:sz w:val="20"/>
          <w:szCs w:val="20"/>
        </w:rPr>
      </w:pPr>
      <w:r w:rsidRPr="00B065D6">
        <w:rPr>
          <w:sz w:val="20"/>
          <w:szCs w:val="20"/>
        </w:rPr>
        <w:t>(3) Through a prior agreement, the microgrid transmits information to the distribution network during the post-disaster recovery phase of the distribution network, and the distribution network develops a unified dispatch plan.</w:t>
      </w:r>
    </w:p>
    <w:p w14:paraId="30B44FD1" w14:textId="0337FFDC" w:rsidR="0073768F" w:rsidRPr="00B065D6" w:rsidRDefault="00300DD4" w:rsidP="00A83B91">
      <w:pPr>
        <w:pStyle w:val="IETParagraph"/>
        <w:adjustRightInd w:val="0"/>
        <w:snapToGrid w:val="0"/>
        <w:spacing w:line="240" w:lineRule="auto"/>
        <w:ind w:firstLine="454"/>
        <w:rPr>
          <w:sz w:val="20"/>
          <w:szCs w:val="20"/>
        </w:rPr>
      </w:pPr>
      <w:r w:rsidRPr="00B065D6">
        <w:rPr>
          <w:sz w:val="20"/>
          <w:szCs w:val="20"/>
        </w:rPr>
        <w:t xml:space="preserve">During the post-disaster recovery period, a linkage mechanism between electricity price and power headroom index is adopted, the distribution network provides electricity price incentives to the MG, and the MG responds with power to the restoration electricity price of the distribution network. Distribution network optimization to restore tariffs and maximize power headroom index demand, MG intelligent coordination system to optimize the dispatch of response </w:t>
      </w:r>
      <w:r w:rsidRPr="00B065D6">
        <w:rPr>
          <w:sz w:val="20"/>
          <w:szCs w:val="20"/>
        </w:rPr>
        <w:lastRenderedPageBreak/>
        <w:t>resources within the MG. Under the dynamic electricity price response mechanism, coordinated and orderly power transmission among different interests is ensured, and the resilience of the distribution network is improved. The general steps are as follows.</w:t>
      </w:r>
    </w:p>
    <w:p w14:paraId="512FE868" w14:textId="6B457C31" w:rsidR="0073768F" w:rsidRPr="00B065D6" w:rsidRDefault="00300DD4" w:rsidP="00A83B91">
      <w:pPr>
        <w:pStyle w:val="IETParagraph"/>
        <w:adjustRightInd w:val="0"/>
        <w:snapToGrid w:val="0"/>
        <w:spacing w:line="240" w:lineRule="auto"/>
        <w:ind w:firstLine="454"/>
        <w:rPr>
          <w:sz w:val="20"/>
          <w:szCs w:val="20"/>
        </w:rPr>
      </w:pPr>
      <w:r w:rsidRPr="00B065D6">
        <w:rPr>
          <w:sz w:val="20"/>
          <w:szCs w:val="20"/>
        </w:rPr>
        <w:t>Step 1: Active distribution network transmits NPF's critical load power headroom index and dynamic tariffs to its intelligent coordination system.</w:t>
      </w:r>
    </w:p>
    <w:p w14:paraId="7CBE7898" w14:textId="242330CE" w:rsidR="00300DD4" w:rsidRPr="00B065D6" w:rsidRDefault="00300DD4" w:rsidP="00A83B91">
      <w:pPr>
        <w:pStyle w:val="IETParagraph"/>
        <w:adjustRightInd w:val="0"/>
        <w:snapToGrid w:val="0"/>
        <w:spacing w:line="240" w:lineRule="auto"/>
        <w:ind w:firstLine="454"/>
        <w:rPr>
          <w:sz w:val="20"/>
          <w:szCs w:val="20"/>
        </w:rPr>
      </w:pPr>
      <w:r w:rsidRPr="00B065D6">
        <w:rPr>
          <w:sz w:val="20"/>
          <w:szCs w:val="20"/>
        </w:rPr>
        <w:t>Step 2: Distribution network intelligent coordination system transmits restoration electricity price and power demand to MMG according to the network connection relationship.</w:t>
      </w:r>
    </w:p>
    <w:p w14:paraId="20C84DC4" w14:textId="73BA840B" w:rsidR="00300DD4" w:rsidRPr="00B065D6" w:rsidRDefault="00300DD4" w:rsidP="00A83B91">
      <w:pPr>
        <w:pStyle w:val="IETParagraph"/>
        <w:adjustRightInd w:val="0"/>
        <w:snapToGrid w:val="0"/>
        <w:spacing w:line="240" w:lineRule="auto"/>
        <w:ind w:firstLine="454"/>
        <w:rPr>
          <w:sz w:val="20"/>
          <w:szCs w:val="20"/>
        </w:rPr>
      </w:pPr>
      <w:r w:rsidRPr="00B065D6">
        <w:rPr>
          <w:sz w:val="20"/>
          <w:szCs w:val="20"/>
        </w:rPr>
        <w:t>Step 3: MG responds to the dynamic restoration electricity price of the distribution network, optimizes the response power of each resource within MG, and transmits it to the distribution network coordination system.</w:t>
      </w:r>
    </w:p>
    <w:p w14:paraId="7F9581D3" w14:textId="5A6C1542" w:rsidR="00300DD4" w:rsidRPr="00B065D6" w:rsidRDefault="00300DD4" w:rsidP="00A83B91">
      <w:pPr>
        <w:pStyle w:val="IETParagraph"/>
        <w:adjustRightInd w:val="0"/>
        <w:snapToGrid w:val="0"/>
        <w:spacing w:line="240" w:lineRule="auto"/>
        <w:ind w:firstLine="454"/>
        <w:rPr>
          <w:sz w:val="20"/>
          <w:szCs w:val="20"/>
        </w:rPr>
      </w:pPr>
      <w:r w:rsidRPr="00B065D6">
        <w:rPr>
          <w:sz w:val="20"/>
          <w:szCs w:val="20"/>
        </w:rPr>
        <w:t>Step 4: The distribution network makes a judgment based on the feed-in response power of MG and the critical load power headroom index of NPF, whether it is necessary to adjust the recovery price, if so, it returns to Step 2, if not, the restoration price response mechanism ends.</w:t>
      </w:r>
    </w:p>
    <w:p w14:paraId="6298B7C4" w14:textId="4061A264" w:rsidR="0073768F" w:rsidRPr="00B065D6" w:rsidRDefault="002D5921" w:rsidP="00A83B91">
      <w:pPr>
        <w:pStyle w:val="IETParagraph"/>
        <w:adjustRightInd w:val="0"/>
        <w:snapToGrid w:val="0"/>
        <w:spacing w:line="240" w:lineRule="auto"/>
        <w:ind w:firstLine="454"/>
        <w:rPr>
          <w:sz w:val="20"/>
          <w:szCs w:val="20"/>
        </w:rPr>
      </w:pPr>
      <w:r w:rsidRPr="00B065D6">
        <w:rPr>
          <w:sz w:val="20"/>
          <w:szCs w:val="20"/>
        </w:rPr>
        <w:t>The MMG dynamic restoration electricity price mechanism to enhance the resilience of the distribution network is different from the tariff mechanism in normal operation state. It does not require the power generation cost and electricity price information with MGs, nor a centralized market trading platform, and can be of multiple correspondences. That is, one MG corresponds to one NPF and multiple MGs correspond to one NPF, which is suitable for the recovery of critical loads within the NPF during extreme disaster emergencies.</w:t>
      </w:r>
    </w:p>
    <w:p w14:paraId="2B903215" w14:textId="4F69C980" w:rsidR="002D5921" w:rsidRPr="00B065D6" w:rsidRDefault="002D5921" w:rsidP="002D5921">
      <w:pPr>
        <w:pStyle w:val="IETHeading2"/>
        <w:numPr>
          <w:ilvl w:val="1"/>
          <w:numId w:val="2"/>
        </w:numPr>
        <w:ind w:left="431" w:hanging="431"/>
        <w:jc w:val="both"/>
        <w:rPr>
          <w:rFonts w:ascii="Times New Roman" w:hAnsi="Times New Roman"/>
          <w:sz w:val="20"/>
          <w:szCs w:val="20"/>
        </w:rPr>
      </w:pPr>
      <w:r w:rsidRPr="00B065D6">
        <w:rPr>
          <w:rFonts w:ascii="Times New Roman" w:hAnsi="Times New Roman"/>
          <w:sz w:val="20"/>
          <w:szCs w:val="20"/>
        </w:rPr>
        <w:t>Power response model for load and electric vehicles in microgrid</w:t>
      </w:r>
    </w:p>
    <w:p w14:paraId="746A074A" w14:textId="1D12EDD2" w:rsidR="0073768F" w:rsidRPr="00B065D6" w:rsidRDefault="002D5921" w:rsidP="002D5921">
      <w:pPr>
        <w:pStyle w:val="IETParagraph"/>
        <w:adjustRightInd w:val="0"/>
        <w:snapToGrid w:val="0"/>
        <w:spacing w:line="240" w:lineRule="auto"/>
        <w:ind w:firstLine="0"/>
        <w:rPr>
          <w:sz w:val="20"/>
          <w:szCs w:val="20"/>
        </w:rPr>
      </w:pPr>
      <w:r w:rsidRPr="00B065D6">
        <w:rPr>
          <w:sz w:val="20"/>
          <w:szCs w:val="20"/>
        </w:rPr>
        <w:t>2.3.1 MG load power response model</w:t>
      </w:r>
    </w:p>
    <w:p w14:paraId="6AAB3A15" w14:textId="653E7D85" w:rsidR="0073768F" w:rsidRPr="00B065D6" w:rsidRDefault="002D5921" w:rsidP="00A83B91">
      <w:pPr>
        <w:pStyle w:val="IETParagraph"/>
        <w:adjustRightInd w:val="0"/>
        <w:snapToGrid w:val="0"/>
        <w:spacing w:line="240" w:lineRule="auto"/>
        <w:ind w:firstLine="454"/>
        <w:rPr>
          <w:sz w:val="20"/>
          <w:szCs w:val="20"/>
        </w:rPr>
      </w:pPr>
      <w:r w:rsidRPr="00B065D6">
        <w:rPr>
          <w:sz w:val="20"/>
          <w:szCs w:val="20"/>
        </w:rPr>
        <w:t>The MG load is divided into critical load and controllable load. The critical load is not involved in market dispatching and priority needs to be given to ensure power supply of the critical load. The controllable loads are divided into Interruptible loads (IL) and Emergency regulation loads (ERL), where the interruptible loads execute the contract electricity price and the emergency regulation loads assume the power balance in the islanded operation mode of the microgrid. The microgrid load power response model is shown in equations (2) and (3).</w:t>
      </w:r>
    </w:p>
    <w:p w14:paraId="75A19DD6" w14:textId="1EEE2B21" w:rsidR="002D5921" w:rsidRPr="00B065D6" w:rsidRDefault="002D5921" w:rsidP="00D67748">
      <w:pPr>
        <w:pStyle w:val="MTDisplayEquation"/>
        <w:tabs>
          <w:tab w:val="clear" w:pos="4880"/>
          <w:tab w:val="right" w:pos="4875"/>
        </w:tabs>
        <w:ind w:firstLine="0"/>
      </w:pPr>
      <w:bookmarkStart w:id="10" w:name="_Hlk143538387"/>
      <w:r w:rsidRPr="00B065D6">
        <w:tab/>
      </w:r>
      <w:r w:rsidRPr="00B065D6">
        <w:rPr>
          <w:position w:val="-54"/>
        </w:rPr>
        <w:object w:dxaOrig="3701" w:dyaOrig="1200" w14:anchorId="06BF85FC">
          <v:shape id="Object 14" o:spid="_x0000_i1072" type="#_x0000_t75" style="width:162.85pt;height:54.45pt;mso-wrap-style:square;mso-position-horizontal-relative:page;mso-position-vertical-relative:page" o:ole="">
            <v:imagedata r:id="rId104" o:title=""/>
          </v:shape>
          <o:OLEObject Type="Embed" ProgID="Equation.DSMT4" ShapeID="Object 14" DrawAspect="Content" ObjectID="_1758727499" r:id="rId105"/>
        </w:object>
      </w:r>
      <w:r w:rsidRPr="00B065D6">
        <w:tab/>
        <w:t>(</w:t>
      </w:r>
      <w:r w:rsidRPr="00B065D6">
        <w:rPr>
          <w:sz w:val="20"/>
          <w:szCs w:val="20"/>
        </w:rPr>
        <w:t>2)</w:t>
      </w:r>
    </w:p>
    <w:bookmarkEnd w:id="10"/>
    <w:p w14:paraId="0CD9F36F" w14:textId="5A5F771C" w:rsidR="00241D6F" w:rsidRPr="00B065D6" w:rsidRDefault="00241D6F" w:rsidP="00D67748">
      <w:pPr>
        <w:pStyle w:val="MTDisplayEquation"/>
        <w:tabs>
          <w:tab w:val="clear" w:pos="4880"/>
          <w:tab w:val="right" w:pos="4875"/>
        </w:tabs>
        <w:ind w:firstLine="0"/>
      </w:pPr>
      <w:r w:rsidRPr="00B065D6">
        <w:tab/>
      </w:r>
      <w:r w:rsidRPr="00B065D6">
        <w:rPr>
          <w:position w:val="-12"/>
        </w:rPr>
        <w:object w:dxaOrig="1398" w:dyaOrig="379" w14:anchorId="357B93DB">
          <v:shape id="Object 15" o:spid="_x0000_i1073" type="#_x0000_t75" style="width:65.15pt;height:18.45pt;mso-wrap-style:square;mso-position-horizontal-relative:page;mso-position-vertical-relative:page" o:ole="">
            <v:imagedata r:id="rId106" o:title=""/>
          </v:shape>
          <o:OLEObject Type="Embed" ProgID="Equation.DSMT4" ShapeID="Object 15" DrawAspect="Content" ObjectID="_1758727500" r:id="rId107"/>
        </w:object>
      </w:r>
      <w:r w:rsidRPr="00B065D6">
        <w:tab/>
        <w:t>(</w:t>
      </w:r>
      <w:r w:rsidRPr="00B065D6">
        <w:rPr>
          <w:sz w:val="20"/>
          <w:szCs w:val="20"/>
        </w:rPr>
        <w:t>3)</w:t>
      </w:r>
    </w:p>
    <w:p w14:paraId="26DF3698" w14:textId="1BEC1D67" w:rsidR="006832CD" w:rsidRPr="00B065D6" w:rsidRDefault="006832CD" w:rsidP="006832CD">
      <w:pPr>
        <w:pStyle w:val="IETParagraph"/>
        <w:adjustRightInd w:val="0"/>
        <w:snapToGrid w:val="0"/>
        <w:spacing w:line="240" w:lineRule="auto"/>
        <w:ind w:firstLine="0"/>
        <w:rPr>
          <w:sz w:val="20"/>
          <w:szCs w:val="20"/>
        </w:rPr>
      </w:pPr>
      <w:r w:rsidRPr="00B065D6">
        <w:rPr>
          <w:sz w:val="20"/>
          <w:szCs w:val="20"/>
        </w:rPr>
        <w:t>2.3.2 Electric Vehicle Response Model</w:t>
      </w:r>
    </w:p>
    <w:p w14:paraId="44BF6414" w14:textId="6BF3B9D2" w:rsidR="0073768F" w:rsidRPr="00B065D6" w:rsidRDefault="006832CD" w:rsidP="00A83B91">
      <w:pPr>
        <w:pStyle w:val="IETParagraph"/>
        <w:adjustRightInd w:val="0"/>
        <w:snapToGrid w:val="0"/>
        <w:spacing w:line="240" w:lineRule="auto"/>
        <w:ind w:firstLine="454"/>
        <w:rPr>
          <w:sz w:val="20"/>
          <w:szCs w:val="20"/>
        </w:rPr>
      </w:pPr>
      <w:r w:rsidRPr="00B065D6">
        <w:rPr>
          <w:sz w:val="20"/>
          <w:szCs w:val="20"/>
        </w:rPr>
        <w:t>As a special electric load, electric vehicles (EV) can effectively guide electric vehicles to charge and discharge in an orderly manner through a reasonable and scientific electricity price mechanism, and realize friendly interaction with the microgrid. In the post-disaster recovery stage of the distribution network, if the market demand increases and the power purchase price of the NPF of the distribution network is reasonable, EVs can choose the appropriate time to charge and discharge.</w:t>
      </w:r>
    </w:p>
    <w:p w14:paraId="633DDA7C" w14:textId="16411DEB" w:rsidR="00300DD4" w:rsidRPr="00B065D6" w:rsidRDefault="006832CD" w:rsidP="00A83B91">
      <w:pPr>
        <w:pStyle w:val="IETParagraph"/>
        <w:adjustRightInd w:val="0"/>
        <w:snapToGrid w:val="0"/>
        <w:spacing w:line="240" w:lineRule="auto"/>
        <w:ind w:firstLine="454"/>
        <w:rPr>
          <w:sz w:val="20"/>
          <w:szCs w:val="20"/>
        </w:rPr>
      </w:pPr>
      <w:r w:rsidRPr="00B065D6">
        <w:rPr>
          <w:sz w:val="20"/>
          <w:szCs w:val="20"/>
        </w:rPr>
        <w:t xml:space="preserve">EV charging and discharging response is mainly reflected in response time and response power, with the </w:t>
      </w:r>
      <w:r w:rsidRPr="00B065D6">
        <w:rPr>
          <w:sz w:val="20"/>
          <w:szCs w:val="20"/>
        </w:rPr>
        <w:t xml:space="preserve">response characteristics of charging power and charging time, which can participate in the critical load recovery of NPF in the peak power demand and tariff stage of NPF to obtain the maximum benefit. However, the scheduling response of EVs to the microgrid has autonomous </w:t>
      </w:r>
      <w:proofErr w:type="spellStart"/>
      <w:r w:rsidRPr="00B065D6">
        <w:rPr>
          <w:sz w:val="20"/>
          <w:szCs w:val="20"/>
        </w:rPr>
        <w:t>behavioral</w:t>
      </w:r>
      <w:proofErr w:type="spellEnd"/>
      <w:r w:rsidRPr="00B065D6">
        <w:rPr>
          <w:sz w:val="20"/>
          <w:szCs w:val="20"/>
        </w:rPr>
        <w:t xml:space="preserve"> characteristics, and the power response model of EVs sets the user charging and discharging satisfaction </w:t>
      </w:r>
      <w:proofErr w:type="gramStart"/>
      <w:r w:rsidRPr="00B065D6">
        <w:rPr>
          <w:sz w:val="20"/>
          <w:szCs w:val="20"/>
        </w:rPr>
        <w:t>index[</w:t>
      </w:r>
      <w:proofErr w:type="gramEnd"/>
      <w:r w:rsidRPr="00B065D6">
        <w:rPr>
          <w:sz w:val="20"/>
          <w:szCs w:val="20"/>
        </w:rPr>
        <w:t xml:space="preserve">18], and the satisfaction index of the whole microgrid can be distributed according to a certain probability. The probability distribution of satisfaction is not as the focus of this paper, and it can be assumed that when the NPF's power purchase price satisfies the user's requirements, the EVs with capacity constraint, arrival time and departure time constraints are involved in the power response. The expressions are shown in </w:t>
      </w:r>
      <w:proofErr w:type="spellStart"/>
      <w:r w:rsidRPr="00B065D6">
        <w:rPr>
          <w:sz w:val="20"/>
          <w:szCs w:val="20"/>
        </w:rPr>
        <w:t>Eqs</w:t>
      </w:r>
      <w:proofErr w:type="spellEnd"/>
      <w:r w:rsidRPr="00B065D6">
        <w:rPr>
          <w:sz w:val="20"/>
          <w:szCs w:val="20"/>
        </w:rPr>
        <w:t>. (4)-(10).</w:t>
      </w:r>
    </w:p>
    <w:p w14:paraId="4842C9E4" w14:textId="2735E772" w:rsidR="00D67748" w:rsidRPr="00B065D6" w:rsidRDefault="00D67748" w:rsidP="00D67748">
      <w:pPr>
        <w:pStyle w:val="MTDisplayEquation"/>
        <w:tabs>
          <w:tab w:val="clear" w:pos="4880"/>
          <w:tab w:val="right" w:pos="4875"/>
        </w:tabs>
        <w:ind w:firstLine="0"/>
      </w:pPr>
      <w:r w:rsidRPr="00B065D6">
        <w:tab/>
      </w:r>
      <w:bookmarkStart w:id="11" w:name="_Hlk143542823"/>
      <w:r w:rsidR="00D26A94" w:rsidRPr="00B065D6">
        <w:rPr>
          <w:position w:val="-34"/>
        </w:rPr>
        <w:object w:dxaOrig="3060" w:dyaOrig="799" w14:anchorId="6967ACBD">
          <v:shape id="Object 23" o:spid="_x0000_i1074" type="#_x0000_t75" style="width:134.15pt;height:36pt;mso-wrap-style:square;mso-position-horizontal-relative:page;mso-position-vertical-relative:page" o:ole="">
            <v:imagedata r:id="rId108" o:title=""/>
          </v:shape>
          <o:OLEObject Type="Embed" ProgID="Equation.DSMT4" ShapeID="Object 23" DrawAspect="Content" ObjectID="_1758727501" r:id="rId109"/>
        </w:object>
      </w:r>
      <w:r w:rsidRPr="00B065D6">
        <w:tab/>
        <w:t>(</w:t>
      </w:r>
      <w:r w:rsidRPr="00B065D6">
        <w:rPr>
          <w:sz w:val="20"/>
          <w:szCs w:val="20"/>
        </w:rPr>
        <w:t>4)</w:t>
      </w:r>
    </w:p>
    <w:p w14:paraId="36EDB29C" w14:textId="12B9B00A" w:rsidR="00D67748" w:rsidRPr="00B065D6" w:rsidRDefault="00D67748" w:rsidP="00D67748">
      <w:pPr>
        <w:pStyle w:val="MTDisplayEquation"/>
        <w:tabs>
          <w:tab w:val="clear" w:pos="4880"/>
          <w:tab w:val="right" w:pos="4875"/>
        </w:tabs>
        <w:ind w:firstLine="0"/>
      </w:pPr>
      <w:bookmarkStart w:id="12" w:name="_Hlk143542956"/>
      <w:bookmarkEnd w:id="11"/>
      <w:r w:rsidRPr="00B065D6">
        <w:tab/>
      </w:r>
      <w:r w:rsidR="00D26A94" w:rsidRPr="00B065D6">
        <w:rPr>
          <w:position w:val="-34"/>
        </w:rPr>
        <w:object w:dxaOrig="3140" w:dyaOrig="799" w14:anchorId="4636FA3F">
          <v:shape id="Object 24" o:spid="_x0000_i1075" type="#_x0000_t75" style="width:149.55pt;height:39pt;mso-wrap-style:square;mso-position-horizontal-relative:page;mso-position-vertical-relative:page" o:ole="">
            <v:imagedata r:id="rId110" o:title=""/>
          </v:shape>
          <o:OLEObject Type="Embed" ProgID="Equation.DSMT4" ShapeID="Object 24" DrawAspect="Content" ObjectID="_1758727502" r:id="rId111"/>
        </w:object>
      </w:r>
      <w:r w:rsidRPr="00B065D6">
        <w:tab/>
        <w:t>(</w:t>
      </w:r>
      <w:r w:rsidRPr="00B065D6">
        <w:rPr>
          <w:sz w:val="20"/>
          <w:szCs w:val="20"/>
        </w:rPr>
        <w:t>5)</w:t>
      </w:r>
    </w:p>
    <w:bookmarkEnd w:id="12"/>
    <w:p w14:paraId="569377C1" w14:textId="5395C990" w:rsidR="00DB4B5E" w:rsidRPr="00B065D6" w:rsidRDefault="00DB4B5E" w:rsidP="00DB4B5E">
      <w:pPr>
        <w:pStyle w:val="MTDisplayEquation"/>
        <w:tabs>
          <w:tab w:val="clear" w:pos="4880"/>
          <w:tab w:val="right" w:pos="4875"/>
        </w:tabs>
        <w:ind w:firstLine="0"/>
      </w:pPr>
      <w:r w:rsidRPr="00B065D6">
        <w:tab/>
      </w:r>
      <w:r w:rsidR="00D26A94" w:rsidRPr="00B065D6">
        <w:rPr>
          <w:position w:val="-12"/>
        </w:rPr>
        <w:object w:dxaOrig="1499" w:dyaOrig="379" w14:anchorId="6D3F6CC7">
          <v:shape id="Object 25" o:spid="_x0000_i1076" type="#_x0000_t75" style="width:1in;height:18.85pt;mso-wrap-style:square;mso-position-horizontal-relative:page;mso-position-vertical-relative:page" o:ole="">
            <v:imagedata r:id="rId112" o:title=""/>
          </v:shape>
          <o:OLEObject Type="Embed" ProgID="Equation.DSMT4" ShapeID="Object 25" DrawAspect="Content" ObjectID="_1758727503" r:id="rId113"/>
        </w:object>
      </w:r>
      <w:r w:rsidRPr="00B065D6">
        <w:tab/>
        <w:t>(</w:t>
      </w:r>
      <w:r w:rsidRPr="00B065D6">
        <w:rPr>
          <w:sz w:val="20"/>
          <w:szCs w:val="20"/>
        </w:rPr>
        <w:t>6)</w:t>
      </w:r>
    </w:p>
    <w:p w14:paraId="2F4BFAF5" w14:textId="3F1F39E5" w:rsidR="00DB4B5E" w:rsidRPr="00B065D6" w:rsidRDefault="00DB4B5E" w:rsidP="00DB4B5E">
      <w:pPr>
        <w:pStyle w:val="MTDisplayEquation"/>
        <w:tabs>
          <w:tab w:val="clear" w:pos="4880"/>
          <w:tab w:val="right" w:pos="4875"/>
        </w:tabs>
        <w:ind w:firstLine="0"/>
      </w:pPr>
      <w:r w:rsidRPr="00B065D6">
        <w:tab/>
      </w:r>
      <w:r w:rsidR="00D26A94" w:rsidRPr="00B065D6">
        <w:rPr>
          <w:position w:val="-34"/>
        </w:rPr>
        <w:object w:dxaOrig="2800" w:dyaOrig="799" w14:anchorId="44FDB881">
          <v:shape id="Object 26" o:spid="_x0000_i1077" type="#_x0000_t75" style="width:126.85pt;height:37.7pt;mso-wrap-style:square;mso-position-horizontal-relative:page;mso-position-vertical-relative:page" o:ole="">
            <v:imagedata r:id="rId114" o:title=""/>
          </v:shape>
          <o:OLEObject Type="Embed" ProgID="Equation.DSMT4" ShapeID="Object 26" DrawAspect="Content" ObjectID="_1758727504" r:id="rId115"/>
        </w:object>
      </w:r>
      <w:r w:rsidRPr="00B065D6">
        <w:tab/>
        <w:t>(</w:t>
      </w:r>
      <w:r w:rsidRPr="00B065D6">
        <w:rPr>
          <w:sz w:val="20"/>
          <w:szCs w:val="20"/>
        </w:rPr>
        <w:t>7)</w:t>
      </w:r>
    </w:p>
    <w:p w14:paraId="76E69148" w14:textId="1C57052C" w:rsidR="00DB4B5E" w:rsidRPr="00B065D6" w:rsidRDefault="00DB4B5E" w:rsidP="00DB4B5E">
      <w:pPr>
        <w:pStyle w:val="MTDisplayEquation"/>
        <w:tabs>
          <w:tab w:val="clear" w:pos="4880"/>
          <w:tab w:val="right" w:pos="4875"/>
        </w:tabs>
        <w:ind w:firstLine="0"/>
      </w:pPr>
      <w:r w:rsidRPr="00B065D6">
        <w:tab/>
      </w:r>
      <w:r w:rsidR="00D26A94" w:rsidRPr="00B065D6">
        <w:rPr>
          <w:position w:val="-14"/>
        </w:rPr>
        <w:object w:dxaOrig="3562" w:dyaOrig="379" w14:anchorId="29F31E1C">
          <v:shape id="Object 27" o:spid="_x0000_i1078" type="#_x0000_t75" style="width:165.45pt;height:18.85pt;mso-wrap-style:square;mso-position-horizontal-relative:page;mso-position-vertical-relative:page" o:ole="">
            <v:imagedata r:id="rId116" o:title=""/>
          </v:shape>
          <o:OLEObject Type="Embed" ProgID="Equation.DSMT4" ShapeID="Object 27" DrawAspect="Content" ObjectID="_1758727505" r:id="rId117"/>
        </w:object>
      </w:r>
      <w:r w:rsidRPr="00B065D6">
        <w:tab/>
        <w:t>(</w:t>
      </w:r>
      <w:r w:rsidRPr="00B065D6">
        <w:rPr>
          <w:sz w:val="20"/>
          <w:szCs w:val="20"/>
        </w:rPr>
        <w:t>8)</w:t>
      </w:r>
    </w:p>
    <w:p w14:paraId="1F04374A" w14:textId="760DC615" w:rsidR="00DB4B5E" w:rsidRPr="00B065D6" w:rsidRDefault="00DB4B5E" w:rsidP="00DB4B5E">
      <w:pPr>
        <w:pStyle w:val="MTDisplayEquation"/>
        <w:tabs>
          <w:tab w:val="clear" w:pos="4880"/>
          <w:tab w:val="right" w:pos="4875"/>
        </w:tabs>
        <w:ind w:firstLine="0"/>
      </w:pPr>
      <w:r w:rsidRPr="00B065D6">
        <w:tab/>
      </w:r>
      <w:r w:rsidRPr="00B065D6">
        <w:rPr>
          <w:position w:val="-32"/>
        </w:rPr>
        <w:object w:dxaOrig="1520" w:dyaOrig="739" w14:anchorId="1CF820C4">
          <v:shape id="Object 28" o:spid="_x0000_i1079" type="#_x0000_t75" style="width:77.55pt;height:36pt;mso-wrap-style:square;mso-position-horizontal-relative:page;mso-position-vertical-relative:page" o:ole="">
            <v:imagedata r:id="rId118" o:title=""/>
          </v:shape>
          <o:OLEObject Type="Embed" ProgID="Equation.DSMT4" ShapeID="Object 28" DrawAspect="Content" ObjectID="_1758727506" r:id="rId119"/>
        </w:object>
      </w:r>
      <w:r w:rsidRPr="00B065D6">
        <w:tab/>
        <w:t>(</w:t>
      </w:r>
      <w:r w:rsidRPr="00B065D6">
        <w:rPr>
          <w:sz w:val="20"/>
          <w:szCs w:val="20"/>
        </w:rPr>
        <w:t>9)</w:t>
      </w:r>
    </w:p>
    <w:p w14:paraId="7CB0548E" w14:textId="4A26CB4E" w:rsidR="00DB4B5E" w:rsidRPr="00B065D6" w:rsidRDefault="00DB4B5E" w:rsidP="00DB4B5E">
      <w:pPr>
        <w:pStyle w:val="MTDisplayEquation"/>
        <w:tabs>
          <w:tab w:val="clear" w:pos="4880"/>
          <w:tab w:val="right" w:pos="4875"/>
        </w:tabs>
        <w:ind w:firstLine="0"/>
      </w:pPr>
      <w:r w:rsidRPr="00B065D6">
        <w:tab/>
      </w:r>
      <w:r w:rsidRPr="00B065D6">
        <w:rPr>
          <w:position w:val="-30"/>
        </w:rPr>
        <w:object w:dxaOrig="1799" w:dyaOrig="720" w14:anchorId="2CEE39A9">
          <v:shape id="Object 29" o:spid="_x0000_i1080" type="#_x0000_t75" style="width:92.15pt;height:36.45pt;mso-wrap-style:square;mso-position-horizontal-relative:page;mso-position-vertical-relative:page" o:ole="">
            <v:imagedata r:id="rId120" o:title=""/>
          </v:shape>
          <o:OLEObject Type="Embed" ProgID="Equation.DSMT4" ShapeID="Object 29" DrawAspect="Content" ObjectID="_1758727507" r:id="rId121"/>
        </w:object>
      </w:r>
      <w:r w:rsidRPr="00B065D6">
        <w:tab/>
        <w:t>(</w:t>
      </w:r>
      <w:r w:rsidRPr="00B065D6">
        <w:rPr>
          <w:sz w:val="20"/>
          <w:szCs w:val="20"/>
        </w:rPr>
        <w:t>10)</w:t>
      </w:r>
    </w:p>
    <w:p w14:paraId="632060B1" w14:textId="1FA94C99" w:rsidR="00300DD4" w:rsidRPr="00B065D6" w:rsidRDefault="004B4971" w:rsidP="00D26A94">
      <w:pPr>
        <w:pStyle w:val="IETParagraph"/>
        <w:adjustRightInd w:val="0"/>
        <w:snapToGrid w:val="0"/>
        <w:spacing w:line="240" w:lineRule="auto"/>
        <w:ind w:firstLine="454"/>
        <w:rPr>
          <w:sz w:val="20"/>
          <w:szCs w:val="20"/>
        </w:rPr>
      </w:pPr>
      <w:r w:rsidRPr="00B065D6">
        <w:rPr>
          <w:sz w:val="20"/>
          <w:szCs w:val="20"/>
        </w:rPr>
        <w:t>Equation (5) is the charge/discharge mode constraint, equation (6) is the charge/discharge capacity constraint, equation (7) is the charge/discharge time constraint, and equation (9) is the maximum charge/discharge time.</w:t>
      </w:r>
    </w:p>
    <w:p w14:paraId="60F03640" w14:textId="047CF440" w:rsidR="0048694E" w:rsidRPr="00B065D6" w:rsidRDefault="00D26A94" w:rsidP="00D26A94">
      <w:pPr>
        <w:pStyle w:val="IETHeading1"/>
        <w:numPr>
          <w:ilvl w:val="0"/>
          <w:numId w:val="2"/>
        </w:numPr>
        <w:jc w:val="both"/>
        <w:rPr>
          <w:rFonts w:ascii="Times New Roman" w:hAnsi="Times New Roman" w:cs="Times New Roman"/>
          <w:sz w:val="20"/>
          <w:szCs w:val="20"/>
        </w:rPr>
      </w:pPr>
      <w:r w:rsidRPr="00B065D6">
        <w:rPr>
          <w:rFonts w:ascii="Times New Roman" w:hAnsi="Times New Roman" w:cs="Times New Roman"/>
          <w:sz w:val="20"/>
          <w:szCs w:val="20"/>
        </w:rPr>
        <w:t>Optimal scheduling model for resilience enhancement of distribution networks with multiple microgrids considering dynamic restoration price mechanism</w:t>
      </w:r>
    </w:p>
    <w:p w14:paraId="7A5E27BD" w14:textId="12AB9995" w:rsidR="0048694E" w:rsidRPr="00B065D6" w:rsidRDefault="00D26A94" w:rsidP="00D26A94">
      <w:pPr>
        <w:pStyle w:val="IETHeading2"/>
        <w:numPr>
          <w:ilvl w:val="1"/>
          <w:numId w:val="2"/>
        </w:numPr>
        <w:ind w:left="431" w:hanging="431"/>
        <w:rPr>
          <w:rFonts w:ascii="Times New Roman" w:hAnsi="Times New Roman"/>
          <w:sz w:val="20"/>
          <w:szCs w:val="20"/>
        </w:rPr>
      </w:pPr>
      <w:bookmarkStart w:id="13" w:name="_Hlk143632531"/>
      <w:r w:rsidRPr="00B065D6">
        <w:rPr>
          <w:rFonts w:ascii="Times New Roman" w:hAnsi="Times New Roman"/>
          <w:sz w:val="20"/>
          <w:szCs w:val="20"/>
        </w:rPr>
        <w:t>Optimal scheduling model of single microgrid</w:t>
      </w:r>
    </w:p>
    <w:bookmarkEnd w:id="13"/>
    <w:p w14:paraId="31DAD2AF" w14:textId="46D89D39" w:rsidR="00D26A94" w:rsidRPr="00B065D6" w:rsidRDefault="00D26A94" w:rsidP="00D26A94">
      <w:pPr>
        <w:pStyle w:val="IETParagraph"/>
        <w:adjustRightInd w:val="0"/>
        <w:snapToGrid w:val="0"/>
        <w:spacing w:line="240" w:lineRule="auto"/>
        <w:ind w:firstLine="0"/>
        <w:rPr>
          <w:sz w:val="20"/>
          <w:szCs w:val="20"/>
        </w:rPr>
      </w:pPr>
      <w:r w:rsidRPr="00B065D6">
        <w:rPr>
          <w:sz w:val="20"/>
          <w:szCs w:val="20"/>
        </w:rPr>
        <w:t xml:space="preserve">3.1.1 </w:t>
      </w:r>
      <w:r w:rsidR="001C656E" w:rsidRPr="00B065D6">
        <w:rPr>
          <w:sz w:val="20"/>
          <w:szCs w:val="20"/>
        </w:rPr>
        <w:t>Objective function</w:t>
      </w:r>
    </w:p>
    <w:p w14:paraId="09276C7C" w14:textId="662B3357" w:rsidR="0048694E" w:rsidRPr="00B065D6" w:rsidRDefault="00B563E9" w:rsidP="0048694E">
      <w:pPr>
        <w:pStyle w:val="IETParagraph"/>
        <w:spacing w:line="240" w:lineRule="auto"/>
        <w:rPr>
          <w:sz w:val="20"/>
          <w:szCs w:val="20"/>
        </w:rPr>
      </w:pPr>
      <w:r w:rsidRPr="00B065D6">
        <w:rPr>
          <w:sz w:val="20"/>
          <w:szCs w:val="20"/>
        </w:rPr>
        <w:t>A single MG system consists of wind turbines, photovoltaics, energy storages, micro gas turbines, electric vehicles and loads. During a distribution network fault, the single MG receives the dynamic restoration price and load demand from the distribution network, controls and optimizes the controllable resources within the MG, and meets the objectives of maximizing microgrid revenue and distribution network restoration contribution. MG revenues include distribution network sales revenues, electric vehicle charging and discharging costs, interruptible load contract costs, adjustable load compensation costs, and micro gas turbine operation costs. The operation costs of distribution generation and energy storage are ignored due to the relatively short distribution network fault time. The objective function is shown in equation (11).</w:t>
      </w:r>
    </w:p>
    <w:p w14:paraId="37828C0A" w14:textId="7064E37F" w:rsidR="00B61354" w:rsidRPr="00B065D6" w:rsidRDefault="00B61354" w:rsidP="00B61354">
      <w:pPr>
        <w:pStyle w:val="MTDisplayEquation"/>
        <w:tabs>
          <w:tab w:val="clear" w:pos="4880"/>
          <w:tab w:val="right" w:pos="4875"/>
        </w:tabs>
        <w:ind w:firstLine="0"/>
      </w:pPr>
      <w:bookmarkStart w:id="14" w:name="_Hlk143630367"/>
      <w:r w:rsidRPr="00B065D6">
        <w:tab/>
      </w:r>
      <w:r w:rsidRPr="00B065D6">
        <w:rPr>
          <w:position w:val="-14"/>
        </w:rPr>
        <w:object w:dxaOrig="1858" w:dyaOrig="399" w14:anchorId="036869C8">
          <v:shape id="Object 44" o:spid="_x0000_i1081" type="#_x0000_t75" style="width:77.55pt;height:17.15pt;mso-wrap-style:square;mso-position-horizontal-relative:page;mso-position-vertical-relative:page" o:ole="">
            <v:imagedata r:id="rId122" o:title=""/>
          </v:shape>
          <o:OLEObject Type="Embed" ProgID="Equation.DSMT4" ShapeID="Object 44" DrawAspect="Content" ObjectID="_1758727508" r:id="rId123"/>
        </w:object>
      </w:r>
      <w:r w:rsidRPr="00B065D6">
        <w:tab/>
        <w:t>(</w:t>
      </w:r>
      <w:r w:rsidRPr="00B065D6">
        <w:rPr>
          <w:sz w:val="20"/>
          <w:szCs w:val="20"/>
        </w:rPr>
        <w:t>11)</w:t>
      </w:r>
    </w:p>
    <w:bookmarkEnd w:id="14"/>
    <w:p w14:paraId="3442DA82" w14:textId="682143EE" w:rsidR="00B563E9" w:rsidRPr="00B065D6" w:rsidRDefault="00CA4B51" w:rsidP="00B61354">
      <w:pPr>
        <w:pStyle w:val="IETParagraph"/>
        <w:spacing w:line="240" w:lineRule="auto"/>
        <w:ind w:firstLine="0"/>
        <w:rPr>
          <w:sz w:val="20"/>
          <w:szCs w:val="20"/>
        </w:rPr>
      </w:pPr>
      <w:r w:rsidRPr="00B065D6">
        <w:rPr>
          <w:sz w:val="20"/>
          <w:szCs w:val="20"/>
        </w:rPr>
        <w:t>Among them,</w:t>
      </w:r>
    </w:p>
    <w:p w14:paraId="384170E3" w14:textId="245BB564" w:rsidR="00CA4B51" w:rsidRPr="00B065D6" w:rsidRDefault="00CA4B51" w:rsidP="00CA4B51">
      <w:pPr>
        <w:pStyle w:val="MTDisplayEquation"/>
        <w:tabs>
          <w:tab w:val="clear" w:pos="4880"/>
          <w:tab w:val="right" w:pos="4875"/>
        </w:tabs>
        <w:ind w:firstLine="0"/>
      </w:pPr>
      <w:bookmarkStart w:id="15" w:name="_Hlk143630395"/>
      <w:r w:rsidRPr="00B065D6">
        <w:lastRenderedPageBreak/>
        <w:tab/>
      </w:r>
      <w:r w:rsidRPr="00B065D6">
        <w:rPr>
          <w:position w:val="-14"/>
        </w:rPr>
        <w:object w:dxaOrig="1959" w:dyaOrig="399" w14:anchorId="6720ED22">
          <v:shape id="Object 45" o:spid="_x0000_i1082" type="#_x0000_t75" style="width:84.45pt;height:17.55pt;mso-wrap-style:square;mso-position-horizontal-relative:page;mso-position-vertical-relative:page" o:ole="">
            <v:imagedata r:id="rId124" o:title=""/>
          </v:shape>
          <o:OLEObject Type="Embed" ProgID="Equation.DSMT4" ShapeID="Object 45" DrawAspect="Content" ObjectID="_1758727509" r:id="rId125"/>
        </w:object>
      </w:r>
      <w:r w:rsidRPr="00B065D6">
        <w:tab/>
        <w:t>(</w:t>
      </w:r>
      <w:r w:rsidRPr="00B065D6">
        <w:rPr>
          <w:sz w:val="20"/>
          <w:szCs w:val="20"/>
        </w:rPr>
        <w:t>12)</w:t>
      </w:r>
    </w:p>
    <w:bookmarkEnd w:id="15"/>
    <w:p w14:paraId="4A2517EB" w14:textId="365F45D7" w:rsidR="00CA4B51" w:rsidRPr="00B065D6" w:rsidRDefault="00CA4B51" w:rsidP="00CA4B51">
      <w:pPr>
        <w:pStyle w:val="MTDisplayEquation"/>
        <w:tabs>
          <w:tab w:val="clear" w:pos="4880"/>
          <w:tab w:val="right" w:pos="4875"/>
        </w:tabs>
        <w:ind w:firstLine="0"/>
      </w:pPr>
      <w:r w:rsidRPr="00B065D6">
        <w:tab/>
      </w:r>
      <w:r w:rsidRPr="00B065D6">
        <w:rPr>
          <w:position w:val="-36"/>
        </w:rPr>
        <w:object w:dxaOrig="1720" w:dyaOrig="839" w14:anchorId="5A52C2C3">
          <v:shape id="Object 46" o:spid="_x0000_i1083" type="#_x0000_t75" style="width:80.15pt;height:37.7pt;mso-wrap-style:square;mso-position-horizontal-relative:page;mso-position-vertical-relative:page" o:ole="">
            <v:imagedata r:id="rId126" o:title=""/>
          </v:shape>
          <o:OLEObject Type="Embed" ProgID="Equation.DSMT4" ShapeID="Object 46" DrawAspect="Content" ObjectID="_1758727510" r:id="rId127"/>
        </w:object>
      </w:r>
      <w:r w:rsidRPr="00B065D6">
        <w:tab/>
        <w:t>(</w:t>
      </w:r>
      <w:r w:rsidRPr="00B065D6">
        <w:rPr>
          <w:sz w:val="20"/>
          <w:szCs w:val="20"/>
        </w:rPr>
        <w:t>13)</w:t>
      </w:r>
    </w:p>
    <w:p w14:paraId="1D949B5B" w14:textId="6DE4C57C" w:rsidR="00CA4B51" w:rsidRPr="00B065D6" w:rsidRDefault="00CA4B51" w:rsidP="00CA4B51">
      <w:pPr>
        <w:pStyle w:val="MTDisplayEquation"/>
        <w:tabs>
          <w:tab w:val="clear" w:pos="4880"/>
          <w:tab w:val="right" w:pos="4875"/>
        </w:tabs>
        <w:ind w:firstLine="0"/>
      </w:pPr>
      <w:r w:rsidRPr="00B065D6">
        <w:tab/>
      </w:r>
      <w:r w:rsidRPr="00B065D6">
        <w:rPr>
          <w:position w:val="-60"/>
        </w:rPr>
        <w:object w:dxaOrig="3800" w:dyaOrig="1320" w14:anchorId="11B419F6">
          <v:shape id="Object 47" o:spid="_x0000_i1084" type="#_x0000_t75" style="width:162.45pt;height:57.45pt;mso-wrap-style:square;mso-position-horizontal-relative:page;mso-position-vertical-relative:page" o:ole="">
            <v:imagedata r:id="rId128" o:title=""/>
          </v:shape>
          <o:OLEObject Type="Embed" ProgID="Equation.DSMT4" ShapeID="Object 47" DrawAspect="Content" ObjectID="_1758727511" r:id="rId129"/>
        </w:object>
      </w:r>
      <w:r w:rsidRPr="00B065D6">
        <w:tab/>
        <w:t>(</w:t>
      </w:r>
      <w:r w:rsidRPr="00B065D6">
        <w:rPr>
          <w:sz w:val="20"/>
          <w:szCs w:val="20"/>
        </w:rPr>
        <w:t>14)</w:t>
      </w:r>
    </w:p>
    <w:p w14:paraId="3B4B14B5" w14:textId="3F47924C" w:rsidR="00CA4B51" w:rsidRPr="00B065D6" w:rsidRDefault="00CA4B51" w:rsidP="00CA4B51">
      <w:pPr>
        <w:pStyle w:val="MTDisplayEquation"/>
        <w:tabs>
          <w:tab w:val="clear" w:pos="4880"/>
          <w:tab w:val="right" w:pos="4875"/>
        </w:tabs>
        <w:ind w:firstLine="0"/>
      </w:pPr>
      <w:r w:rsidRPr="00B065D6">
        <w:tab/>
      </w:r>
      <w:r w:rsidRPr="00B065D6">
        <w:rPr>
          <w:position w:val="-28"/>
        </w:rPr>
        <w:object w:dxaOrig="3120" w:dyaOrig="659" w14:anchorId="03C59289">
          <v:shape id="Object 48" o:spid="_x0000_i1085" type="#_x0000_t75" style="width:127.7pt;height:30pt;mso-wrap-style:square;mso-position-horizontal-relative:page;mso-position-vertical-relative:page" o:ole="">
            <v:imagedata r:id="rId130" o:title=""/>
          </v:shape>
          <o:OLEObject Type="Embed" ProgID="Equation.DSMT4" ShapeID="Object 48" DrawAspect="Content" ObjectID="_1758727512" r:id="rId131"/>
        </w:object>
      </w:r>
      <w:r w:rsidRPr="00B065D6">
        <w:tab/>
        <w:t>(</w:t>
      </w:r>
      <w:r w:rsidRPr="00B065D6">
        <w:rPr>
          <w:sz w:val="20"/>
          <w:szCs w:val="20"/>
        </w:rPr>
        <w:t>15)</w:t>
      </w:r>
    </w:p>
    <w:p w14:paraId="6E40A424" w14:textId="10B23F79" w:rsidR="00CA4B51" w:rsidRPr="00B065D6" w:rsidRDefault="00CA4B51" w:rsidP="00CA4B51">
      <w:pPr>
        <w:pStyle w:val="MTDisplayEquation"/>
        <w:tabs>
          <w:tab w:val="clear" w:pos="4880"/>
          <w:tab w:val="right" w:pos="4875"/>
        </w:tabs>
        <w:ind w:firstLine="0"/>
      </w:pPr>
      <w:bookmarkStart w:id="16" w:name="_Hlk143631829"/>
      <w:r w:rsidRPr="00B065D6">
        <w:tab/>
      </w:r>
      <w:r w:rsidRPr="00B065D6">
        <w:rPr>
          <w:position w:val="-52"/>
        </w:rPr>
        <w:object w:dxaOrig="2960" w:dyaOrig="1159" w14:anchorId="473CADCE">
          <v:shape id="Object 49" o:spid="_x0000_i1086" type="#_x0000_t75" style="width:138pt;height:51.85pt;mso-wrap-style:square;mso-position-horizontal-relative:page;mso-position-vertical-relative:page" o:ole="">
            <v:imagedata r:id="rId132" o:title=""/>
          </v:shape>
          <o:OLEObject Type="Embed" ProgID="Equation.DSMT4" ShapeID="Object 49" DrawAspect="Content" ObjectID="_1758727513" r:id="rId133"/>
        </w:object>
      </w:r>
      <w:r w:rsidRPr="00B065D6">
        <w:tab/>
        <w:t>(</w:t>
      </w:r>
      <w:r w:rsidRPr="00B065D6">
        <w:rPr>
          <w:sz w:val="20"/>
          <w:szCs w:val="20"/>
        </w:rPr>
        <w:t>16)</w:t>
      </w:r>
    </w:p>
    <w:bookmarkEnd w:id="16"/>
    <w:p w14:paraId="40A3D02E" w14:textId="46BE54B2" w:rsidR="005050A1" w:rsidRPr="00B065D6" w:rsidRDefault="005050A1" w:rsidP="005050A1">
      <w:pPr>
        <w:pStyle w:val="IETParagraph"/>
        <w:adjustRightInd w:val="0"/>
        <w:snapToGrid w:val="0"/>
        <w:spacing w:line="240" w:lineRule="auto"/>
        <w:ind w:firstLine="0"/>
        <w:rPr>
          <w:sz w:val="20"/>
          <w:szCs w:val="20"/>
        </w:rPr>
      </w:pPr>
      <w:r w:rsidRPr="00B065D6">
        <w:rPr>
          <w:sz w:val="20"/>
          <w:szCs w:val="20"/>
        </w:rPr>
        <w:t>3.1.2 Constraints</w:t>
      </w:r>
    </w:p>
    <w:p w14:paraId="4D25F9FA" w14:textId="68C83E31" w:rsidR="00B563E9" w:rsidRPr="00B065D6" w:rsidRDefault="005050A1" w:rsidP="0048694E">
      <w:pPr>
        <w:pStyle w:val="IETParagraph"/>
        <w:spacing w:line="240" w:lineRule="auto"/>
        <w:rPr>
          <w:sz w:val="20"/>
          <w:szCs w:val="20"/>
        </w:rPr>
      </w:pPr>
      <w:r w:rsidRPr="00B065D6">
        <w:rPr>
          <w:sz w:val="20"/>
          <w:szCs w:val="20"/>
        </w:rPr>
        <w:t>The constraint equations of the single microgrid are shown in equation (17) to (25).</w:t>
      </w:r>
    </w:p>
    <w:p w14:paraId="19A154E5" w14:textId="14252E4A" w:rsidR="00B563E9" w:rsidRPr="00B065D6" w:rsidRDefault="005050A1" w:rsidP="0048694E">
      <w:pPr>
        <w:pStyle w:val="IETParagraph"/>
        <w:spacing w:line="240" w:lineRule="auto"/>
        <w:rPr>
          <w:sz w:val="20"/>
          <w:szCs w:val="20"/>
        </w:rPr>
      </w:pPr>
      <w:r w:rsidRPr="00B065D6">
        <w:rPr>
          <w:sz w:val="20"/>
          <w:szCs w:val="20"/>
        </w:rPr>
        <w:t>(a) Power balance constraint equation</w:t>
      </w:r>
    </w:p>
    <w:p w14:paraId="4D52F69C" w14:textId="480DC452" w:rsidR="005050A1" w:rsidRPr="00B065D6" w:rsidRDefault="005050A1" w:rsidP="005050A1">
      <w:pPr>
        <w:pStyle w:val="MTDisplayEquation"/>
        <w:tabs>
          <w:tab w:val="clear" w:pos="4880"/>
          <w:tab w:val="right" w:pos="4875"/>
        </w:tabs>
        <w:ind w:firstLine="0"/>
      </w:pPr>
      <w:r w:rsidRPr="00B065D6">
        <w:tab/>
      </w:r>
      <w:r w:rsidRPr="00B065D6">
        <w:rPr>
          <w:position w:val="-48"/>
        </w:rPr>
        <w:object w:dxaOrig="4757" w:dyaOrig="1080" w14:anchorId="045F605C">
          <v:shape id="Object 68" o:spid="_x0000_i1087" type="#_x0000_t75" style="width:181.3pt;height:43.7pt;mso-wrap-style:square;mso-position-horizontal-relative:page;mso-position-vertical-relative:page" o:ole="">
            <v:imagedata r:id="rId134" o:title=""/>
          </v:shape>
          <o:OLEObject Type="Embed" ProgID="Equation.DSMT4" ShapeID="Object 68" DrawAspect="Content" ObjectID="_1758727514" r:id="rId135"/>
        </w:object>
      </w:r>
      <w:r w:rsidRPr="00B065D6">
        <w:tab/>
        <w:t>(</w:t>
      </w:r>
      <w:r w:rsidRPr="00B065D6">
        <w:rPr>
          <w:sz w:val="20"/>
          <w:szCs w:val="20"/>
        </w:rPr>
        <w:t>17)</w:t>
      </w:r>
    </w:p>
    <w:p w14:paraId="5C95F8E3" w14:textId="4E65F31B" w:rsidR="00B563E9" w:rsidRPr="00B065D6" w:rsidRDefault="005050A1" w:rsidP="0048694E">
      <w:pPr>
        <w:pStyle w:val="IETParagraph"/>
        <w:spacing w:line="240" w:lineRule="auto"/>
        <w:rPr>
          <w:sz w:val="20"/>
          <w:szCs w:val="20"/>
        </w:rPr>
      </w:pPr>
      <w:r w:rsidRPr="00B065D6">
        <w:rPr>
          <w:sz w:val="20"/>
          <w:szCs w:val="20"/>
        </w:rPr>
        <w:t>(b) Interruptible load constraint equation</w:t>
      </w:r>
    </w:p>
    <w:p w14:paraId="32991E0D" w14:textId="194E0363" w:rsidR="005050A1" w:rsidRPr="00B065D6" w:rsidRDefault="005050A1" w:rsidP="005050A1">
      <w:pPr>
        <w:pStyle w:val="MTDisplayEquation"/>
        <w:tabs>
          <w:tab w:val="clear" w:pos="4880"/>
          <w:tab w:val="right" w:pos="4875"/>
        </w:tabs>
        <w:ind w:firstLine="0"/>
      </w:pPr>
      <w:r w:rsidRPr="00B065D6">
        <w:tab/>
      </w:r>
      <w:r w:rsidRPr="00B065D6">
        <w:rPr>
          <w:position w:val="-12"/>
        </w:rPr>
        <w:object w:dxaOrig="1119" w:dyaOrig="379" w14:anchorId="6E9995AC">
          <v:shape id="Object 69" o:spid="_x0000_i1088" type="#_x0000_t75" style="width:47.55pt;height:17.15pt;mso-wrap-style:square;mso-position-horizontal-relative:page;mso-position-vertical-relative:page" o:ole="">
            <v:imagedata r:id="rId136" o:title=""/>
          </v:shape>
          <o:OLEObject Type="Embed" ProgID="Equation.DSMT4" ShapeID="Object 69" DrawAspect="Content" ObjectID="_1758727515" r:id="rId137"/>
        </w:object>
      </w:r>
      <w:r w:rsidRPr="00B065D6">
        <w:tab/>
        <w:t>(</w:t>
      </w:r>
      <w:r w:rsidRPr="00B065D6">
        <w:rPr>
          <w:sz w:val="20"/>
          <w:szCs w:val="20"/>
        </w:rPr>
        <w:t>18)</w:t>
      </w:r>
    </w:p>
    <w:p w14:paraId="6346B05C" w14:textId="385D1F56" w:rsidR="00B563E9" w:rsidRPr="00B065D6" w:rsidRDefault="005050A1" w:rsidP="0048694E">
      <w:pPr>
        <w:pStyle w:val="IETParagraph"/>
        <w:spacing w:line="240" w:lineRule="auto"/>
        <w:rPr>
          <w:sz w:val="20"/>
          <w:szCs w:val="20"/>
        </w:rPr>
      </w:pPr>
      <w:r w:rsidRPr="00B065D6">
        <w:rPr>
          <w:rFonts w:hint="eastAsia"/>
          <w:sz w:val="20"/>
          <w:szCs w:val="20"/>
        </w:rPr>
        <w:t>(</w:t>
      </w:r>
      <w:r w:rsidRPr="00B065D6">
        <w:rPr>
          <w:sz w:val="20"/>
          <w:szCs w:val="20"/>
        </w:rPr>
        <w:t>c) Emergency regulation load constraint equation</w:t>
      </w:r>
    </w:p>
    <w:p w14:paraId="491A8EE3" w14:textId="7BD79B53" w:rsidR="005050A1" w:rsidRPr="00B065D6" w:rsidRDefault="005050A1" w:rsidP="005050A1">
      <w:pPr>
        <w:pStyle w:val="MTDisplayEquation"/>
        <w:tabs>
          <w:tab w:val="clear" w:pos="4880"/>
          <w:tab w:val="right" w:pos="4875"/>
        </w:tabs>
        <w:ind w:firstLine="0"/>
      </w:pPr>
      <w:r w:rsidRPr="00B065D6">
        <w:tab/>
      </w:r>
      <w:r w:rsidRPr="00B065D6">
        <w:rPr>
          <w:position w:val="-12"/>
        </w:rPr>
        <w:object w:dxaOrig="1159" w:dyaOrig="379" w14:anchorId="6FFA5C42">
          <v:shape id="Object 70" o:spid="_x0000_i1089" type="#_x0000_t75" style="width:51.45pt;height:18.45pt;mso-wrap-style:square;mso-position-horizontal-relative:page;mso-position-vertical-relative:page" o:ole="">
            <v:imagedata r:id="rId138" o:title=""/>
          </v:shape>
          <o:OLEObject Type="Embed" ProgID="Equation.DSMT4" ShapeID="Object 70" DrawAspect="Content" ObjectID="_1758727516" r:id="rId139"/>
        </w:object>
      </w:r>
      <w:r w:rsidRPr="00B065D6">
        <w:tab/>
        <w:t>(</w:t>
      </w:r>
      <w:r w:rsidRPr="00B065D6">
        <w:rPr>
          <w:sz w:val="20"/>
          <w:szCs w:val="20"/>
        </w:rPr>
        <w:t>19)</w:t>
      </w:r>
    </w:p>
    <w:p w14:paraId="57FD804B" w14:textId="6E266526" w:rsidR="00995342" w:rsidRPr="00B065D6" w:rsidRDefault="00995342" w:rsidP="00995342">
      <w:pPr>
        <w:pStyle w:val="IETParagraph"/>
        <w:spacing w:line="240" w:lineRule="auto"/>
        <w:rPr>
          <w:sz w:val="20"/>
          <w:szCs w:val="20"/>
        </w:rPr>
      </w:pPr>
      <w:r w:rsidRPr="00B065D6">
        <w:rPr>
          <w:rFonts w:hint="eastAsia"/>
          <w:sz w:val="20"/>
          <w:szCs w:val="20"/>
        </w:rPr>
        <w:t>(</w:t>
      </w:r>
      <w:r w:rsidRPr="00B065D6">
        <w:rPr>
          <w:sz w:val="20"/>
          <w:szCs w:val="20"/>
        </w:rPr>
        <w:t>d) Energy storage constraint equation</w:t>
      </w:r>
    </w:p>
    <w:p w14:paraId="4C71E7CD" w14:textId="422C7D3D" w:rsidR="00995342" w:rsidRPr="00B065D6" w:rsidRDefault="00995342" w:rsidP="00995342">
      <w:pPr>
        <w:pStyle w:val="MTDisplayEquation"/>
        <w:tabs>
          <w:tab w:val="clear" w:pos="4880"/>
          <w:tab w:val="right" w:pos="4875"/>
        </w:tabs>
        <w:ind w:firstLine="0"/>
      </w:pPr>
      <w:r w:rsidRPr="00B065D6">
        <w:tab/>
      </w:r>
      <w:r w:rsidRPr="00B065D6">
        <w:rPr>
          <w:position w:val="-12"/>
        </w:rPr>
        <w:object w:dxaOrig="1199" w:dyaOrig="379" w14:anchorId="36DACAFA">
          <v:shape id="Object 71" o:spid="_x0000_i1090" type="#_x0000_t75" style="width:56.55pt;height:18.85pt;mso-wrap-style:square;mso-position-horizontal-relative:page;mso-position-vertical-relative:page" o:ole="">
            <v:imagedata r:id="rId140" o:title=""/>
          </v:shape>
          <o:OLEObject Type="Embed" ProgID="Equation.DSMT4" ShapeID="Object 71" DrawAspect="Content" ObjectID="_1758727517" r:id="rId141"/>
        </w:object>
      </w:r>
      <w:r w:rsidRPr="00B065D6">
        <w:tab/>
        <w:t>(</w:t>
      </w:r>
      <w:r w:rsidRPr="00B065D6">
        <w:rPr>
          <w:sz w:val="20"/>
          <w:szCs w:val="20"/>
        </w:rPr>
        <w:t>20)</w:t>
      </w:r>
    </w:p>
    <w:p w14:paraId="3BA7B553" w14:textId="266D88FD" w:rsidR="00995342" w:rsidRPr="00B065D6" w:rsidRDefault="00995342" w:rsidP="00995342">
      <w:pPr>
        <w:pStyle w:val="MTDisplayEquation"/>
        <w:tabs>
          <w:tab w:val="clear" w:pos="4880"/>
          <w:tab w:val="right" w:pos="4875"/>
        </w:tabs>
        <w:ind w:firstLine="0"/>
      </w:pPr>
      <w:r w:rsidRPr="00B065D6">
        <w:tab/>
      </w:r>
      <w:r w:rsidRPr="00B065D6">
        <w:rPr>
          <w:position w:val="-12"/>
        </w:rPr>
        <w:object w:dxaOrig="1280" w:dyaOrig="379" w14:anchorId="1B27F82C">
          <v:shape id="Object 72" o:spid="_x0000_i1091" type="#_x0000_t75" style="width:58.7pt;height:20.15pt;mso-wrap-style:square;mso-position-horizontal-relative:page;mso-position-vertical-relative:page" o:ole="">
            <v:imagedata r:id="rId142" o:title=""/>
          </v:shape>
          <o:OLEObject Type="Embed" ProgID="Equation.DSMT4" ShapeID="Object 72" DrawAspect="Content" ObjectID="_1758727518" r:id="rId143"/>
        </w:object>
      </w:r>
      <w:r w:rsidRPr="00B065D6">
        <w:tab/>
        <w:t>(</w:t>
      </w:r>
      <w:r w:rsidRPr="00B065D6">
        <w:rPr>
          <w:sz w:val="20"/>
          <w:szCs w:val="20"/>
        </w:rPr>
        <w:t>21)</w:t>
      </w:r>
    </w:p>
    <w:p w14:paraId="2FB3F069" w14:textId="3ECA461B" w:rsidR="00995342" w:rsidRPr="00B065D6" w:rsidRDefault="00995342" w:rsidP="00995342">
      <w:pPr>
        <w:pStyle w:val="MTDisplayEquation"/>
        <w:tabs>
          <w:tab w:val="clear" w:pos="4880"/>
          <w:tab w:val="right" w:pos="4875"/>
        </w:tabs>
        <w:ind w:firstLine="0"/>
      </w:pPr>
      <w:r w:rsidRPr="00B065D6">
        <w:tab/>
      </w:r>
      <w:r w:rsidR="003107E4" w:rsidRPr="00B065D6">
        <w:rPr>
          <w:position w:val="-12"/>
        </w:rPr>
        <w:object w:dxaOrig="2201" w:dyaOrig="379" w14:anchorId="464F8F12">
          <v:shape id="Object 73" o:spid="_x0000_i1092" type="#_x0000_t75" style="width:87.45pt;height:16.7pt;mso-wrap-style:square;mso-position-horizontal-relative:page;mso-position-vertical-relative:page" o:ole="">
            <v:imagedata r:id="rId144" o:title=""/>
          </v:shape>
          <o:OLEObject Type="Embed" ProgID="Equation.DSMT4" ShapeID="Object 73" DrawAspect="Content" ObjectID="_1758727519" r:id="rId145"/>
        </w:object>
      </w:r>
      <w:r w:rsidRPr="00B065D6">
        <w:tab/>
        <w:t>(</w:t>
      </w:r>
      <w:r w:rsidRPr="00B065D6">
        <w:rPr>
          <w:sz w:val="20"/>
          <w:szCs w:val="20"/>
        </w:rPr>
        <w:t>22)</w:t>
      </w:r>
    </w:p>
    <w:p w14:paraId="61C5FB7B" w14:textId="4E34F94E" w:rsidR="003107E4" w:rsidRPr="00B065D6" w:rsidRDefault="003107E4" w:rsidP="003107E4">
      <w:pPr>
        <w:pStyle w:val="IETParagraph"/>
        <w:spacing w:line="240" w:lineRule="auto"/>
        <w:rPr>
          <w:sz w:val="20"/>
          <w:szCs w:val="20"/>
        </w:rPr>
      </w:pPr>
      <w:r w:rsidRPr="00B065D6">
        <w:rPr>
          <w:rFonts w:hint="eastAsia"/>
          <w:sz w:val="20"/>
          <w:szCs w:val="20"/>
        </w:rPr>
        <w:t>(</w:t>
      </w:r>
      <w:r w:rsidRPr="00B065D6">
        <w:rPr>
          <w:sz w:val="20"/>
          <w:szCs w:val="20"/>
        </w:rPr>
        <w:t>e) Microgrid contact line power constraint</w:t>
      </w:r>
    </w:p>
    <w:p w14:paraId="4C27F6FB" w14:textId="7891511B" w:rsidR="003107E4" w:rsidRPr="00B065D6" w:rsidRDefault="003107E4" w:rsidP="003107E4">
      <w:pPr>
        <w:pStyle w:val="MTDisplayEquation"/>
        <w:tabs>
          <w:tab w:val="clear" w:pos="4880"/>
          <w:tab w:val="right" w:pos="4875"/>
        </w:tabs>
        <w:ind w:firstLine="0"/>
      </w:pPr>
      <w:r w:rsidRPr="00B065D6">
        <w:tab/>
      </w:r>
      <w:r w:rsidRPr="00B065D6">
        <w:rPr>
          <w:position w:val="-12"/>
        </w:rPr>
        <w:object w:dxaOrig="1219" w:dyaOrig="379" w14:anchorId="41358CDF">
          <v:shape id="Object 74" o:spid="_x0000_i1093" type="#_x0000_t75" style="width:57.45pt;height:19.3pt;mso-wrap-style:square;mso-position-horizontal-relative:page;mso-position-vertical-relative:page" o:ole="">
            <v:imagedata r:id="rId146" o:title=""/>
          </v:shape>
          <o:OLEObject Type="Embed" ProgID="Equation.DSMT4" ShapeID="Object 74" DrawAspect="Content" ObjectID="_1758727520" r:id="rId147"/>
        </w:object>
      </w:r>
      <w:r w:rsidRPr="00B065D6">
        <w:tab/>
        <w:t>(</w:t>
      </w:r>
      <w:r w:rsidRPr="00B065D6">
        <w:rPr>
          <w:sz w:val="20"/>
          <w:szCs w:val="20"/>
        </w:rPr>
        <w:t>23)</w:t>
      </w:r>
    </w:p>
    <w:p w14:paraId="7E9FA06D" w14:textId="6B6FF72F" w:rsidR="003107E4" w:rsidRPr="00B065D6" w:rsidRDefault="003107E4" w:rsidP="003107E4">
      <w:pPr>
        <w:pStyle w:val="IETParagraph"/>
        <w:spacing w:line="240" w:lineRule="auto"/>
        <w:rPr>
          <w:sz w:val="20"/>
          <w:szCs w:val="20"/>
        </w:rPr>
      </w:pPr>
      <w:r w:rsidRPr="00B065D6">
        <w:rPr>
          <w:rFonts w:hint="eastAsia"/>
          <w:sz w:val="20"/>
          <w:szCs w:val="20"/>
        </w:rPr>
        <w:t>(</w:t>
      </w:r>
      <w:r w:rsidRPr="00B065D6">
        <w:rPr>
          <w:sz w:val="20"/>
          <w:szCs w:val="20"/>
        </w:rPr>
        <w:t>f) Micro Gas Turbine Constraint</w:t>
      </w:r>
    </w:p>
    <w:p w14:paraId="7E447185" w14:textId="27E6B0E5" w:rsidR="003107E4" w:rsidRPr="00B065D6" w:rsidRDefault="003107E4" w:rsidP="003107E4">
      <w:pPr>
        <w:pStyle w:val="MTDisplayEquation"/>
        <w:tabs>
          <w:tab w:val="clear" w:pos="4880"/>
          <w:tab w:val="right" w:pos="4875"/>
        </w:tabs>
        <w:ind w:firstLine="0"/>
      </w:pPr>
      <w:r w:rsidRPr="00B065D6">
        <w:tab/>
      </w:r>
      <w:r w:rsidRPr="00B065D6">
        <w:rPr>
          <w:position w:val="-12"/>
        </w:rPr>
        <w:object w:dxaOrig="1999" w:dyaOrig="379" w14:anchorId="3255DFDA">
          <v:shape id="Object 75" o:spid="_x0000_i1094" type="#_x0000_t75" style="width:89.15pt;height:18.85pt;mso-wrap-style:square;mso-position-horizontal-relative:page;mso-position-vertical-relative:page" o:ole="">
            <v:imagedata r:id="rId148" o:title=""/>
          </v:shape>
          <o:OLEObject Type="Embed" ProgID="Equation.DSMT4" ShapeID="Object 75" DrawAspect="Content" ObjectID="_1758727521" r:id="rId149"/>
        </w:object>
      </w:r>
      <w:r w:rsidRPr="00B065D6">
        <w:tab/>
        <w:t>(</w:t>
      </w:r>
      <w:r w:rsidRPr="00B065D6">
        <w:rPr>
          <w:sz w:val="20"/>
          <w:szCs w:val="20"/>
        </w:rPr>
        <w:t>24)</w:t>
      </w:r>
    </w:p>
    <w:p w14:paraId="5C316AEF" w14:textId="03EA6C08" w:rsidR="003107E4" w:rsidRPr="00B065D6" w:rsidRDefault="003107E4" w:rsidP="003107E4">
      <w:pPr>
        <w:pStyle w:val="MTDisplayEquation"/>
        <w:tabs>
          <w:tab w:val="clear" w:pos="4880"/>
          <w:tab w:val="right" w:pos="4875"/>
        </w:tabs>
        <w:ind w:firstLine="0"/>
      </w:pPr>
      <w:r w:rsidRPr="00B065D6">
        <w:tab/>
      </w:r>
      <w:r w:rsidRPr="00B065D6">
        <w:rPr>
          <w:position w:val="-12"/>
        </w:rPr>
        <w:object w:dxaOrig="1999" w:dyaOrig="379" w14:anchorId="5D212911">
          <v:shape id="_x0000_i1095" type="#_x0000_t75" style="width:86.15pt;height:18pt;mso-wrap-style:square;mso-position-horizontal-relative:page;mso-position-vertical-relative:page" o:ole="">
            <v:imagedata r:id="rId148" o:title=""/>
          </v:shape>
          <o:OLEObject Type="Embed" ProgID="Equation.DSMT4" ShapeID="_x0000_i1095" DrawAspect="Content" ObjectID="_1758727522" r:id="rId150"/>
        </w:object>
      </w:r>
      <w:r w:rsidRPr="00B065D6">
        <w:tab/>
        <w:t>(</w:t>
      </w:r>
      <w:r w:rsidRPr="00B065D6">
        <w:rPr>
          <w:sz w:val="20"/>
          <w:szCs w:val="20"/>
        </w:rPr>
        <w:t>25)</w:t>
      </w:r>
    </w:p>
    <w:p w14:paraId="11694085" w14:textId="425764D5" w:rsidR="005050A1" w:rsidRPr="00B065D6" w:rsidRDefault="003107E4" w:rsidP="0048694E">
      <w:pPr>
        <w:pStyle w:val="IETParagraph"/>
        <w:spacing w:line="240" w:lineRule="auto"/>
        <w:rPr>
          <w:sz w:val="20"/>
          <w:szCs w:val="20"/>
        </w:rPr>
      </w:pPr>
      <w:r w:rsidRPr="00B065D6">
        <w:rPr>
          <w:sz w:val="20"/>
          <w:szCs w:val="20"/>
        </w:rPr>
        <w:t>In addition to the above constraint equations, it is also included the load balance equations (1) and (2), and the EV constraint equations (3) to (8).</w:t>
      </w:r>
    </w:p>
    <w:p w14:paraId="3767B572" w14:textId="5AC2FDDA" w:rsidR="001E7809" w:rsidRPr="00B065D6" w:rsidRDefault="001E7809" w:rsidP="001E7809">
      <w:pPr>
        <w:pStyle w:val="IETParagraph"/>
        <w:adjustRightInd w:val="0"/>
        <w:snapToGrid w:val="0"/>
        <w:spacing w:line="240" w:lineRule="auto"/>
        <w:ind w:firstLine="0"/>
        <w:rPr>
          <w:sz w:val="20"/>
          <w:szCs w:val="20"/>
        </w:rPr>
      </w:pPr>
      <w:bookmarkStart w:id="17" w:name="_Hlk143632601"/>
      <w:r w:rsidRPr="00B065D6">
        <w:rPr>
          <w:sz w:val="20"/>
          <w:szCs w:val="20"/>
        </w:rPr>
        <w:t>3.1.3 Single microgrid solution method</w:t>
      </w:r>
    </w:p>
    <w:bookmarkEnd w:id="17"/>
    <w:p w14:paraId="23CAEFB1" w14:textId="22BCFE00" w:rsidR="0048694E" w:rsidRPr="00B065D6" w:rsidRDefault="001E7809" w:rsidP="001E7809">
      <w:pPr>
        <w:pStyle w:val="IETParagraph"/>
        <w:spacing w:line="240" w:lineRule="auto"/>
        <w:rPr>
          <w:sz w:val="20"/>
          <w:szCs w:val="20"/>
        </w:rPr>
      </w:pPr>
      <w:r w:rsidRPr="00B065D6">
        <w:rPr>
          <w:sz w:val="20"/>
          <w:szCs w:val="20"/>
        </w:rPr>
        <w:t>The proposed single MG optimal scheduling model is a mixed integer linear programming (MILP) model, which can be solved by CPLEX.</w:t>
      </w:r>
    </w:p>
    <w:p w14:paraId="260FF09E" w14:textId="44541AE9" w:rsidR="001E7809" w:rsidRPr="00B065D6" w:rsidRDefault="001E7809" w:rsidP="001E7809">
      <w:pPr>
        <w:pStyle w:val="IETHeading2"/>
        <w:numPr>
          <w:ilvl w:val="1"/>
          <w:numId w:val="2"/>
        </w:numPr>
        <w:ind w:left="400" w:hangingChars="200" w:hanging="400"/>
        <w:rPr>
          <w:rFonts w:ascii="Times New Roman" w:hAnsi="Times New Roman"/>
          <w:sz w:val="20"/>
          <w:szCs w:val="20"/>
        </w:rPr>
      </w:pPr>
      <w:r w:rsidRPr="00B065D6">
        <w:rPr>
          <w:rFonts w:ascii="Times New Roman" w:hAnsi="Times New Roman"/>
          <w:sz w:val="20"/>
          <w:szCs w:val="20"/>
        </w:rPr>
        <w:t>Multi-microgrid dynamic restoration electricity price optimization model</w:t>
      </w:r>
    </w:p>
    <w:p w14:paraId="33AEBC7A" w14:textId="513F3D8B" w:rsidR="001E7809" w:rsidRPr="00B065D6" w:rsidRDefault="001E7809" w:rsidP="001E7809">
      <w:pPr>
        <w:pStyle w:val="IETParagraph"/>
        <w:adjustRightInd w:val="0"/>
        <w:snapToGrid w:val="0"/>
        <w:spacing w:line="240" w:lineRule="auto"/>
        <w:ind w:firstLine="0"/>
        <w:rPr>
          <w:sz w:val="20"/>
          <w:szCs w:val="20"/>
        </w:rPr>
      </w:pPr>
      <w:r w:rsidRPr="00B065D6">
        <w:rPr>
          <w:sz w:val="20"/>
          <w:szCs w:val="20"/>
        </w:rPr>
        <w:t>3.2.1 A three-step restoration electricity price optimization model considering resilience enhancement of distribution networks</w:t>
      </w:r>
    </w:p>
    <w:p w14:paraId="1E00AF4A" w14:textId="0BCF57CF" w:rsidR="001E7809" w:rsidRPr="00B065D6" w:rsidRDefault="001E7809" w:rsidP="001E7809">
      <w:pPr>
        <w:pStyle w:val="IETParagraph"/>
        <w:spacing w:line="240" w:lineRule="auto"/>
        <w:rPr>
          <w:sz w:val="20"/>
          <w:szCs w:val="20"/>
        </w:rPr>
      </w:pPr>
      <w:r w:rsidRPr="00B065D6">
        <w:rPr>
          <w:sz w:val="20"/>
          <w:szCs w:val="20"/>
        </w:rPr>
        <w:t xml:space="preserve">Time-of-use (TOU) electricity price are determined by peak valley load difference, which is not suitable for load restoration after extreme disaster failures in the distribution network. Establishing the reasonable dynamic restoration electricity price during a distribution network disaster is conducive to motivating and guiding MG to actively participate in post-fault distribution network critical load restoration. Considering the power headroom index of MMG </w:t>
      </w:r>
      <w:r w:rsidRPr="00B065D6">
        <w:rPr>
          <w:sz w:val="20"/>
          <w:szCs w:val="20"/>
        </w:rPr>
        <w:t>and the interests of both MG and the distribution network, the dynamic restoration electricity price implements a three-step electricity price mechanism, including basic electricity price, highest electricity price, and restoration promotion electricity price. The basic electricity price is the TOU electricity price formulated during normal operation of the distribution network with the MMG. If the PHI of the microgrid meets the critical load demand of the distribution network under the power response based on the basic electricity price, the restored electricity price is the Time-of-use electricity price. The highest electricity price is the maximum electricity price that the distribution network can bear after the disaster. If the PHI of the microgrid still cannot meet the restoration demand of the critical loads of the distribution network under the power response based on the highest electricity price, the restoration electricity price does not need to be optimized and is directly assigned to the highest electricity price. The restoration promotion electricity price is between the basic electricity price and the highest electricity price, which is to meet the critical loads recovery of NPF, and to motivate and guide MMG to actively participate in the resilience enhancement electricity price of distribution networks.</w:t>
      </w:r>
    </w:p>
    <w:p w14:paraId="4832AF66" w14:textId="787D174F" w:rsidR="001E7809" w:rsidRPr="00B065D6" w:rsidRDefault="001E7809" w:rsidP="001E7809">
      <w:pPr>
        <w:pStyle w:val="IETParagraph"/>
        <w:spacing w:line="240" w:lineRule="auto"/>
        <w:rPr>
          <w:sz w:val="20"/>
          <w:szCs w:val="20"/>
        </w:rPr>
      </w:pPr>
      <w:r w:rsidRPr="00B065D6">
        <w:rPr>
          <w:sz w:val="20"/>
          <w:szCs w:val="20"/>
        </w:rPr>
        <w:t>The objective of the three-step dynamic restoration electricity price optimization model considering the resilience enhancement of the distribution network is to achieve the minimum power purchase cost of the distribution network, and the objective function is shown in equation (26).</w:t>
      </w:r>
    </w:p>
    <w:p w14:paraId="607CE22E" w14:textId="7F6D6363" w:rsidR="00CA3882" w:rsidRPr="00B065D6" w:rsidRDefault="00CA3882" w:rsidP="00CA3882">
      <w:pPr>
        <w:pStyle w:val="MTDisplayEquation"/>
        <w:tabs>
          <w:tab w:val="clear" w:pos="4880"/>
          <w:tab w:val="right" w:pos="4875"/>
        </w:tabs>
        <w:ind w:firstLine="0"/>
      </w:pPr>
      <w:r w:rsidRPr="00B065D6">
        <w:tab/>
      </w:r>
      <w:r w:rsidRPr="00B065D6">
        <w:rPr>
          <w:position w:val="-28"/>
        </w:rPr>
        <w:object w:dxaOrig="2381" w:dyaOrig="659" w14:anchorId="0622D640">
          <v:shape id="Object 79" o:spid="_x0000_i1096" type="#_x0000_t75" style="width:109.3pt;height:31.3pt;mso-position-horizontal-relative:page;mso-position-vertical-relative:page" o:ole="">
            <v:imagedata r:id="rId151" o:title=""/>
          </v:shape>
          <o:OLEObject Type="Embed" ProgID="Equation.DSMT4" ShapeID="Object 79" DrawAspect="Content" ObjectID="_1758727523" r:id="rId152"/>
        </w:object>
      </w:r>
      <w:r w:rsidRPr="00B065D6">
        <w:tab/>
        <w:t>(</w:t>
      </w:r>
      <w:r w:rsidRPr="00B065D6">
        <w:rPr>
          <w:sz w:val="20"/>
          <w:szCs w:val="20"/>
        </w:rPr>
        <w:t>26)</w:t>
      </w:r>
    </w:p>
    <w:p w14:paraId="327FF18D" w14:textId="56FD86A3" w:rsidR="00410664" w:rsidRPr="00B065D6" w:rsidRDefault="00410664" w:rsidP="00410664">
      <w:pPr>
        <w:pStyle w:val="MTDisplayEquation"/>
        <w:tabs>
          <w:tab w:val="clear" w:pos="4880"/>
          <w:tab w:val="right" w:pos="4875"/>
        </w:tabs>
        <w:ind w:firstLine="0"/>
      </w:pPr>
      <w:bookmarkStart w:id="18" w:name="_Hlk144237142"/>
      <w:r w:rsidRPr="00B065D6">
        <w:tab/>
      </w:r>
      <w:r w:rsidRPr="00B065D6">
        <w:rPr>
          <w:position w:val="-52"/>
        </w:rPr>
        <w:object w:dxaOrig="2441" w:dyaOrig="1159" w14:anchorId="57D7BCDE">
          <v:shape id="Object 80" o:spid="_x0000_i1097" type="#_x0000_t75" style="width:121.7pt;height:57.85pt;mso-position-horizontal-relative:page;mso-position-vertical-relative:page" o:ole="">
            <v:imagedata r:id="rId153" o:title=""/>
          </v:shape>
          <o:OLEObject Type="Embed" ProgID="Equation.DSMT4" ShapeID="Object 80" DrawAspect="Content" ObjectID="_1758727524" r:id="rId154"/>
        </w:object>
      </w:r>
      <w:r w:rsidRPr="00B065D6">
        <w:tab/>
        <w:t>(</w:t>
      </w:r>
      <w:r w:rsidRPr="00B065D6">
        <w:rPr>
          <w:sz w:val="20"/>
          <w:szCs w:val="20"/>
        </w:rPr>
        <w:t>27)</w:t>
      </w:r>
    </w:p>
    <w:bookmarkEnd w:id="18"/>
    <w:p w14:paraId="6B9D7F63" w14:textId="567B5FD3" w:rsidR="00123666" w:rsidRPr="00B065D6" w:rsidRDefault="00123666" w:rsidP="00123666">
      <w:pPr>
        <w:pStyle w:val="IETParagraph"/>
        <w:adjustRightInd w:val="0"/>
        <w:snapToGrid w:val="0"/>
        <w:spacing w:line="240" w:lineRule="auto"/>
        <w:ind w:firstLineChars="200" w:firstLine="400"/>
        <w:rPr>
          <w:sz w:val="20"/>
          <w:szCs w:val="20"/>
        </w:rPr>
      </w:pPr>
      <w:r w:rsidRPr="00B065D6">
        <w:rPr>
          <w:sz w:val="20"/>
          <w:szCs w:val="20"/>
        </w:rPr>
        <w:t>The constraint equation is the CRCL constraint, as shown in equation (28).</w:t>
      </w:r>
    </w:p>
    <w:p w14:paraId="4528223E" w14:textId="28E17106" w:rsidR="00123666" w:rsidRPr="00B065D6" w:rsidRDefault="00123666" w:rsidP="00B56C29">
      <w:pPr>
        <w:pStyle w:val="MTDisplayEquation"/>
        <w:ind w:firstLine="0"/>
      </w:pPr>
      <w:r w:rsidRPr="00B065D6">
        <w:tab/>
      </w:r>
      <w:r w:rsidR="00736E9C" w:rsidRPr="00B065D6">
        <w:rPr>
          <w:position w:val="-28"/>
        </w:rPr>
        <w:object w:dxaOrig="1080" w:dyaOrig="719" w14:anchorId="3A8A6DB1">
          <v:shape id="Object 87" o:spid="_x0000_i1098" type="#_x0000_t75" style="width:49.7pt;height:31.3pt;mso-wrap-style:square;mso-position-horizontal-relative:page;mso-position-vertical-relative:page" o:ole="">
            <v:imagedata r:id="rId155" o:title=""/>
          </v:shape>
          <o:OLEObject Type="Embed" ProgID="Equation.DSMT4" ShapeID="Object 87" DrawAspect="Content" ObjectID="_1758727525" r:id="rId156"/>
        </w:object>
      </w:r>
      <w:r w:rsidRPr="00B065D6">
        <w:tab/>
        <w:t>(</w:t>
      </w:r>
      <w:r w:rsidRPr="00B065D6">
        <w:rPr>
          <w:sz w:val="20"/>
          <w:szCs w:val="20"/>
        </w:rPr>
        <w:t>28)</w:t>
      </w:r>
    </w:p>
    <w:p w14:paraId="7CAEDFA2" w14:textId="657D5F27" w:rsidR="00123666" w:rsidRPr="00B065D6" w:rsidRDefault="00123666" w:rsidP="00123666">
      <w:pPr>
        <w:pStyle w:val="IETParagraph"/>
        <w:adjustRightInd w:val="0"/>
        <w:snapToGrid w:val="0"/>
        <w:spacing w:line="240" w:lineRule="auto"/>
        <w:ind w:firstLine="0"/>
        <w:rPr>
          <w:sz w:val="20"/>
          <w:szCs w:val="20"/>
        </w:rPr>
      </w:pPr>
      <w:r w:rsidRPr="00B065D6">
        <w:rPr>
          <w:sz w:val="20"/>
          <w:szCs w:val="20"/>
        </w:rPr>
        <w:t xml:space="preserve">3.2.2 </w:t>
      </w:r>
      <w:r w:rsidR="00B56C29" w:rsidRPr="00B065D6">
        <w:rPr>
          <w:sz w:val="20"/>
          <w:szCs w:val="20"/>
        </w:rPr>
        <w:t>The Algorithm for solving the three-stage dynamic restoration electricity price model.</w:t>
      </w:r>
    </w:p>
    <w:p w14:paraId="4BC87701" w14:textId="23E5BABD" w:rsidR="001E7809" w:rsidRPr="00B065D6" w:rsidRDefault="00165013" w:rsidP="001E7809">
      <w:pPr>
        <w:pStyle w:val="IETParagraph"/>
        <w:spacing w:line="240" w:lineRule="auto"/>
        <w:rPr>
          <w:sz w:val="20"/>
          <w:szCs w:val="20"/>
        </w:rPr>
      </w:pPr>
      <w:r w:rsidRPr="00B065D6">
        <w:rPr>
          <w:sz w:val="20"/>
          <w:szCs w:val="20"/>
        </w:rPr>
        <w:t>The steps of the three-step dynamic restoration electricity price mechanism during the restoration period of the distribution network are the four steps in section 2.2. The dynamic restoration electricity price is solved by the dichotomous method and single microgrid optimization model, the solution steps are as follows.</w:t>
      </w:r>
    </w:p>
    <w:p w14:paraId="25675311" w14:textId="2D538BA4" w:rsidR="001E7809" w:rsidRPr="00B065D6" w:rsidRDefault="00165013" w:rsidP="001E7809">
      <w:pPr>
        <w:pStyle w:val="IETParagraph"/>
        <w:spacing w:line="240" w:lineRule="auto"/>
        <w:rPr>
          <w:sz w:val="20"/>
          <w:szCs w:val="20"/>
        </w:rPr>
      </w:pPr>
      <w:r w:rsidRPr="00B065D6">
        <w:rPr>
          <w:rFonts w:hint="eastAsia"/>
          <w:sz w:val="20"/>
          <w:szCs w:val="20"/>
        </w:rPr>
        <w:t xml:space="preserve">Step 1: Input the original parameters </w:t>
      </w:r>
      <w:r w:rsidRPr="00B065D6">
        <w:rPr>
          <w:position w:val="-12"/>
        </w:rPr>
        <w:object w:dxaOrig="459" w:dyaOrig="359" w14:anchorId="3502ADDD">
          <v:shape id="Object 88" o:spid="_x0000_i1099" type="#_x0000_t75" style="width:22.7pt;height:18pt;mso-position-horizontal-relative:page;mso-position-vertical-relative:page" o:ole="">
            <v:imagedata r:id="rId157" o:title=""/>
          </v:shape>
          <o:OLEObject Type="Embed" ProgID="Equation.DSMT4" ShapeID="Object 88" DrawAspect="Content" ObjectID="_1758727526" r:id="rId158"/>
        </w:object>
      </w:r>
      <w:r w:rsidRPr="00B065D6">
        <w:rPr>
          <w:rFonts w:hint="eastAsia"/>
          <w:sz w:val="20"/>
          <w:szCs w:val="20"/>
        </w:rPr>
        <w:t>,</w:t>
      </w:r>
      <w:r w:rsidRPr="00B065D6">
        <w:rPr>
          <w:position w:val="-12"/>
        </w:rPr>
        <w:object w:dxaOrig="459" w:dyaOrig="359" w14:anchorId="5CEAA94B">
          <v:shape id="Object 89" o:spid="_x0000_i1100" type="#_x0000_t75" style="width:22.7pt;height:18pt;mso-position-horizontal-relative:page;mso-position-vertical-relative:page" o:ole="">
            <v:imagedata r:id="rId159" o:title=""/>
          </v:shape>
          <o:OLEObject Type="Embed" ProgID="Equation.DSMT4" ShapeID="Object 89" DrawAspect="Content" ObjectID="_1758727527" r:id="rId160"/>
        </w:object>
      </w:r>
      <w:r w:rsidRPr="00B065D6">
        <w:rPr>
          <w:rFonts w:hint="eastAsia"/>
          <w:sz w:val="20"/>
          <w:szCs w:val="20"/>
        </w:rPr>
        <w:t>, the convergence value of the electricity value</w:t>
      </w:r>
      <w:r w:rsidRPr="00B065D6">
        <w:rPr>
          <w:position w:val="-10"/>
        </w:rPr>
        <w:object w:dxaOrig="199" w:dyaOrig="319" w14:anchorId="397B3CE8">
          <v:shape id="Object 90" o:spid="_x0000_i1101" type="#_x0000_t75" style="width:10.3pt;height:15.85pt;mso-wrap-style:square;mso-position-horizontal-relative:page;mso-position-vertical-relative:page" o:ole="">
            <v:imagedata r:id="rId161" o:title=""/>
          </v:shape>
          <o:OLEObject Type="Embed" ProgID="Equation.DSMT4" ShapeID="Object 90" DrawAspect="Content" ObjectID="_1758727528" r:id="rId162"/>
        </w:object>
      </w:r>
      <w:r w:rsidRPr="00B065D6">
        <w:rPr>
          <w:rFonts w:hint="eastAsia"/>
          <w:sz w:val="20"/>
          <w:szCs w:val="20"/>
        </w:rPr>
        <w:t>, the value of the dichotomous times K</w:t>
      </w:r>
      <w:r w:rsidRPr="00B065D6">
        <w:rPr>
          <w:sz w:val="20"/>
          <w:szCs w:val="20"/>
        </w:rPr>
        <w:t xml:space="preserve">, </w:t>
      </w:r>
      <w:r w:rsidRPr="00B065D6">
        <w:rPr>
          <w:position w:val="-12"/>
        </w:rPr>
        <w:object w:dxaOrig="439" w:dyaOrig="379" w14:anchorId="596BBB90">
          <v:shape id="Object 91" o:spid="_x0000_i1102" type="#_x0000_t75" style="width:20.15pt;height:20.15pt;mso-wrap-style:square;mso-position-horizontal-relative:page;mso-position-vertical-relative:page" o:ole="">
            <v:imagedata r:id="rId163" o:title=""/>
          </v:shape>
          <o:OLEObject Type="Embed" ProgID="Equation.DSMT4" ShapeID="Object 91" DrawAspect="Content" ObjectID="_1758727529" r:id="rId164"/>
        </w:object>
      </w:r>
      <w:r w:rsidRPr="00B065D6">
        <w:rPr>
          <w:rFonts w:hint="eastAsia"/>
          <w:sz w:val="20"/>
          <w:szCs w:val="20"/>
        </w:rPr>
        <w:t>, set the original search interval [</w:t>
      </w:r>
      <w:r w:rsidRPr="00B065D6">
        <w:rPr>
          <w:position w:val="-12"/>
        </w:rPr>
        <w:object w:dxaOrig="459" w:dyaOrig="359" w14:anchorId="44FB9D97">
          <v:shape id="Object 92" o:spid="_x0000_i1103" type="#_x0000_t75" style="width:22.7pt;height:18pt;mso-position-horizontal-relative:page;mso-position-vertical-relative:page" o:ole="">
            <v:imagedata r:id="rId165" o:title=""/>
          </v:shape>
          <o:OLEObject Type="Embed" ProgID="Equation.DSMT4" ShapeID="Object 92" DrawAspect="Content" ObjectID="_1758727530" r:id="rId166"/>
        </w:object>
      </w:r>
      <w:r w:rsidR="00147275" w:rsidRPr="00B065D6">
        <w:rPr>
          <w:rFonts w:hint="eastAsia"/>
          <w:sz w:val="20"/>
          <w:szCs w:val="20"/>
        </w:rPr>
        <w:t>,</w:t>
      </w:r>
      <w:r w:rsidRPr="00B065D6">
        <w:rPr>
          <w:position w:val="-12"/>
        </w:rPr>
        <w:object w:dxaOrig="459" w:dyaOrig="359" w14:anchorId="0ED25EE8">
          <v:shape id="Object 93" o:spid="_x0000_i1104" type="#_x0000_t75" style="width:22.7pt;height:18pt;mso-position-horizontal-relative:page;mso-position-vertical-relative:page" o:ole="">
            <v:imagedata r:id="rId167" o:title=""/>
          </v:shape>
          <o:OLEObject Type="Embed" ProgID="Equation.DSMT4" ShapeID="Object 93" DrawAspect="Content" ObjectID="_1758727531" r:id="rId168"/>
        </w:object>
      </w:r>
      <w:r w:rsidRPr="00B065D6">
        <w:rPr>
          <w:rFonts w:hint="eastAsia"/>
          <w:sz w:val="20"/>
          <w:szCs w:val="20"/>
        </w:rPr>
        <w:t>] of the dichotomous.</w:t>
      </w:r>
    </w:p>
    <w:p w14:paraId="5017D259" w14:textId="7FF280F0" w:rsidR="00165013" w:rsidRPr="00B065D6" w:rsidRDefault="00165013" w:rsidP="001E7809">
      <w:pPr>
        <w:pStyle w:val="IETParagraph"/>
        <w:spacing w:line="240" w:lineRule="auto"/>
        <w:rPr>
          <w:sz w:val="20"/>
          <w:szCs w:val="20"/>
        </w:rPr>
      </w:pPr>
      <w:r w:rsidRPr="00B065D6">
        <w:rPr>
          <w:rFonts w:hint="eastAsia"/>
          <w:sz w:val="20"/>
          <w:szCs w:val="20"/>
        </w:rPr>
        <w:t xml:space="preserve">Step </w:t>
      </w:r>
      <w:r w:rsidRPr="00B065D6">
        <w:rPr>
          <w:sz w:val="20"/>
          <w:szCs w:val="20"/>
        </w:rPr>
        <w:t>2</w:t>
      </w:r>
      <w:r w:rsidRPr="00B065D6">
        <w:rPr>
          <w:rFonts w:hint="eastAsia"/>
          <w:sz w:val="20"/>
          <w:szCs w:val="20"/>
        </w:rPr>
        <w:t>:</w:t>
      </w:r>
      <w:r w:rsidRPr="00B065D6">
        <w:rPr>
          <w:sz w:val="20"/>
          <w:szCs w:val="20"/>
        </w:rPr>
        <w:t xml:space="preserve"> Transmission of</w:t>
      </w:r>
      <w:r w:rsidRPr="00B065D6">
        <w:rPr>
          <w:position w:val="-12"/>
        </w:rPr>
        <w:object w:dxaOrig="459" w:dyaOrig="359" w14:anchorId="2A825D99">
          <v:shape id="Object 94" o:spid="_x0000_i1105" type="#_x0000_t75" style="width:22.7pt;height:18pt;mso-position-horizontal-relative:page;mso-position-vertical-relative:page" o:ole="">
            <v:imagedata r:id="rId169" o:title=""/>
          </v:shape>
          <o:OLEObject Type="Embed" ProgID="Equation.DSMT4" ShapeID="Object 94" DrawAspect="Content" ObjectID="_1758727532" r:id="rId170"/>
        </w:object>
      </w:r>
      <w:r w:rsidRPr="00B065D6">
        <w:rPr>
          <w:sz w:val="20"/>
          <w:szCs w:val="20"/>
        </w:rPr>
        <w:t xml:space="preserve"> and</w:t>
      </w:r>
      <w:r w:rsidRPr="00B065D6">
        <w:rPr>
          <w:position w:val="-12"/>
        </w:rPr>
        <w:object w:dxaOrig="459" w:dyaOrig="359" w14:anchorId="4DC51244">
          <v:shape id="Object 95" o:spid="_x0000_i1106" type="#_x0000_t75" style="width:22.7pt;height:18pt;mso-position-horizontal-relative:page;mso-position-vertical-relative:page" o:ole="">
            <v:imagedata r:id="rId171" o:title=""/>
          </v:shape>
          <o:OLEObject Type="Embed" ProgID="Equation.DSMT4" ShapeID="Object 95" DrawAspect="Content" ObjectID="_1758727533" r:id="rId172"/>
        </w:object>
      </w:r>
      <w:r w:rsidRPr="00B065D6">
        <w:rPr>
          <w:sz w:val="20"/>
          <w:szCs w:val="20"/>
        </w:rPr>
        <w:t>, load power demand from the distribution network to each MG.</w:t>
      </w:r>
    </w:p>
    <w:p w14:paraId="47B2D7DB" w14:textId="25F325E2" w:rsidR="001E7809" w:rsidRPr="00B065D6" w:rsidRDefault="00165013" w:rsidP="001E7809">
      <w:pPr>
        <w:pStyle w:val="IETParagraph"/>
        <w:spacing w:line="240" w:lineRule="auto"/>
        <w:rPr>
          <w:sz w:val="20"/>
          <w:szCs w:val="20"/>
        </w:rPr>
      </w:pPr>
      <w:r w:rsidRPr="00B065D6">
        <w:rPr>
          <w:sz w:val="20"/>
          <w:szCs w:val="20"/>
        </w:rPr>
        <w:t xml:space="preserve">Step 3: Each microgrid is optimized separately with electricity price of </w:t>
      </w:r>
      <w:r w:rsidR="00AB4043" w:rsidRPr="00B065D6">
        <w:rPr>
          <w:position w:val="-12"/>
        </w:rPr>
        <w:object w:dxaOrig="459" w:dyaOrig="359" w14:anchorId="6E4CFD02">
          <v:shape id="Object 96" o:spid="_x0000_i1107" type="#_x0000_t75" style="width:23.15pt;height:17.55pt;mso-position-horizontal-relative:page;mso-position-vertical-relative:page" o:ole="">
            <v:imagedata r:id="rId173" o:title=""/>
          </v:shape>
          <o:OLEObject Type="Embed" ProgID="Equation.DSMT4" ShapeID="Object 96" DrawAspect="Content" ObjectID="_1758727534" r:id="rId174"/>
        </w:object>
      </w:r>
      <w:r w:rsidRPr="00B065D6">
        <w:rPr>
          <w:sz w:val="20"/>
          <w:szCs w:val="20"/>
        </w:rPr>
        <w:t xml:space="preserve"> and </w:t>
      </w:r>
      <w:r w:rsidR="00AB4043" w:rsidRPr="00B065D6">
        <w:rPr>
          <w:position w:val="-12"/>
        </w:rPr>
        <w:object w:dxaOrig="459" w:dyaOrig="359" w14:anchorId="208EEBA7">
          <v:shape id="_x0000_i1108" type="#_x0000_t75" style="width:23.15pt;height:17.55pt;mso-position-horizontal-relative:page;mso-position-vertical-relative:page" o:ole="">
            <v:imagedata r:id="rId173" o:title=""/>
          </v:shape>
          <o:OLEObject Type="Embed" ProgID="Equation.DSMT4" ShapeID="_x0000_i1108" DrawAspect="Content" ObjectID="_1758727535" r:id="rId175"/>
        </w:object>
      </w:r>
      <w:r w:rsidRPr="00B065D6">
        <w:rPr>
          <w:sz w:val="20"/>
          <w:szCs w:val="20"/>
        </w:rPr>
        <w:t xml:space="preserve"> to determine the feed-in power.</w:t>
      </w:r>
    </w:p>
    <w:p w14:paraId="7EFBCB91" w14:textId="190A31D6" w:rsidR="001E7809" w:rsidRPr="00B065D6" w:rsidRDefault="00165013" w:rsidP="001E7809">
      <w:pPr>
        <w:pStyle w:val="IETParagraph"/>
        <w:spacing w:line="240" w:lineRule="auto"/>
        <w:rPr>
          <w:sz w:val="20"/>
          <w:szCs w:val="20"/>
        </w:rPr>
      </w:pPr>
      <w:r w:rsidRPr="00B065D6">
        <w:rPr>
          <w:sz w:val="20"/>
          <w:szCs w:val="20"/>
        </w:rPr>
        <w:lastRenderedPageBreak/>
        <w:t xml:space="preserve">Step 4: If </w:t>
      </w:r>
      <w:r w:rsidR="004A0419" w:rsidRPr="00B065D6">
        <w:rPr>
          <w:position w:val="-14"/>
        </w:rPr>
        <w:object w:dxaOrig="1119" w:dyaOrig="379" w14:anchorId="52168732">
          <v:shape id="Object 98" o:spid="_x0000_i1109" type="#_x0000_t75" style="width:48.85pt;height:17.55pt;mso-wrap-style:square;mso-position-horizontal-relative:page;mso-position-vertical-relative:page" o:ole="">
            <v:imagedata r:id="rId176" o:title=""/>
          </v:shape>
          <o:OLEObject Type="Embed" ProgID="Equation.DSMT4" ShapeID="Object 98" DrawAspect="Content" ObjectID="_1758727536" r:id="rId177"/>
        </w:object>
      </w:r>
      <w:r w:rsidRPr="00B065D6">
        <w:rPr>
          <w:sz w:val="20"/>
          <w:szCs w:val="20"/>
        </w:rPr>
        <w:t xml:space="preserve">, then </w:t>
      </w:r>
      <w:r w:rsidR="00CB30C3" w:rsidRPr="00B065D6">
        <w:rPr>
          <w:position w:val="-12"/>
        </w:rPr>
        <w:object w:dxaOrig="959" w:dyaOrig="379" w14:anchorId="1000A632">
          <v:shape id="Object 99" o:spid="_x0000_i1110" type="#_x0000_t75" style="width:44.15pt;height:19.3pt;mso-wrap-style:square;mso-position-horizontal-relative:page;mso-position-vertical-relative:page" o:ole="">
            <v:imagedata r:id="rId178" o:title=""/>
          </v:shape>
          <o:OLEObject Type="Embed" ProgID="Equation.DSMT4" ShapeID="Object 99" DrawAspect="Content" ObjectID="_1758727537" r:id="rId179"/>
        </w:object>
      </w:r>
      <w:r w:rsidRPr="00B065D6">
        <w:rPr>
          <w:sz w:val="20"/>
          <w:szCs w:val="20"/>
        </w:rPr>
        <w:t xml:space="preserve">, and execute </w:t>
      </w:r>
      <w:r w:rsidR="004A0419" w:rsidRPr="00B065D6">
        <w:rPr>
          <w:rFonts w:hint="eastAsia"/>
          <w:sz w:val="20"/>
          <w:szCs w:val="20"/>
        </w:rPr>
        <w:t>s</w:t>
      </w:r>
      <w:r w:rsidRPr="00B065D6">
        <w:rPr>
          <w:sz w:val="20"/>
          <w:szCs w:val="20"/>
        </w:rPr>
        <w:t xml:space="preserve">tep 11, if </w:t>
      </w:r>
      <w:r w:rsidR="00CB30C3" w:rsidRPr="00B065D6">
        <w:rPr>
          <w:position w:val="-14"/>
        </w:rPr>
        <w:object w:dxaOrig="1119" w:dyaOrig="379" w14:anchorId="2F839768">
          <v:shape id="Object 100" o:spid="_x0000_i1111" type="#_x0000_t75" style="width:48.85pt;height:17.55pt;mso-wrap-style:square;mso-position-horizontal-relative:page;mso-position-vertical-relative:page" o:ole="">
            <v:imagedata r:id="rId180" o:title=""/>
          </v:shape>
          <o:OLEObject Type="Embed" ProgID="Equation.DSMT4" ShapeID="Object 100" DrawAspect="Content" ObjectID="_1758727538" r:id="rId181"/>
        </w:object>
      </w:r>
      <w:r w:rsidRPr="00B065D6">
        <w:rPr>
          <w:sz w:val="20"/>
          <w:szCs w:val="20"/>
        </w:rPr>
        <w:t xml:space="preserve">, then </w:t>
      </w:r>
      <w:r w:rsidR="004A0419" w:rsidRPr="00B065D6">
        <w:rPr>
          <w:sz w:val="20"/>
          <w:szCs w:val="20"/>
        </w:rPr>
        <w:t>s</w:t>
      </w:r>
      <w:r w:rsidRPr="00B065D6">
        <w:rPr>
          <w:sz w:val="20"/>
          <w:szCs w:val="20"/>
        </w:rPr>
        <w:t>tep 6.</w:t>
      </w:r>
    </w:p>
    <w:p w14:paraId="58C7A906" w14:textId="418903CA" w:rsidR="00B56C29" w:rsidRPr="00B065D6" w:rsidRDefault="00F81A3D" w:rsidP="001E7809">
      <w:pPr>
        <w:pStyle w:val="IETParagraph"/>
        <w:spacing w:line="240" w:lineRule="auto"/>
        <w:rPr>
          <w:sz w:val="20"/>
          <w:szCs w:val="20"/>
        </w:rPr>
      </w:pPr>
      <w:r w:rsidRPr="00B065D6">
        <w:rPr>
          <w:sz w:val="20"/>
          <w:szCs w:val="20"/>
        </w:rPr>
        <w:t xml:space="preserve">Step 5: If </w:t>
      </w:r>
      <w:r w:rsidR="004A0419" w:rsidRPr="00B065D6">
        <w:rPr>
          <w:position w:val="-14"/>
        </w:rPr>
        <w:object w:dxaOrig="1119" w:dyaOrig="379" w14:anchorId="72AC8C25">
          <v:shape id="Object 101" o:spid="_x0000_i1112" type="#_x0000_t75" style="width:48pt;height:17.55pt;mso-wrap-style:square;mso-position-horizontal-relative:page;mso-position-vertical-relative:page" o:ole="">
            <v:imagedata r:id="rId182" o:title=""/>
          </v:shape>
          <o:OLEObject Type="Embed" ProgID="Equation.DSMT4" ShapeID="Object 101" DrawAspect="Content" ObjectID="_1758727539" r:id="rId183"/>
        </w:object>
      </w:r>
      <w:r w:rsidRPr="00B065D6">
        <w:rPr>
          <w:sz w:val="20"/>
          <w:szCs w:val="20"/>
        </w:rPr>
        <w:t xml:space="preserve">, then </w:t>
      </w:r>
      <w:r w:rsidR="004A0419" w:rsidRPr="00B065D6">
        <w:rPr>
          <w:position w:val="-12"/>
        </w:rPr>
        <w:object w:dxaOrig="940" w:dyaOrig="379" w14:anchorId="60907514">
          <v:shape id="Object 102" o:spid="_x0000_i1113" type="#_x0000_t75" style="width:39pt;height:17.15pt;mso-wrap-style:square;mso-position-horizontal-relative:page;mso-position-vertical-relative:page" o:ole="">
            <v:imagedata r:id="rId184" o:title=""/>
          </v:shape>
          <o:OLEObject Type="Embed" ProgID="Equation.DSMT4" ShapeID="Object 102" DrawAspect="Content" ObjectID="_1758727540" r:id="rId185"/>
        </w:object>
      </w:r>
      <w:r w:rsidRPr="00B065D6">
        <w:rPr>
          <w:sz w:val="20"/>
          <w:szCs w:val="20"/>
        </w:rPr>
        <w:t xml:space="preserve">, and execute </w:t>
      </w:r>
      <w:r w:rsidR="004A0419" w:rsidRPr="00B065D6">
        <w:rPr>
          <w:sz w:val="20"/>
          <w:szCs w:val="20"/>
        </w:rPr>
        <w:t>s</w:t>
      </w:r>
      <w:r w:rsidRPr="00B065D6">
        <w:rPr>
          <w:sz w:val="20"/>
          <w:szCs w:val="20"/>
        </w:rPr>
        <w:t>tep 12;</w:t>
      </w:r>
    </w:p>
    <w:p w14:paraId="2F6807B8" w14:textId="39576B54" w:rsidR="00B56C29" w:rsidRPr="00B065D6" w:rsidRDefault="00F81A3D" w:rsidP="001E7809">
      <w:pPr>
        <w:pStyle w:val="IETParagraph"/>
        <w:spacing w:line="240" w:lineRule="auto"/>
        <w:rPr>
          <w:sz w:val="20"/>
          <w:szCs w:val="20"/>
        </w:rPr>
      </w:pPr>
      <w:r w:rsidRPr="00B065D6">
        <w:rPr>
          <w:sz w:val="20"/>
          <w:szCs w:val="20"/>
        </w:rPr>
        <w:t xml:space="preserve">Step 6: Calculate the average electricity value </w:t>
      </w:r>
      <w:r w:rsidR="004A0419" w:rsidRPr="00B065D6">
        <w:rPr>
          <w:position w:val="-14"/>
        </w:rPr>
        <w:object w:dxaOrig="559" w:dyaOrig="379" w14:anchorId="2E5E984F">
          <v:shape id="Object 103" o:spid="_x0000_i1114" type="#_x0000_t75" style="width:26.15pt;height:17.55pt;mso-position-horizontal-relative:page;mso-position-vertical-relative:page" o:ole="">
            <v:imagedata r:id="rId186" o:title=""/>
          </v:shape>
          <o:OLEObject Type="Embed" ProgID="Equation.DSMT4" ShapeID="Object 103" DrawAspect="Content" ObjectID="_1758727541" r:id="rId187"/>
        </w:object>
      </w:r>
      <w:r w:rsidRPr="00B065D6">
        <w:rPr>
          <w:sz w:val="20"/>
          <w:szCs w:val="20"/>
        </w:rPr>
        <w:t>in the search interval, each microgrid responds to dynamic restoration electricity price, execute the objective function (11) to optimize the single microgrid, and transmit the feed-in power, and calculate the PHI index value of equation (26).</w:t>
      </w:r>
    </w:p>
    <w:p w14:paraId="364C968B" w14:textId="1272B8DC" w:rsidR="00B56C29" w:rsidRPr="00B065D6" w:rsidRDefault="004A625D" w:rsidP="001E7809">
      <w:pPr>
        <w:pStyle w:val="IETParagraph"/>
        <w:spacing w:line="240" w:lineRule="auto"/>
        <w:rPr>
          <w:sz w:val="20"/>
          <w:szCs w:val="20"/>
        </w:rPr>
      </w:pPr>
      <w:r w:rsidRPr="00B065D6">
        <w:rPr>
          <w:sz w:val="20"/>
          <w:szCs w:val="20"/>
        </w:rPr>
        <w:t>Step 7: If</w:t>
      </w:r>
      <w:r w:rsidR="004A0419" w:rsidRPr="00B065D6">
        <w:rPr>
          <w:position w:val="-12"/>
        </w:rPr>
        <w:object w:dxaOrig="839" w:dyaOrig="359" w14:anchorId="3EDA23AE">
          <v:shape id="Object 104" o:spid="_x0000_i1115" type="#_x0000_t75" style="width:34.3pt;height:14.55pt;mso-position-horizontal-relative:page;mso-position-vertical-relative:page" o:ole="">
            <v:imagedata r:id="rId188" o:title=""/>
          </v:shape>
          <o:OLEObject Type="Embed" ProgID="Equation.DSMT4" ShapeID="Object 104" DrawAspect="Content" ObjectID="_1758727542" r:id="rId189"/>
        </w:object>
      </w:r>
      <w:r w:rsidRPr="00B065D6">
        <w:rPr>
          <w:sz w:val="20"/>
          <w:szCs w:val="20"/>
        </w:rPr>
        <w:t xml:space="preserve">, determine the dynamic restoration electricity price </w:t>
      </w:r>
      <w:r w:rsidR="009E6C5B" w:rsidRPr="00B065D6">
        <w:rPr>
          <w:position w:val="-14"/>
        </w:rPr>
        <w:object w:dxaOrig="1059" w:dyaOrig="399" w14:anchorId="65D665E1">
          <v:shape id="Object 105" o:spid="_x0000_i1116" type="#_x0000_t75" style="width:49.3pt;height:18.85pt;mso-position-horizontal-relative:page;mso-position-vertical-relative:page" o:ole="">
            <v:imagedata r:id="rId190" o:title=""/>
          </v:shape>
          <o:OLEObject Type="Embed" ProgID="Equation.DSMT4" ShapeID="Object 105" DrawAspect="Content" ObjectID="_1758727543" r:id="rId191"/>
        </w:object>
      </w:r>
      <w:r w:rsidRPr="00B065D6">
        <w:rPr>
          <w:sz w:val="20"/>
          <w:szCs w:val="20"/>
        </w:rPr>
        <w:t>and jump to Step 12, otherwise execute Step 10.</w:t>
      </w:r>
    </w:p>
    <w:p w14:paraId="1F94EE45" w14:textId="38506884" w:rsidR="00F81A3D" w:rsidRPr="00B065D6" w:rsidRDefault="004A625D" w:rsidP="001E7809">
      <w:pPr>
        <w:pStyle w:val="IETParagraph"/>
        <w:spacing w:line="240" w:lineRule="auto"/>
        <w:rPr>
          <w:sz w:val="20"/>
          <w:szCs w:val="20"/>
        </w:rPr>
      </w:pPr>
      <w:r w:rsidRPr="00B065D6">
        <w:rPr>
          <w:sz w:val="20"/>
          <w:szCs w:val="20"/>
        </w:rPr>
        <w:t xml:space="preserve">Step 8: Calculate the value of </w:t>
      </w:r>
      <w:r w:rsidR="009E6C5B" w:rsidRPr="00B065D6">
        <w:rPr>
          <w:position w:val="-16"/>
        </w:rPr>
        <w:object w:dxaOrig="1520" w:dyaOrig="439" w14:anchorId="678D9331">
          <v:shape id="Object 106" o:spid="_x0000_i1117" type="#_x0000_t75" style="width:70.7pt;height:20.15pt;mso-position-horizontal-relative:page;mso-position-vertical-relative:page" o:ole="">
            <v:imagedata r:id="rId192" o:title=""/>
          </v:shape>
          <o:OLEObject Type="Embed" ProgID="Equation.DSMT4" ShapeID="Object 106" DrawAspect="Content" ObjectID="_1758727544" r:id="rId193"/>
        </w:object>
      </w:r>
      <w:r w:rsidRPr="00B065D6">
        <w:rPr>
          <w:sz w:val="20"/>
          <w:szCs w:val="20"/>
        </w:rPr>
        <w:t xml:space="preserve">, if it is less than </w:t>
      </w:r>
      <w:r w:rsidR="009E6C5B" w:rsidRPr="00B065D6">
        <w:rPr>
          <w:position w:val="-10"/>
        </w:rPr>
        <w:object w:dxaOrig="199" w:dyaOrig="319" w14:anchorId="315AA5C7">
          <v:shape id="Object 107" o:spid="_x0000_i1118" type="#_x0000_t75" style="width:10.3pt;height:15.85pt;mso-wrap-style:square;mso-position-horizontal-relative:page;mso-position-vertical-relative:page" o:ole="">
            <v:imagedata r:id="rId194" o:title=""/>
          </v:shape>
          <o:OLEObject Type="Embed" ProgID="Equation.DSMT4" ShapeID="Object 107" DrawAspect="Content" ObjectID="_1758727545" r:id="rId195"/>
        </w:object>
      </w:r>
      <w:r w:rsidRPr="00B065D6">
        <w:rPr>
          <w:sz w:val="20"/>
          <w:szCs w:val="20"/>
        </w:rPr>
        <w:t xml:space="preserve">, then execute Step 7, if it is greater than </w:t>
      </w:r>
      <w:r w:rsidR="009E6C5B" w:rsidRPr="00B065D6">
        <w:rPr>
          <w:position w:val="-10"/>
        </w:rPr>
        <w:object w:dxaOrig="199" w:dyaOrig="319" w14:anchorId="26A8E470">
          <v:shape id="_x0000_i1119" type="#_x0000_t75" style="width:10.3pt;height:15.85pt;mso-wrap-style:square;mso-position-horizontal-relative:page;mso-position-vertical-relative:page" o:ole="">
            <v:imagedata r:id="rId194" o:title=""/>
          </v:shape>
          <o:OLEObject Type="Embed" ProgID="Equation.DSMT4" ShapeID="_x0000_i1119" DrawAspect="Content" ObjectID="_1758727546" r:id="rId196"/>
        </w:object>
      </w:r>
      <w:r w:rsidRPr="00B065D6">
        <w:rPr>
          <w:sz w:val="20"/>
          <w:szCs w:val="20"/>
        </w:rPr>
        <w:t>, then execute Step 9.</w:t>
      </w:r>
    </w:p>
    <w:p w14:paraId="31C90D57" w14:textId="0D987D7F" w:rsidR="00F81A3D" w:rsidRPr="00B065D6" w:rsidRDefault="004A625D" w:rsidP="001E7809">
      <w:pPr>
        <w:pStyle w:val="IETParagraph"/>
        <w:spacing w:line="240" w:lineRule="auto"/>
        <w:rPr>
          <w:sz w:val="20"/>
          <w:szCs w:val="20"/>
        </w:rPr>
      </w:pPr>
      <w:r w:rsidRPr="00B065D6">
        <w:rPr>
          <w:sz w:val="20"/>
          <w:szCs w:val="20"/>
        </w:rPr>
        <w:t xml:space="preserve">Step 9: Determine whether k reaches the value of K. If </w:t>
      </w:r>
      <w:r w:rsidR="00DA409D" w:rsidRPr="00B065D6">
        <w:rPr>
          <w:position w:val="-6"/>
        </w:rPr>
        <w:object w:dxaOrig="639" w:dyaOrig="279" w14:anchorId="2951AFFA">
          <v:shape id="Object 109" o:spid="_x0000_i1120" type="#_x0000_t75" style="width:26.15pt;height:13.3pt;mso-wrap-style:square;mso-position-horizontal-relative:page;mso-position-vertical-relative:page" o:ole="">
            <v:imagedata r:id="rId197" o:title=""/>
          </v:shape>
          <o:OLEObject Type="Embed" ProgID="Equation.DSMT4" ShapeID="Object 109" DrawAspect="Content" ObjectID="_1758727547" r:id="rId198"/>
        </w:object>
      </w:r>
      <w:r w:rsidRPr="00B065D6">
        <w:rPr>
          <w:sz w:val="20"/>
          <w:szCs w:val="20"/>
        </w:rPr>
        <w:t>, then execute Step 10, if k&gt;K, then execute Step 11.</w:t>
      </w:r>
    </w:p>
    <w:p w14:paraId="00027D40" w14:textId="2ABBEF90" w:rsidR="00F81A3D" w:rsidRPr="00B065D6" w:rsidRDefault="004A625D" w:rsidP="001E7809">
      <w:pPr>
        <w:pStyle w:val="IETParagraph"/>
        <w:spacing w:line="240" w:lineRule="auto"/>
        <w:rPr>
          <w:sz w:val="20"/>
          <w:szCs w:val="20"/>
        </w:rPr>
      </w:pPr>
      <w:r w:rsidRPr="00B065D6">
        <w:rPr>
          <w:rFonts w:hint="eastAsia"/>
          <w:sz w:val="20"/>
          <w:szCs w:val="20"/>
        </w:rPr>
        <w:t xml:space="preserve">Step 10: </w:t>
      </w:r>
      <w:r w:rsidR="00DA409D" w:rsidRPr="00B065D6">
        <w:rPr>
          <w:sz w:val="20"/>
          <w:szCs w:val="20"/>
        </w:rPr>
        <w:t>I</w:t>
      </w:r>
      <w:r w:rsidRPr="00B065D6">
        <w:rPr>
          <w:rFonts w:hint="eastAsia"/>
          <w:sz w:val="20"/>
          <w:szCs w:val="20"/>
        </w:rPr>
        <w:t xml:space="preserve">f </w:t>
      </w:r>
      <w:r w:rsidR="00147275" w:rsidRPr="00B065D6">
        <w:rPr>
          <w:position w:val="-12"/>
        </w:rPr>
        <w:object w:dxaOrig="739" w:dyaOrig="359" w14:anchorId="1E20F591">
          <v:shape id="Object 110" o:spid="_x0000_i1121" type="#_x0000_t75" style="width:33.45pt;height:15.85pt;mso-position-horizontal-relative:page;mso-position-vertical-relative:page" o:ole="">
            <v:imagedata r:id="rId199" o:title=""/>
          </v:shape>
          <o:OLEObject Type="Embed" ProgID="Equation.DSMT4" ShapeID="Object 110" DrawAspect="Content" ObjectID="_1758727548" r:id="rId200"/>
        </w:object>
      </w:r>
      <w:r w:rsidRPr="00B065D6">
        <w:rPr>
          <w:rFonts w:hint="eastAsia"/>
          <w:sz w:val="20"/>
          <w:szCs w:val="20"/>
        </w:rPr>
        <w:t>, update the electricity price search interval to [</w:t>
      </w:r>
      <w:r w:rsidR="00147275" w:rsidRPr="00B065D6">
        <w:rPr>
          <w:position w:val="-12"/>
        </w:rPr>
        <w:object w:dxaOrig="459" w:dyaOrig="359" w14:anchorId="3832D851">
          <v:shape id="Object 111" o:spid="_x0000_i1122" type="#_x0000_t75" style="width:23.15pt;height:17.55pt;mso-position-horizontal-relative:page;mso-position-vertical-relative:page" o:ole="">
            <v:imagedata r:id="rId201" o:title=""/>
          </v:shape>
          <o:OLEObject Type="Embed" ProgID="Equation.DSMT4" ShapeID="Object 111" DrawAspect="Content" ObjectID="_1758727549" r:id="rId202"/>
        </w:object>
      </w:r>
      <w:r w:rsidR="00147275" w:rsidRPr="00B065D6">
        <w:rPr>
          <w:sz w:val="20"/>
          <w:szCs w:val="20"/>
        </w:rPr>
        <w:t>,</w:t>
      </w:r>
      <w:r w:rsidR="00147275" w:rsidRPr="00B065D6">
        <w:rPr>
          <w:position w:val="-14"/>
        </w:rPr>
        <w:object w:dxaOrig="559" w:dyaOrig="379" w14:anchorId="5EF3C4BA">
          <v:shape id="Object 112" o:spid="_x0000_i1123" type="#_x0000_t75" style="width:27.85pt;height:18.85pt;mso-position-horizontal-relative:page;mso-position-vertical-relative:page" o:ole="">
            <v:imagedata r:id="rId203" o:title=""/>
          </v:shape>
          <o:OLEObject Type="Embed" ProgID="Equation.DSMT4" ShapeID="Object 112" DrawAspect="Content" ObjectID="_1758727550" r:id="rId204"/>
        </w:object>
      </w:r>
      <w:r w:rsidRPr="00B065D6">
        <w:rPr>
          <w:rFonts w:hint="eastAsia"/>
          <w:sz w:val="20"/>
          <w:szCs w:val="20"/>
        </w:rPr>
        <w:t xml:space="preserve">] and execute Step 6, and if </w:t>
      </w:r>
      <w:r w:rsidR="00147275" w:rsidRPr="00B065D6">
        <w:rPr>
          <w:position w:val="-12"/>
        </w:rPr>
        <w:object w:dxaOrig="739" w:dyaOrig="359" w14:anchorId="2CD229E9">
          <v:shape id="Object 113" o:spid="_x0000_i1124" type="#_x0000_t75" style="width:37.7pt;height:17.55pt;mso-position-horizontal-relative:page;mso-position-vertical-relative:page" o:ole="">
            <v:imagedata r:id="rId205" o:title=""/>
          </v:shape>
          <o:OLEObject Type="Embed" ProgID="Equation.DSMT4" ShapeID="Object 113" DrawAspect="Content" ObjectID="_1758727551" r:id="rId206"/>
        </w:object>
      </w:r>
      <w:r w:rsidRPr="00B065D6">
        <w:rPr>
          <w:rFonts w:hint="eastAsia"/>
          <w:sz w:val="20"/>
          <w:szCs w:val="20"/>
        </w:rPr>
        <w:t>, update the tariff search interval to [</w:t>
      </w:r>
      <w:r w:rsidR="00147275" w:rsidRPr="00B065D6">
        <w:rPr>
          <w:position w:val="-14"/>
        </w:rPr>
        <w:object w:dxaOrig="559" w:dyaOrig="379" w14:anchorId="25B6D3A7">
          <v:shape id="Object 114" o:spid="_x0000_i1125" type="#_x0000_t75" style="width:27.85pt;height:18.85pt;mso-position-horizontal-relative:page;mso-position-vertical-relative:page" o:ole="">
            <v:imagedata r:id="rId207" o:title=""/>
          </v:shape>
          <o:OLEObject Type="Embed" ProgID="Equation.DSMT4" ShapeID="Object 114" DrawAspect="Content" ObjectID="_1758727552" r:id="rId208"/>
        </w:object>
      </w:r>
      <w:r w:rsidR="00147275" w:rsidRPr="00B065D6">
        <w:rPr>
          <w:sz w:val="20"/>
          <w:szCs w:val="20"/>
        </w:rPr>
        <w:t>,</w:t>
      </w:r>
      <w:r w:rsidR="00147275" w:rsidRPr="00B065D6">
        <w:rPr>
          <w:position w:val="-12"/>
        </w:rPr>
        <w:object w:dxaOrig="459" w:dyaOrig="359" w14:anchorId="706FD618">
          <v:shape id="Object 115" o:spid="_x0000_i1126" type="#_x0000_t75" style="width:23.15pt;height:17.55pt;mso-position-horizontal-relative:page;mso-position-vertical-relative:page" o:ole="">
            <v:imagedata r:id="rId209" o:title=""/>
          </v:shape>
          <o:OLEObject Type="Embed" ProgID="Equation.DSMT4" ShapeID="Object 115" DrawAspect="Content" ObjectID="_1758727553" r:id="rId210"/>
        </w:object>
      </w:r>
      <w:r w:rsidRPr="00B065D6">
        <w:rPr>
          <w:rFonts w:hint="eastAsia"/>
          <w:sz w:val="20"/>
          <w:szCs w:val="20"/>
        </w:rPr>
        <w:t>] and execute Step 6.</w:t>
      </w:r>
    </w:p>
    <w:p w14:paraId="5C8637BA" w14:textId="67738DF6" w:rsidR="00F81A3D" w:rsidRPr="00B065D6" w:rsidRDefault="004A625D" w:rsidP="001E7809">
      <w:pPr>
        <w:pStyle w:val="IETParagraph"/>
        <w:spacing w:line="240" w:lineRule="auto"/>
        <w:rPr>
          <w:sz w:val="20"/>
          <w:szCs w:val="20"/>
        </w:rPr>
      </w:pPr>
      <w:r w:rsidRPr="00B065D6">
        <w:rPr>
          <w:sz w:val="20"/>
          <w:szCs w:val="20"/>
        </w:rPr>
        <w:t xml:space="preserve">Step 11: If </w:t>
      </w:r>
      <w:r w:rsidR="009E4151" w:rsidRPr="00B065D6">
        <w:rPr>
          <w:position w:val="-12"/>
        </w:rPr>
        <w:object w:dxaOrig="739" w:dyaOrig="359" w14:anchorId="555C1B3B">
          <v:shape id="Object 116" o:spid="_x0000_i1127" type="#_x0000_t75" style="width:33pt;height:15.85pt;mso-position-horizontal-relative:page;mso-position-vertical-relative:page" o:ole="">
            <v:imagedata r:id="rId211" o:title=""/>
          </v:shape>
          <o:OLEObject Type="Embed" ProgID="Equation.DSMT4" ShapeID="Object 116" DrawAspect="Content" ObjectID="_1758727554" r:id="rId212"/>
        </w:object>
      </w:r>
      <w:r w:rsidRPr="00B065D6">
        <w:rPr>
          <w:sz w:val="20"/>
          <w:szCs w:val="20"/>
        </w:rPr>
        <w:t>,</w:t>
      </w:r>
      <w:r w:rsidR="009E4151" w:rsidRPr="00B065D6">
        <w:rPr>
          <w:sz w:val="20"/>
          <w:szCs w:val="20"/>
        </w:rPr>
        <w:t xml:space="preserve"> </w:t>
      </w:r>
      <w:r w:rsidRPr="00B065D6">
        <w:rPr>
          <w:sz w:val="20"/>
          <w:szCs w:val="20"/>
        </w:rPr>
        <w:t xml:space="preserve">sort </w:t>
      </w:r>
      <w:r w:rsidR="009E4151" w:rsidRPr="00B065D6">
        <w:rPr>
          <w:position w:val="-12"/>
        </w:rPr>
        <w:object w:dxaOrig="459" w:dyaOrig="379" w14:anchorId="2A3C4EC5">
          <v:shape id="Object 117" o:spid="_x0000_i1128" type="#_x0000_t75" style="width:19.3pt;height:15.85pt;mso-position-horizontal-relative:page;mso-position-vertical-relative:page" o:ole="">
            <v:imagedata r:id="rId213" o:title=""/>
          </v:shape>
          <o:OLEObject Type="Embed" ProgID="Equation.DSMT4" ShapeID="Object 117" DrawAspect="Content" ObjectID="_1758727555" r:id="rId214"/>
        </w:object>
      </w:r>
      <w:r w:rsidR="009E4151" w:rsidRPr="00B065D6">
        <w:t xml:space="preserve"> </w:t>
      </w:r>
      <w:r w:rsidRPr="00B065D6">
        <w:rPr>
          <w:sz w:val="20"/>
          <w:szCs w:val="20"/>
        </w:rPr>
        <w:t>in order from largest to smallest and select</w:t>
      </w:r>
      <w:r w:rsidR="009E4151" w:rsidRPr="00B065D6">
        <w:rPr>
          <w:position w:val="-12"/>
        </w:rPr>
        <w:object w:dxaOrig="559" w:dyaOrig="379" w14:anchorId="4E2E6208">
          <v:shape id="Object 118" o:spid="_x0000_i1129" type="#_x0000_t75" style="width:23.55pt;height:15.85pt;mso-position-horizontal-relative:page;mso-position-vertical-relative:page" o:ole="">
            <v:imagedata r:id="rId215" o:title=""/>
          </v:shape>
          <o:OLEObject Type="Embed" ProgID="Equation.DSMT4" ShapeID="Object 118" DrawAspect="Content" ObjectID="_1758727556" r:id="rId216"/>
        </w:object>
      </w:r>
      <w:r w:rsidRPr="00B065D6">
        <w:rPr>
          <w:sz w:val="20"/>
          <w:szCs w:val="20"/>
        </w:rPr>
        <w:t xml:space="preserve">accordingly, ensuring that </w:t>
      </w:r>
      <w:r w:rsidR="007823AB" w:rsidRPr="00B065D6">
        <w:rPr>
          <w:position w:val="-12"/>
        </w:rPr>
        <w:object w:dxaOrig="839" w:dyaOrig="359" w14:anchorId="1457247C">
          <v:shape id="Object 119" o:spid="_x0000_i1130" type="#_x0000_t75" style="width:38.55pt;height:15.85pt;mso-position-horizontal-relative:page;mso-position-vertical-relative:page" o:ole="">
            <v:imagedata r:id="rId217" o:title=""/>
          </v:shape>
          <o:OLEObject Type="Embed" ProgID="Equation.DSMT4" ShapeID="Object 119" DrawAspect="Content" ObjectID="_1758727557" r:id="rId218"/>
        </w:object>
      </w:r>
      <w:r w:rsidRPr="00B065D6">
        <w:rPr>
          <w:sz w:val="20"/>
          <w:szCs w:val="20"/>
        </w:rPr>
        <w:t>,</w:t>
      </w:r>
      <w:r w:rsidR="007823AB" w:rsidRPr="00B065D6">
        <w:rPr>
          <w:position w:val="-14"/>
        </w:rPr>
        <w:object w:dxaOrig="1059" w:dyaOrig="399" w14:anchorId="68A39AB9">
          <v:shape id="Object 120" o:spid="_x0000_i1131" type="#_x0000_t75" style="width:53.15pt;height:20.15pt;mso-position-horizontal-relative:page;mso-position-vertical-relative:page" o:ole="">
            <v:imagedata r:id="rId219" o:title=""/>
          </v:shape>
          <o:OLEObject Type="Embed" ProgID="Equation.DSMT4" ShapeID="Object 120" DrawAspect="Content" ObjectID="_1758727558" r:id="rId220"/>
        </w:object>
      </w:r>
      <w:r w:rsidRPr="00B065D6">
        <w:rPr>
          <w:sz w:val="20"/>
          <w:szCs w:val="20"/>
        </w:rPr>
        <w:t>.</w:t>
      </w:r>
    </w:p>
    <w:p w14:paraId="48E6F6FD" w14:textId="3ED620C6" w:rsidR="00F81A3D" w:rsidRPr="00B065D6" w:rsidRDefault="004A625D" w:rsidP="001E7809">
      <w:pPr>
        <w:pStyle w:val="IETParagraph"/>
        <w:spacing w:line="240" w:lineRule="auto"/>
        <w:rPr>
          <w:sz w:val="20"/>
          <w:szCs w:val="20"/>
        </w:rPr>
      </w:pPr>
      <w:r w:rsidRPr="00B065D6">
        <w:rPr>
          <w:sz w:val="20"/>
          <w:szCs w:val="20"/>
        </w:rPr>
        <w:t>Step 12: End.</w:t>
      </w:r>
    </w:p>
    <w:p w14:paraId="5225418A" w14:textId="47DFEC7E" w:rsidR="00F81A3D" w:rsidRPr="00B065D6" w:rsidRDefault="004A625D" w:rsidP="001E7809">
      <w:pPr>
        <w:pStyle w:val="IETParagraph"/>
        <w:spacing w:line="240" w:lineRule="auto"/>
        <w:rPr>
          <w:sz w:val="20"/>
          <w:szCs w:val="20"/>
        </w:rPr>
      </w:pPr>
      <w:r w:rsidRPr="00B065D6">
        <w:rPr>
          <w:sz w:val="20"/>
          <w:szCs w:val="20"/>
        </w:rPr>
        <w:t>The solution flow of the model is shown in Figure 2.</w:t>
      </w:r>
    </w:p>
    <w:p w14:paraId="7A85891C" w14:textId="6BF3E80C" w:rsidR="006811AD" w:rsidRPr="00B065D6" w:rsidRDefault="006811AD" w:rsidP="006811AD">
      <w:pPr>
        <w:pStyle w:val="IETParagraph"/>
        <w:spacing w:line="240" w:lineRule="auto"/>
        <w:ind w:firstLine="0"/>
        <w:jc w:val="center"/>
        <w:rPr>
          <w:sz w:val="20"/>
          <w:szCs w:val="20"/>
        </w:rPr>
      </w:pPr>
      <w:r w:rsidRPr="00B065D6">
        <w:rPr>
          <w:rFonts w:hint="eastAsia"/>
          <w:noProof/>
          <w:lang w:bidi="ar"/>
        </w:rPr>
        <w:drawing>
          <wp:inline distT="0" distB="0" distL="114300" distR="114300" wp14:anchorId="071A10AB" wp14:editId="0DFE30CA">
            <wp:extent cx="2886075" cy="5732780"/>
            <wp:effectExtent l="0" t="0" r="9525" b="1270"/>
            <wp:docPr id="95619716" name="图片 95619716"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绘图1"/>
                    <pic:cNvPicPr>
                      <a:picLocks noChangeAspect="1"/>
                    </pic:cNvPicPr>
                  </pic:nvPicPr>
                  <pic:blipFill>
                    <a:blip r:embed="rId221"/>
                    <a:stretch>
                      <a:fillRect/>
                    </a:stretch>
                  </pic:blipFill>
                  <pic:spPr>
                    <a:xfrm>
                      <a:off x="0" y="0"/>
                      <a:ext cx="2886075" cy="5732780"/>
                    </a:xfrm>
                    <a:prstGeom prst="rect">
                      <a:avLst/>
                    </a:prstGeom>
                  </pic:spPr>
                </pic:pic>
              </a:graphicData>
            </a:graphic>
          </wp:inline>
        </w:drawing>
      </w:r>
    </w:p>
    <w:p w14:paraId="72CD803D" w14:textId="65DA3E83" w:rsidR="004016FF" w:rsidRPr="00B065D6" w:rsidRDefault="006811AD" w:rsidP="004016FF">
      <w:pPr>
        <w:pStyle w:val="IETParagraph"/>
        <w:spacing w:line="240" w:lineRule="auto"/>
        <w:ind w:firstLine="0"/>
        <w:jc w:val="center"/>
        <w:rPr>
          <w:i/>
          <w:iCs/>
          <w:sz w:val="20"/>
        </w:rPr>
      </w:pPr>
      <w:r w:rsidRPr="00B065D6">
        <w:rPr>
          <w:b/>
          <w:i/>
          <w:iCs/>
          <w:sz w:val="20"/>
        </w:rPr>
        <w:t>Fig.</w:t>
      </w:r>
      <w:proofErr w:type="gramStart"/>
      <w:r w:rsidRPr="00B065D6">
        <w:rPr>
          <w:b/>
          <w:i/>
          <w:iCs/>
          <w:sz w:val="20"/>
        </w:rPr>
        <w:t>2</w:t>
      </w:r>
      <w:r w:rsidRPr="00B065D6">
        <w:rPr>
          <w:sz w:val="20"/>
          <w:szCs w:val="20"/>
        </w:rPr>
        <w:t xml:space="preserve">  </w:t>
      </w:r>
      <w:r w:rsidRPr="00B065D6">
        <w:rPr>
          <w:i/>
          <w:iCs/>
          <w:sz w:val="20"/>
        </w:rPr>
        <w:t>Three</w:t>
      </w:r>
      <w:proofErr w:type="gramEnd"/>
      <w:r w:rsidRPr="00B065D6">
        <w:rPr>
          <w:i/>
          <w:iCs/>
          <w:sz w:val="20"/>
        </w:rPr>
        <w:t>-stage dynamic restoration electricity price optimization process</w:t>
      </w:r>
    </w:p>
    <w:p w14:paraId="1DC3689E" w14:textId="0BB1FD1A" w:rsidR="0048694E" w:rsidRPr="00B065D6" w:rsidRDefault="00D4470E" w:rsidP="004016FF">
      <w:pPr>
        <w:pStyle w:val="IETHeading1"/>
        <w:numPr>
          <w:ilvl w:val="0"/>
          <w:numId w:val="2"/>
        </w:numPr>
        <w:jc w:val="both"/>
        <w:rPr>
          <w:rFonts w:ascii="Times New Roman" w:hAnsi="Times New Roman" w:cs="Times New Roman"/>
          <w:sz w:val="20"/>
          <w:szCs w:val="20"/>
        </w:rPr>
      </w:pPr>
      <w:r w:rsidRPr="00B065D6">
        <w:rPr>
          <w:rFonts w:ascii="Times New Roman" w:hAnsi="Times New Roman" w:cs="Times New Roman"/>
          <w:sz w:val="20"/>
          <w:szCs w:val="20"/>
        </w:rPr>
        <w:t>Example analysis</w:t>
      </w:r>
    </w:p>
    <w:p w14:paraId="1EBBFF92" w14:textId="2826D7AD" w:rsidR="00736E9C" w:rsidRPr="00B065D6" w:rsidRDefault="00736E9C" w:rsidP="00736E9C">
      <w:pPr>
        <w:pStyle w:val="IETHeading2"/>
        <w:numPr>
          <w:ilvl w:val="1"/>
          <w:numId w:val="2"/>
        </w:numPr>
        <w:ind w:left="431" w:hanging="431"/>
        <w:rPr>
          <w:rFonts w:ascii="Times New Roman" w:hAnsi="Times New Roman"/>
          <w:sz w:val="20"/>
          <w:szCs w:val="20"/>
        </w:rPr>
      </w:pPr>
      <w:bookmarkStart w:id="19" w:name="_Hlk144289369"/>
      <w:r w:rsidRPr="00B065D6">
        <w:rPr>
          <w:rFonts w:ascii="Times New Roman" w:hAnsi="Times New Roman"/>
          <w:sz w:val="20"/>
          <w:szCs w:val="20"/>
        </w:rPr>
        <w:t>Test system and simulation scenario</w:t>
      </w:r>
    </w:p>
    <w:p w14:paraId="33D8DB39" w14:textId="3F57ADC5" w:rsidR="00736E9C" w:rsidRPr="00B065D6" w:rsidRDefault="00F27FFE" w:rsidP="00F27FFE">
      <w:pPr>
        <w:pStyle w:val="IETParagraph"/>
        <w:spacing w:line="240" w:lineRule="auto"/>
        <w:ind w:firstLine="0"/>
        <w:rPr>
          <w:sz w:val="20"/>
          <w:szCs w:val="20"/>
        </w:rPr>
      </w:pPr>
      <w:bookmarkStart w:id="20" w:name="_Hlk144288982"/>
      <w:bookmarkEnd w:id="19"/>
      <w:r w:rsidRPr="00B065D6">
        <w:rPr>
          <w:sz w:val="20"/>
          <w:szCs w:val="20"/>
        </w:rPr>
        <w:t xml:space="preserve">4.1.1 </w:t>
      </w:r>
      <w:r w:rsidR="007B15BD" w:rsidRPr="00B065D6">
        <w:rPr>
          <w:sz w:val="20"/>
          <w:szCs w:val="20"/>
        </w:rPr>
        <w:t>Test System</w:t>
      </w:r>
    </w:p>
    <w:bookmarkEnd w:id="20"/>
    <w:p w14:paraId="52B21388" w14:textId="64346110" w:rsidR="00736E9C" w:rsidRPr="00B065D6" w:rsidRDefault="00CB30C3" w:rsidP="00F76F68">
      <w:pPr>
        <w:pStyle w:val="IETParagraph"/>
        <w:spacing w:line="240" w:lineRule="auto"/>
        <w:rPr>
          <w:sz w:val="20"/>
          <w:szCs w:val="20"/>
        </w:rPr>
      </w:pPr>
      <w:r w:rsidRPr="00B065D6">
        <w:rPr>
          <w:sz w:val="20"/>
          <w:szCs w:val="20"/>
        </w:rPr>
        <w:t xml:space="preserve">An IEEE 33-node distribution network with two microgrids as a test system, with energy storage, wind turbines, photovoltaics, gas turbines and electric vehicles within the microgrid. Typical daily load and fluctuation curves of PV and wind turbine for two microgrids are shown in Figure 3. Assume the same shape of PV and wind turbine output curves for both microgrids. MG1 is equipped with 600kW photovoltaics, 400kW wind turbines, 115kW gas turbines, 150kW/500kWh energy storage and 20 electric vehicles. The rated power of each electric vehicle is 30kW, the interruptible load ratio is 30%, and the emergency regulation load ratio is 40%. MG2 is equipped with 500kW photovoltaics, 800kW wind turbines, 115kW gas turbines, 200kW/600kWh energy storage and 20 electric vehicles. The interruptible load ratio is 30%, and the emergency regulation load ratio is 30%. The electric vehicle is a household electric vehicle and the travel pattern is referred to the literature [19] </w:t>
      </w:r>
      <w:r w:rsidRPr="00B065D6">
        <w:rPr>
          <w:sz w:val="20"/>
          <w:szCs w:val="20"/>
        </w:rPr>
        <w:lastRenderedPageBreak/>
        <w:t>statistical results. The relevant parameters of the micro gas turbine are given in the literature [20].</w:t>
      </w:r>
    </w:p>
    <w:p w14:paraId="5EF4FDCF" w14:textId="27A913AE" w:rsidR="00CB30C3" w:rsidRPr="00B065D6" w:rsidRDefault="002963E9" w:rsidP="00F76F68">
      <w:pPr>
        <w:pStyle w:val="IETParagraph"/>
        <w:spacing w:line="240" w:lineRule="auto"/>
        <w:rPr>
          <w:sz w:val="20"/>
          <w:szCs w:val="20"/>
        </w:rPr>
      </w:pPr>
      <w:r w:rsidRPr="00B065D6">
        <w:rPr>
          <w:sz w:val="20"/>
          <w:szCs w:val="20"/>
        </w:rPr>
        <w:t xml:space="preserve">The structure of the IEEE 33-node distribution network with 2 microgrids is shown in Figure 4. The critical load nodes are distributed in nodes 9, 12, 20, 22, and 27, </w:t>
      </w:r>
      <w:proofErr w:type="spellStart"/>
      <w:r w:rsidRPr="00B065D6">
        <w:rPr>
          <w:sz w:val="20"/>
          <w:szCs w:val="20"/>
        </w:rPr>
        <w:t>totaling</w:t>
      </w:r>
      <w:proofErr w:type="spellEnd"/>
      <w:r w:rsidRPr="00B065D6">
        <w:rPr>
          <w:sz w:val="20"/>
          <w:szCs w:val="20"/>
        </w:rPr>
        <w:t xml:space="preserve"> 360kW. The time-of-use electricity price and contract electricity price during the normal operation of the system are shown in Table 1, which is used as the basic electricity price, and the highest electricity price is set as 1.5 times of the peak electricity price. The conversion value of natural gas is 0.099Nm</w:t>
      </w:r>
      <w:r w:rsidRPr="00B065D6">
        <w:rPr>
          <w:sz w:val="20"/>
          <w:szCs w:val="20"/>
          <w:vertAlign w:val="superscript"/>
        </w:rPr>
        <w:t>3</w:t>
      </w:r>
      <w:r w:rsidRPr="00B065D6">
        <w:rPr>
          <w:sz w:val="20"/>
          <w:szCs w:val="20"/>
        </w:rPr>
        <w:t>/kWh, and the gas price is 3.79/Nm</w:t>
      </w:r>
      <w:r w:rsidRPr="00B065D6">
        <w:rPr>
          <w:sz w:val="20"/>
          <w:szCs w:val="20"/>
          <w:vertAlign w:val="superscript"/>
        </w:rPr>
        <w:t>3</w:t>
      </w:r>
      <w:r w:rsidRPr="00B065D6">
        <w:rPr>
          <w:sz w:val="20"/>
          <w:szCs w:val="20"/>
        </w:rPr>
        <w:t>.</w:t>
      </w:r>
    </w:p>
    <w:p w14:paraId="2D221A78" w14:textId="3034F5B3" w:rsidR="00CB30C3" w:rsidRPr="00B065D6" w:rsidRDefault="00A638E7" w:rsidP="00A638E7">
      <w:pPr>
        <w:pStyle w:val="IETParagraph"/>
        <w:spacing w:line="240" w:lineRule="auto"/>
        <w:ind w:firstLine="0"/>
        <w:jc w:val="center"/>
        <w:rPr>
          <w:sz w:val="20"/>
          <w:szCs w:val="20"/>
        </w:rPr>
      </w:pPr>
      <w:r w:rsidRPr="00B065D6">
        <w:rPr>
          <w:rFonts w:hint="eastAsia"/>
          <w:noProof/>
        </w:rPr>
        <w:drawing>
          <wp:inline distT="0" distB="0" distL="114300" distR="114300" wp14:anchorId="7AC29031" wp14:editId="1522A289">
            <wp:extent cx="3039110" cy="1048385"/>
            <wp:effectExtent l="0" t="0" r="8890" b="18415"/>
            <wp:docPr id="12" name="图片 12" descr="绘图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绘图17"/>
                    <pic:cNvPicPr>
                      <a:picLocks noChangeAspect="1"/>
                    </pic:cNvPicPr>
                  </pic:nvPicPr>
                  <pic:blipFill>
                    <a:blip r:embed="rId222"/>
                    <a:stretch>
                      <a:fillRect/>
                    </a:stretch>
                  </pic:blipFill>
                  <pic:spPr>
                    <a:xfrm>
                      <a:off x="0" y="0"/>
                      <a:ext cx="3039110" cy="1048385"/>
                    </a:xfrm>
                    <a:prstGeom prst="rect">
                      <a:avLst/>
                    </a:prstGeom>
                  </pic:spPr>
                </pic:pic>
              </a:graphicData>
            </a:graphic>
          </wp:inline>
        </w:drawing>
      </w:r>
    </w:p>
    <w:p w14:paraId="0BA801D8" w14:textId="0875135F" w:rsidR="00CB30C3" w:rsidRPr="00B065D6" w:rsidRDefault="005B1CB3" w:rsidP="005B1CB3">
      <w:pPr>
        <w:pStyle w:val="IETParagraph"/>
        <w:spacing w:line="240" w:lineRule="auto"/>
        <w:ind w:firstLine="0"/>
        <w:jc w:val="center"/>
        <w:rPr>
          <w:i/>
          <w:iCs/>
          <w:sz w:val="20"/>
        </w:rPr>
      </w:pPr>
      <w:r w:rsidRPr="00B065D6">
        <w:rPr>
          <w:b/>
          <w:i/>
          <w:iCs/>
          <w:sz w:val="20"/>
        </w:rPr>
        <w:t>Fig.</w:t>
      </w:r>
      <w:proofErr w:type="gramStart"/>
      <w:r w:rsidRPr="00B065D6">
        <w:rPr>
          <w:b/>
          <w:i/>
          <w:iCs/>
          <w:sz w:val="20"/>
        </w:rPr>
        <w:t>3</w:t>
      </w:r>
      <w:r w:rsidRPr="00B065D6">
        <w:rPr>
          <w:sz w:val="20"/>
          <w:szCs w:val="20"/>
        </w:rPr>
        <w:t xml:space="preserve">  </w:t>
      </w:r>
      <w:r w:rsidRPr="00B065D6">
        <w:rPr>
          <w:i/>
          <w:iCs/>
          <w:sz w:val="20"/>
        </w:rPr>
        <w:t>The</w:t>
      </w:r>
      <w:proofErr w:type="gramEnd"/>
      <w:r w:rsidRPr="00B065D6">
        <w:rPr>
          <w:i/>
          <w:iCs/>
          <w:sz w:val="20"/>
        </w:rPr>
        <w:t xml:space="preserve"> load and DG output power profile</w:t>
      </w:r>
    </w:p>
    <w:p w14:paraId="43EB4B7E" w14:textId="38FE4B6A" w:rsidR="002963E9" w:rsidRPr="00B065D6" w:rsidRDefault="00C11FF6" w:rsidP="00C11FF6">
      <w:pPr>
        <w:pStyle w:val="IETParagraph"/>
        <w:spacing w:beforeLines="50" w:before="120" w:line="240" w:lineRule="auto"/>
        <w:ind w:firstLine="0"/>
        <w:rPr>
          <w:sz w:val="20"/>
          <w:szCs w:val="20"/>
        </w:rPr>
      </w:pPr>
      <w:r w:rsidRPr="00B065D6">
        <w:rPr>
          <w:b/>
          <w:bCs/>
          <w:sz w:val="20"/>
          <w:szCs w:val="20"/>
        </w:rPr>
        <w:t>Table 1</w:t>
      </w:r>
      <w:r w:rsidRPr="00B065D6">
        <w:rPr>
          <w:sz w:val="20"/>
          <w:szCs w:val="20"/>
        </w:rPr>
        <w:t xml:space="preserve"> The time-of-use electricity price and contract electricity price (¥/kWh)</w:t>
      </w:r>
    </w:p>
    <w:tbl>
      <w:tblPr>
        <w:tblW w:w="5089" w:type="pct"/>
        <w:jc w:val="center"/>
        <w:tblBorders>
          <w:top w:val="single" w:sz="8" w:space="0" w:color="auto"/>
          <w:bottom w:val="single" w:sz="8" w:space="0" w:color="auto"/>
          <w:insideH w:val="single" w:sz="8" w:space="0" w:color="auto"/>
        </w:tblBorders>
        <w:tblLayout w:type="fixed"/>
        <w:tblLook w:val="0000" w:firstRow="0" w:lastRow="0" w:firstColumn="0" w:lastColumn="0" w:noHBand="0" w:noVBand="0"/>
      </w:tblPr>
      <w:tblGrid>
        <w:gridCol w:w="706"/>
        <w:gridCol w:w="697"/>
        <w:gridCol w:w="695"/>
        <w:gridCol w:w="696"/>
        <w:gridCol w:w="694"/>
        <w:gridCol w:w="695"/>
        <w:gridCol w:w="779"/>
      </w:tblGrid>
      <w:tr w:rsidR="00B065D6" w:rsidRPr="00B065D6" w14:paraId="5AF7B15D" w14:textId="77777777" w:rsidTr="00C11FF6">
        <w:trPr>
          <w:jc w:val="center"/>
        </w:trPr>
        <w:tc>
          <w:tcPr>
            <w:tcW w:w="711" w:type="pct"/>
            <w:tcBorders>
              <w:bottom w:val="single" w:sz="8" w:space="0" w:color="auto"/>
            </w:tcBorders>
            <w:vAlign w:val="center"/>
          </w:tcPr>
          <w:p w14:paraId="72B404BC" w14:textId="31864A6E" w:rsidR="00C11FF6" w:rsidRPr="00B065D6" w:rsidRDefault="00C11FF6" w:rsidP="00334A61">
            <w:pPr>
              <w:adjustRightInd w:val="0"/>
              <w:snapToGrid w:val="0"/>
              <w:jc w:val="center"/>
              <w:rPr>
                <w:sz w:val="18"/>
                <w:szCs w:val="18"/>
              </w:rPr>
            </w:pPr>
            <w:r w:rsidRPr="00B065D6">
              <w:rPr>
                <w:sz w:val="18"/>
                <w:szCs w:val="18"/>
              </w:rPr>
              <w:t>Stage</w:t>
            </w:r>
          </w:p>
        </w:tc>
        <w:tc>
          <w:tcPr>
            <w:tcW w:w="702" w:type="pct"/>
            <w:tcBorders>
              <w:bottom w:val="single" w:sz="8" w:space="0" w:color="auto"/>
            </w:tcBorders>
            <w:vAlign w:val="center"/>
          </w:tcPr>
          <w:p w14:paraId="7F26921C" w14:textId="77777777" w:rsidR="00C11FF6" w:rsidRPr="00B065D6" w:rsidRDefault="00C11FF6" w:rsidP="00334A61">
            <w:pPr>
              <w:adjustRightInd w:val="0"/>
              <w:snapToGrid w:val="0"/>
              <w:jc w:val="center"/>
              <w:rPr>
                <w:sz w:val="18"/>
                <w:szCs w:val="18"/>
              </w:rPr>
            </w:pPr>
            <w:r w:rsidRPr="00B065D6">
              <w:rPr>
                <w:sz w:val="18"/>
                <w:szCs w:val="18"/>
              </w:rPr>
              <w:t>22:15-6:30</w:t>
            </w:r>
          </w:p>
        </w:tc>
        <w:tc>
          <w:tcPr>
            <w:tcW w:w="700" w:type="pct"/>
            <w:tcBorders>
              <w:bottom w:val="single" w:sz="8" w:space="0" w:color="auto"/>
            </w:tcBorders>
            <w:vAlign w:val="center"/>
          </w:tcPr>
          <w:p w14:paraId="05C03915" w14:textId="77777777" w:rsidR="00C11FF6" w:rsidRPr="00B065D6" w:rsidRDefault="00C11FF6" w:rsidP="00334A61">
            <w:pPr>
              <w:adjustRightInd w:val="0"/>
              <w:snapToGrid w:val="0"/>
              <w:jc w:val="center"/>
              <w:rPr>
                <w:sz w:val="18"/>
                <w:szCs w:val="18"/>
              </w:rPr>
            </w:pPr>
            <w:r w:rsidRPr="00B065D6">
              <w:rPr>
                <w:sz w:val="18"/>
                <w:szCs w:val="18"/>
              </w:rPr>
              <w:t>6:45-10:00</w:t>
            </w:r>
          </w:p>
        </w:tc>
        <w:tc>
          <w:tcPr>
            <w:tcW w:w="701" w:type="pct"/>
            <w:tcBorders>
              <w:bottom w:val="single" w:sz="8" w:space="0" w:color="auto"/>
            </w:tcBorders>
            <w:vAlign w:val="center"/>
          </w:tcPr>
          <w:p w14:paraId="3A5A8650" w14:textId="77777777" w:rsidR="00C11FF6" w:rsidRPr="00B065D6" w:rsidRDefault="00C11FF6" w:rsidP="00334A61">
            <w:pPr>
              <w:adjustRightInd w:val="0"/>
              <w:snapToGrid w:val="0"/>
              <w:jc w:val="center"/>
              <w:rPr>
                <w:sz w:val="18"/>
                <w:szCs w:val="18"/>
              </w:rPr>
            </w:pPr>
            <w:r w:rsidRPr="00B065D6">
              <w:rPr>
                <w:sz w:val="18"/>
                <w:szCs w:val="18"/>
              </w:rPr>
              <w:t>10:15-11:30</w:t>
            </w:r>
          </w:p>
        </w:tc>
        <w:tc>
          <w:tcPr>
            <w:tcW w:w="699" w:type="pct"/>
            <w:tcBorders>
              <w:bottom w:val="single" w:sz="8" w:space="0" w:color="auto"/>
            </w:tcBorders>
            <w:vAlign w:val="center"/>
          </w:tcPr>
          <w:p w14:paraId="3DDF80EE" w14:textId="77777777" w:rsidR="00C11FF6" w:rsidRPr="00B065D6" w:rsidRDefault="00C11FF6" w:rsidP="00334A61">
            <w:pPr>
              <w:adjustRightInd w:val="0"/>
              <w:snapToGrid w:val="0"/>
              <w:jc w:val="center"/>
              <w:rPr>
                <w:sz w:val="18"/>
                <w:szCs w:val="18"/>
              </w:rPr>
            </w:pPr>
            <w:r w:rsidRPr="00B065D6">
              <w:rPr>
                <w:sz w:val="18"/>
                <w:szCs w:val="18"/>
              </w:rPr>
              <w:t>11:45-17:00</w:t>
            </w:r>
          </w:p>
        </w:tc>
        <w:tc>
          <w:tcPr>
            <w:tcW w:w="700" w:type="pct"/>
            <w:tcBorders>
              <w:bottom w:val="single" w:sz="8" w:space="0" w:color="auto"/>
            </w:tcBorders>
            <w:vAlign w:val="center"/>
          </w:tcPr>
          <w:p w14:paraId="42620A72" w14:textId="77777777" w:rsidR="00C11FF6" w:rsidRPr="00B065D6" w:rsidRDefault="00C11FF6" w:rsidP="00334A61">
            <w:pPr>
              <w:adjustRightInd w:val="0"/>
              <w:snapToGrid w:val="0"/>
              <w:jc w:val="center"/>
              <w:rPr>
                <w:sz w:val="18"/>
                <w:szCs w:val="18"/>
              </w:rPr>
            </w:pPr>
            <w:r w:rsidRPr="00B065D6">
              <w:rPr>
                <w:sz w:val="18"/>
                <w:szCs w:val="18"/>
              </w:rPr>
              <w:t>17:15-20:45</w:t>
            </w:r>
          </w:p>
        </w:tc>
        <w:tc>
          <w:tcPr>
            <w:tcW w:w="785" w:type="pct"/>
            <w:tcBorders>
              <w:bottom w:val="single" w:sz="8" w:space="0" w:color="auto"/>
            </w:tcBorders>
            <w:vAlign w:val="center"/>
          </w:tcPr>
          <w:p w14:paraId="4637850A" w14:textId="77777777" w:rsidR="00C11FF6" w:rsidRPr="00B065D6" w:rsidRDefault="00C11FF6" w:rsidP="00334A61">
            <w:pPr>
              <w:adjustRightInd w:val="0"/>
              <w:snapToGrid w:val="0"/>
              <w:jc w:val="center"/>
              <w:rPr>
                <w:sz w:val="18"/>
                <w:szCs w:val="18"/>
              </w:rPr>
            </w:pPr>
            <w:r w:rsidRPr="00B065D6">
              <w:rPr>
                <w:sz w:val="18"/>
                <w:szCs w:val="18"/>
              </w:rPr>
              <w:t>21:00-22:00</w:t>
            </w:r>
          </w:p>
        </w:tc>
      </w:tr>
      <w:tr w:rsidR="00B065D6" w:rsidRPr="00B065D6" w14:paraId="107CF934" w14:textId="77777777" w:rsidTr="00C11FF6">
        <w:trPr>
          <w:trHeight w:val="390"/>
          <w:jc w:val="center"/>
        </w:trPr>
        <w:tc>
          <w:tcPr>
            <w:tcW w:w="711" w:type="pct"/>
            <w:tcBorders>
              <w:bottom w:val="nil"/>
            </w:tcBorders>
            <w:vAlign w:val="center"/>
          </w:tcPr>
          <w:p w14:paraId="6B5C29BB" w14:textId="4E9ABA96" w:rsidR="00C11FF6" w:rsidRPr="00B065D6" w:rsidRDefault="00C11FF6" w:rsidP="00334A61">
            <w:pPr>
              <w:adjustRightInd w:val="0"/>
              <w:snapToGrid w:val="0"/>
              <w:jc w:val="center"/>
              <w:rPr>
                <w:sz w:val="18"/>
                <w:szCs w:val="18"/>
              </w:rPr>
            </w:pPr>
            <w:r w:rsidRPr="00B065D6">
              <w:rPr>
                <w:rFonts w:hint="eastAsia"/>
                <w:sz w:val="18"/>
                <w:szCs w:val="18"/>
              </w:rPr>
              <w:t>T</w:t>
            </w:r>
            <w:r w:rsidRPr="00B065D6">
              <w:rPr>
                <w:sz w:val="18"/>
                <w:szCs w:val="18"/>
              </w:rPr>
              <w:t>U</w:t>
            </w:r>
          </w:p>
        </w:tc>
        <w:tc>
          <w:tcPr>
            <w:tcW w:w="702" w:type="pct"/>
            <w:tcBorders>
              <w:bottom w:val="nil"/>
            </w:tcBorders>
            <w:vAlign w:val="center"/>
          </w:tcPr>
          <w:p w14:paraId="49B9C8D2" w14:textId="77777777" w:rsidR="00C11FF6" w:rsidRPr="00B065D6" w:rsidRDefault="00C11FF6" w:rsidP="00334A61">
            <w:pPr>
              <w:adjustRightInd w:val="0"/>
              <w:snapToGrid w:val="0"/>
              <w:jc w:val="center"/>
              <w:rPr>
                <w:sz w:val="18"/>
                <w:szCs w:val="18"/>
              </w:rPr>
            </w:pPr>
            <w:r w:rsidRPr="00B065D6">
              <w:rPr>
                <w:sz w:val="18"/>
                <w:szCs w:val="18"/>
              </w:rPr>
              <w:t>0.3</w:t>
            </w:r>
          </w:p>
        </w:tc>
        <w:tc>
          <w:tcPr>
            <w:tcW w:w="700" w:type="pct"/>
            <w:tcBorders>
              <w:bottom w:val="nil"/>
            </w:tcBorders>
            <w:vAlign w:val="center"/>
          </w:tcPr>
          <w:p w14:paraId="7759EAB1" w14:textId="77777777" w:rsidR="00C11FF6" w:rsidRPr="00B065D6" w:rsidRDefault="00C11FF6" w:rsidP="00334A61">
            <w:pPr>
              <w:adjustRightInd w:val="0"/>
              <w:snapToGrid w:val="0"/>
              <w:jc w:val="center"/>
              <w:rPr>
                <w:sz w:val="18"/>
                <w:szCs w:val="18"/>
              </w:rPr>
            </w:pPr>
            <w:r w:rsidRPr="00B065D6">
              <w:rPr>
                <w:sz w:val="18"/>
                <w:szCs w:val="18"/>
              </w:rPr>
              <w:t>0.55</w:t>
            </w:r>
          </w:p>
        </w:tc>
        <w:tc>
          <w:tcPr>
            <w:tcW w:w="701" w:type="pct"/>
            <w:tcBorders>
              <w:bottom w:val="nil"/>
            </w:tcBorders>
            <w:vAlign w:val="center"/>
          </w:tcPr>
          <w:p w14:paraId="4F8D704D" w14:textId="77777777" w:rsidR="00C11FF6" w:rsidRPr="00B065D6" w:rsidRDefault="00C11FF6" w:rsidP="00334A61">
            <w:pPr>
              <w:adjustRightInd w:val="0"/>
              <w:snapToGrid w:val="0"/>
              <w:jc w:val="center"/>
              <w:rPr>
                <w:sz w:val="18"/>
                <w:szCs w:val="18"/>
              </w:rPr>
            </w:pPr>
            <w:r w:rsidRPr="00B065D6">
              <w:rPr>
                <w:sz w:val="18"/>
                <w:szCs w:val="18"/>
              </w:rPr>
              <w:t>0.3</w:t>
            </w:r>
          </w:p>
        </w:tc>
        <w:tc>
          <w:tcPr>
            <w:tcW w:w="699" w:type="pct"/>
            <w:tcBorders>
              <w:bottom w:val="nil"/>
            </w:tcBorders>
            <w:vAlign w:val="center"/>
          </w:tcPr>
          <w:p w14:paraId="001A1850" w14:textId="77777777" w:rsidR="00C11FF6" w:rsidRPr="00B065D6" w:rsidRDefault="00C11FF6" w:rsidP="00334A61">
            <w:pPr>
              <w:adjustRightInd w:val="0"/>
              <w:snapToGrid w:val="0"/>
              <w:jc w:val="center"/>
              <w:rPr>
                <w:sz w:val="18"/>
                <w:szCs w:val="18"/>
              </w:rPr>
            </w:pPr>
            <w:r w:rsidRPr="00B065D6">
              <w:rPr>
                <w:sz w:val="18"/>
                <w:szCs w:val="18"/>
              </w:rPr>
              <w:t>0.55</w:t>
            </w:r>
          </w:p>
        </w:tc>
        <w:tc>
          <w:tcPr>
            <w:tcW w:w="700" w:type="pct"/>
            <w:tcBorders>
              <w:bottom w:val="nil"/>
            </w:tcBorders>
            <w:vAlign w:val="center"/>
          </w:tcPr>
          <w:p w14:paraId="04235C7B" w14:textId="77777777" w:rsidR="00C11FF6" w:rsidRPr="00B065D6" w:rsidRDefault="00C11FF6" w:rsidP="00334A61">
            <w:pPr>
              <w:adjustRightInd w:val="0"/>
              <w:snapToGrid w:val="0"/>
              <w:jc w:val="center"/>
              <w:rPr>
                <w:sz w:val="18"/>
                <w:szCs w:val="18"/>
              </w:rPr>
            </w:pPr>
            <w:r w:rsidRPr="00B065D6">
              <w:rPr>
                <w:sz w:val="18"/>
                <w:szCs w:val="18"/>
              </w:rPr>
              <w:t>1</w:t>
            </w:r>
          </w:p>
        </w:tc>
        <w:tc>
          <w:tcPr>
            <w:tcW w:w="785" w:type="pct"/>
            <w:tcBorders>
              <w:bottom w:val="nil"/>
            </w:tcBorders>
            <w:vAlign w:val="center"/>
          </w:tcPr>
          <w:p w14:paraId="5B9F7CA0" w14:textId="77777777" w:rsidR="00C11FF6" w:rsidRPr="00B065D6" w:rsidRDefault="00C11FF6" w:rsidP="00334A61">
            <w:pPr>
              <w:adjustRightInd w:val="0"/>
              <w:snapToGrid w:val="0"/>
              <w:jc w:val="center"/>
              <w:rPr>
                <w:sz w:val="18"/>
                <w:szCs w:val="18"/>
              </w:rPr>
            </w:pPr>
            <w:r w:rsidRPr="00B065D6">
              <w:rPr>
                <w:sz w:val="18"/>
                <w:szCs w:val="18"/>
              </w:rPr>
              <w:t>0.55</w:t>
            </w:r>
          </w:p>
        </w:tc>
      </w:tr>
      <w:tr w:rsidR="00B065D6" w:rsidRPr="00B065D6" w14:paraId="1287CCFC" w14:textId="77777777" w:rsidTr="00C11FF6">
        <w:trPr>
          <w:jc w:val="center"/>
        </w:trPr>
        <w:tc>
          <w:tcPr>
            <w:tcW w:w="711" w:type="pct"/>
            <w:tcBorders>
              <w:top w:val="nil"/>
              <w:bottom w:val="nil"/>
            </w:tcBorders>
            <w:vAlign w:val="center"/>
          </w:tcPr>
          <w:p w14:paraId="257102E1" w14:textId="77777777" w:rsidR="00C11FF6" w:rsidRPr="00B065D6" w:rsidRDefault="00C11FF6" w:rsidP="00334A61">
            <w:pPr>
              <w:adjustRightInd w:val="0"/>
              <w:snapToGrid w:val="0"/>
              <w:jc w:val="center"/>
              <w:rPr>
                <w:sz w:val="18"/>
                <w:szCs w:val="18"/>
              </w:rPr>
            </w:pPr>
            <w:r w:rsidRPr="00B065D6">
              <w:rPr>
                <w:sz w:val="18"/>
                <w:szCs w:val="18"/>
              </w:rPr>
              <w:t>IL</w:t>
            </w:r>
          </w:p>
        </w:tc>
        <w:tc>
          <w:tcPr>
            <w:tcW w:w="702" w:type="pct"/>
            <w:tcBorders>
              <w:top w:val="nil"/>
              <w:bottom w:val="nil"/>
            </w:tcBorders>
            <w:vAlign w:val="center"/>
          </w:tcPr>
          <w:p w14:paraId="7B88340C" w14:textId="77777777" w:rsidR="00C11FF6" w:rsidRPr="00B065D6" w:rsidRDefault="00C11FF6" w:rsidP="00334A61">
            <w:pPr>
              <w:adjustRightInd w:val="0"/>
              <w:snapToGrid w:val="0"/>
              <w:jc w:val="center"/>
              <w:rPr>
                <w:sz w:val="18"/>
                <w:szCs w:val="18"/>
              </w:rPr>
            </w:pPr>
            <w:r w:rsidRPr="00B065D6">
              <w:rPr>
                <w:sz w:val="18"/>
                <w:szCs w:val="18"/>
              </w:rPr>
              <w:t>0.35</w:t>
            </w:r>
          </w:p>
        </w:tc>
        <w:tc>
          <w:tcPr>
            <w:tcW w:w="700" w:type="pct"/>
            <w:tcBorders>
              <w:top w:val="nil"/>
              <w:bottom w:val="nil"/>
            </w:tcBorders>
            <w:vAlign w:val="center"/>
          </w:tcPr>
          <w:p w14:paraId="3341A70C" w14:textId="77777777" w:rsidR="00C11FF6" w:rsidRPr="00B065D6" w:rsidRDefault="00C11FF6" w:rsidP="00334A61">
            <w:pPr>
              <w:jc w:val="center"/>
              <w:rPr>
                <w:sz w:val="18"/>
                <w:szCs w:val="18"/>
              </w:rPr>
            </w:pPr>
            <w:r w:rsidRPr="00B065D6">
              <w:rPr>
                <w:sz w:val="18"/>
                <w:szCs w:val="18"/>
              </w:rPr>
              <w:t>0.61</w:t>
            </w:r>
          </w:p>
        </w:tc>
        <w:tc>
          <w:tcPr>
            <w:tcW w:w="701" w:type="pct"/>
            <w:tcBorders>
              <w:top w:val="nil"/>
              <w:bottom w:val="nil"/>
            </w:tcBorders>
            <w:vAlign w:val="center"/>
          </w:tcPr>
          <w:p w14:paraId="78B24668" w14:textId="77777777" w:rsidR="00C11FF6" w:rsidRPr="00B065D6" w:rsidRDefault="00C11FF6" w:rsidP="00334A61">
            <w:pPr>
              <w:jc w:val="center"/>
              <w:rPr>
                <w:sz w:val="18"/>
                <w:szCs w:val="18"/>
              </w:rPr>
            </w:pPr>
            <w:r w:rsidRPr="00B065D6">
              <w:rPr>
                <w:sz w:val="18"/>
                <w:szCs w:val="18"/>
              </w:rPr>
              <w:t>0.35</w:t>
            </w:r>
          </w:p>
        </w:tc>
        <w:tc>
          <w:tcPr>
            <w:tcW w:w="699" w:type="pct"/>
            <w:tcBorders>
              <w:top w:val="nil"/>
              <w:bottom w:val="nil"/>
            </w:tcBorders>
            <w:vAlign w:val="center"/>
          </w:tcPr>
          <w:p w14:paraId="6A43F5D2" w14:textId="77777777" w:rsidR="00C11FF6" w:rsidRPr="00B065D6" w:rsidRDefault="00C11FF6" w:rsidP="00334A61">
            <w:pPr>
              <w:jc w:val="center"/>
              <w:rPr>
                <w:sz w:val="18"/>
                <w:szCs w:val="18"/>
              </w:rPr>
            </w:pPr>
            <w:r w:rsidRPr="00B065D6">
              <w:rPr>
                <w:sz w:val="18"/>
                <w:szCs w:val="18"/>
              </w:rPr>
              <w:t>0.61</w:t>
            </w:r>
          </w:p>
        </w:tc>
        <w:tc>
          <w:tcPr>
            <w:tcW w:w="700" w:type="pct"/>
            <w:tcBorders>
              <w:top w:val="nil"/>
              <w:bottom w:val="nil"/>
            </w:tcBorders>
            <w:vAlign w:val="center"/>
          </w:tcPr>
          <w:p w14:paraId="4C3A64D0" w14:textId="77777777" w:rsidR="00C11FF6" w:rsidRPr="00B065D6" w:rsidRDefault="00C11FF6" w:rsidP="00334A61">
            <w:pPr>
              <w:jc w:val="center"/>
              <w:rPr>
                <w:sz w:val="18"/>
                <w:szCs w:val="18"/>
              </w:rPr>
            </w:pPr>
            <w:r w:rsidRPr="00B065D6">
              <w:rPr>
                <w:sz w:val="18"/>
                <w:szCs w:val="18"/>
              </w:rPr>
              <w:t>1.06</w:t>
            </w:r>
          </w:p>
        </w:tc>
        <w:tc>
          <w:tcPr>
            <w:tcW w:w="785" w:type="pct"/>
            <w:tcBorders>
              <w:top w:val="nil"/>
              <w:bottom w:val="nil"/>
            </w:tcBorders>
            <w:vAlign w:val="center"/>
          </w:tcPr>
          <w:p w14:paraId="773A4C23" w14:textId="77777777" w:rsidR="00C11FF6" w:rsidRPr="00B065D6" w:rsidRDefault="00C11FF6" w:rsidP="00334A61">
            <w:pPr>
              <w:jc w:val="center"/>
              <w:rPr>
                <w:sz w:val="18"/>
                <w:szCs w:val="18"/>
              </w:rPr>
            </w:pPr>
            <w:r w:rsidRPr="00B065D6">
              <w:rPr>
                <w:sz w:val="18"/>
                <w:szCs w:val="18"/>
              </w:rPr>
              <w:t>0.61</w:t>
            </w:r>
          </w:p>
        </w:tc>
      </w:tr>
      <w:tr w:rsidR="00B065D6" w:rsidRPr="00B065D6" w14:paraId="41A31BE5" w14:textId="77777777" w:rsidTr="00C11FF6">
        <w:trPr>
          <w:jc w:val="center"/>
        </w:trPr>
        <w:tc>
          <w:tcPr>
            <w:tcW w:w="711" w:type="pct"/>
            <w:tcBorders>
              <w:top w:val="nil"/>
            </w:tcBorders>
            <w:vAlign w:val="center"/>
          </w:tcPr>
          <w:p w14:paraId="7ECF932B" w14:textId="77777777" w:rsidR="00C11FF6" w:rsidRPr="00B065D6" w:rsidRDefault="00C11FF6" w:rsidP="00334A61">
            <w:pPr>
              <w:adjustRightInd w:val="0"/>
              <w:snapToGrid w:val="0"/>
              <w:jc w:val="center"/>
              <w:rPr>
                <w:sz w:val="18"/>
                <w:szCs w:val="18"/>
              </w:rPr>
            </w:pPr>
            <w:r w:rsidRPr="00B065D6">
              <w:rPr>
                <w:sz w:val="18"/>
                <w:szCs w:val="18"/>
              </w:rPr>
              <w:t>ERL</w:t>
            </w:r>
          </w:p>
        </w:tc>
        <w:tc>
          <w:tcPr>
            <w:tcW w:w="702" w:type="pct"/>
            <w:tcBorders>
              <w:top w:val="nil"/>
            </w:tcBorders>
            <w:vAlign w:val="center"/>
          </w:tcPr>
          <w:p w14:paraId="7C4DDE97" w14:textId="77777777" w:rsidR="00C11FF6" w:rsidRPr="00B065D6" w:rsidRDefault="00C11FF6" w:rsidP="00334A61">
            <w:pPr>
              <w:adjustRightInd w:val="0"/>
              <w:snapToGrid w:val="0"/>
              <w:jc w:val="center"/>
              <w:rPr>
                <w:sz w:val="18"/>
                <w:szCs w:val="18"/>
              </w:rPr>
            </w:pPr>
            <w:r w:rsidRPr="00B065D6">
              <w:rPr>
                <w:sz w:val="18"/>
                <w:szCs w:val="18"/>
              </w:rPr>
              <w:t>1.5</w:t>
            </w:r>
          </w:p>
        </w:tc>
        <w:tc>
          <w:tcPr>
            <w:tcW w:w="700" w:type="pct"/>
            <w:tcBorders>
              <w:top w:val="nil"/>
            </w:tcBorders>
            <w:vAlign w:val="center"/>
          </w:tcPr>
          <w:p w14:paraId="52613E5E" w14:textId="77777777" w:rsidR="00C11FF6" w:rsidRPr="00B065D6" w:rsidRDefault="00C11FF6" w:rsidP="00334A61">
            <w:pPr>
              <w:jc w:val="center"/>
              <w:rPr>
                <w:sz w:val="18"/>
                <w:szCs w:val="18"/>
              </w:rPr>
            </w:pPr>
            <w:r w:rsidRPr="00B065D6">
              <w:rPr>
                <w:sz w:val="18"/>
                <w:szCs w:val="18"/>
              </w:rPr>
              <w:t>1.5</w:t>
            </w:r>
          </w:p>
        </w:tc>
        <w:tc>
          <w:tcPr>
            <w:tcW w:w="701" w:type="pct"/>
            <w:tcBorders>
              <w:top w:val="nil"/>
            </w:tcBorders>
            <w:vAlign w:val="center"/>
          </w:tcPr>
          <w:p w14:paraId="77A26B32" w14:textId="77777777" w:rsidR="00C11FF6" w:rsidRPr="00B065D6" w:rsidRDefault="00C11FF6" w:rsidP="00334A61">
            <w:pPr>
              <w:jc w:val="center"/>
              <w:rPr>
                <w:sz w:val="18"/>
                <w:szCs w:val="18"/>
              </w:rPr>
            </w:pPr>
            <w:r w:rsidRPr="00B065D6">
              <w:rPr>
                <w:sz w:val="18"/>
                <w:szCs w:val="18"/>
              </w:rPr>
              <w:t>1.5</w:t>
            </w:r>
          </w:p>
        </w:tc>
        <w:tc>
          <w:tcPr>
            <w:tcW w:w="699" w:type="pct"/>
            <w:tcBorders>
              <w:top w:val="nil"/>
            </w:tcBorders>
            <w:vAlign w:val="center"/>
          </w:tcPr>
          <w:p w14:paraId="2CF74F35" w14:textId="77777777" w:rsidR="00C11FF6" w:rsidRPr="00B065D6" w:rsidRDefault="00C11FF6" w:rsidP="00334A61">
            <w:pPr>
              <w:jc w:val="center"/>
              <w:rPr>
                <w:sz w:val="18"/>
                <w:szCs w:val="18"/>
              </w:rPr>
            </w:pPr>
            <w:r w:rsidRPr="00B065D6">
              <w:rPr>
                <w:sz w:val="18"/>
                <w:szCs w:val="18"/>
              </w:rPr>
              <w:t>1.5</w:t>
            </w:r>
          </w:p>
        </w:tc>
        <w:tc>
          <w:tcPr>
            <w:tcW w:w="700" w:type="pct"/>
            <w:tcBorders>
              <w:top w:val="nil"/>
            </w:tcBorders>
            <w:vAlign w:val="center"/>
          </w:tcPr>
          <w:p w14:paraId="26A6696A" w14:textId="77777777" w:rsidR="00C11FF6" w:rsidRPr="00B065D6" w:rsidRDefault="00C11FF6" w:rsidP="00334A61">
            <w:pPr>
              <w:jc w:val="center"/>
              <w:rPr>
                <w:sz w:val="18"/>
                <w:szCs w:val="18"/>
              </w:rPr>
            </w:pPr>
            <w:r w:rsidRPr="00B065D6">
              <w:rPr>
                <w:sz w:val="18"/>
                <w:szCs w:val="18"/>
              </w:rPr>
              <w:t>1.5</w:t>
            </w:r>
          </w:p>
        </w:tc>
        <w:tc>
          <w:tcPr>
            <w:tcW w:w="785" w:type="pct"/>
            <w:tcBorders>
              <w:top w:val="nil"/>
            </w:tcBorders>
            <w:vAlign w:val="center"/>
          </w:tcPr>
          <w:p w14:paraId="5926D415" w14:textId="77777777" w:rsidR="00C11FF6" w:rsidRPr="00B065D6" w:rsidRDefault="00C11FF6" w:rsidP="00334A61">
            <w:pPr>
              <w:jc w:val="center"/>
              <w:rPr>
                <w:sz w:val="18"/>
                <w:szCs w:val="18"/>
              </w:rPr>
            </w:pPr>
            <w:r w:rsidRPr="00B065D6">
              <w:rPr>
                <w:sz w:val="18"/>
                <w:szCs w:val="18"/>
              </w:rPr>
              <w:t>1.5</w:t>
            </w:r>
          </w:p>
        </w:tc>
      </w:tr>
    </w:tbl>
    <w:p w14:paraId="29F7914E" w14:textId="1107194B" w:rsidR="002963E9" w:rsidRPr="00B065D6" w:rsidRDefault="00C11FF6" w:rsidP="00C11FF6">
      <w:pPr>
        <w:pStyle w:val="IETParagraph"/>
        <w:spacing w:beforeLines="50" w:before="120" w:line="240" w:lineRule="auto"/>
        <w:ind w:firstLine="0"/>
        <w:jc w:val="center"/>
        <w:rPr>
          <w:sz w:val="20"/>
          <w:szCs w:val="20"/>
        </w:rPr>
      </w:pPr>
      <w:r w:rsidRPr="00B065D6">
        <w:rPr>
          <w:rFonts w:hint="eastAsia"/>
          <w:noProof/>
        </w:rPr>
        <w:drawing>
          <wp:inline distT="0" distB="0" distL="114300" distR="114300" wp14:anchorId="58620AAA" wp14:editId="44401358">
            <wp:extent cx="3011739" cy="2024035"/>
            <wp:effectExtent l="0" t="0" r="0" b="0"/>
            <wp:docPr id="14" name="图片 14" descr="绘图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绘图17"/>
                    <pic:cNvPicPr>
                      <a:picLocks noChangeAspect="1"/>
                    </pic:cNvPicPr>
                  </pic:nvPicPr>
                  <pic:blipFill>
                    <a:blip r:embed="rId223"/>
                    <a:stretch>
                      <a:fillRect/>
                    </a:stretch>
                  </pic:blipFill>
                  <pic:spPr>
                    <a:xfrm>
                      <a:off x="0" y="0"/>
                      <a:ext cx="3021348" cy="2030493"/>
                    </a:xfrm>
                    <a:prstGeom prst="rect">
                      <a:avLst/>
                    </a:prstGeom>
                  </pic:spPr>
                </pic:pic>
              </a:graphicData>
            </a:graphic>
          </wp:inline>
        </w:drawing>
      </w:r>
    </w:p>
    <w:p w14:paraId="6DF94DAC" w14:textId="27DED96E" w:rsidR="00C11FF6" w:rsidRPr="00B065D6" w:rsidRDefault="00C11FF6" w:rsidP="00C11FF6">
      <w:pPr>
        <w:pStyle w:val="IETParagraph"/>
        <w:spacing w:beforeLines="50" w:before="120" w:line="240" w:lineRule="auto"/>
        <w:ind w:firstLine="0"/>
        <w:jc w:val="center"/>
        <w:rPr>
          <w:sz w:val="20"/>
          <w:szCs w:val="20"/>
        </w:rPr>
      </w:pPr>
      <w:r w:rsidRPr="00B065D6">
        <w:rPr>
          <w:b/>
          <w:i/>
          <w:iCs/>
          <w:sz w:val="20"/>
        </w:rPr>
        <w:t>Fig.</w:t>
      </w:r>
      <w:proofErr w:type="gramStart"/>
      <w:r w:rsidRPr="00B065D6">
        <w:rPr>
          <w:b/>
          <w:i/>
          <w:iCs/>
          <w:sz w:val="20"/>
        </w:rPr>
        <w:t>4</w:t>
      </w:r>
      <w:r w:rsidRPr="00B065D6">
        <w:rPr>
          <w:sz w:val="20"/>
          <w:szCs w:val="20"/>
        </w:rPr>
        <w:t xml:space="preserve">  </w:t>
      </w:r>
      <w:r w:rsidRPr="00B065D6">
        <w:rPr>
          <w:i/>
          <w:iCs/>
          <w:sz w:val="20"/>
        </w:rPr>
        <w:t>The</w:t>
      </w:r>
      <w:proofErr w:type="gramEnd"/>
      <w:r w:rsidRPr="00B065D6">
        <w:rPr>
          <w:i/>
          <w:iCs/>
          <w:sz w:val="20"/>
        </w:rPr>
        <w:t xml:space="preserve"> diagram of the modified IEEE 33-bus network</w:t>
      </w:r>
    </w:p>
    <w:p w14:paraId="7762DC49" w14:textId="274193D4" w:rsidR="00C11FF6" w:rsidRPr="00B065D6" w:rsidRDefault="00C11FF6" w:rsidP="00C11FF6">
      <w:pPr>
        <w:pStyle w:val="IETParagraph"/>
        <w:spacing w:line="240" w:lineRule="auto"/>
        <w:ind w:firstLine="0"/>
        <w:rPr>
          <w:sz w:val="20"/>
          <w:szCs w:val="20"/>
        </w:rPr>
      </w:pPr>
      <w:r w:rsidRPr="00B065D6">
        <w:rPr>
          <w:sz w:val="20"/>
          <w:szCs w:val="20"/>
        </w:rPr>
        <w:t>4.1.2 Simulation scene</w:t>
      </w:r>
    </w:p>
    <w:p w14:paraId="7CD6CE52" w14:textId="77D4DB12" w:rsidR="002963E9" w:rsidRPr="00B065D6" w:rsidRDefault="00C11FF6" w:rsidP="00C11FF6">
      <w:pPr>
        <w:pStyle w:val="IETParagraph"/>
        <w:spacing w:line="240" w:lineRule="auto"/>
        <w:ind w:firstLineChars="200" w:firstLine="400"/>
        <w:rPr>
          <w:sz w:val="20"/>
          <w:szCs w:val="20"/>
        </w:rPr>
      </w:pPr>
      <w:r w:rsidRPr="00B065D6">
        <w:rPr>
          <w:sz w:val="20"/>
          <w:szCs w:val="20"/>
        </w:rPr>
        <w:t xml:space="preserve">Assume that the time of the distribution network fault is 6:00 a.m., the distribution network completes the post-disaster fault repair after 6 hours. In this paper, three fault scenarios are set to </w:t>
      </w:r>
      <w:proofErr w:type="spellStart"/>
      <w:r w:rsidRPr="00B065D6">
        <w:rPr>
          <w:sz w:val="20"/>
          <w:szCs w:val="20"/>
        </w:rPr>
        <w:t>analyze</w:t>
      </w:r>
      <w:proofErr w:type="spellEnd"/>
      <w:r w:rsidRPr="00B065D6">
        <w:rPr>
          <w:sz w:val="20"/>
          <w:szCs w:val="20"/>
        </w:rPr>
        <w:t xml:space="preserve"> the impact of MG on the resilience improvement of distribution network NPF under different electricity price mechanisms.</w:t>
      </w:r>
    </w:p>
    <w:p w14:paraId="2040DD62" w14:textId="0C797AA8" w:rsidR="00C11FF6" w:rsidRPr="00B065D6" w:rsidRDefault="00C11FF6" w:rsidP="00C11FF6">
      <w:pPr>
        <w:pStyle w:val="IETParagraph"/>
        <w:spacing w:line="240" w:lineRule="auto"/>
        <w:ind w:firstLineChars="200" w:firstLine="400"/>
        <w:rPr>
          <w:sz w:val="20"/>
          <w:szCs w:val="20"/>
        </w:rPr>
      </w:pPr>
      <w:r w:rsidRPr="00B065D6">
        <w:rPr>
          <w:sz w:val="20"/>
          <w:szCs w:val="20"/>
        </w:rPr>
        <w:t xml:space="preserve">Scenario 1: Extreme disasters cause line break faults on 2 lines within the distribution network, that is. fault points 2 and 3. After a fault, two NPFs are formed, MG1 is connected to NPF1, and MG2 is connected to NPF2. Electric vehicles in the microgrid are charged in response, and the resilience of MGs to critical loads in the NPFs of the distribution network under the time-of-use electricity price mechanism and the restoration electricity price response mechanism is </w:t>
      </w:r>
      <w:proofErr w:type="spellStart"/>
      <w:r w:rsidRPr="00B065D6">
        <w:rPr>
          <w:sz w:val="20"/>
          <w:szCs w:val="20"/>
        </w:rPr>
        <w:t>analyzed</w:t>
      </w:r>
      <w:proofErr w:type="spellEnd"/>
      <w:r w:rsidRPr="00B065D6">
        <w:rPr>
          <w:sz w:val="20"/>
          <w:szCs w:val="20"/>
        </w:rPr>
        <w:t>.</w:t>
      </w:r>
    </w:p>
    <w:p w14:paraId="155C5082" w14:textId="6ABD90F0" w:rsidR="00C11FF6" w:rsidRPr="00B065D6" w:rsidRDefault="00C11FF6" w:rsidP="00C11FF6">
      <w:pPr>
        <w:pStyle w:val="IETParagraph"/>
        <w:spacing w:line="240" w:lineRule="auto"/>
        <w:ind w:firstLineChars="200" w:firstLine="400"/>
        <w:rPr>
          <w:sz w:val="20"/>
          <w:szCs w:val="20"/>
        </w:rPr>
      </w:pPr>
      <w:r w:rsidRPr="00B065D6">
        <w:rPr>
          <w:sz w:val="20"/>
          <w:szCs w:val="20"/>
        </w:rPr>
        <w:t>Scenario 2: The fault is the same as Scenario 1, but the EVs in the microgrid responds to charge and discharge.</w:t>
      </w:r>
    </w:p>
    <w:p w14:paraId="71CCC379" w14:textId="7FD73100" w:rsidR="00C11FF6" w:rsidRPr="00B065D6" w:rsidRDefault="007174AA" w:rsidP="00C11FF6">
      <w:pPr>
        <w:pStyle w:val="IETParagraph"/>
        <w:spacing w:line="240" w:lineRule="auto"/>
        <w:ind w:firstLineChars="200" w:firstLine="400"/>
        <w:rPr>
          <w:sz w:val="20"/>
          <w:szCs w:val="20"/>
        </w:rPr>
      </w:pPr>
      <w:r w:rsidRPr="00B065D6">
        <w:rPr>
          <w:sz w:val="20"/>
          <w:szCs w:val="20"/>
        </w:rPr>
        <w:t xml:space="preserve">Scenario 3: Extreme disasters cause faults in the upper level of the distribution network, that is. fault point 1. After </w:t>
      </w:r>
      <w:r w:rsidRPr="00B065D6">
        <w:rPr>
          <w:sz w:val="20"/>
          <w:szCs w:val="20"/>
        </w:rPr>
        <w:t>the fault, the entire distribution network is NPF 3, which forms a multi-microgrid structure with MG1 and MG2.</w:t>
      </w:r>
    </w:p>
    <w:p w14:paraId="3F1577AD" w14:textId="0B6CC9B5" w:rsidR="007174AA" w:rsidRPr="00B065D6" w:rsidRDefault="007174AA" w:rsidP="007174AA">
      <w:pPr>
        <w:pStyle w:val="IETHeading2"/>
        <w:numPr>
          <w:ilvl w:val="1"/>
          <w:numId w:val="2"/>
        </w:numPr>
        <w:ind w:left="431" w:hanging="431"/>
        <w:rPr>
          <w:rFonts w:ascii="Times New Roman" w:hAnsi="Times New Roman"/>
          <w:sz w:val="20"/>
          <w:szCs w:val="20"/>
        </w:rPr>
      </w:pPr>
      <w:r w:rsidRPr="00B065D6">
        <w:rPr>
          <w:rFonts w:ascii="Times New Roman" w:hAnsi="Times New Roman"/>
          <w:sz w:val="20"/>
          <w:szCs w:val="20"/>
        </w:rPr>
        <w:t>Analysis of scenario simulation results</w:t>
      </w:r>
    </w:p>
    <w:p w14:paraId="02C4F021" w14:textId="59032088" w:rsidR="002963E9" w:rsidRPr="00B065D6" w:rsidRDefault="007174AA" w:rsidP="007174AA">
      <w:pPr>
        <w:pStyle w:val="IETParagraph"/>
        <w:spacing w:line="240" w:lineRule="auto"/>
        <w:ind w:firstLine="0"/>
        <w:rPr>
          <w:sz w:val="20"/>
          <w:szCs w:val="20"/>
        </w:rPr>
      </w:pPr>
      <w:r w:rsidRPr="00B065D6">
        <w:rPr>
          <w:sz w:val="20"/>
          <w:szCs w:val="20"/>
        </w:rPr>
        <w:t xml:space="preserve">4.2.1 </w:t>
      </w:r>
      <w:r w:rsidR="00BF6B1C" w:rsidRPr="00B065D6">
        <w:rPr>
          <w:sz w:val="20"/>
          <w:szCs w:val="20"/>
        </w:rPr>
        <w:t>Analysis of distribution network resilience improvement results in scenario 1</w:t>
      </w:r>
    </w:p>
    <w:p w14:paraId="2F12BC36" w14:textId="602F980F" w:rsidR="002963E9" w:rsidRPr="00B065D6" w:rsidRDefault="00BF6B1C" w:rsidP="00F76F68">
      <w:pPr>
        <w:pStyle w:val="IETParagraph"/>
        <w:spacing w:line="240" w:lineRule="auto"/>
        <w:rPr>
          <w:sz w:val="20"/>
          <w:szCs w:val="20"/>
        </w:rPr>
      </w:pPr>
      <w:r w:rsidRPr="00B065D6">
        <w:rPr>
          <w:sz w:val="20"/>
          <w:szCs w:val="20"/>
        </w:rPr>
        <w:t>In the fault situation of Scenario 1, the disconnection fault forms two independent MMG systems, namely, NPF1 and MG1 form MMG1, and NPF2 and MG2 form MMG2. The distribution network optimizes restoration electricity price, and MG1 and MG2 conduct internal optimization to respond to the electricity price. Since the power output and load of MG1 and MG2 are different in size and timing, the load demand of the distribution network during the fault period is also different, so the response of MG to the load demand of the distribution network and the restoration electricity price is different, and the role of resilience improvement different. The scheduling results and PHI index under the two electricity price mechanisms of MG1 and MG2 are shown in Figure 5, Figure 6 and Figure 7 respectively.</w:t>
      </w:r>
    </w:p>
    <w:p w14:paraId="0EFCB496" w14:textId="5949A5B0" w:rsidR="00C11FF6" w:rsidRPr="00B065D6" w:rsidRDefault="00BF6B1C" w:rsidP="00201EBD">
      <w:pPr>
        <w:pStyle w:val="IETParagraph"/>
        <w:adjustRightInd w:val="0"/>
        <w:snapToGrid w:val="0"/>
        <w:spacing w:line="240" w:lineRule="auto"/>
        <w:ind w:firstLine="0"/>
        <w:jc w:val="center"/>
        <w:rPr>
          <w:sz w:val="20"/>
          <w:szCs w:val="20"/>
        </w:rPr>
      </w:pPr>
      <w:r w:rsidRPr="00B065D6">
        <w:rPr>
          <w:rFonts w:hint="eastAsia"/>
          <w:noProof/>
        </w:rPr>
        <w:drawing>
          <wp:inline distT="0" distB="0" distL="114300" distR="114300" wp14:anchorId="796624EE" wp14:editId="5EA3B00D">
            <wp:extent cx="3053896" cy="1516284"/>
            <wp:effectExtent l="0" t="0" r="0" b="8255"/>
            <wp:docPr id="15" name="图片 15" descr="绘图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绘图17"/>
                    <pic:cNvPicPr>
                      <a:picLocks noChangeAspect="1"/>
                    </pic:cNvPicPr>
                  </pic:nvPicPr>
                  <pic:blipFill>
                    <a:blip r:embed="rId224"/>
                    <a:stretch>
                      <a:fillRect/>
                    </a:stretch>
                  </pic:blipFill>
                  <pic:spPr>
                    <a:xfrm>
                      <a:off x="0" y="0"/>
                      <a:ext cx="3069813" cy="1524187"/>
                    </a:xfrm>
                    <a:prstGeom prst="rect">
                      <a:avLst/>
                    </a:prstGeom>
                  </pic:spPr>
                </pic:pic>
              </a:graphicData>
            </a:graphic>
          </wp:inline>
        </w:drawing>
      </w:r>
    </w:p>
    <w:p w14:paraId="0BC22D3D" w14:textId="7AD9C7C9" w:rsidR="00201EBD" w:rsidRPr="00B065D6" w:rsidRDefault="00201EBD" w:rsidP="00201EBD">
      <w:pPr>
        <w:pStyle w:val="IETParagraph"/>
        <w:spacing w:line="240" w:lineRule="auto"/>
        <w:ind w:firstLine="0"/>
        <w:jc w:val="center"/>
        <w:rPr>
          <w:sz w:val="20"/>
          <w:szCs w:val="20"/>
        </w:rPr>
      </w:pPr>
      <w:r w:rsidRPr="00B065D6">
        <w:rPr>
          <w:b/>
          <w:i/>
          <w:iCs/>
          <w:sz w:val="20"/>
        </w:rPr>
        <w:t>Fig.</w:t>
      </w:r>
      <w:proofErr w:type="gramStart"/>
      <w:r w:rsidRPr="00B065D6">
        <w:rPr>
          <w:b/>
          <w:i/>
          <w:iCs/>
          <w:sz w:val="20"/>
        </w:rPr>
        <w:t>5</w:t>
      </w:r>
      <w:r w:rsidRPr="00B065D6">
        <w:rPr>
          <w:sz w:val="20"/>
          <w:szCs w:val="20"/>
        </w:rPr>
        <w:t xml:space="preserve">  </w:t>
      </w:r>
      <w:r w:rsidRPr="00B065D6">
        <w:rPr>
          <w:i/>
          <w:iCs/>
          <w:sz w:val="20"/>
        </w:rPr>
        <w:t>Scenario</w:t>
      </w:r>
      <w:proofErr w:type="gramEnd"/>
      <w:r w:rsidRPr="00B065D6">
        <w:rPr>
          <w:i/>
          <w:iCs/>
          <w:sz w:val="20"/>
        </w:rPr>
        <w:t xml:space="preserve"> 1 MG1 load responds to the scheduling results of two electricity prices</w:t>
      </w:r>
    </w:p>
    <w:p w14:paraId="46F76599" w14:textId="709CEF76" w:rsidR="00BF6B1C" w:rsidRPr="00B065D6" w:rsidRDefault="00201EBD" w:rsidP="00BF6B1C">
      <w:pPr>
        <w:pStyle w:val="IETParagraph"/>
        <w:spacing w:line="240" w:lineRule="auto"/>
        <w:ind w:firstLine="0"/>
        <w:jc w:val="center"/>
        <w:rPr>
          <w:sz w:val="20"/>
          <w:szCs w:val="20"/>
        </w:rPr>
      </w:pPr>
      <w:r w:rsidRPr="00B065D6">
        <w:rPr>
          <w:rFonts w:hint="eastAsia"/>
          <w:noProof/>
        </w:rPr>
        <w:drawing>
          <wp:inline distT="0" distB="0" distL="114300" distR="114300" wp14:anchorId="4F9B6658" wp14:editId="3A73D922">
            <wp:extent cx="3095625" cy="1296192"/>
            <wp:effectExtent l="0" t="0" r="0" b="0"/>
            <wp:docPr id="5" name="图片 5" descr="绘图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绘图17"/>
                    <pic:cNvPicPr>
                      <a:picLocks noChangeAspect="1"/>
                    </pic:cNvPicPr>
                  </pic:nvPicPr>
                  <pic:blipFill>
                    <a:blip r:embed="rId225"/>
                    <a:stretch>
                      <a:fillRect/>
                    </a:stretch>
                  </pic:blipFill>
                  <pic:spPr>
                    <a:xfrm>
                      <a:off x="0" y="0"/>
                      <a:ext cx="3095625" cy="1296192"/>
                    </a:xfrm>
                    <a:prstGeom prst="rect">
                      <a:avLst/>
                    </a:prstGeom>
                  </pic:spPr>
                </pic:pic>
              </a:graphicData>
            </a:graphic>
          </wp:inline>
        </w:drawing>
      </w:r>
    </w:p>
    <w:p w14:paraId="1BCFDE03" w14:textId="17BA45E6" w:rsidR="0049511F" w:rsidRPr="00B065D6" w:rsidRDefault="0049511F" w:rsidP="0049511F">
      <w:pPr>
        <w:pStyle w:val="IETParagraph"/>
        <w:spacing w:line="240" w:lineRule="auto"/>
        <w:ind w:firstLine="0"/>
        <w:jc w:val="center"/>
        <w:rPr>
          <w:sz w:val="20"/>
          <w:szCs w:val="20"/>
        </w:rPr>
      </w:pPr>
      <w:r w:rsidRPr="00B065D6">
        <w:rPr>
          <w:b/>
          <w:i/>
          <w:iCs/>
          <w:sz w:val="20"/>
        </w:rPr>
        <w:t>Fig.</w:t>
      </w:r>
      <w:proofErr w:type="gramStart"/>
      <w:r w:rsidRPr="00B065D6">
        <w:rPr>
          <w:b/>
          <w:i/>
          <w:iCs/>
          <w:sz w:val="20"/>
        </w:rPr>
        <w:t>6</w:t>
      </w:r>
      <w:r w:rsidRPr="00B065D6">
        <w:rPr>
          <w:sz w:val="20"/>
          <w:szCs w:val="20"/>
        </w:rPr>
        <w:t xml:space="preserve">  </w:t>
      </w:r>
      <w:r w:rsidRPr="00B065D6">
        <w:rPr>
          <w:i/>
          <w:iCs/>
          <w:sz w:val="20"/>
        </w:rPr>
        <w:t>Scenario</w:t>
      </w:r>
      <w:proofErr w:type="gramEnd"/>
      <w:r w:rsidRPr="00B065D6">
        <w:rPr>
          <w:i/>
          <w:iCs/>
          <w:sz w:val="20"/>
        </w:rPr>
        <w:t xml:space="preserve"> 1 MG2 load responds to the sched-</w:t>
      </w:r>
      <w:proofErr w:type="spellStart"/>
      <w:r w:rsidRPr="00B065D6">
        <w:rPr>
          <w:i/>
          <w:iCs/>
          <w:sz w:val="20"/>
        </w:rPr>
        <w:t>uling</w:t>
      </w:r>
      <w:proofErr w:type="spellEnd"/>
      <w:r w:rsidRPr="00B065D6">
        <w:rPr>
          <w:i/>
          <w:iCs/>
          <w:sz w:val="20"/>
        </w:rPr>
        <w:t xml:space="preserve"> results of two electricity prices</w:t>
      </w:r>
    </w:p>
    <w:p w14:paraId="06C9B24A" w14:textId="6C64BC67" w:rsidR="00201EBD" w:rsidRPr="00B065D6" w:rsidRDefault="001C3AC4" w:rsidP="0049511F">
      <w:pPr>
        <w:pStyle w:val="IETParagraph"/>
        <w:spacing w:line="240" w:lineRule="auto"/>
        <w:ind w:firstLineChars="200" w:firstLine="400"/>
        <w:rPr>
          <w:sz w:val="20"/>
          <w:szCs w:val="20"/>
        </w:rPr>
      </w:pPr>
      <w:r w:rsidRPr="00B065D6">
        <w:rPr>
          <w:sz w:val="20"/>
          <w:szCs w:val="20"/>
        </w:rPr>
        <w:t xml:space="preserve">During the fault islanding period from 6:00 to 9:15, MG1 does not respond to the critical load power demand of NPF1 under the time-of-use electricity price, the feed-in power is 0, and the RRCL of NPF1 is 0. The main reason is that the distributed power output of MG1 cannot meet the load demand of the microgrid itself, especially during the period from 6:00 to 7:45. In order to meet the power balance, all IL and Part of the ERL responds to the scheduling of MG1. Moreover, the electricity price of NPF during this period is the time-of-use electricity price of normal operation, which is far lower than the contract and penalty electricity price of microgrid load power response, and the PHI index is -100% at this time. During the period from 9:30 to 11:00, the distributed PV output increases while the load demand decreases, </w:t>
      </w:r>
      <w:proofErr w:type="gramStart"/>
      <w:r w:rsidRPr="00B065D6">
        <w:rPr>
          <w:sz w:val="20"/>
          <w:szCs w:val="20"/>
        </w:rPr>
        <w:t>The</w:t>
      </w:r>
      <w:proofErr w:type="gramEnd"/>
      <w:r w:rsidRPr="00B065D6">
        <w:rPr>
          <w:sz w:val="20"/>
          <w:szCs w:val="20"/>
        </w:rPr>
        <w:t xml:space="preserve"> surplus power of the microgrid is connected to the grid to support the critical load power supply of NPF 1, and the PHI index is 0%. Between 11:15 and 11:45, the PHI index was -75%. The critical load restoration rate RRCL for NPF1 during this fault restoration period improved to 41.96%, but most of the critical loads were still not restored to power.</w:t>
      </w:r>
    </w:p>
    <w:p w14:paraId="5192C1A7" w14:textId="4CA92739" w:rsidR="00C11FF6" w:rsidRPr="00B065D6" w:rsidRDefault="001C3AC4" w:rsidP="001C3AC4">
      <w:pPr>
        <w:pStyle w:val="IETParagraph"/>
        <w:spacing w:line="240" w:lineRule="auto"/>
        <w:ind w:firstLine="0"/>
        <w:jc w:val="center"/>
        <w:rPr>
          <w:sz w:val="20"/>
          <w:szCs w:val="20"/>
        </w:rPr>
      </w:pPr>
      <w:r w:rsidRPr="00B065D6">
        <w:rPr>
          <w:rFonts w:hint="eastAsia"/>
          <w:noProof/>
        </w:rPr>
        <w:lastRenderedPageBreak/>
        <w:drawing>
          <wp:inline distT="0" distB="0" distL="114300" distR="114300" wp14:anchorId="10529D90" wp14:editId="4C734759">
            <wp:extent cx="2951174" cy="1915610"/>
            <wp:effectExtent l="0" t="0" r="1905" b="8890"/>
            <wp:docPr id="1" name="图片 1" descr="绘图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绘图17"/>
                    <pic:cNvPicPr>
                      <a:picLocks noChangeAspect="1"/>
                    </pic:cNvPicPr>
                  </pic:nvPicPr>
                  <pic:blipFill>
                    <a:blip r:embed="rId226"/>
                    <a:stretch>
                      <a:fillRect/>
                    </a:stretch>
                  </pic:blipFill>
                  <pic:spPr>
                    <a:xfrm>
                      <a:off x="0" y="0"/>
                      <a:ext cx="2960486" cy="1921654"/>
                    </a:xfrm>
                    <a:prstGeom prst="rect">
                      <a:avLst/>
                    </a:prstGeom>
                  </pic:spPr>
                </pic:pic>
              </a:graphicData>
            </a:graphic>
          </wp:inline>
        </w:drawing>
      </w:r>
    </w:p>
    <w:p w14:paraId="51173707" w14:textId="2C6DC768" w:rsidR="001C3AC4" w:rsidRPr="00B065D6" w:rsidRDefault="001C3AC4" w:rsidP="001C3AC4">
      <w:pPr>
        <w:pStyle w:val="IETParagraph"/>
        <w:spacing w:line="240" w:lineRule="auto"/>
        <w:ind w:firstLine="0"/>
        <w:jc w:val="center"/>
        <w:rPr>
          <w:i/>
          <w:iCs/>
          <w:sz w:val="20"/>
        </w:rPr>
      </w:pPr>
      <w:r w:rsidRPr="00B065D6">
        <w:rPr>
          <w:b/>
          <w:i/>
          <w:iCs/>
          <w:sz w:val="20"/>
        </w:rPr>
        <w:t>Fig.</w:t>
      </w:r>
      <w:proofErr w:type="gramStart"/>
      <w:r w:rsidRPr="00B065D6">
        <w:rPr>
          <w:b/>
          <w:i/>
          <w:iCs/>
          <w:sz w:val="20"/>
        </w:rPr>
        <w:t>7</w:t>
      </w:r>
      <w:r w:rsidRPr="00B065D6">
        <w:rPr>
          <w:sz w:val="20"/>
          <w:szCs w:val="20"/>
        </w:rPr>
        <w:t xml:space="preserve">  </w:t>
      </w:r>
      <w:r w:rsidRPr="00B065D6">
        <w:rPr>
          <w:i/>
          <w:iCs/>
          <w:sz w:val="20"/>
        </w:rPr>
        <w:t>Scenario</w:t>
      </w:r>
      <w:proofErr w:type="gramEnd"/>
      <w:r w:rsidRPr="00B065D6">
        <w:rPr>
          <w:i/>
          <w:iCs/>
          <w:sz w:val="20"/>
        </w:rPr>
        <w:t xml:space="preserve"> 1 MG1 and MG2 responds to the PHI of two electricity prices</w:t>
      </w:r>
    </w:p>
    <w:p w14:paraId="7B4F1098" w14:textId="08BA31B7" w:rsidR="00C11FF6" w:rsidRPr="00B065D6" w:rsidRDefault="001C3AC4" w:rsidP="00F76F68">
      <w:pPr>
        <w:pStyle w:val="IETParagraph"/>
        <w:spacing w:line="240" w:lineRule="auto"/>
        <w:rPr>
          <w:sz w:val="20"/>
          <w:szCs w:val="20"/>
        </w:rPr>
      </w:pPr>
      <w:r w:rsidRPr="00B065D6">
        <w:rPr>
          <w:sz w:val="20"/>
          <w:szCs w:val="20"/>
        </w:rPr>
        <w:t>The resilience (RRCL) improvement of MG 2 to the critical load of NPF 2 was 77.12%, much higher than the improvement result of MG 1. The contribution of MG2 to the recovery of critical loads at NPF2 during the period 6:00 to 7:45 is only 0.0401 kW at 6:00 and 0 at other times, with a PHI index of -100%, for the same reason as for MG1, where the power supply within the microgrid cannot meet the power demand of the loads.</w:t>
      </w:r>
    </w:p>
    <w:p w14:paraId="4D51BDF3" w14:textId="3EB7D34E" w:rsidR="001C3AC4" w:rsidRPr="00B065D6" w:rsidRDefault="001C3AC4" w:rsidP="00F76F68">
      <w:pPr>
        <w:pStyle w:val="IETParagraph"/>
        <w:spacing w:line="240" w:lineRule="auto"/>
        <w:rPr>
          <w:sz w:val="20"/>
          <w:szCs w:val="20"/>
        </w:rPr>
      </w:pPr>
      <w:r w:rsidRPr="00B065D6">
        <w:rPr>
          <w:sz w:val="20"/>
          <w:szCs w:val="20"/>
        </w:rPr>
        <w:t>The results of the response time-sharing tariff on NPF1 and NPF2 resilience enhancement for the two microgrids of MG1 and MG2 in Scenario 1 illustrate that the DG output is able to meet the power demand of NPF critical loads when it is sufficient under the time-sharing tariff mechanism, such as MG2 during 8:00 to 12:00, where the critical load RRCL of NPF2 reaches 100% and the PHI index reaches up to 350%. Once the DG output of the microgrid is insufficient, the dispatchable resources within the microgrid are not effectively involved in the post-disaster fault recovery of the NPF and cannot provide sufficient online power to meet the recovery of critical loads in the distribution network.</w:t>
      </w:r>
    </w:p>
    <w:p w14:paraId="790E4318" w14:textId="65FA7AB1" w:rsidR="001C3AC4" w:rsidRPr="00B065D6" w:rsidRDefault="001C3AC4" w:rsidP="00F76F68">
      <w:pPr>
        <w:pStyle w:val="IETParagraph"/>
        <w:spacing w:line="240" w:lineRule="auto"/>
        <w:rPr>
          <w:sz w:val="20"/>
          <w:szCs w:val="20"/>
        </w:rPr>
      </w:pPr>
      <w:r w:rsidRPr="00B065D6">
        <w:rPr>
          <w:sz w:val="20"/>
          <w:szCs w:val="20"/>
        </w:rPr>
        <w:t>From Figure 5, it can be found that the restoration tariff reaches a maximum value of 1.5¥/kWh between 6:00 and 7:45, as the gas turbine output and IL response power in MG1 reach their maximum values at this time, and the ERL also responds to the NPF1 power demand. During the three time periods of 8:00 to 9:15 and 10:15, and 10:45 to 11:30, the IL of the microgrid meets the critical load power demand of NPF1 and the restoration tariff is the contracted tariff of the IL. For the rest of the time, the residual power of the microgrid power output meets the power demand of the critical load, and the restoration tariff is a time-of-use tariff. The feed-in power of MG1 under the dynamic restoration tariff mechanism is shown in Figure 5, and the RRCL of the restoration tariff mechanism NPF1 is 100%, which has an improvement of 58.04% compared to the time-sharing tariff mechanism.</w:t>
      </w:r>
    </w:p>
    <w:p w14:paraId="56A9263D" w14:textId="5B4DDFC2" w:rsidR="001C3AC4" w:rsidRPr="00B065D6" w:rsidRDefault="001C3AC4" w:rsidP="00F76F68">
      <w:pPr>
        <w:pStyle w:val="IETParagraph"/>
        <w:spacing w:line="240" w:lineRule="auto"/>
        <w:rPr>
          <w:sz w:val="20"/>
          <w:szCs w:val="20"/>
        </w:rPr>
      </w:pPr>
      <w:r w:rsidRPr="00B065D6">
        <w:rPr>
          <w:sz w:val="20"/>
          <w:szCs w:val="20"/>
        </w:rPr>
        <w:t>From Figure 6, we can find that the IL response power meets the critical load demand of NPF2 between 6:00 and 7:45, and the restoration tariff is the contracted tariff of IL, and the restoration tariff is the same as the time-sharing tariff at other times. The feed-in power of MG2 under the restoration tariff mechanism is shown in the red solid line in Figure 6. The RRCL of NPF1 under the dynamic restoration tariff mechanism is 100%, which has an improvement of 23.88% compared to the time-of-use tariff mechanism.</w:t>
      </w:r>
    </w:p>
    <w:p w14:paraId="40E66AD0" w14:textId="10207A02" w:rsidR="001C3AC4" w:rsidRPr="00B065D6" w:rsidRDefault="001C3AC4" w:rsidP="00F76F68">
      <w:pPr>
        <w:pStyle w:val="IETParagraph"/>
        <w:spacing w:line="240" w:lineRule="auto"/>
        <w:rPr>
          <w:sz w:val="20"/>
          <w:szCs w:val="20"/>
        </w:rPr>
      </w:pPr>
      <w:r w:rsidRPr="00B065D6">
        <w:rPr>
          <w:sz w:val="20"/>
          <w:szCs w:val="20"/>
        </w:rPr>
        <w:t xml:space="preserve">In the scenario 1, the PHI index reaches 0% and above at all moments under the dynamic restoration tariff </w:t>
      </w:r>
      <w:r w:rsidRPr="00B065D6">
        <w:rPr>
          <w:sz w:val="20"/>
          <w:szCs w:val="20"/>
        </w:rPr>
        <w:t>mechanism, satisfying critical load restoration and boosting the RRCL of NPF1 and NPF2 to 100%, which is a significant enhancement relative to the time-of-use tariff mechanism. At the same time, the dynamic restoration tariffs of the two MMGs differ significantly. It shows that adopting only the time-of-use tariff during normal operation cannot achieve full restoration of critical loads in the distribution network, and different MMG systems need to adopt different dynamic restoration tariffs to achieve restoration of critical loads in the distribution network.</w:t>
      </w:r>
    </w:p>
    <w:p w14:paraId="4E14E6CF" w14:textId="6A6FED18" w:rsidR="002E2622" w:rsidRPr="00B065D6" w:rsidRDefault="002E2622" w:rsidP="002E2622">
      <w:pPr>
        <w:pStyle w:val="IETParagraph"/>
        <w:spacing w:line="240" w:lineRule="auto"/>
        <w:ind w:firstLine="0"/>
        <w:rPr>
          <w:sz w:val="20"/>
          <w:szCs w:val="20"/>
        </w:rPr>
      </w:pPr>
      <w:bookmarkStart w:id="21" w:name="_Hlk144290128"/>
      <w:r w:rsidRPr="00B065D6">
        <w:rPr>
          <w:sz w:val="20"/>
          <w:szCs w:val="20"/>
        </w:rPr>
        <w:t>4.2.2 Analysis of distribution network resilience improvement results in scenario 2</w:t>
      </w:r>
    </w:p>
    <w:bookmarkEnd w:id="21"/>
    <w:p w14:paraId="0E17C30A" w14:textId="55C0EB34" w:rsidR="00205C02" w:rsidRPr="00B065D6" w:rsidRDefault="002E2622" w:rsidP="002E2622">
      <w:pPr>
        <w:pStyle w:val="IETParagraph"/>
        <w:spacing w:line="240" w:lineRule="auto"/>
        <w:ind w:firstLineChars="200" w:firstLine="400"/>
        <w:rPr>
          <w:sz w:val="20"/>
          <w:szCs w:val="20"/>
        </w:rPr>
      </w:pPr>
      <w:r w:rsidRPr="00B065D6">
        <w:rPr>
          <w:sz w:val="20"/>
          <w:szCs w:val="20"/>
        </w:rPr>
        <w:t>During the resilience of critical loads in the distribution network, The EV uses a charge response mode that responds to charging power and time. Since the failure occurred between 6:00 a.m. and 12:00 p.m., when most of the home EVs had finished charging or were about to finish, the power response of the EVs was small, but in terms of time response, the EV charging time response was staggered from 6:00 to 7:45 a.m., when the MG power supply was underpowered. The results of charging response and discharging response of EV in MG1 under scenario 1 and scenario 2 are shown in Figure 8.</w:t>
      </w:r>
    </w:p>
    <w:p w14:paraId="0DB29A8D" w14:textId="243E6E60" w:rsidR="00CA0613" w:rsidRPr="00B065D6" w:rsidRDefault="002E2622" w:rsidP="002E2622">
      <w:pPr>
        <w:pStyle w:val="IETParagraph"/>
        <w:spacing w:line="240" w:lineRule="auto"/>
        <w:ind w:firstLine="0"/>
        <w:jc w:val="center"/>
        <w:rPr>
          <w:sz w:val="20"/>
          <w:szCs w:val="20"/>
        </w:rPr>
      </w:pPr>
      <w:r w:rsidRPr="00B065D6">
        <w:rPr>
          <w:rFonts w:ascii="宋体" w:hAnsi="宋体" w:cs="宋体" w:hint="eastAsia"/>
          <w:noProof/>
          <w:spacing w:val="2"/>
          <w:szCs w:val="21"/>
        </w:rPr>
        <w:drawing>
          <wp:inline distT="0" distB="0" distL="114300" distR="114300" wp14:anchorId="0A1D0DEE" wp14:editId="4043586F">
            <wp:extent cx="3095625" cy="1501405"/>
            <wp:effectExtent l="0" t="0" r="0" b="3810"/>
            <wp:docPr id="16" name="图片 16" descr="绘图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绘图17"/>
                    <pic:cNvPicPr>
                      <a:picLocks noChangeAspect="1"/>
                    </pic:cNvPicPr>
                  </pic:nvPicPr>
                  <pic:blipFill>
                    <a:blip r:embed="rId227"/>
                    <a:stretch>
                      <a:fillRect/>
                    </a:stretch>
                  </pic:blipFill>
                  <pic:spPr>
                    <a:xfrm>
                      <a:off x="0" y="0"/>
                      <a:ext cx="3095625" cy="1501405"/>
                    </a:xfrm>
                    <a:prstGeom prst="rect">
                      <a:avLst/>
                    </a:prstGeom>
                  </pic:spPr>
                </pic:pic>
              </a:graphicData>
            </a:graphic>
          </wp:inline>
        </w:drawing>
      </w:r>
    </w:p>
    <w:p w14:paraId="6D298F72" w14:textId="77777777" w:rsidR="002E2622" w:rsidRPr="00B065D6" w:rsidRDefault="002E2622" w:rsidP="002E2622">
      <w:pPr>
        <w:snapToGrid w:val="0"/>
        <w:jc w:val="center"/>
        <w:rPr>
          <w:rFonts w:eastAsia="方正书宋简体"/>
          <w:b/>
          <w:bCs/>
          <w:spacing w:val="2"/>
          <w:sz w:val="18"/>
          <w:szCs w:val="21"/>
        </w:rPr>
      </w:pPr>
      <w:bookmarkStart w:id="22" w:name="_Hlk144290077"/>
      <w:r w:rsidRPr="00B065D6">
        <w:rPr>
          <w:b/>
          <w:i/>
          <w:iCs/>
          <w:sz w:val="20"/>
        </w:rPr>
        <w:t>Fig.</w:t>
      </w:r>
      <w:proofErr w:type="gramStart"/>
      <w:r w:rsidRPr="00B065D6">
        <w:rPr>
          <w:b/>
          <w:i/>
          <w:iCs/>
          <w:sz w:val="20"/>
        </w:rPr>
        <w:t>8</w:t>
      </w:r>
      <w:r w:rsidRPr="00B065D6">
        <w:rPr>
          <w:rFonts w:eastAsia="方正书宋简体"/>
          <w:b/>
          <w:bCs/>
          <w:spacing w:val="2"/>
          <w:sz w:val="18"/>
          <w:szCs w:val="21"/>
        </w:rPr>
        <w:t xml:space="preserve">  </w:t>
      </w:r>
      <w:r w:rsidRPr="00B065D6">
        <w:rPr>
          <w:i/>
          <w:iCs/>
          <w:sz w:val="20"/>
        </w:rPr>
        <w:t>MG</w:t>
      </w:r>
      <w:proofErr w:type="gramEnd"/>
      <w:r w:rsidRPr="00B065D6">
        <w:rPr>
          <w:i/>
          <w:iCs/>
          <w:sz w:val="20"/>
        </w:rPr>
        <w:t xml:space="preserve"> 1 EV response results for scenario 1 and 2</w:t>
      </w:r>
    </w:p>
    <w:bookmarkEnd w:id="22"/>
    <w:p w14:paraId="2645D08D" w14:textId="465C61D9" w:rsidR="002E2622" w:rsidRPr="00B065D6" w:rsidRDefault="002E2622" w:rsidP="002E2622">
      <w:pPr>
        <w:pStyle w:val="IETParagraph"/>
        <w:spacing w:line="240" w:lineRule="auto"/>
        <w:ind w:firstLineChars="200" w:firstLine="400"/>
        <w:rPr>
          <w:sz w:val="20"/>
          <w:szCs w:val="20"/>
        </w:rPr>
      </w:pPr>
      <w:r w:rsidRPr="00B065D6">
        <w:rPr>
          <w:sz w:val="20"/>
          <w:szCs w:val="20"/>
        </w:rPr>
        <w:t>As shown in Figure 8, EVs were discharged to respond during the time from 6:00 to 7:45 when the MG1 power supply was underpowered. 4 EVs participated in the charging time response and 11 EVs participated in the charging and discharging response to meet the charging and discharging time and SOC constraints, and the discharging capacity reached 462kWh. Similarly, it can be found that 3 EVs were involved in the charging time response and 11 EVs were involved in the charging and discharging response in Figure 8, with a discharging capacity of 406 kWh. The results illustrate that EVs can respond to the post-disaster fault recovery of the distribution network and enhance the resilience of the distribution network and microgrid in the case of insufficient power of the microgrid. Obviously, it is that the EV charging and discharging response is significant.</w:t>
      </w:r>
    </w:p>
    <w:p w14:paraId="08677667" w14:textId="46FDE04D" w:rsidR="002E2622" w:rsidRPr="00B065D6" w:rsidRDefault="002E2622" w:rsidP="002E2622">
      <w:pPr>
        <w:pStyle w:val="IETParagraph"/>
        <w:spacing w:line="240" w:lineRule="auto"/>
        <w:ind w:firstLineChars="200" w:firstLine="400"/>
        <w:rPr>
          <w:sz w:val="20"/>
          <w:szCs w:val="20"/>
        </w:rPr>
      </w:pPr>
      <w:r w:rsidRPr="00B065D6">
        <w:rPr>
          <w:sz w:val="20"/>
          <w:szCs w:val="20"/>
        </w:rPr>
        <w:t xml:space="preserve">Under the dynamic resilience price mechanism, the critical load RRCL of the distribution network is raised to 100% in both Scenario 1 and Scenario 2, but the economic costs for the distribution network are different. the comparison results of the dynamic resilience price between Scenario 1 and Scenario 2 are shown in Figure 9. For MG1, the EV discharge response during the 6:00 to 7:45 hours when the power supply is underpowered reduces the ERL response power by 462 kW, and reduces the dynamic resilience price of the distribution network, as shown by the black dashed line in Figure 9. For MG2, it is not as significant as MG1 in reducing the dynamic restoration tariff, but it is able to reduce the response power </w:t>
      </w:r>
      <w:r w:rsidRPr="00B065D6">
        <w:rPr>
          <w:sz w:val="20"/>
          <w:szCs w:val="20"/>
        </w:rPr>
        <w:lastRenderedPageBreak/>
        <w:t>of IL and ensure the reliability of power supply to the microgrid load.</w:t>
      </w:r>
    </w:p>
    <w:p w14:paraId="47EE4282" w14:textId="40208A96" w:rsidR="002E2622" w:rsidRPr="00B065D6" w:rsidRDefault="002E2622" w:rsidP="002E2622">
      <w:pPr>
        <w:pStyle w:val="IETParagraph"/>
        <w:spacing w:line="240" w:lineRule="auto"/>
        <w:ind w:firstLine="0"/>
        <w:jc w:val="center"/>
        <w:rPr>
          <w:sz w:val="20"/>
          <w:szCs w:val="20"/>
        </w:rPr>
      </w:pPr>
      <w:r w:rsidRPr="00B065D6">
        <w:rPr>
          <w:rFonts w:hint="eastAsia"/>
          <w:noProof/>
          <w:lang w:bidi="ar"/>
        </w:rPr>
        <w:drawing>
          <wp:inline distT="0" distB="0" distL="114300" distR="114300" wp14:anchorId="3B71683F" wp14:editId="08B904DE">
            <wp:extent cx="2980690" cy="1266190"/>
            <wp:effectExtent l="0" t="0" r="10160" b="10160"/>
            <wp:docPr id="17" name="图片 17" descr="绘图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绘图17"/>
                    <pic:cNvPicPr>
                      <a:picLocks noChangeAspect="1"/>
                    </pic:cNvPicPr>
                  </pic:nvPicPr>
                  <pic:blipFill>
                    <a:blip r:embed="rId228"/>
                    <a:stretch>
                      <a:fillRect/>
                    </a:stretch>
                  </pic:blipFill>
                  <pic:spPr>
                    <a:xfrm>
                      <a:off x="0" y="0"/>
                      <a:ext cx="2980690" cy="1266190"/>
                    </a:xfrm>
                    <a:prstGeom prst="rect">
                      <a:avLst/>
                    </a:prstGeom>
                  </pic:spPr>
                </pic:pic>
              </a:graphicData>
            </a:graphic>
          </wp:inline>
        </w:drawing>
      </w:r>
    </w:p>
    <w:p w14:paraId="1C75406E" w14:textId="15D19B10" w:rsidR="002E2622" w:rsidRPr="00B065D6" w:rsidRDefault="002E2622" w:rsidP="002E2622">
      <w:pPr>
        <w:snapToGrid w:val="0"/>
        <w:jc w:val="center"/>
        <w:rPr>
          <w:rFonts w:eastAsia="方正书宋简体"/>
          <w:b/>
          <w:bCs/>
          <w:spacing w:val="2"/>
          <w:sz w:val="18"/>
          <w:szCs w:val="21"/>
        </w:rPr>
      </w:pPr>
      <w:r w:rsidRPr="00B065D6">
        <w:rPr>
          <w:b/>
          <w:i/>
          <w:iCs/>
          <w:sz w:val="20"/>
        </w:rPr>
        <w:t>Fig.</w:t>
      </w:r>
      <w:proofErr w:type="gramStart"/>
      <w:r w:rsidRPr="00B065D6">
        <w:rPr>
          <w:b/>
          <w:i/>
          <w:iCs/>
          <w:sz w:val="20"/>
        </w:rPr>
        <w:t>9</w:t>
      </w:r>
      <w:r w:rsidRPr="00B065D6">
        <w:rPr>
          <w:rFonts w:eastAsia="方正书宋简体"/>
          <w:b/>
          <w:bCs/>
          <w:spacing w:val="2"/>
          <w:sz w:val="18"/>
          <w:szCs w:val="21"/>
        </w:rPr>
        <w:t xml:space="preserve">  </w:t>
      </w:r>
      <w:r w:rsidRPr="00B065D6">
        <w:rPr>
          <w:i/>
          <w:iCs/>
          <w:sz w:val="20"/>
        </w:rPr>
        <w:t>Dynamic</w:t>
      </w:r>
      <w:proofErr w:type="gramEnd"/>
      <w:r w:rsidRPr="00B065D6">
        <w:rPr>
          <w:i/>
          <w:iCs/>
          <w:sz w:val="20"/>
        </w:rPr>
        <w:t xml:space="preserve"> restoration of electricity price com-parison in scenario 1 and 2</w:t>
      </w:r>
    </w:p>
    <w:p w14:paraId="4B5C9528" w14:textId="602E0BB9" w:rsidR="002E2622" w:rsidRPr="00B065D6" w:rsidRDefault="002E2622" w:rsidP="002E2622">
      <w:pPr>
        <w:pStyle w:val="IETParagraph"/>
        <w:spacing w:line="240" w:lineRule="auto"/>
        <w:ind w:firstLine="0"/>
        <w:rPr>
          <w:sz w:val="20"/>
          <w:szCs w:val="20"/>
        </w:rPr>
      </w:pPr>
      <w:r w:rsidRPr="00B065D6">
        <w:rPr>
          <w:sz w:val="20"/>
          <w:szCs w:val="20"/>
        </w:rPr>
        <w:t>4.2.3 Analysis of distribution network resilience improvement results in scenario 3</w:t>
      </w:r>
    </w:p>
    <w:p w14:paraId="67F5702C" w14:textId="538BD5AA" w:rsidR="002E2622" w:rsidRPr="00B065D6" w:rsidRDefault="002E2622" w:rsidP="002E2622">
      <w:pPr>
        <w:pStyle w:val="IETParagraph"/>
        <w:spacing w:line="240" w:lineRule="auto"/>
        <w:ind w:firstLineChars="200" w:firstLine="400"/>
        <w:rPr>
          <w:sz w:val="20"/>
          <w:szCs w:val="20"/>
        </w:rPr>
      </w:pPr>
      <w:r w:rsidRPr="00B065D6">
        <w:rPr>
          <w:sz w:val="20"/>
          <w:szCs w:val="20"/>
        </w:rPr>
        <w:t>The composition of the multi-microgrid system in Scenario 3 is different from that of Scenarios 1 and 2. MG and NPF in Scenarios 1 and 2 have a one-to-one relationship, while the MMG structure of two microgrids and one NPF is formed in Scenario 3. Under scenario 3, MG1 and MG2 coordinate to meet the demand of critical loads in the NPF3 distribution network, and the dynamic resilience price mechanism introduces a microgrid power headroom index to coordinate the power supply and demand balance between MG and NPF.</w:t>
      </w:r>
    </w:p>
    <w:p w14:paraId="6B052561" w14:textId="577EDADB" w:rsidR="002E2622" w:rsidRPr="00B065D6" w:rsidRDefault="002E2622" w:rsidP="002E2622">
      <w:pPr>
        <w:pStyle w:val="IETParagraph"/>
        <w:spacing w:line="240" w:lineRule="auto"/>
        <w:ind w:firstLineChars="200" w:firstLine="400"/>
        <w:rPr>
          <w:sz w:val="20"/>
          <w:szCs w:val="20"/>
        </w:rPr>
      </w:pPr>
      <w:r w:rsidRPr="00B065D6">
        <w:rPr>
          <w:sz w:val="20"/>
          <w:szCs w:val="20"/>
        </w:rPr>
        <w:t>The optimization results of the dynamic resilience price for the distribution network in Scenario 3 are shown in Figure 10. MG1 and MG2 also have a distribution network RRCL of 0 during the 6:00 to 7:00 hours under the time-sharing tariff mechanism due to insufficient power output from their own power sources. Under the time-of-use electricity price mechanism, MG1 and MG2 also have the problem that the RRCL of the distribution network is 0 during the hours of 6:00 to 7:00 due to insufficient power output from their own power sources. Under the dynamic resilience price mechanism, MG1 and MG2 respectively respond to the power demand of critical loads in the distribution network with an RRCL of 100%, which further verifies the dynamic resilience price mechanism can effectively improve the distribution network resilience in the distribution system with multiple microgrids.</w:t>
      </w:r>
    </w:p>
    <w:p w14:paraId="082646A8" w14:textId="704E8EFC" w:rsidR="002E2622" w:rsidRPr="00B065D6" w:rsidRDefault="002E2622" w:rsidP="002E2622">
      <w:pPr>
        <w:pStyle w:val="IETParagraph"/>
        <w:spacing w:line="240" w:lineRule="auto"/>
        <w:ind w:firstLine="0"/>
        <w:rPr>
          <w:sz w:val="20"/>
          <w:szCs w:val="20"/>
        </w:rPr>
      </w:pPr>
      <w:r w:rsidRPr="00B065D6">
        <w:rPr>
          <w:rFonts w:hint="eastAsia"/>
          <w:noProof/>
        </w:rPr>
        <w:drawing>
          <wp:inline distT="0" distB="0" distL="114300" distR="114300" wp14:anchorId="10D04BAA" wp14:editId="10E14A81">
            <wp:extent cx="3095625" cy="1291661"/>
            <wp:effectExtent l="0" t="0" r="0" b="3810"/>
            <wp:docPr id="18" name="图片 18" descr="绘图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绘图17"/>
                    <pic:cNvPicPr>
                      <a:picLocks noChangeAspect="1"/>
                    </pic:cNvPicPr>
                  </pic:nvPicPr>
                  <pic:blipFill>
                    <a:blip r:embed="rId229"/>
                    <a:stretch>
                      <a:fillRect/>
                    </a:stretch>
                  </pic:blipFill>
                  <pic:spPr>
                    <a:xfrm>
                      <a:off x="0" y="0"/>
                      <a:ext cx="3095625" cy="1291661"/>
                    </a:xfrm>
                    <a:prstGeom prst="rect">
                      <a:avLst/>
                    </a:prstGeom>
                  </pic:spPr>
                </pic:pic>
              </a:graphicData>
            </a:graphic>
          </wp:inline>
        </w:drawing>
      </w:r>
    </w:p>
    <w:p w14:paraId="628B4196" w14:textId="00B0E891" w:rsidR="002E2622" w:rsidRPr="00B065D6" w:rsidRDefault="002C6978" w:rsidP="002C6978">
      <w:pPr>
        <w:pStyle w:val="IETParagraph"/>
        <w:spacing w:line="240" w:lineRule="auto"/>
        <w:ind w:firstLine="0"/>
        <w:jc w:val="center"/>
        <w:rPr>
          <w:i/>
          <w:iCs/>
          <w:sz w:val="20"/>
        </w:rPr>
      </w:pPr>
      <w:r w:rsidRPr="00B065D6">
        <w:rPr>
          <w:b/>
          <w:i/>
          <w:iCs/>
          <w:sz w:val="20"/>
        </w:rPr>
        <w:t>Fig.</w:t>
      </w:r>
      <w:proofErr w:type="gramStart"/>
      <w:r w:rsidRPr="00B065D6">
        <w:rPr>
          <w:b/>
          <w:i/>
          <w:iCs/>
          <w:sz w:val="20"/>
        </w:rPr>
        <w:t>10</w:t>
      </w:r>
      <w:r w:rsidRPr="00B065D6">
        <w:rPr>
          <w:sz w:val="20"/>
          <w:szCs w:val="20"/>
        </w:rPr>
        <w:t xml:space="preserve">  </w:t>
      </w:r>
      <w:r w:rsidRPr="00B065D6">
        <w:rPr>
          <w:i/>
          <w:iCs/>
          <w:sz w:val="20"/>
        </w:rPr>
        <w:t>Scenario</w:t>
      </w:r>
      <w:proofErr w:type="gramEnd"/>
      <w:r w:rsidRPr="00B065D6">
        <w:rPr>
          <w:i/>
          <w:iCs/>
          <w:sz w:val="20"/>
        </w:rPr>
        <w:t xml:space="preserve"> 3 Dynamic recovery price optimization results of distribution network</w:t>
      </w:r>
    </w:p>
    <w:p w14:paraId="58226DD0" w14:textId="77777777" w:rsidR="007326C6" w:rsidRPr="00B065D6" w:rsidRDefault="002955C3" w:rsidP="002955C3">
      <w:pPr>
        <w:pStyle w:val="IETHeading1"/>
        <w:numPr>
          <w:ilvl w:val="0"/>
          <w:numId w:val="2"/>
        </w:numPr>
        <w:rPr>
          <w:sz w:val="20"/>
          <w:szCs w:val="20"/>
        </w:rPr>
      </w:pPr>
      <w:r w:rsidRPr="00B065D6">
        <w:rPr>
          <w:rFonts w:hint="eastAsia"/>
          <w:sz w:val="20"/>
          <w:szCs w:val="20"/>
        </w:rPr>
        <w:t>C</w:t>
      </w:r>
      <w:r w:rsidRPr="00B065D6">
        <w:rPr>
          <w:sz w:val="20"/>
          <w:szCs w:val="20"/>
        </w:rPr>
        <w:t>onclusions</w:t>
      </w:r>
    </w:p>
    <w:p w14:paraId="15F56643" w14:textId="336C9060" w:rsidR="00BC09AF" w:rsidRPr="00B065D6" w:rsidRDefault="002C6978" w:rsidP="001C3AC4">
      <w:pPr>
        <w:pStyle w:val="IETParagraph"/>
        <w:spacing w:line="240" w:lineRule="auto"/>
        <w:rPr>
          <w:sz w:val="20"/>
          <w:szCs w:val="20"/>
        </w:rPr>
      </w:pPr>
      <w:r w:rsidRPr="00B065D6">
        <w:rPr>
          <w:sz w:val="20"/>
          <w:szCs w:val="20"/>
        </w:rPr>
        <w:t xml:space="preserve">This paper proposes an optimal scheduling method for resilience enhancement of distribution networks with MMG considering dynamic resilience price response mechanism. The introduction of dynamic resilience price response mechanism and PHI index can actively guide distributed power sources and controllable loads such as IL, ERL, EV and gas turbines in the microgrid to actively participate in distribution network fault recovery, which enhances the RRCL of critical loads in the distribution network during </w:t>
      </w:r>
      <w:r w:rsidRPr="00B065D6">
        <w:rPr>
          <w:sz w:val="20"/>
          <w:szCs w:val="20"/>
        </w:rPr>
        <w:t>disasters. The two-tier dynamic price response mechanism of the distribution network with MMG can coordinate the interests of multiple parties, while the microgrid operation alone requires only the on-grid power under the dynamic restoration price, and optimization of dynamic resilience price based on PHI index to meet the power demand of critical loads in the distribution network. The dynamic resilience price mechanism can effectively improve the resilience of critical loads in the distribution network compared to the time-of-use price. The simulation results show that the method is reasonable and effective, and has practical guidance in fault recovery of distribution networks with multiple microgrids</w:t>
      </w:r>
      <w:r w:rsidR="0059567C" w:rsidRPr="00B065D6">
        <w:rPr>
          <w:sz w:val="20"/>
          <w:szCs w:val="20"/>
        </w:rPr>
        <w:t>.</w:t>
      </w:r>
    </w:p>
    <w:p w14:paraId="10B3DE95" w14:textId="77777777" w:rsidR="00770C2A" w:rsidRPr="00B065D6" w:rsidRDefault="00E219B1" w:rsidP="001A67AF">
      <w:pPr>
        <w:pStyle w:val="IETHeading1"/>
        <w:numPr>
          <w:ilvl w:val="0"/>
          <w:numId w:val="2"/>
        </w:numPr>
        <w:rPr>
          <w:rStyle w:val="a7"/>
          <w:b/>
          <w:bCs/>
          <w:sz w:val="20"/>
          <w:szCs w:val="20"/>
        </w:rPr>
      </w:pPr>
      <w:r w:rsidRPr="00B065D6">
        <w:rPr>
          <w:rStyle w:val="a7"/>
          <w:b/>
          <w:bCs/>
          <w:sz w:val="20"/>
          <w:szCs w:val="20"/>
        </w:rPr>
        <w:t>References</w:t>
      </w:r>
    </w:p>
    <w:p w14:paraId="0E3437E8" w14:textId="224D482E" w:rsidR="00013919" w:rsidRPr="00B065D6" w:rsidRDefault="00013919" w:rsidP="002D2FAB">
      <w:pPr>
        <w:pStyle w:val="IETReferences"/>
        <w:jc w:val="both"/>
        <w:rPr>
          <w:sz w:val="20"/>
          <w:szCs w:val="20"/>
        </w:rPr>
      </w:pPr>
      <w:r w:rsidRPr="00B065D6">
        <w:rPr>
          <w:sz w:val="20"/>
          <w:szCs w:val="20"/>
        </w:rPr>
        <w:t>[1]</w:t>
      </w:r>
      <w:r w:rsidR="002D2FAB" w:rsidRPr="00B065D6">
        <w:rPr>
          <w:sz w:val="20"/>
          <w:szCs w:val="20"/>
        </w:rPr>
        <w:t xml:space="preserve"> BIE </w:t>
      </w:r>
      <w:proofErr w:type="spellStart"/>
      <w:r w:rsidR="002D2FAB" w:rsidRPr="00B065D6">
        <w:rPr>
          <w:sz w:val="20"/>
          <w:szCs w:val="20"/>
        </w:rPr>
        <w:t>Zhaohong</w:t>
      </w:r>
      <w:proofErr w:type="spellEnd"/>
      <w:r w:rsidR="002D2FAB" w:rsidRPr="00B065D6">
        <w:rPr>
          <w:sz w:val="20"/>
          <w:szCs w:val="20"/>
        </w:rPr>
        <w:t xml:space="preserve">, LIN </w:t>
      </w:r>
      <w:proofErr w:type="spellStart"/>
      <w:r w:rsidR="002D2FAB" w:rsidRPr="00B065D6">
        <w:rPr>
          <w:sz w:val="20"/>
          <w:szCs w:val="20"/>
        </w:rPr>
        <w:t>Chaofan</w:t>
      </w:r>
      <w:proofErr w:type="spellEnd"/>
      <w:r w:rsidR="002D2FAB" w:rsidRPr="00B065D6">
        <w:rPr>
          <w:sz w:val="20"/>
          <w:szCs w:val="20"/>
        </w:rPr>
        <w:t xml:space="preserve">, LI </w:t>
      </w:r>
      <w:proofErr w:type="spellStart"/>
      <w:r w:rsidR="002D2FAB" w:rsidRPr="00B065D6">
        <w:rPr>
          <w:sz w:val="20"/>
          <w:szCs w:val="20"/>
        </w:rPr>
        <w:t>Gengfeng</w:t>
      </w:r>
      <w:proofErr w:type="spellEnd"/>
      <w:r w:rsidR="002D2FAB" w:rsidRPr="00B065D6">
        <w:rPr>
          <w:sz w:val="20"/>
          <w:szCs w:val="20"/>
        </w:rPr>
        <w:t xml:space="preserve">, et al. Development and Prospect of Resilient Power System in the Context of Energy </w:t>
      </w:r>
      <w:proofErr w:type="spellStart"/>
      <w:r w:rsidR="002D2FAB" w:rsidRPr="00B065D6">
        <w:rPr>
          <w:sz w:val="20"/>
          <w:szCs w:val="20"/>
        </w:rPr>
        <w:t>Transitio</w:t>
      </w:r>
      <w:proofErr w:type="spellEnd"/>
      <w:r w:rsidR="002D2FAB" w:rsidRPr="00B065D6">
        <w:rPr>
          <w:sz w:val="20"/>
          <w:szCs w:val="20"/>
        </w:rPr>
        <w:t>[J]. Proceedings of the CSEE, 2020, 40(09): 2735-2745.</w:t>
      </w:r>
    </w:p>
    <w:p w14:paraId="429E1A4E" w14:textId="51BB8795" w:rsidR="00013919" w:rsidRPr="00B065D6" w:rsidRDefault="00013919" w:rsidP="007E1DAC">
      <w:pPr>
        <w:pStyle w:val="IETReferences"/>
        <w:jc w:val="both"/>
        <w:rPr>
          <w:sz w:val="20"/>
          <w:szCs w:val="20"/>
        </w:rPr>
      </w:pPr>
      <w:r w:rsidRPr="00B065D6">
        <w:rPr>
          <w:sz w:val="20"/>
          <w:szCs w:val="20"/>
        </w:rPr>
        <w:t xml:space="preserve">[2] </w:t>
      </w:r>
      <w:r w:rsidR="002D2FAB" w:rsidRPr="00B065D6">
        <w:rPr>
          <w:sz w:val="20"/>
          <w:szCs w:val="20"/>
        </w:rPr>
        <w:t xml:space="preserve">RUAN </w:t>
      </w:r>
      <w:proofErr w:type="spellStart"/>
      <w:r w:rsidR="002D2FAB" w:rsidRPr="00B065D6">
        <w:rPr>
          <w:sz w:val="20"/>
          <w:szCs w:val="20"/>
        </w:rPr>
        <w:t>Qiantu</w:t>
      </w:r>
      <w:proofErr w:type="spellEnd"/>
      <w:r w:rsidR="002D2FAB" w:rsidRPr="00B065D6">
        <w:rPr>
          <w:sz w:val="20"/>
          <w:szCs w:val="20"/>
        </w:rPr>
        <w:t>, XIE Wei, XU Yin et al. Concept and Key Features of Resilient Power Grids[J]. Proceedings of the CSEE, 2020,40(21):6773-6784</w:t>
      </w:r>
      <w:r w:rsidRPr="00B065D6">
        <w:rPr>
          <w:sz w:val="20"/>
          <w:szCs w:val="20"/>
        </w:rPr>
        <w:t>.</w:t>
      </w:r>
    </w:p>
    <w:p w14:paraId="4663FF79" w14:textId="551307EC" w:rsidR="00013919" w:rsidRPr="00B065D6" w:rsidRDefault="00013919" w:rsidP="007E1DAC">
      <w:pPr>
        <w:pStyle w:val="IETReferences"/>
        <w:jc w:val="both"/>
        <w:rPr>
          <w:sz w:val="20"/>
          <w:szCs w:val="20"/>
        </w:rPr>
      </w:pPr>
      <w:r w:rsidRPr="00B065D6">
        <w:rPr>
          <w:sz w:val="20"/>
          <w:szCs w:val="20"/>
        </w:rPr>
        <w:t xml:space="preserve">[3] </w:t>
      </w:r>
      <w:r w:rsidR="007E1DAC" w:rsidRPr="00B065D6">
        <w:rPr>
          <w:sz w:val="20"/>
          <w:szCs w:val="20"/>
        </w:rPr>
        <w:t xml:space="preserve">WANG </w:t>
      </w:r>
      <w:proofErr w:type="spellStart"/>
      <w:r w:rsidR="007E1DAC" w:rsidRPr="00B065D6">
        <w:rPr>
          <w:sz w:val="20"/>
          <w:szCs w:val="20"/>
        </w:rPr>
        <w:t>Shouxiang</w:t>
      </w:r>
      <w:proofErr w:type="spellEnd"/>
      <w:r w:rsidR="007E1DAC" w:rsidRPr="00B065D6">
        <w:rPr>
          <w:sz w:val="20"/>
          <w:szCs w:val="20"/>
        </w:rPr>
        <w:t xml:space="preserve">, LIU Qi, ZHAO </w:t>
      </w:r>
      <w:proofErr w:type="spellStart"/>
      <w:r w:rsidR="007E1DAC" w:rsidRPr="00B065D6">
        <w:rPr>
          <w:sz w:val="20"/>
          <w:szCs w:val="20"/>
        </w:rPr>
        <w:t>Qianyu</w:t>
      </w:r>
      <w:proofErr w:type="spellEnd"/>
      <w:r w:rsidR="007E1DAC" w:rsidRPr="00B065D6">
        <w:rPr>
          <w:sz w:val="20"/>
          <w:szCs w:val="20"/>
        </w:rPr>
        <w:t>, et al. Connotation Analysis and Prospect of Distribution networks Elasticity[J]. Automation of Electric Power Systems, 2021,45(09):1-9</w:t>
      </w:r>
      <w:r w:rsidRPr="00B065D6">
        <w:rPr>
          <w:sz w:val="20"/>
          <w:szCs w:val="20"/>
        </w:rPr>
        <w:t>.</w:t>
      </w:r>
    </w:p>
    <w:p w14:paraId="054C9655" w14:textId="12635766" w:rsidR="00013919" w:rsidRPr="00B065D6" w:rsidRDefault="007E1DAC"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4] ZHANG Lu, HUANG Rui, WANG </w:t>
      </w:r>
      <w:proofErr w:type="spellStart"/>
      <w:r w:rsidRPr="00B065D6">
        <w:rPr>
          <w:sz w:val="20"/>
          <w:szCs w:val="20"/>
          <w:lang w:eastAsia="zh-CN"/>
        </w:rPr>
        <w:t>Zhaoqi</w:t>
      </w:r>
      <w:proofErr w:type="spellEnd"/>
      <w:r w:rsidRPr="00B065D6">
        <w:rPr>
          <w:sz w:val="20"/>
          <w:szCs w:val="20"/>
          <w:lang w:eastAsia="zh-CN"/>
        </w:rPr>
        <w:t>, et al. Optimal Configuration Strategy of Mobile Energy Storage in Distribution networks Considering Balance Between Resilience and Economy [J]. Automation of Electric Power Systems, 2020, 44(21): 23-31.</w:t>
      </w:r>
    </w:p>
    <w:p w14:paraId="4FD66112" w14:textId="24CF9077" w:rsidR="007E1DAC" w:rsidRPr="00B065D6" w:rsidRDefault="007E1DAC"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5] WANG </w:t>
      </w:r>
      <w:proofErr w:type="spellStart"/>
      <w:r w:rsidRPr="00B065D6">
        <w:rPr>
          <w:sz w:val="20"/>
          <w:szCs w:val="20"/>
          <w:lang w:eastAsia="zh-CN"/>
        </w:rPr>
        <w:t>Shouxiang</w:t>
      </w:r>
      <w:proofErr w:type="spellEnd"/>
      <w:r w:rsidRPr="00B065D6">
        <w:rPr>
          <w:sz w:val="20"/>
          <w:szCs w:val="20"/>
          <w:lang w:eastAsia="zh-CN"/>
        </w:rPr>
        <w:t xml:space="preserve">, WANG Lin, WANG </w:t>
      </w:r>
      <w:proofErr w:type="spellStart"/>
      <w:r w:rsidRPr="00B065D6">
        <w:rPr>
          <w:sz w:val="20"/>
          <w:szCs w:val="20"/>
          <w:lang w:eastAsia="zh-CN"/>
        </w:rPr>
        <w:t>Hongkun</w:t>
      </w:r>
      <w:proofErr w:type="spellEnd"/>
      <w:r w:rsidRPr="00B065D6">
        <w:rPr>
          <w:sz w:val="20"/>
          <w:szCs w:val="20"/>
          <w:lang w:eastAsia="zh-CN"/>
        </w:rPr>
        <w:t xml:space="preserve">, et </w:t>
      </w:r>
      <w:proofErr w:type="spellStart"/>
      <w:proofErr w:type="gramStart"/>
      <w:r w:rsidRPr="00B065D6">
        <w:rPr>
          <w:sz w:val="20"/>
          <w:szCs w:val="20"/>
          <w:lang w:eastAsia="zh-CN"/>
        </w:rPr>
        <w:t>al.Optimal</w:t>
      </w:r>
      <w:proofErr w:type="spellEnd"/>
      <w:proofErr w:type="gramEnd"/>
      <w:r w:rsidRPr="00B065D6">
        <w:rPr>
          <w:sz w:val="20"/>
          <w:szCs w:val="20"/>
          <w:lang w:eastAsia="zh-CN"/>
        </w:rPr>
        <w:t xml:space="preserve"> Restoration strategy of distribution networks to enhance resilience under earthquake disaster [J]</w:t>
      </w:r>
      <w:r w:rsidR="00AA3B2A" w:rsidRPr="00B065D6">
        <w:rPr>
          <w:sz w:val="20"/>
          <w:szCs w:val="20"/>
          <w:lang w:eastAsia="zh-CN"/>
        </w:rPr>
        <w:t>.</w:t>
      </w:r>
      <w:r w:rsidRPr="00B065D6">
        <w:rPr>
          <w:sz w:val="20"/>
          <w:szCs w:val="20"/>
          <w:lang w:eastAsia="zh-CN"/>
        </w:rPr>
        <w:t xml:space="preserve"> Automation of Electric Power Systems, 2020, 32(06): 28-35.</w:t>
      </w:r>
    </w:p>
    <w:p w14:paraId="6F7A19BB" w14:textId="559F44D4" w:rsidR="00AA3B2A" w:rsidRPr="00B065D6" w:rsidRDefault="00AA3B2A"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6] Ma S, Li S, Wang Z, et al. Resilience-Oriented Design of Distribution Systems[J]. IEEE Transactions on Power Systems, 2019, 34(4): 2882-2891.</w:t>
      </w:r>
    </w:p>
    <w:p w14:paraId="15971CD0" w14:textId="33231E49" w:rsidR="00AA3B2A" w:rsidRPr="00B065D6" w:rsidRDefault="00AA3B2A"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7] Gautam, P, Piya, P, Karki. Resilience Assessment of Distribution Systems Integrated </w:t>
      </w:r>
      <w:proofErr w:type="gramStart"/>
      <w:r w:rsidRPr="00B065D6">
        <w:rPr>
          <w:sz w:val="20"/>
          <w:szCs w:val="20"/>
          <w:lang w:eastAsia="zh-CN"/>
        </w:rPr>
        <w:t>With</w:t>
      </w:r>
      <w:proofErr w:type="gramEnd"/>
      <w:r w:rsidRPr="00B065D6">
        <w:rPr>
          <w:sz w:val="20"/>
          <w:szCs w:val="20"/>
          <w:lang w:eastAsia="zh-CN"/>
        </w:rPr>
        <w:t xml:space="preserve"> Distributed Energy Resources [J]. IEEE TRANSACTIONS ON SUSTAINABLE ENERGY, 2021, 12(1): 338-348.</w:t>
      </w:r>
    </w:p>
    <w:p w14:paraId="6789CA51" w14:textId="6D4BB63E"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8] Dehghani, NL; </w:t>
      </w:r>
      <w:proofErr w:type="spellStart"/>
      <w:r w:rsidRPr="00B065D6">
        <w:rPr>
          <w:sz w:val="20"/>
          <w:szCs w:val="20"/>
          <w:lang w:eastAsia="zh-CN"/>
        </w:rPr>
        <w:t>Jeddi</w:t>
      </w:r>
      <w:proofErr w:type="spellEnd"/>
      <w:r w:rsidRPr="00B065D6">
        <w:rPr>
          <w:sz w:val="20"/>
          <w:szCs w:val="20"/>
          <w:lang w:eastAsia="zh-CN"/>
        </w:rPr>
        <w:t xml:space="preserve">, AB, </w:t>
      </w:r>
      <w:proofErr w:type="spellStart"/>
      <w:r w:rsidRPr="00B065D6">
        <w:rPr>
          <w:sz w:val="20"/>
          <w:szCs w:val="20"/>
          <w:lang w:eastAsia="zh-CN"/>
        </w:rPr>
        <w:t>Shafieezadeh</w:t>
      </w:r>
      <w:proofErr w:type="spellEnd"/>
      <w:r w:rsidRPr="00B065D6">
        <w:rPr>
          <w:sz w:val="20"/>
          <w:szCs w:val="20"/>
          <w:lang w:eastAsia="zh-CN"/>
        </w:rPr>
        <w:t>, A. Intelligent hurricane resilience enhancement of power distribution systems via deep reinforcement learning [J]. APPLIED ENERGY, 285.</w:t>
      </w:r>
    </w:p>
    <w:p w14:paraId="3DA3A0A2" w14:textId="40A0324E"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9] Najafi J, </w:t>
      </w:r>
      <w:proofErr w:type="spellStart"/>
      <w:r w:rsidRPr="00B065D6">
        <w:rPr>
          <w:sz w:val="20"/>
          <w:szCs w:val="20"/>
          <w:lang w:eastAsia="zh-CN"/>
        </w:rPr>
        <w:t>Peiravi</w:t>
      </w:r>
      <w:proofErr w:type="spellEnd"/>
      <w:r w:rsidRPr="00B065D6">
        <w:rPr>
          <w:sz w:val="20"/>
          <w:szCs w:val="20"/>
          <w:lang w:eastAsia="zh-CN"/>
        </w:rPr>
        <w:t xml:space="preserve"> A, Anvari-Moghaddam A, et al. Resilience improvement planning of power-water distribution systems with multiple micro-grids against hurricanes using clean strategies[J]. Journal of Cleaner Production, 2019, 223(6): 109-126.</w:t>
      </w:r>
    </w:p>
    <w:p w14:paraId="68B4EDCF" w14:textId="1ED559B4"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10] HUANG </w:t>
      </w:r>
      <w:proofErr w:type="spellStart"/>
      <w:r w:rsidRPr="00B065D6">
        <w:rPr>
          <w:sz w:val="20"/>
          <w:szCs w:val="20"/>
          <w:lang w:eastAsia="zh-CN"/>
        </w:rPr>
        <w:t>Gechao</w:t>
      </w:r>
      <w:proofErr w:type="spellEnd"/>
      <w:r w:rsidRPr="00B065D6">
        <w:rPr>
          <w:sz w:val="20"/>
          <w:szCs w:val="20"/>
          <w:lang w:eastAsia="zh-CN"/>
        </w:rPr>
        <w:t xml:space="preserve">, LI </w:t>
      </w:r>
      <w:proofErr w:type="spellStart"/>
      <w:r w:rsidRPr="00B065D6">
        <w:rPr>
          <w:sz w:val="20"/>
          <w:szCs w:val="20"/>
          <w:lang w:eastAsia="zh-CN"/>
        </w:rPr>
        <w:t>Gengfeng</w:t>
      </w:r>
      <w:proofErr w:type="spellEnd"/>
      <w:r w:rsidRPr="00B065D6">
        <w:rPr>
          <w:sz w:val="20"/>
          <w:szCs w:val="20"/>
          <w:lang w:eastAsia="zh-CN"/>
        </w:rPr>
        <w:t xml:space="preserve"> XIAO Yao. et al. Optimal Placement for Integrated Electricity and Gas Energy System Considering Natural Disasters and Man-made Attacks[J]. Power System Technology, 2021,45(03):959-970.</w:t>
      </w:r>
    </w:p>
    <w:p w14:paraId="7BB08F4F" w14:textId="05A8DD4F"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11] </w:t>
      </w:r>
      <w:r w:rsidRPr="00B065D6">
        <w:rPr>
          <w:rFonts w:hint="eastAsia"/>
          <w:sz w:val="20"/>
          <w:szCs w:val="20"/>
          <w:lang w:eastAsia="zh-CN"/>
        </w:rPr>
        <w:t xml:space="preserve">Hong </w:t>
      </w:r>
      <w:proofErr w:type="spellStart"/>
      <w:r w:rsidRPr="00B065D6">
        <w:rPr>
          <w:rFonts w:hint="eastAsia"/>
          <w:sz w:val="20"/>
          <w:szCs w:val="20"/>
          <w:lang w:eastAsia="zh-CN"/>
        </w:rPr>
        <w:t>kun</w:t>
      </w:r>
      <w:proofErr w:type="spellEnd"/>
      <w:r w:rsidRPr="00B065D6">
        <w:rPr>
          <w:rFonts w:hint="eastAsia"/>
          <w:sz w:val="20"/>
          <w:szCs w:val="20"/>
          <w:lang w:eastAsia="zh-CN"/>
        </w:rPr>
        <w:t xml:space="preserve"> Wang, Shou </w:t>
      </w:r>
      <w:proofErr w:type="spellStart"/>
      <w:r w:rsidRPr="00B065D6">
        <w:rPr>
          <w:rFonts w:hint="eastAsia"/>
          <w:sz w:val="20"/>
          <w:szCs w:val="20"/>
          <w:lang w:eastAsia="zh-CN"/>
        </w:rPr>
        <w:t>xiang</w:t>
      </w:r>
      <w:proofErr w:type="spellEnd"/>
      <w:r w:rsidRPr="00B065D6">
        <w:rPr>
          <w:rFonts w:hint="eastAsia"/>
          <w:sz w:val="20"/>
          <w:szCs w:val="20"/>
          <w:lang w:eastAsia="zh-CN"/>
        </w:rPr>
        <w:t xml:space="preserve"> Wang, Lu Yu, et al. A novel planning-attack</w:t>
      </w:r>
      <w:r w:rsidRPr="00B065D6">
        <w:rPr>
          <w:rFonts w:hint="eastAsia"/>
          <w:sz w:val="20"/>
          <w:szCs w:val="20"/>
          <w:lang w:eastAsia="zh-CN"/>
        </w:rPr>
        <w:t>‐</w:t>
      </w:r>
      <w:r w:rsidRPr="00B065D6">
        <w:rPr>
          <w:rFonts w:hint="eastAsia"/>
          <w:sz w:val="20"/>
          <w:szCs w:val="20"/>
          <w:lang w:eastAsia="zh-CN"/>
        </w:rPr>
        <w:t>reconfiguration method for enhancing resilience of distribution systems considering the whole process of resiliency[J]. International Transactions on Electrical Energy Systems, 2019</w:t>
      </w:r>
      <w:r w:rsidRPr="00B065D6">
        <w:rPr>
          <w:sz w:val="20"/>
          <w:szCs w:val="20"/>
          <w:lang w:eastAsia="zh-CN"/>
        </w:rPr>
        <w:t>(6).</w:t>
      </w:r>
    </w:p>
    <w:p w14:paraId="1854CA38" w14:textId="6374682C"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12] LIAN Yiqing, GUO </w:t>
      </w:r>
      <w:proofErr w:type="spellStart"/>
      <w:r w:rsidRPr="00B065D6">
        <w:rPr>
          <w:sz w:val="20"/>
          <w:szCs w:val="20"/>
          <w:lang w:eastAsia="zh-CN"/>
        </w:rPr>
        <w:t>Zuogang</w:t>
      </w:r>
      <w:proofErr w:type="spellEnd"/>
      <w:r w:rsidRPr="00B065D6">
        <w:rPr>
          <w:sz w:val="20"/>
          <w:szCs w:val="20"/>
          <w:lang w:eastAsia="zh-CN"/>
        </w:rPr>
        <w:t xml:space="preserve">, MA </w:t>
      </w:r>
      <w:proofErr w:type="spellStart"/>
      <w:r w:rsidRPr="00B065D6">
        <w:rPr>
          <w:sz w:val="20"/>
          <w:szCs w:val="20"/>
          <w:lang w:eastAsia="zh-CN"/>
        </w:rPr>
        <w:t>Xiyuan</w:t>
      </w:r>
      <w:proofErr w:type="spellEnd"/>
      <w:r w:rsidRPr="00B065D6">
        <w:rPr>
          <w:sz w:val="20"/>
          <w:szCs w:val="20"/>
          <w:lang w:eastAsia="zh-CN"/>
        </w:rPr>
        <w:t xml:space="preserve">, et al. Elastic scheduling of integrated energy system in gas-electricity </w:t>
      </w:r>
      <w:r w:rsidRPr="00B065D6">
        <w:rPr>
          <w:sz w:val="20"/>
          <w:szCs w:val="20"/>
          <w:lang w:eastAsia="zh-CN"/>
        </w:rPr>
        <w:lastRenderedPageBreak/>
        <w:t xml:space="preserve">coupling park considering hot standby[J], Automation of Electric Power Systems, </w:t>
      </w:r>
      <w:r w:rsidR="003F3987" w:rsidRPr="003F3987">
        <w:rPr>
          <w:sz w:val="20"/>
          <w:szCs w:val="20"/>
          <w:lang w:eastAsia="zh-CN"/>
        </w:rPr>
        <w:t>2019,31(11):115-121.</w:t>
      </w:r>
    </w:p>
    <w:p w14:paraId="7808F16C" w14:textId="666BD5DF"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13] Qi </w:t>
      </w:r>
      <w:proofErr w:type="spellStart"/>
      <w:r w:rsidRPr="00B065D6">
        <w:rPr>
          <w:sz w:val="20"/>
          <w:szCs w:val="20"/>
          <w:lang w:eastAsia="zh-CN"/>
        </w:rPr>
        <w:t>Shixiong</w:t>
      </w:r>
      <w:proofErr w:type="spellEnd"/>
      <w:r w:rsidRPr="00B065D6">
        <w:rPr>
          <w:sz w:val="20"/>
          <w:szCs w:val="20"/>
          <w:lang w:eastAsia="zh-CN"/>
        </w:rPr>
        <w:t xml:space="preserve">, Wang </w:t>
      </w:r>
      <w:proofErr w:type="spellStart"/>
      <w:r w:rsidRPr="00B065D6">
        <w:rPr>
          <w:sz w:val="20"/>
          <w:szCs w:val="20"/>
          <w:lang w:eastAsia="zh-CN"/>
        </w:rPr>
        <w:t>Xiuli</w:t>
      </w:r>
      <w:proofErr w:type="spellEnd"/>
      <w:r w:rsidRPr="00B065D6">
        <w:rPr>
          <w:sz w:val="20"/>
          <w:szCs w:val="20"/>
          <w:lang w:eastAsia="zh-CN"/>
        </w:rPr>
        <w:t>, Li Xue, et al. Enhancing Integrated Energy Distribution System Resilience through a Hierarchical Management Strategy in District Multi-Energy Systems[J]. SUSTAINABILITY, 20</w:t>
      </w:r>
      <w:r w:rsidR="003F3987">
        <w:rPr>
          <w:sz w:val="20"/>
          <w:szCs w:val="20"/>
          <w:lang w:eastAsia="zh-CN"/>
        </w:rPr>
        <w:t>21</w:t>
      </w:r>
      <w:r w:rsidRPr="00B065D6">
        <w:rPr>
          <w:sz w:val="20"/>
          <w:szCs w:val="20"/>
          <w:lang w:eastAsia="zh-CN"/>
        </w:rPr>
        <w:t>, 11(15): 1-20.</w:t>
      </w:r>
    </w:p>
    <w:p w14:paraId="20CE40E6" w14:textId="73237A37"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14] </w:t>
      </w:r>
      <w:proofErr w:type="spellStart"/>
      <w:r w:rsidRPr="00B065D6">
        <w:rPr>
          <w:sz w:val="20"/>
          <w:szCs w:val="20"/>
          <w:lang w:eastAsia="zh-CN"/>
        </w:rPr>
        <w:t>Khaloie</w:t>
      </w:r>
      <w:proofErr w:type="spellEnd"/>
      <w:r w:rsidRPr="00B065D6">
        <w:rPr>
          <w:sz w:val="20"/>
          <w:szCs w:val="20"/>
          <w:lang w:eastAsia="zh-CN"/>
        </w:rPr>
        <w:t xml:space="preserve"> H, Abdollahi A, </w:t>
      </w:r>
      <w:proofErr w:type="spellStart"/>
      <w:r w:rsidRPr="00B065D6">
        <w:rPr>
          <w:sz w:val="20"/>
          <w:szCs w:val="20"/>
          <w:lang w:eastAsia="zh-CN"/>
        </w:rPr>
        <w:t>Rashidinejad</w:t>
      </w:r>
      <w:proofErr w:type="spellEnd"/>
      <w:r w:rsidRPr="00B065D6">
        <w:rPr>
          <w:sz w:val="20"/>
          <w:szCs w:val="20"/>
          <w:lang w:eastAsia="zh-CN"/>
        </w:rPr>
        <w:t xml:space="preserve"> M, et al. Risk-based probabilistic-possibilistic self-scheduling considering high-impact low-probability events uncertainty[J]. International Journal of Electrical Power &amp; Energy Systems, 20</w:t>
      </w:r>
      <w:r w:rsidR="003F3987">
        <w:rPr>
          <w:sz w:val="20"/>
          <w:szCs w:val="20"/>
          <w:lang w:eastAsia="zh-CN"/>
        </w:rPr>
        <w:t>22</w:t>
      </w:r>
      <w:r w:rsidRPr="00B065D6">
        <w:rPr>
          <w:sz w:val="20"/>
          <w:szCs w:val="20"/>
          <w:lang w:eastAsia="zh-CN"/>
        </w:rPr>
        <w:t>, 110: 598-612.</w:t>
      </w:r>
    </w:p>
    <w:p w14:paraId="46DBA99B" w14:textId="4F10B979"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15] </w:t>
      </w:r>
      <w:proofErr w:type="spellStart"/>
      <w:r w:rsidRPr="00B065D6">
        <w:rPr>
          <w:sz w:val="20"/>
          <w:szCs w:val="20"/>
          <w:lang w:eastAsia="zh-CN"/>
        </w:rPr>
        <w:t>Oboudi</w:t>
      </w:r>
      <w:proofErr w:type="spellEnd"/>
      <w:r w:rsidRPr="00B065D6">
        <w:rPr>
          <w:sz w:val="20"/>
          <w:szCs w:val="20"/>
          <w:lang w:eastAsia="zh-CN"/>
        </w:rPr>
        <w:t xml:space="preserve"> M H, Mohammadi M, Rastegar M. Resilience-oriented intentional islanding of reconfigurable distribution power systems[J]. Journal of Modern Power Systems and Clean Energy, 20</w:t>
      </w:r>
      <w:r w:rsidR="003F3987">
        <w:rPr>
          <w:sz w:val="20"/>
          <w:szCs w:val="20"/>
          <w:lang w:eastAsia="zh-CN"/>
        </w:rPr>
        <w:t>22</w:t>
      </w:r>
      <w:r w:rsidRPr="00B065D6">
        <w:rPr>
          <w:sz w:val="20"/>
          <w:szCs w:val="20"/>
          <w:lang w:eastAsia="zh-CN"/>
        </w:rPr>
        <w:t>, 7(4): 741-752.</w:t>
      </w:r>
    </w:p>
    <w:p w14:paraId="60D54EF3" w14:textId="4B0FF430"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16] GE </w:t>
      </w:r>
      <w:proofErr w:type="spellStart"/>
      <w:r w:rsidRPr="00B065D6">
        <w:rPr>
          <w:sz w:val="20"/>
          <w:szCs w:val="20"/>
          <w:lang w:eastAsia="zh-CN"/>
        </w:rPr>
        <w:t>Shaoyun</w:t>
      </w:r>
      <w:proofErr w:type="spellEnd"/>
      <w:r w:rsidRPr="00B065D6">
        <w:rPr>
          <w:sz w:val="20"/>
          <w:szCs w:val="20"/>
          <w:lang w:eastAsia="zh-CN"/>
        </w:rPr>
        <w:t xml:space="preserve">, ZHANG </w:t>
      </w:r>
      <w:proofErr w:type="spellStart"/>
      <w:r w:rsidRPr="00B065D6">
        <w:rPr>
          <w:sz w:val="20"/>
          <w:szCs w:val="20"/>
          <w:lang w:eastAsia="zh-CN"/>
        </w:rPr>
        <w:t>Chenghao</w:t>
      </w:r>
      <w:proofErr w:type="spellEnd"/>
      <w:r w:rsidRPr="00B065D6">
        <w:rPr>
          <w:sz w:val="20"/>
          <w:szCs w:val="20"/>
          <w:lang w:eastAsia="zh-CN"/>
        </w:rPr>
        <w:t>, LIU Hong, et al. Resilience Enhancement Strategy for Distribution networks Considering Supporting Role of Micro Energy Grid [J]. Power System Technology, 20</w:t>
      </w:r>
      <w:r w:rsidR="003F3987">
        <w:rPr>
          <w:sz w:val="20"/>
          <w:szCs w:val="20"/>
          <w:lang w:eastAsia="zh-CN"/>
        </w:rPr>
        <w:t>20</w:t>
      </w:r>
      <w:r w:rsidRPr="00B065D6">
        <w:rPr>
          <w:sz w:val="20"/>
          <w:szCs w:val="20"/>
          <w:lang w:eastAsia="zh-CN"/>
        </w:rPr>
        <w:t>, 43(07):2306-2317.</w:t>
      </w:r>
    </w:p>
    <w:p w14:paraId="5B1982E2" w14:textId="709E68D9" w:rsidR="00B93D62" w:rsidRPr="00B065D6" w:rsidRDefault="00B93D62"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17] PENG </w:t>
      </w:r>
      <w:proofErr w:type="spellStart"/>
      <w:r w:rsidRPr="00B065D6">
        <w:rPr>
          <w:sz w:val="20"/>
          <w:szCs w:val="20"/>
          <w:lang w:eastAsia="zh-CN"/>
        </w:rPr>
        <w:t>Hanmei</w:t>
      </w:r>
      <w:proofErr w:type="spellEnd"/>
      <w:r w:rsidRPr="00B065D6">
        <w:rPr>
          <w:sz w:val="20"/>
          <w:szCs w:val="20"/>
          <w:lang w:eastAsia="zh-CN"/>
        </w:rPr>
        <w:t xml:space="preserve">, WANG </w:t>
      </w:r>
      <w:proofErr w:type="spellStart"/>
      <w:r w:rsidRPr="00B065D6">
        <w:rPr>
          <w:sz w:val="20"/>
          <w:szCs w:val="20"/>
          <w:lang w:eastAsia="zh-CN"/>
        </w:rPr>
        <w:t>Xiaohao</w:t>
      </w:r>
      <w:proofErr w:type="spellEnd"/>
      <w:r w:rsidRPr="00B065D6">
        <w:rPr>
          <w:sz w:val="20"/>
          <w:szCs w:val="20"/>
          <w:lang w:eastAsia="zh-CN"/>
        </w:rPr>
        <w:t>, WEI Ning, et al. micro-grid Differentiated Recovery Operation for Enhancing Distribution System Resilience [J]. Power System Technology, 20</w:t>
      </w:r>
      <w:r w:rsidR="003F3987">
        <w:rPr>
          <w:sz w:val="20"/>
          <w:szCs w:val="20"/>
          <w:lang w:eastAsia="zh-CN"/>
        </w:rPr>
        <w:t>21</w:t>
      </w:r>
      <w:r w:rsidRPr="00B065D6">
        <w:rPr>
          <w:sz w:val="20"/>
          <w:szCs w:val="20"/>
          <w:lang w:eastAsia="zh-CN"/>
        </w:rPr>
        <w:t>, 43(07): 2328-2335.</w:t>
      </w:r>
    </w:p>
    <w:p w14:paraId="4C14DC84" w14:textId="7DB6D0E2" w:rsidR="00110244" w:rsidRPr="00B065D6" w:rsidRDefault="00110244"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18] XU Mengyao, AI </w:t>
      </w:r>
      <w:proofErr w:type="spellStart"/>
      <w:r w:rsidRPr="00B065D6">
        <w:rPr>
          <w:sz w:val="20"/>
          <w:szCs w:val="20"/>
          <w:lang w:eastAsia="zh-CN"/>
        </w:rPr>
        <w:t>Xiaomeng</w:t>
      </w:r>
      <w:proofErr w:type="spellEnd"/>
      <w:r w:rsidRPr="00B065D6">
        <w:rPr>
          <w:sz w:val="20"/>
          <w:szCs w:val="20"/>
          <w:lang w:eastAsia="zh-CN"/>
        </w:rPr>
        <w:t xml:space="preserve">, FANG </w:t>
      </w:r>
      <w:proofErr w:type="spellStart"/>
      <w:r w:rsidRPr="00B065D6">
        <w:rPr>
          <w:sz w:val="20"/>
          <w:szCs w:val="20"/>
          <w:lang w:eastAsia="zh-CN"/>
        </w:rPr>
        <w:t>Jiakun</w:t>
      </w:r>
      <w:proofErr w:type="spellEnd"/>
      <w:r w:rsidRPr="00B065D6">
        <w:rPr>
          <w:sz w:val="20"/>
          <w:szCs w:val="20"/>
          <w:lang w:eastAsia="zh-CN"/>
        </w:rPr>
        <w:t xml:space="preserve"> et al. Two-stage Stochastic Optimal Scheduling Model for Joint Regulation of EV and Thermal Units Considering Users Enthusiasm[J].</w:t>
      </w:r>
      <w:r w:rsidR="003D28DB">
        <w:rPr>
          <w:sz w:val="20"/>
          <w:szCs w:val="20"/>
          <w:lang w:eastAsia="zh-CN"/>
        </w:rPr>
        <w:t xml:space="preserve"> </w:t>
      </w:r>
      <w:r w:rsidRPr="00B065D6">
        <w:rPr>
          <w:sz w:val="20"/>
          <w:szCs w:val="20"/>
          <w:lang w:eastAsia="zh-CN"/>
        </w:rPr>
        <w:t>Power System Technology,</w:t>
      </w:r>
      <w:r w:rsidR="003D28DB">
        <w:t xml:space="preserve"> </w:t>
      </w:r>
      <w:r w:rsidR="003D28DB" w:rsidRPr="003D28DB">
        <w:rPr>
          <w:sz w:val="20"/>
          <w:szCs w:val="20"/>
          <w:lang w:eastAsia="zh-CN"/>
        </w:rPr>
        <w:t>2022,</w:t>
      </w:r>
      <w:r w:rsidR="003D28DB">
        <w:rPr>
          <w:sz w:val="20"/>
          <w:szCs w:val="20"/>
          <w:lang w:eastAsia="zh-CN"/>
        </w:rPr>
        <w:t xml:space="preserve"> </w:t>
      </w:r>
      <w:r w:rsidR="003D28DB" w:rsidRPr="003D28DB">
        <w:rPr>
          <w:sz w:val="20"/>
          <w:szCs w:val="20"/>
          <w:lang w:eastAsia="zh-CN"/>
        </w:rPr>
        <w:t>46(06):</w:t>
      </w:r>
      <w:r w:rsidR="003D28DB">
        <w:rPr>
          <w:sz w:val="20"/>
          <w:szCs w:val="20"/>
          <w:lang w:eastAsia="zh-CN"/>
        </w:rPr>
        <w:t xml:space="preserve"> </w:t>
      </w:r>
      <w:r w:rsidR="003D28DB" w:rsidRPr="003D28DB">
        <w:rPr>
          <w:sz w:val="20"/>
          <w:szCs w:val="20"/>
          <w:lang w:eastAsia="zh-CN"/>
        </w:rPr>
        <w:t>2033-2041</w:t>
      </w:r>
      <w:r w:rsidRPr="00B065D6">
        <w:rPr>
          <w:sz w:val="20"/>
          <w:szCs w:val="20"/>
          <w:lang w:eastAsia="zh-CN"/>
        </w:rPr>
        <w:t>.</w:t>
      </w:r>
    </w:p>
    <w:p w14:paraId="02479435" w14:textId="6A916A77" w:rsidR="00110244" w:rsidRPr="00B065D6" w:rsidRDefault="00110244"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19] SUN Han, CHEN </w:t>
      </w:r>
      <w:proofErr w:type="spellStart"/>
      <w:r w:rsidRPr="00B065D6">
        <w:rPr>
          <w:sz w:val="20"/>
          <w:szCs w:val="20"/>
          <w:lang w:eastAsia="zh-CN"/>
        </w:rPr>
        <w:t>Zonghai</w:t>
      </w:r>
      <w:proofErr w:type="spellEnd"/>
      <w:r w:rsidRPr="00B065D6">
        <w:rPr>
          <w:sz w:val="20"/>
          <w:szCs w:val="20"/>
          <w:lang w:eastAsia="zh-CN"/>
        </w:rPr>
        <w:t>, WU Ji. Online energy dispatch strategy for residential micro-grid considering the uncertainty of electric vehicle [J]. Power System Technology, 20</w:t>
      </w:r>
      <w:r w:rsidR="003F3987">
        <w:rPr>
          <w:sz w:val="20"/>
          <w:szCs w:val="20"/>
          <w:lang w:eastAsia="zh-CN"/>
        </w:rPr>
        <w:t>21</w:t>
      </w:r>
      <w:r w:rsidRPr="00B065D6">
        <w:rPr>
          <w:sz w:val="20"/>
          <w:szCs w:val="20"/>
          <w:lang w:eastAsia="zh-CN"/>
        </w:rPr>
        <w:t>, 43(07): 2544-2551.</w:t>
      </w:r>
    </w:p>
    <w:p w14:paraId="66DAB178" w14:textId="51F00907" w:rsidR="00110244" w:rsidRPr="00B065D6" w:rsidRDefault="00110244" w:rsidP="007E1DAC">
      <w:pPr>
        <w:pStyle w:val="IETReferences"/>
        <w:jc w:val="both"/>
        <w:rPr>
          <w:sz w:val="20"/>
          <w:szCs w:val="20"/>
          <w:lang w:eastAsia="zh-CN"/>
        </w:rPr>
      </w:pPr>
      <w:r w:rsidRPr="00B065D6">
        <w:rPr>
          <w:rFonts w:hint="eastAsia"/>
          <w:sz w:val="20"/>
          <w:szCs w:val="20"/>
          <w:lang w:eastAsia="zh-CN"/>
        </w:rPr>
        <w:t>[</w:t>
      </w:r>
      <w:r w:rsidRPr="00B065D6">
        <w:rPr>
          <w:sz w:val="20"/>
          <w:szCs w:val="20"/>
          <w:lang w:eastAsia="zh-CN"/>
        </w:rPr>
        <w:t xml:space="preserve">20] DONG Shuai, WANG </w:t>
      </w:r>
      <w:proofErr w:type="spellStart"/>
      <w:r w:rsidRPr="00B065D6">
        <w:rPr>
          <w:sz w:val="20"/>
          <w:szCs w:val="20"/>
          <w:lang w:eastAsia="zh-CN"/>
        </w:rPr>
        <w:t>Chengfu</w:t>
      </w:r>
      <w:proofErr w:type="spellEnd"/>
      <w:r w:rsidRPr="00B065D6">
        <w:rPr>
          <w:sz w:val="20"/>
          <w:szCs w:val="20"/>
          <w:lang w:eastAsia="zh-CN"/>
        </w:rPr>
        <w:t xml:space="preserve">, XU </w:t>
      </w:r>
      <w:proofErr w:type="spellStart"/>
      <w:r w:rsidRPr="00B065D6">
        <w:rPr>
          <w:sz w:val="20"/>
          <w:szCs w:val="20"/>
          <w:lang w:eastAsia="zh-CN"/>
        </w:rPr>
        <w:t>Shijie</w:t>
      </w:r>
      <w:proofErr w:type="spellEnd"/>
      <w:r w:rsidRPr="00B065D6">
        <w:rPr>
          <w:sz w:val="20"/>
          <w:szCs w:val="20"/>
          <w:lang w:eastAsia="zh-CN"/>
        </w:rPr>
        <w:t xml:space="preserve">, et al. Day-ahead optimal scheduling of electricity-gas-heat integrated energy system considering dynamic characteristics of </w:t>
      </w:r>
      <w:proofErr w:type="spellStart"/>
      <w:r w:rsidRPr="00B065D6">
        <w:rPr>
          <w:sz w:val="20"/>
          <w:szCs w:val="20"/>
          <w:lang w:eastAsia="zh-CN"/>
        </w:rPr>
        <w:t>networkss</w:t>
      </w:r>
      <w:proofErr w:type="spellEnd"/>
      <w:r w:rsidRPr="00B065D6">
        <w:rPr>
          <w:sz w:val="20"/>
          <w:szCs w:val="20"/>
          <w:lang w:eastAsia="zh-CN"/>
        </w:rPr>
        <w:t xml:space="preserve"> [J]</w:t>
      </w:r>
      <w:r w:rsidR="003D28DB">
        <w:rPr>
          <w:sz w:val="20"/>
          <w:szCs w:val="20"/>
          <w:lang w:eastAsia="zh-CN"/>
        </w:rPr>
        <w:t>.</w:t>
      </w:r>
      <w:r w:rsidRPr="00B065D6">
        <w:rPr>
          <w:sz w:val="20"/>
          <w:szCs w:val="20"/>
          <w:lang w:eastAsia="zh-CN"/>
        </w:rPr>
        <w:t xml:space="preserve"> Automation of Electric Power Systems, 20</w:t>
      </w:r>
      <w:r w:rsidR="003F3987">
        <w:rPr>
          <w:sz w:val="20"/>
          <w:szCs w:val="20"/>
          <w:lang w:eastAsia="zh-CN"/>
        </w:rPr>
        <w:t>20</w:t>
      </w:r>
      <w:r w:rsidRPr="00B065D6">
        <w:rPr>
          <w:sz w:val="20"/>
          <w:szCs w:val="20"/>
          <w:lang w:eastAsia="zh-CN"/>
        </w:rPr>
        <w:t>, 42(13): 12-19.</w:t>
      </w:r>
    </w:p>
    <w:sectPr w:rsidR="00110244" w:rsidRPr="00B065D6" w:rsidSect="000F534A">
      <w:type w:val="continuous"/>
      <w:pgSz w:w="11906" w:h="16838"/>
      <w:pgMar w:top="1134" w:right="851" w:bottom="1134" w:left="851" w:header="709" w:footer="709" w:gutter="0"/>
      <w:cols w:num="2" w:space="45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8899F4" w14:textId="77777777" w:rsidR="00F117A8" w:rsidRDefault="00F117A8" w:rsidP="008B2B41">
      <w:r>
        <w:separator/>
      </w:r>
    </w:p>
  </w:endnote>
  <w:endnote w:type="continuationSeparator" w:id="0">
    <w:p w14:paraId="6DC7B194" w14:textId="77777777" w:rsidR="00F117A8" w:rsidRDefault="00F117A8" w:rsidP="008B2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方正书宋简体">
    <w:altName w:val="微软雅黑"/>
    <w:charset w:val="86"/>
    <w:family w:val="auto"/>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4265719"/>
      <w:docPartObj>
        <w:docPartGallery w:val="Page Numbers (Bottom of Page)"/>
        <w:docPartUnique/>
      </w:docPartObj>
    </w:sdtPr>
    <w:sdtEndPr>
      <w:rPr>
        <w:noProof/>
      </w:rPr>
    </w:sdtEndPr>
    <w:sdtContent>
      <w:p w14:paraId="261AA89D" w14:textId="230D64BD" w:rsidR="00975AAB" w:rsidRDefault="00975AAB">
        <w:pPr>
          <w:pStyle w:val="af5"/>
          <w:jc w:val="right"/>
        </w:pPr>
        <w:r>
          <w:fldChar w:fldCharType="begin"/>
        </w:r>
        <w:r>
          <w:instrText xml:space="preserve"> PAGE   \* MERGEFORMAT </w:instrText>
        </w:r>
        <w:r>
          <w:fldChar w:fldCharType="separate"/>
        </w:r>
        <w:r w:rsidR="00C2584F">
          <w:rPr>
            <w:noProof/>
          </w:rPr>
          <w:t>1</w:t>
        </w:r>
        <w:r>
          <w:rPr>
            <w:noProof/>
          </w:rPr>
          <w:fldChar w:fldCharType="end"/>
        </w:r>
      </w:p>
    </w:sdtContent>
  </w:sdt>
  <w:p w14:paraId="67C34C66" w14:textId="77777777" w:rsidR="00975AAB" w:rsidRDefault="00975AAB" w:rsidP="00441DB7">
    <w:pPr>
      <w:pStyle w:val="af5"/>
      <w:tabs>
        <w:tab w:val="clear" w:pos="4513"/>
        <w:tab w:val="left" w:pos="902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6111577"/>
      <w:docPartObj>
        <w:docPartGallery w:val="Page Numbers (Bottom of Page)"/>
        <w:docPartUnique/>
      </w:docPartObj>
    </w:sdtPr>
    <w:sdtEndPr>
      <w:rPr>
        <w:noProof/>
        <w:sz w:val="20"/>
      </w:rPr>
    </w:sdtEndPr>
    <w:sdtContent>
      <w:p w14:paraId="014A164D" w14:textId="79CEB6A3" w:rsidR="00975AAB" w:rsidRPr="00441DB7" w:rsidRDefault="00975AAB">
        <w:pPr>
          <w:pStyle w:val="af5"/>
          <w:jc w:val="right"/>
          <w:rPr>
            <w:sz w:val="20"/>
          </w:rPr>
        </w:pPr>
        <w:r w:rsidRPr="00441DB7">
          <w:rPr>
            <w:sz w:val="20"/>
          </w:rPr>
          <w:fldChar w:fldCharType="begin"/>
        </w:r>
        <w:r w:rsidRPr="00441DB7">
          <w:rPr>
            <w:sz w:val="20"/>
          </w:rPr>
          <w:instrText xml:space="preserve"> PAGE   \* MERGEFORMAT </w:instrText>
        </w:r>
        <w:r w:rsidRPr="00441DB7">
          <w:rPr>
            <w:sz w:val="20"/>
          </w:rPr>
          <w:fldChar w:fldCharType="separate"/>
        </w:r>
        <w:r w:rsidR="00C2584F">
          <w:rPr>
            <w:noProof/>
            <w:sz w:val="20"/>
          </w:rPr>
          <w:t>3</w:t>
        </w:r>
        <w:r w:rsidRPr="00441DB7">
          <w:rPr>
            <w:noProof/>
            <w:sz w:val="20"/>
          </w:rPr>
          <w:fldChar w:fldCharType="end"/>
        </w:r>
      </w:p>
    </w:sdtContent>
  </w:sdt>
  <w:p w14:paraId="12463AED" w14:textId="77777777" w:rsidR="00975AAB" w:rsidRDefault="00975AAB">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3D9E9" w14:textId="77777777" w:rsidR="00F117A8" w:rsidRDefault="00F117A8" w:rsidP="008B2B41">
      <w:r>
        <w:separator/>
      </w:r>
    </w:p>
  </w:footnote>
  <w:footnote w:type="continuationSeparator" w:id="0">
    <w:p w14:paraId="66B07C3C" w14:textId="77777777" w:rsidR="00F117A8" w:rsidRDefault="00F117A8" w:rsidP="008B2B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39072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B855861"/>
    <w:multiLevelType w:val="multilevel"/>
    <w:tmpl w:val="802488F2"/>
    <w:lvl w:ilvl="0">
      <w:start w:val="1"/>
      <w:numFmt w:val="decimal"/>
      <w:lvlText w:val="[%1]"/>
      <w:lvlJc w:val="right"/>
      <w:pPr>
        <w:tabs>
          <w:tab w:val="num" w:pos="432"/>
        </w:tabs>
        <w:ind w:left="432" w:hanging="144"/>
      </w:pPr>
      <w:rPr>
        <w:rFonts w:hint="default"/>
      </w:rPr>
    </w:lvl>
    <w:lvl w:ilvl="1">
      <w:start w:val="1"/>
      <w:numFmt w:val="decimal"/>
      <w:lvlText w:val="%1.%2)"/>
      <w:lvlJc w:val="left"/>
      <w:pPr>
        <w:tabs>
          <w:tab w:val="num" w:pos="936"/>
        </w:tabs>
        <w:ind w:left="936" w:hanging="720"/>
      </w:pPr>
      <w:rPr>
        <w:rFonts w:hint="default"/>
      </w:rPr>
    </w:lvl>
    <w:lvl w:ilvl="2">
      <w:start w:val="1"/>
      <w:numFmt w:val="decimal"/>
      <w:pStyle w:val="3"/>
      <w:lvlText w:val="%3)"/>
      <w:lvlJc w:val="left"/>
      <w:pPr>
        <w:tabs>
          <w:tab w:val="num" w:pos="360"/>
        </w:tabs>
        <w:ind w:left="360" w:hanging="36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2" w15:restartNumberingAfterBreak="0">
    <w:nsid w:val="3A772DC1"/>
    <w:multiLevelType w:val="hybridMultilevel"/>
    <w:tmpl w:val="F8661D60"/>
    <w:lvl w:ilvl="0" w:tplc="DAF0E504">
      <w:start w:val="1"/>
      <w:numFmt w:val="decimal"/>
      <w:pStyle w:val="IETHeading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FD73CCA"/>
    <w:multiLevelType w:val="hybridMultilevel"/>
    <w:tmpl w:val="A4E6BAE0"/>
    <w:lvl w:ilvl="0" w:tplc="75E0A532">
      <w:start w:val="1"/>
      <w:numFmt w:val="decimal"/>
      <w:pStyle w:val="IET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98968721">
    <w:abstractNumId w:val="1"/>
  </w:num>
  <w:num w:numId="2" w16cid:durableId="1043408242">
    <w:abstractNumId w:val="0"/>
  </w:num>
  <w:num w:numId="3" w16cid:durableId="142353601">
    <w:abstractNumId w:val="3"/>
  </w:num>
  <w:num w:numId="4" w16cid:durableId="910820346">
    <w:abstractNumId w:val="2"/>
  </w:num>
  <w:num w:numId="5" w16cid:durableId="957951164">
    <w:abstractNumId w:val="2"/>
  </w:num>
  <w:num w:numId="6" w16cid:durableId="200944714">
    <w:abstractNumId w:val="3"/>
  </w:num>
  <w:num w:numId="7" w16cid:durableId="626739942">
    <w:abstractNumId w:val="3"/>
  </w:num>
  <w:num w:numId="8" w16cid:durableId="274870193">
    <w:abstractNumId w:val="3"/>
  </w:num>
  <w:num w:numId="9" w16cid:durableId="1599361637">
    <w:abstractNumId w:val="3"/>
  </w:num>
  <w:num w:numId="10" w16cid:durableId="301274274">
    <w:abstractNumId w:val="3"/>
  </w:num>
  <w:num w:numId="11" w16cid:durableId="1180391329">
    <w:abstractNumId w:val="3"/>
  </w:num>
  <w:num w:numId="12" w16cid:durableId="361788505">
    <w:abstractNumId w:val="3"/>
  </w:num>
  <w:num w:numId="13" w16cid:durableId="680089211">
    <w:abstractNumId w:val="3"/>
  </w:num>
  <w:num w:numId="14" w16cid:durableId="1851530949">
    <w:abstractNumId w:val="3"/>
  </w:num>
  <w:num w:numId="15" w16cid:durableId="1398429966">
    <w:abstractNumId w:val="3"/>
  </w:num>
  <w:num w:numId="16" w16cid:durableId="25260353">
    <w:abstractNumId w:val="3"/>
  </w:num>
  <w:num w:numId="17" w16cid:durableId="1526864016">
    <w:abstractNumId w:val="3"/>
  </w:num>
  <w:num w:numId="18" w16cid:durableId="458962921">
    <w:abstractNumId w:val="3"/>
  </w:num>
  <w:num w:numId="19" w16cid:durableId="1262420930">
    <w:abstractNumId w:val="2"/>
  </w:num>
  <w:num w:numId="20" w16cid:durableId="860977201">
    <w:abstractNumId w:val="2"/>
  </w:num>
  <w:num w:numId="21" w16cid:durableId="1337919152">
    <w:abstractNumId w:val="2"/>
  </w:num>
  <w:num w:numId="22" w16cid:durableId="1048530980">
    <w:abstractNumId w:val="2"/>
  </w:num>
  <w:num w:numId="23" w16cid:durableId="450129812">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AU" w:vendorID="64" w:dllVersion="6" w:nlCheck="1" w:checkStyle="0"/>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zh-CN" w:vendorID="64" w:dllVersion="5" w:nlCheck="1" w:checkStyle="1"/>
  <w:activeWritingStyle w:appName="MSWord" w:lang="en-AU"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6E43"/>
    <w:rsid w:val="000002E1"/>
    <w:rsid w:val="00001421"/>
    <w:rsid w:val="0000190A"/>
    <w:rsid w:val="0000323B"/>
    <w:rsid w:val="00003A30"/>
    <w:rsid w:val="00003D0C"/>
    <w:rsid w:val="0000543A"/>
    <w:rsid w:val="0001023F"/>
    <w:rsid w:val="00010878"/>
    <w:rsid w:val="000129DD"/>
    <w:rsid w:val="00012C4B"/>
    <w:rsid w:val="00013919"/>
    <w:rsid w:val="00014653"/>
    <w:rsid w:val="00017719"/>
    <w:rsid w:val="00024618"/>
    <w:rsid w:val="000251A4"/>
    <w:rsid w:val="00027F1D"/>
    <w:rsid w:val="0003021B"/>
    <w:rsid w:val="00031298"/>
    <w:rsid w:val="0003296C"/>
    <w:rsid w:val="00032E2B"/>
    <w:rsid w:val="000353C7"/>
    <w:rsid w:val="00035634"/>
    <w:rsid w:val="0003706E"/>
    <w:rsid w:val="000375C7"/>
    <w:rsid w:val="00040942"/>
    <w:rsid w:val="000427F6"/>
    <w:rsid w:val="0004352C"/>
    <w:rsid w:val="000436A6"/>
    <w:rsid w:val="000449C5"/>
    <w:rsid w:val="00045E3F"/>
    <w:rsid w:val="00046147"/>
    <w:rsid w:val="00047B59"/>
    <w:rsid w:val="00047F1B"/>
    <w:rsid w:val="00053170"/>
    <w:rsid w:val="00054421"/>
    <w:rsid w:val="00062092"/>
    <w:rsid w:val="0006228E"/>
    <w:rsid w:val="00062E46"/>
    <w:rsid w:val="00070D15"/>
    <w:rsid w:val="00071877"/>
    <w:rsid w:val="00071C85"/>
    <w:rsid w:val="00072D14"/>
    <w:rsid w:val="0007301E"/>
    <w:rsid w:val="000743BE"/>
    <w:rsid w:val="00074AC8"/>
    <w:rsid w:val="000750FC"/>
    <w:rsid w:val="00076B67"/>
    <w:rsid w:val="00077653"/>
    <w:rsid w:val="000802A2"/>
    <w:rsid w:val="00080919"/>
    <w:rsid w:val="00081408"/>
    <w:rsid w:val="00081EBE"/>
    <w:rsid w:val="0008273C"/>
    <w:rsid w:val="00082A70"/>
    <w:rsid w:val="00082EC9"/>
    <w:rsid w:val="00086EDC"/>
    <w:rsid w:val="00090639"/>
    <w:rsid w:val="00092A1E"/>
    <w:rsid w:val="00096D97"/>
    <w:rsid w:val="000A0A39"/>
    <w:rsid w:val="000A0A8F"/>
    <w:rsid w:val="000A158B"/>
    <w:rsid w:val="000A2094"/>
    <w:rsid w:val="000A3680"/>
    <w:rsid w:val="000A7500"/>
    <w:rsid w:val="000B2CD6"/>
    <w:rsid w:val="000B36A3"/>
    <w:rsid w:val="000B58D0"/>
    <w:rsid w:val="000C013C"/>
    <w:rsid w:val="000C311F"/>
    <w:rsid w:val="000C3931"/>
    <w:rsid w:val="000C39AD"/>
    <w:rsid w:val="000C5301"/>
    <w:rsid w:val="000C586B"/>
    <w:rsid w:val="000C7511"/>
    <w:rsid w:val="000C7A16"/>
    <w:rsid w:val="000C7AEE"/>
    <w:rsid w:val="000D5D71"/>
    <w:rsid w:val="000E3F84"/>
    <w:rsid w:val="000E5034"/>
    <w:rsid w:val="000E5CD6"/>
    <w:rsid w:val="000F50F9"/>
    <w:rsid w:val="000F534A"/>
    <w:rsid w:val="000F667B"/>
    <w:rsid w:val="00101175"/>
    <w:rsid w:val="001012F1"/>
    <w:rsid w:val="001016A1"/>
    <w:rsid w:val="00101866"/>
    <w:rsid w:val="00104631"/>
    <w:rsid w:val="001056DF"/>
    <w:rsid w:val="001101DB"/>
    <w:rsid w:val="00110244"/>
    <w:rsid w:val="001104B7"/>
    <w:rsid w:val="00114025"/>
    <w:rsid w:val="00114C16"/>
    <w:rsid w:val="00114C76"/>
    <w:rsid w:val="001160D2"/>
    <w:rsid w:val="00123233"/>
    <w:rsid w:val="00123666"/>
    <w:rsid w:val="0012767C"/>
    <w:rsid w:val="00127A86"/>
    <w:rsid w:val="00127CDB"/>
    <w:rsid w:val="0013290C"/>
    <w:rsid w:val="001329FF"/>
    <w:rsid w:val="001348A5"/>
    <w:rsid w:val="00134AA5"/>
    <w:rsid w:val="001353F5"/>
    <w:rsid w:val="00137703"/>
    <w:rsid w:val="00141C83"/>
    <w:rsid w:val="001441A1"/>
    <w:rsid w:val="00144E7A"/>
    <w:rsid w:val="00146DC7"/>
    <w:rsid w:val="00146EA6"/>
    <w:rsid w:val="00147275"/>
    <w:rsid w:val="00151B8E"/>
    <w:rsid w:val="001526E0"/>
    <w:rsid w:val="0015534C"/>
    <w:rsid w:val="0015600A"/>
    <w:rsid w:val="00156A70"/>
    <w:rsid w:val="00157084"/>
    <w:rsid w:val="00161F54"/>
    <w:rsid w:val="00164BE4"/>
    <w:rsid w:val="00165013"/>
    <w:rsid w:val="001663E7"/>
    <w:rsid w:val="00167D88"/>
    <w:rsid w:val="0017288F"/>
    <w:rsid w:val="00176002"/>
    <w:rsid w:val="001810E3"/>
    <w:rsid w:val="00190AA9"/>
    <w:rsid w:val="001928FB"/>
    <w:rsid w:val="00192A6D"/>
    <w:rsid w:val="00192BC7"/>
    <w:rsid w:val="00195AD6"/>
    <w:rsid w:val="001A1037"/>
    <w:rsid w:val="001A145F"/>
    <w:rsid w:val="001A2EFF"/>
    <w:rsid w:val="001A2FA6"/>
    <w:rsid w:val="001A37DF"/>
    <w:rsid w:val="001A50EA"/>
    <w:rsid w:val="001A6133"/>
    <w:rsid w:val="001A67AF"/>
    <w:rsid w:val="001B0454"/>
    <w:rsid w:val="001B0CCF"/>
    <w:rsid w:val="001B1644"/>
    <w:rsid w:val="001B4E92"/>
    <w:rsid w:val="001B765C"/>
    <w:rsid w:val="001C1910"/>
    <w:rsid w:val="001C3AC4"/>
    <w:rsid w:val="001C656E"/>
    <w:rsid w:val="001D12C3"/>
    <w:rsid w:val="001D42C2"/>
    <w:rsid w:val="001D54A2"/>
    <w:rsid w:val="001D7603"/>
    <w:rsid w:val="001E01C0"/>
    <w:rsid w:val="001E0D21"/>
    <w:rsid w:val="001E1409"/>
    <w:rsid w:val="001E290B"/>
    <w:rsid w:val="001E47F0"/>
    <w:rsid w:val="001E5BAC"/>
    <w:rsid w:val="001E7809"/>
    <w:rsid w:val="001E7FC6"/>
    <w:rsid w:val="001F16CD"/>
    <w:rsid w:val="001F47D2"/>
    <w:rsid w:val="00201EBD"/>
    <w:rsid w:val="00205C02"/>
    <w:rsid w:val="00211561"/>
    <w:rsid w:val="00212C2E"/>
    <w:rsid w:val="00212DD2"/>
    <w:rsid w:val="0022285A"/>
    <w:rsid w:val="00224C61"/>
    <w:rsid w:val="0022684F"/>
    <w:rsid w:val="00230369"/>
    <w:rsid w:val="00232401"/>
    <w:rsid w:val="00232474"/>
    <w:rsid w:val="00236A26"/>
    <w:rsid w:val="00237698"/>
    <w:rsid w:val="00240A2A"/>
    <w:rsid w:val="00240AA0"/>
    <w:rsid w:val="00241D6F"/>
    <w:rsid w:val="00244DF1"/>
    <w:rsid w:val="00251822"/>
    <w:rsid w:val="00252658"/>
    <w:rsid w:val="00254B02"/>
    <w:rsid w:val="00256458"/>
    <w:rsid w:val="00263D59"/>
    <w:rsid w:val="00265C6A"/>
    <w:rsid w:val="00267DF3"/>
    <w:rsid w:val="0027227B"/>
    <w:rsid w:val="00273AC7"/>
    <w:rsid w:val="00273BF8"/>
    <w:rsid w:val="00273D2C"/>
    <w:rsid w:val="00276730"/>
    <w:rsid w:val="00280B5A"/>
    <w:rsid w:val="00285ECD"/>
    <w:rsid w:val="002907FC"/>
    <w:rsid w:val="00290E1B"/>
    <w:rsid w:val="00290ECE"/>
    <w:rsid w:val="00291491"/>
    <w:rsid w:val="00291B17"/>
    <w:rsid w:val="002937BD"/>
    <w:rsid w:val="002955C3"/>
    <w:rsid w:val="00296014"/>
    <w:rsid w:val="002963E9"/>
    <w:rsid w:val="002967C0"/>
    <w:rsid w:val="002968EF"/>
    <w:rsid w:val="002A5DEF"/>
    <w:rsid w:val="002A6742"/>
    <w:rsid w:val="002A7724"/>
    <w:rsid w:val="002B317F"/>
    <w:rsid w:val="002B4840"/>
    <w:rsid w:val="002C11D3"/>
    <w:rsid w:val="002C1A7F"/>
    <w:rsid w:val="002C2371"/>
    <w:rsid w:val="002C2FBA"/>
    <w:rsid w:val="002C4239"/>
    <w:rsid w:val="002C5125"/>
    <w:rsid w:val="002C559D"/>
    <w:rsid w:val="002C5628"/>
    <w:rsid w:val="002C6978"/>
    <w:rsid w:val="002D0A80"/>
    <w:rsid w:val="002D16DE"/>
    <w:rsid w:val="002D1745"/>
    <w:rsid w:val="002D2D42"/>
    <w:rsid w:val="002D2FAB"/>
    <w:rsid w:val="002D39BB"/>
    <w:rsid w:val="002D4319"/>
    <w:rsid w:val="002D451C"/>
    <w:rsid w:val="002D5921"/>
    <w:rsid w:val="002E2622"/>
    <w:rsid w:val="002E43E6"/>
    <w:rsid w:val="002E6C37"/>
    <w:rsid w:val="002F06DA"/>
    <w:rsid w:val="002F0C34"/>
    <w:rsid w:val="002F72D0"/>
    <w:rsid w:val="003003AB"/>
    <w:rsid w:val="00300DD4"/>
    <w:rsid w:val="00301C4A"/>
    <w:rsid w:val="003055F5"/>
    <w:rsid w:val="0030782A"/>
    <w:rsid w:val="003107E4"/>
    <w:rsid w:val="00311C49"/>
    <w:rsid w:val="0031381D"/>
    <w:rsid w:val="00316F83"/>
    <w:rsid w:val="00320421"/>
    <w:rsid w:val="0032119E"/>
    <w:rsid w:val="00321304"/>
    <w:rsid w:val="00331192"/>
    <w:rsid w:val="00331F84"/>
    <w:rsid w:val="00336AF3"/>
    <w:rsid w:val="003412BE"/>
    <w:rsid w:val="00341901"/>
    <w:rsid w:val="00345BD9"/>
    <w:rsid w:val="00345BE3"/>
    <w:rsid w:val="00346A13"/>
    <w:rsid w:val="00351F08"/>
    <w:rsid w:val="003535C7"/>
    <w:rsid w:val="00353FF3"/>
    <w:rsid w:val="003647CA"/>
    <w:rsid w:val="003707CE"/>
    <w:rsid w:val="003731E3"/>
    <w:rsid w:val="0037375C"/>
    <w:rsid w:val="003746FA"/>
    <w:rsid w:val="003754A3"/>
    <w:rsid w:val="00377C2B"/>
    <w:rsid w:val="003835D5"/>
    <w:rsid w:val="00383E0E"/>
    <w:rsid w:val="003855DB"/>
    <w:rsid w:val="00391A3C"/>
    <w:rsid w:val="003950A4"/>
    <w:rsid w:val="003974E4"/>
    <w:rsid w:val="00397EBC"/>
    <w:rsid w:val="003A1BEF"/>
    <w:rsid w:val="003A4D5A"/>
    <w:rsid w:val="003B1A63"/>
    <w:rsid w:val="003B208D"/>
    <w:rsid w:val="003B416B"/>
    <w:rsid w:val="003B4736"/>
    <w:rsid w:val="003B51C5"/>
    <w:rsid w:val="003B553D"/>
    <w:rsid w:val="003B6B13"/>
    <w:rsid w:val="003B7EE3"/>
    <w:rsid w:val="003C1F85"/>
    <w:rsid w:val="003C2EE8"/>
    <w:rsid w:val="003C5F80"/>
    <w:rsid w:val="003D01F5"/>
    <w:rsid w:val="003D101A"/>
    <w:rsid w:val="003D12BC"/>
    <w:rsid w:val="003D28DB"/>
    <w:rsid w:val="003D6BF2"/>
    <w:rsid w:val="003D6EBB"/>
    <w:rsid w:val="003E1457"/>
    <w:rsid w:val="003E1F30"/>
    <w:rsid w:val="003E3577"/>
    <w:rsid w:val="003E746D"/>
    <w:rsid w:val="003F17AF"/>
    <w:rsid w:val="003F23D2"/>
    <w:rsid w:val="003F34CE"/>
    <w:rsid w:val="003F3987"/>
    <w:rsid w:val="003F3A61"/>
    <w:rsid w:val="004016FF"/>
    <w:rsid w:val="00403674"/>
    <w:rsid w:val="00404E04"/>
    <w:rsid w:val="00406413"/>
    <w:rsid w:val="00410664"/>
    <w:rsid w:val="004108A3"/>
    <w:rsid w:val="00410A5D"/>
    <w:rsid w:val="0041201B"/>
    <w:rsid w:val="004122B4"/>
    <w:rsid w:val="00412513"/>
    <w:rsid w:val="00412880"/>
    <w:rsid w:val="004129C8"/>
    <w:rsid w:val="0041323F"/>
    <w:rsid w:val="00414675"/>
    <w:rsid w:val="004148B0"/>
    <w:rsid w:val="00414909"/>
    <w:rsid w:val="004155A0"/>
    <w:rsid w:val="00422384"/>
    <w:rsid w:val="00423622"/>
    <w:rsid w:val="00424E45"/>
    <w:rsid w:val="00425730"/>
    <w:rsid w:val="00425A6A"/>
    <w:rsid w:val="00425C51"/>
    <w:rsid w:val="004267D5"/>
    <w:rsid w:val="00426FBB"/>
    <w:rsid w:val="00433D9C"/>
    <w:rsid w:val="004359A5"/>
    <w:rsid w:val="00435B45"/>
    <w:rsid w:val="00437853"/>
    <w:rsid w:val="004378A8"/>
    <w:rsid w:val="00441A59"/>
    <w:rsid w:val="00441DB7"/>
    <w:rsid w:val="004426EF"/>
    <w:rsid w:val="004433F8"/>
    <w:rsid w:val="00443BBE"/>
    <w:rsid w:val="00447675"/>
    <w:rsid w:val="00450B1B"/>
    <w:rsid w:val="00451263"/>
    <w:rsid w:val="004522FD"/>
    <w:rsid w:val="00454A75"/>
    <w:rsid w:val="00455C59"/>
    <w:rsid w:val="00460E12"/>
    <w:rsid w:val="00462D64"/>
    <w:rsid w:val="00465AEB"/>
    <w:rsid w:val="004664C6"/>
    <w:rsid w:val="00473D12"/>
    <w:rsid w:val="0047429A"/>
    <w:rsid w:val="00474865"/>
    <w:rsid w:val="0047599A"/>
    <w:rsid w:val="00480ED8"/>
    <w:rsid w:val="0048374C"/>
    <w:rsid w:val="00483B61"/>
    <w:rsid w:val="0048694E"/>
    <w:rsid w:val="004874D2"/>
    <w:rsid w:val="0048771D"/>
    <w:rsid w:val="00492678"/>
    <w:rsid w:val="004939CF"/>
    <w:rsid w:val="0049511F"/>
    <w:rsid w:val="004A0419"/>
    <w:rsid w:val="004A096A"/>
    <w:rsid w:val="004A0D84"/>
    <w:rsid w:val="004A0E2B"/>
    <w:rsid w:val="004A332D"/>
    <w:rsid w:val="004A625D"/>
    <w:rsid w:val="004A6605"/>
    <w:rsid w:val="004A7494"/>
    <w:rsid w:val="004A7E6C"/>
    <w:rsid w:val="004B090D"/>
    <w:rsid w:val="004B1FC0"/>
    <w:rsid w:val="004B4971"/>
    <w:rsid w:val="004C2868"/>
    <w:rsid w:val="004C45FA"/>
    <w:rsid w:val="004D17F0"/>
    <w:rsid w:val="004D1C58"/>
    <w:rsid w:val="004D21B3"/>
    <w:rsid w:val="004D4EB1"/>
    <w:rsid w:val="004E0EE0"/>
    <w:rsid w:val="004E168E"/>
    <w:rsid w:val="004E1BD8"/>
    <w:rsid w:val="004E1E64"/>
    <w:rsid w:val="004E3998"/>
    <w:rsid w:val="004E452A"/>
    <w:rsid w:val="004E651F"/>
    <w:rsid w:val="004E6B0D"/>
    <w:rsid w:val="004E78E3"/>
    <w:rsid w:val="004F23A8"/>
    <w:rsid w:val="004F6E51"/>
    <w:rsid w:val="005004BF"/>
    <w:rsid w:val="00502E89"/>
    <w:rsid w:val="005050A1"/>
    <w:rsid w:val="00507BB7"/>
    <w:rsid w:val="00507BF4"/>
    <w:rsid w:val="005104E7"/>
    <w:rsid w:val="00510E95"/>
    <w:rsid w:val="00513751"/>
    <w:rsid w:val="00514178"/>
    <w:rsid w:val="0051479C"/>
    <w:rsid w:val="00515D31"/>
    <w:rsid w:val="0052014B"/>
    <w:rsid w:val="00524D6F"/>
    <w:rsid w:val="00524F37"/>
    <w:rsid w:val="00525FED"/>
    <w:rsid w:val="0052602B"/>
    <w:rsid w:val="00527C76"/>
    <w:rsid w:val="00527D56"/>
    <w:rsid w:val="00530221"/>
    <w:rsid w:val="0053221F"/>
    <w:rsid w:val="00534C34"/>
    <w:rsid w:val="00534F82"/>
    <w:rsid w:val="005361B2"/>
    <w:rsid w:val="00536FAE"/>
    <w:rsid w:val="005374CD"/>
    <w:rsid w:val="00537CE8"/>
    <w:rsid w:val="00542C85"/>
    <w:rsid w:val="00542FF6"/>
    <w:rsid w:val="00545185"/>
    <w:rsid w:val="005462EC"/>
    <w:rsid w:val="0054699A"/>
    <w:rsid w:val="00553510"/>
    <w:rsid w:val="00554186"/>
    <w:rsid w:val="00555F91"/>
    <w:rsid w:val="005575CA"/>
    <w:rsid w:val="00557B62"/>
    <w:rsid w:val="00562383"/>
    <w:rsid w:val="00562E55"/>
    <w:rsid w:val="00564560"/>
    <w:rsid w:val="00565806"/>
    <w:rsid w:val="00565FC0"/>
    <w:rsid w:val="00566558"/>
    <w:rsid w:val="005669F7"/>
    <w:rsid w:val="0057024A"/>
    <w:rsid w:val="00571504"/>
    <w:rsid w:val="00573696"/>
    <w:rsid w:val="00575A64"/>
    <w:rsid w:val="0057629C"/>
    <w:rsid w:val="005817EF"/>
    <w:rsid w:val="0058353F"/>
    <w:rsid w:val="00584B8A"/>
    <w:rsid w:val="00585769"/>
    <w:rsid w:val="00590038"/>
    <w:rsid w:val="00591130"/>
    <w:rsid w:val="00591627"/>
    <w:rsid w:val="0059567C"/>
    <w:rsid w:val="00597DC7"/>
    <w:rsid w:val="005A0B16"/>
    <w:rsid w:val="005A2175"/>
    <w:rsid w:val="005A2C47"/>
    <w:rsid w:val="005A3F28"/>
    <w:rsid w:val="005A40BE"/>
    <w:rsid w:val="005A7846"/>
    <w:rsid w:val="005A78CB"/>
    <w:rsid w:val="005A7D5B"/>
    <w:rsid w:val="005B0124"/>
    <w:rsid w:val="005B13E2"/>
    <w:rsid w:val="005B1CB3"/>
    <w:rsid w:val="005B47D7"/>
    <w:rsid w:val="005B6CC9"/>
    <w:rsid w:val="005B7A07"/>
    <w:rsid w:val="005C40BE"/>
    <w:rsid w:val="005C4936"/>
    <w:rsid w:val="005C5526"/>
    <w:rsid w:val="005C59C9"/>
    <w:rsid w:val="005C62C6"/>
    <w:rsid w:val="005C6C81"/>
    <w:rsid w:val="005C79D2"/>
    <w:rsid w:val="005D0380"/>
    <w:rsid w:val="005D331C"/>
    <w:rsid w:val="005D3BCF"/>
    <w:rsid w:val="005D442B"/>
    <w:rsid w:val="005D58CD"/>
    <w:rsid w:val="005D6C95"/>
    <w:rsid w:val="005D73F2"/>
    <w:rsid w:val="005D7B9E"/>
    <w:rsid w:val="005E316F"/>
    <w:rsid w:val="005E4B4B"/>
    <w:rsid w:val="005E5287"/>
    <w:rsid w:val="005E52B3"/>
    <w:rsid w:val="005E68F6"/>
    <w:rsid w:val="005E6EE9"/>
    <w:rsid w:val="005E6F4E"/>
    <w:rsid w:val="005F0834"/>
    <w:rsid w:val="005F283D"/>
    <w:rsid w:val="005F3D0D"/>
    <w:rsid w:val="005F53DF"/>
    <w:rsid w:val="005F6DC3"/>
    <w:rsid w:val="005F719E"/>
    <w:rsid w:val="00600AD9"/>
    <w:rsid w:val="00601A8E"/>
    <w:rsid w:val="00603C1E"/>
    <w:rsid w:val="00603C78"/>
    <w:rsid w:val="00605B5C"/>
    <w:rsid w:val="006067BA"/>
    <w:rsid w:val="006076E3"/>
    <w:rsid w:val="00611E94"/>
    <w:rsid w:val="006131D0"/>
    <w:rsid w:val="0061712B"/>
    <w:rsid w:val="0062033E"/>
    <w:rsid w:val="00620E70"/>
    <w:rsid w:val="00621B28"/>
    <w:rsid w:val="00621C18"/>
    <w:rsid w:val="00624482"/>
    <w:rsid w:val="006253F6"/>
    <w:rsid w:val="006328BB"/>
    <w:rsid w:val="006351EB"/>
    <w:rsid w:val="006363EB"/>
    <w:rsid w:val="00640CB0"/>
    <w:rsid w:val="00645162"/>
    <w:rsid w:val="00647403"/>
    <w:rsid w:val="0064799C"/>
    <w:rsid w:val="0065120C"/>
    <w:rsid w:val="006526A2"/>
    <w:rsid w:val="006528B6"/>
    <w:rsid w:val="00654156"/>
    <w:rsid w:val="00663187"/>
    <w:rsid w:val="0066346B"/>
    <w:rsid w:val="0067244C"/>
    <w:rsid w:val="00672B92"/>
    <w:rsid w:val="00675AB8"/>
    <w:rsid w:val="0067747E"/>
    <w:rsid w:val="006811AD"/>
    <w:rsid w:val="00682D0B"/>
    <w:rsid w:val="006832CD"/>
    <w:rsid w:val="00684475"/>
    <w:rsid w:val="006855C1"/>
    <w:rsid w:val="00685616"/>
    <w:rsid w:val="00691212"/>
    <w:rsid w:val="0069431A"/>
    <w:rsid w:val="00694866"/>
    <w:rsid w:val="00695E42"/>
    <w:rsid w:val="00697E80"/>
    <w:rsid w:val="006A20A8"/>
    <w:rsid w:val="006A3367"/>
    <w:rsid w:val="006A7588"/>
    <w:rsid w:val="006B1473"/>
    <w:rsid w:val="006B2E24"/>
    <w:rsid w:val="006B4584"/>
    <w:rsid w:val="006B47CA"/>
    <w:rsid w:val="006B4B93"/>
    <w:rsid w:val="006B67C4"/>
    <w:rsid w:val="006C09A6"/>
    <w:rsid w:val="006C0CFF"/>
    <w:rsid w:val="006C2361"/>
    <w:rsid w:val="006C2F57"/>
    <w:rsid w:val="006C449C"/>
    <w:rsid w:val="006C7AAA"/>
    <w:rsid w:val="006D1C2A"/>
    <w:rsid w:val="006D264F"/>
    <w:rsid w:val="006D2D9F"/>
    <w:rsid w:val="006D3999"/>
    <w:rsid w:val="006D4308"/>
    <w:rsid w:val="006D46DF"/>
    <w:rsid w:val="006D510A"/>
    <w:rsid w:val="006D5939"/>
    <w:rsid w:val="006E0B09"/>
    <w:rsid w:val="006E2A8D"/>
    <w:rsid w:val="006E46F2"/>
    <w:rsid w:val="006E510E"/>
    <w:rsid w:val="006E56F5"/>
    <w:rsid w:val="006E6E84"/>
    <w:rsid w:val="006E7574"/>
    <w:rsid w:val="006E7644"/>
    <w:rsid w:val="006F0DC1"/>
    <w:rsid w:val="006F4EFC"/>
    <w:rsid w:val="006F7078"/>
    <w:rsid w:val="006F7644"/>
    <w:rsid w:val="00700D5A"/>
    <w:rsid w:val="00703430"/>
    <w:rsid w:val="00703923"/>
    <w:rsid w:val="00705B94"/>
    <w:rsid w:val="007069BE"/>
    <w:rsid w:val="00706D74"/>
    <w:rsid w:val="007158C6"/>
    <w:rsid w:val="007174AA"/>
    <w:rsid w:val="0071790D"/>
    <w:rsid w:val="007201AD"/>
    <w:rsid w:val="007211E2"/>
    <w:rsid w:val="00724CE9"/>
    <w:rsid w:val="00725276"/>
    <w:rsid w:val="00725B9A"/>
    <w:rsid w:val="00726296"/>
    <w:rsid w:val="0072702E"/>
    <w:rsid w:val="00730C46"/>
    <w:rsid w:val="00731175"/>
    <w:rsid w:val="007325AB"/>
    <w:rsid w:val="007326C6"/>
    <w:rsid w:val="0073555D"/>
    <w:rsid w:val="00736E9C"/>
    <w:rsid w:val="0073768F"/>
    <w:rsid w:val="00737F88"/>
    <w:rsid w:val="00742893"/>
    <w:rsid w:val="00745596"/>
    <w:rsid w:val="00745C86"/>
    <w:rsid w:val="00747314"/>
    <w:rsid w:val="00751353"/>
    <w:rsid w:val="00753B8E"/>
    <w:rsid w:val="00756557"/>
    <w:rsid w:val="00760FEC"/>
    <w:rsid w:val="00761E7D"/>
    <w:rsid w:val="00763516"/>
    <w:rsid w:val="00764603"/>
    <w:rsid w:val="00764969"/>
    <w:rsid w:val="00764E91"/>
    <w:rsid w:val="0076604D"/>
    <w:rsid w:val="00767755"/>
    <w:rsid w:val="00770703"/>
    <w:rsid w:val="00770C2A"/>
    <w:rsid w:val="007764C2"/>
    <w:rsid w:val="007823AB"/>
    <w:rsid w:val="00782941"/>
    <w:rsid w:val="00784F7D"/>
    <w:rsid w:val="007861D8"/>
    <w:rsid w:val="00790909"/>
    <w:rsid w:val="00790D71"/>
    <w:rsid w:val="00796123"/>
    <w:rsid w:val="00796362"/>
    <w:rsid w:val="00796415"/>
    <w:rsid w:val="007A4909"/>
    <w:rsid w:val="007B15BD"/>
    <w:rsid w:val="007B2C1E"/>
    <w:rsid w:val="007B32A1"/>
    <w:rsid w:val="007B5A07"/>
    <w:rsid w:val="007C331C"/>
    <w:rsid w:val="007C3557"/>
    <w:rsid w:val="007C55B0"/>
    <w:rsid w:val="007C6069"/>
    <w:rsid w:val="007C68D1"/>
    <w:rsid w:val="007C7D87"/>
    <w:rsid w:val="007D0FCA"/>
    <w:rsid w:val="007D3E71"/>
    <w:rsid w:val="007D4149"/>
    <w:rsid w:val="007D425D"/>
    <w:rsid w:val="007E1DAC"/>
    <w:rsid w:val="007E22C3"/>
    <w:rsid w:val="007E4C61"/>
    <w:rsid w:val="007E502D"/>
    <w:rsid w:val="007E5571"/>
    <w:rsid w:val="007E5C43"/>
    <w:rsid w:val="007E5D6A"/>
    <w:rsid w:val="007E645D"/>
    <w:rsid w:val="007F117A"/>
    <w:rsid w:val="007F4CB4"/>
    <w:rsid w:val="007F6533"/>
    <w:rsid w:val="007F75CA"/>
    <w:rsid w:val="0080135F"/>
    <w:rsid w:val="008022D3"/>
    <w:rsid w:val="0080267C"/>
    <w:rsid w:val="0080281D"/>
    <w:rsid w:val="008110FD"/>
    <w:rsid w:val="00812340"/>
    <w:rsid w:val="00812FEA"/>
    <w:rsid w:val="008133F3"/>
    <w:rsid w:val="00815AD6"/>
    <w:rsid w:val="0081678E"/>
    <w:rsid w:val="00820A96"/>
    <w:rsid w:val="00821E08"/>
    <w:rsid w:val="0082295C"/>
    <w:rsid w:val="00826384"/>
    <w:rsid w:val="00830CF8"/>
    <w:rsid w:val="00834004"/>
    <w:rsid w:val="00834EFD"/>
    <w:rsid w:val="00836B60"/>
    <w:rsid w:val="00837495"/>
    <w:rsid w:val="00837F28"/>
    <w:rsid w:val="0084199D"/>
    <w:rsid w:val="008432C5"/>
    <w:rsid w:val="00843C58"/>
    <w:rsid w:val="008446C4"/>
    <w:rsid w:val="00844B24"/>
    <w:rsid w:val="00844D46"/>
    <w:rsid w:val="0084515F"/>
    <w:rsid w:val="008500E9"/>
    <w:rsid w:val="0085063C"/>
    <w:rsid w:val="0085092D"/>
    <w:rsid w:val="008522CE"/>
    <w:rsid w:val="00854261"/>
    <w:rsid w:val="00854547"/>
    <w:rsid w:val="00855133"/>
    <w:rsid w:val="00855A78"/>
    <w:rsid w:val="00860A77"/>
    <w:rsid w:val="00864B2F"/>
    <w:rsid w:val="008651AC"/>
    <w:rsid w:val="008729C6"/>
    <w:rsid w:val="00877D4C"/>
    <w:rsid w:val="0088677B"/>
    <w:rsid w:val="00887CD9"/>
    <w:rsid w:val="00895428"/>
    <w:rsid w:val="0089571C"/>
    <w:rsid w:val="0089763B"/>
    <w:rsid w:val="008A16E5"/>
    <w:rsid w:val="008A7418"/>
    <w:rsid w:val="008A75EA"/>
    <w:rsid w:val="008B023F"/>
    <w:rsid w:val="008B2B41"/>
    <w:rsid w:val="008B360E"/>
    <w:rsid w:val="008B6122"/>
    <w:rsid w:val="008B6A0D"/>
    <w:rsid w:val="008B6AE3"/>
    <w:rsid w:val="008C3091"/>
    <w:rsid w:val="008C41E2"/>
    <w:rsid w:val="008C74B2"/>
    <w:rsid w:val="008D1045"/>
    <w:rsid w:val="008D7800"/>
    <w:rsid w:val="008E1F0E"/>
    <w:rsid w:val="008E5996"/>
    <w:rsid w:val="008E78A1"/>
    <w:rsid w:val="008E7ABE"/>
    <w:rsid w:val="0090036C"/>
    <w:rsid w:val="00901AE1"/>
    <w:rsid w:val="009024FD"/>
    <w:rsid w:val="00904ACB"/>
    <w:rsid w:val="00907679"/>
    <w:rsid w:val="0091532A"/>
    <w:rsid w:val="009205B4"/>
    <w:rsid w:val="00921692"/>
    <w:rsid w:val="00924504"/>
    <w:rsid w:val="009311CC"/>
    <w:rsid w:val="00933818"/>
    <w:rsid w:val="00934149"/>
    <w:rsid w:val="0093521E"/>
    <w:rsid w:val="00935E4B"/>
    <w:rsid w:val="00936716"/>
    <w:rsid w:val="009502FD"/>
    <w:rsid w:val="00955B59"/>
    <w:rsid w:val="00957D42"/>
    <w:rsid w:val="00960B0C"/>
    <w:rsid w:val="0096199B"/>
    <w:rsid w:val="00962BFC"/>
    <w:rsid w:val="00964E85"/>
    <w:rsid w:val="00966B1C"/>
    <w:rsid w:val="00966F23"/>
    <w:rsid w:val="00975AAB"/>
    <w:rsid w:val="00981F68"/>
    <w:rsid w:val="009871DD"/>
    <w:rsid w:val="00992262"/>
    <w:rsid w:val="009926BC"/>
    <w:rsid w:val="00995342"/>
    <w:rsid w:val="00996099"/>
    <w:rsid w:val="009A10D1"/>
    <w:rsid w:val="009A3D65"/>
    <w:rsid w:val="009A4319"/>
    <w:rsid w:val="009A4F7F"/>
    <w:rsid w:val="009A6C3F"/>
    <w:rsid w:val="009A6D58"/>
    <w:rsid w:val="009A7E14"/>
    <w:rsid w:val="009B02E1"/>
    <w:rsid w:val="009B0A56"/>
    <w:rsid w:val="009B25CF"/>
    <w:rsid w:val="009B30BA"/>
    <w:rsid w:val="009B32C5"/>
    <w:rsid w:val="009B4E39"/>
    <w:rsid w:val="009B73F2"/>
    <w:rsid w:val="009B7A1F"/>
    <w:rsid w:val="009B7B8A"/>
    <w:rsid w:val="009C12BD"/>
    <w:rsid w:val="009C3C3C"/>
    <w:rsid w:val="009C50FE"/>
    <w:rsid w:val="009C6765"/>
    <w:rsid w:val="009C6B7B"/>
    <w:rsid w:val="009C6D40"/>
    <w:rsid w:val="009C7DC3"/>
    <w:rsid w:val="009D0593"/>
    <w:rsid w:val="009D12E7"/>
    <w:rsid w:val="009D6D5E"/>
    <w:rsid w:val="009D71A4"/>
    <w:rsid w:val="009D71FF"/>
    <w:rsid w:val="009D77F4"/>
    <w:rsid w:val="009E0599"/>
    <w:rsid w:val="009E3D3A"/>
    <w:rsid w:val="009E4151"/>
    <w:rsid w:val="009E6C5B"/>
    <w:rsid w:val="009F0F30"/>
    <w:rsid w:val="009F290E"/>
    <w:rsid w:val="009F3044"/>
    <w:rsid w:val="009F388C"/>
    <w:rsid w:val="00A03E75"/>
    <w:rsid w:val="00A10FAF"/>
    <w:rsid w:val="00A11EAF"/>
    <w:rsid w:val="00A12442"/>
    <w:rsid w:val="00A140A6"/>
    <w:rsid w:val="00A15614"/>
    <w:rsid w:val="00A20171"/>
    <w:rsid w:val="00A225AB"/>
    <w:rsid w:val="00A226F9"/>
    <w:rsid w:val="00A3234A"/>
    <w:rsid w:val="00A3275C"/>
    <w:rsid w:val="00A33B12"/>
    <w:rsid w:val="00A34877"/>
    <w:rsid w:val="00A377C1"/>
    <w:rsid w:val="00A425B2"/>
    <w:rsid w:val="00A42776"/>
    <w:rsid w:val="00A45FCE"/>
    <w:rsid w:val="00A4679F"/>
    <w:rsid w:val="00A511AB"/>
    <w:rsid w:val="00A5307D"/>
    <w:rsid w:val="00A5443E"/>
    <w:rsid w:val="00A63573"/>
    <w:rsid w:val="00A638E7"/>
    <w:rsid w:val="00A64B4C"/>
    <w:rsid w:val="00A65884"/>
    <w:rsid w:val="00A7138F"/>
    <w:rsid w:val="00A73461"/>
    <w:rsid w:val="00A75671"/>
    <w:rsid w:val="00A7707B"/>
    <w:rsid w:val="00A773CC"/>
    <w:rsid w:val="00A82C37"/>
    <w:rsid w:val="00A83B91"/>
    <w:rsid w:val="00A83FE0"/>
    <w:rsid w:val="00A904FB"/>
    <w:rsid w:val="00A90828"/>
    <w:rsid w:val="00A91724"/>
    <w:rsid w:val="00A91DE0"/>
    <w:rsid w:val="00A92CEE"/>
    <w:rsid w:val="00A9318B"/>
    <w:rsid w:val="00A9325E"/>
    <w:rsid w:val="00A940CF"/>
    <w:rsid w:val="00A94AC1"/>
    <w:rsid w:val="00A96170"/>
    <w:rsid w:val="00A963DC"/>
    <w:rsid w:val="00A96F1F"/>
    <w:rsid w:val="00A97142"/>
    <w:rsid w:val="00AA1878"/>
    <w:rsid w:val="00AA219B"/>
    <w:rsid w:val="00AA339E"/>
    <w:rsid w:val="00AA3B2A"/>
    <w:rsid w:val="00AA4FB2"/>
    <w:rsid w:val="00AA7ED7"/>
    <w:rsid w:val="00AB1836"/>
    <w:rsid w:val="00AB18B7"/>
    <w:rsid w:val="00AB4043"/>
    <w:rsid w:val="00AB5DCC"/>
    <w:rsid w:val="00AC0288"/>
    <w:rsid w:val="00AC0640"/>
    <w:rsid w:val="00AC1914"/>
    <w:rsid w:val="00AC34A1"/>
    <w:rsid w:val="00AC3D8E"/>
    <w:rsid w:val="00AC5F46"/>
    <w:rsid w:val="00AD27B4"/>
    <w:rsid w:val="00AD335D"/>
    <w:rsid w:val="00AE1C31"/>
    <w:rsid w:val="00AE4668"/>
    <w:rsid w:val="00AE5119"/>
    <w:rsid w:val="00AE5BA1"/>
    <w:rsid w:val="00AE6514"/>
    <w:rsid w:val="00AE6954"/>
    <w:rsid w:val="00AE7FA9"/>
    <w:rsid w:val="00AF3086"/>
    <w:rsid w:val="00AF4E5D"/>
    <w:rsid w:val="00AF4EED"/>
    <w:rsid w:val="00AF6D06"/>
    <w:rsid w:val="00AF6DAD"/>
    <w:rsid w:val="00AF70D5"/>
    <w:rsid w:val="00AF792B"/>
    <w:rsid w:val="00B0076D"/>
    <w:rsid w:val="00B01769"/>
    <w:rsid w:val="00B02A6D"/>
    <w:rsid w:val="00B0512B"/>
    <w:rsid w:val="00B0515C"/>
    <w:rsid w:val="00B065D6"/>
    <w:rsid w:val="00B10582"/>
    <w:rsid w:val="00B115E0"/>
    <w:rsid w:val="00B13375"/>
    <w:rsid w:val="00B13E45"/>
    <w:rsid w:val="00B14546"/>
    <w:rsid w:val="00B15F41"/>
    <w:rsid w:val="00B213F7"/>
    <w:rsid w:val="00B227D4"/>
    <w:rsid w:val="00B244F5"/>
    <w:rsid w:val="00B26C26"/>
    <w:rsid w:val="00B271C0"/>
    <w:rsid w:val="00B2774B"/>
    <w:rsid w:val="00B34D4B"/>
    <w:rsid w:val="00B35B2C"/>
    <w:rsid w:val="00B36C15"/>
    <w:rsid w:val="00B40E83"/>
    <w:rsid w:val="00B431B7"/>
    <w:rsid w:val="00B446BD"/>
    <w:rsid w:val="00B44CA7"/>
    <w:rsid w:val="00B44D82"/>
    <w:rsid w:val="00B5037F"/>
    <w:rsid w:val="00B534EF"/>
    <w:rsid w:val="00B54EC3"/>
    <w:rsid w:val="00B55D5E"/>
    <w:rsid w:val="00B563E9"/>
    <w:rsid w:val="00B56C29"/>
    <w:rsid w:val="00B61354"/>
    <w:rsid w:val="00B64255"/>
    <w:rsid w:val="00B651BA"/>
    <w:rsid w:val="00B659AE"/>
    <w:rsid w:val="00B67AC3"/>
    <w:rsid w:val="00B71CD6"/>
    <w:rsid w:val="00B769E1"/>
    <w:rsid w:val="00B83667"/>
    <w:rsid w:val="00B83D99"/>
    <w:rsid w:val="00B854F2"/>
    <w:rsid w:val="00B86E43"/>
    <w:rsid w:val="00B91180"/>
    <w:rsid w:val="00B9261D"/>
    <w:rsid w:val="00B92CDE"/>
    <w:rsid w:val="00B9399A"/>
    <w:rsid w:val="00B93D62"/>
    <w:rsid w:val="00B94377"/>
    <w:rsid w:val="00B94516"/>
    <w:rsid w:val="00B97A6E"/>
    <w:rsid w:val="00BA0473"/>
    <w:rsid w:val="00BA0CAB"/>
    <w:rsid w:val="00BB005D"/>
    <w:rsid w:val="00BB0742"/>
    <w:rsid w:val="00BB1F5E"/>
    <w:rsid w:val="00BB2855"/>
    <w:rsid w:val="00BB2ECA"/>
    <w:rsid w:val="00BB37DD"/>
    <w:rsid w:val="00BB3FDD"/>
    <w:rsid w:val="00BB5CA0"/>
    <w:rsid w:val="00BB6F58"/>
    <w:rsid w:val="00BB7779"/>
    <w:rsid w:val="00BC09AF"/>
    <w:rsid w:val="00BC2D14"/>
    <w:rsid w:val="00BC2EDB"/>
    <w:rsid w:val="00BC3D06"/>
    <w:rsid w:val="00BC5F6F"/>
    <w:rsid w:val="00BC609B"/>
    <w:rsid w:val="00BC6AD1"/>
    <w:rsid w:val="00BC7CA6"/>
    <w:rsid w:val="00BD19C1"/>
    <w:rsid w:val="00BD25B8"/>
    <w:rsid w:val="00BD36D9"/>
    <w:rsid w:val="00BD519F"/>
    <w:rsid w:val="00BE01B3"/>
    <w:rsid w:val="00BE18D9"/>
    <w:rsid w:val="00BE2231"/>
    <w:rsid w:val="00BE340E"/>
    <w:rsid w:val="00BE373D"/>
    <w:rsid w:val="00BE3E06"/>
    <w:rsid w:val="00BE491D"/>
    <w:rsid w:val="00BF0C88"/>
    <w:rsid w:val="00BF16C3"/>
    <w:rsid w:val="00BF63AA"/>
    <w:rsid w:val="00BF6B1C"/>
    <w:rsid w:val="00C012E1"/>
    <w:rsid w:val="00C04D14"/>
    <w:rsid w:val="00C05326"/>
    <w:rsid w:val="00C06BB4"/>
    <w:rsid w:val="00C06BEA"/>
    <w:rsid w:val="00C10239"/>
    <w:rsid w:val="00C10B80"/>
    <w:rsid w:val="00C10D20"/>
    <w:rsid w:val="00C11FF6"/>
    <w:rsid w:val="00C12E0C"/>
    <w:rsid w:val="00C173C7"/>
    <w:rsid w:val="00C21916"/>
    <w:rsid w:val="00C24453"/>
    <w:rsid w:val="00C2584F"/>
    <w:rsid w:val="00C30532"/>
    <w:rsid w:val="00C32072"/>
    <w:rsid w:val="00C351F4"/>
    <w:rsid w:val="00C37837"/>
    <w:rsid w:val="00C40CF6"/>
    <w:rsid w:val="00C4148B"/>
    <w:rsid w:val="00C457CA"/>
    <w:rsid w:val="00C46E39"/>
    <w:rsid w:val="00C50379"/>
    <w:rsid w:val="00C50962"/>
    <w:rsid w:val="00C5237C"/>
    <w:rsid w:val="00C57FB7"/>
    <w:rsid w:val="00C6231B"/>
    <w:rsid w:val="00C64A6D"/>
    <w:rsid w:val="00C6582D"/>
    <w:rsid w:val="00C658C8"/>
    <w:rsid w:val="00C65F3F"/>
    <w:rsid w:val="00C72414"/>
    <w:rsid w:val="00C74103"/>
    <w:rsid w:val="00C75D06"/>
    <w:rsid w:val="00C848B3"/>
    <w:rsid w:val="00C853A9"/>
    <w:rsid w:val="00C85453"/>
    <w:rsid w:val="00C8667B"/>
    <w:rsid w:val="00C93343"/>
    <w:rsid w:val="00C9695F"/>
    <w:rsid w:val="00C973D4"/>
    <w:rsid w:val="00CA0613"/>
    <w:rsid w:val="00CA10CE"/>
    <w:rsid w:val="00CA1288"/>
    <w:rsid w:val="00CA293E"/>
    <w:rsid w:val="00CA314B"/>
    <w:rsid w:val="00CA3882"/>
    <w:rsid w:val="00CA4B51"/>
    <w:rsid w:val="00CA4CE3"/>
    <w:rsid w:val="00CA4DF3"/>
    <w:rsid w:val="00CA5D47"/>
    <w:rsid w:val="00CA6845"/>
    <w:rsid w:val="00CA7BDF"/>
    <w:rsid w:val="00CB30C3"/>
    <w:rsid w:val="00CB31D1"/>
    <w:rsid w:val="00CC5673"/>
    <w:rsid w:val="00CC7675"/>
    <w:rsid w:val="00CC7873"/>
    <w:rsid w:val="00CD19A9"/>
    <w:rsid w:val="00CD19E1"/>
    <w:rsid w:val="00CD1DFC"/>
    <w:rsid w:val="00CD4F3F"/>
    <w:rsid w:val="00CD6FCB"/>
    <w:rsid w:val="00CE0143"/>
    <w:rsid w:val="00CE153D"/>
    <w:rsid w:val="00CE279C"/>
    <w:rsid w:val="00CF0537"/>
    <w:rsid w:val="00CF2719"/>
    <w:rsid w:val="00CF309E"/>
    <w:rsid w:val="00D007B1"/>
    <w:rsid w:val="00D01E44"/>
    <w:rsid w:val="00D03559"/>
    <w:rsid w:val="00D071D7"/>
    <w:rsid w:val="00D1124B"/>
    <w:rsid w:val="00D1156A"/>
    <w:rsid w:val="00D15690"/>
    <w:rsid w:val="00D15ADA"/>
    <w:rsid w:val="00D201E6"/>
    <w:rsid w:val="00D22B8A"/>
    <w:rsid w:val="00D23054"/>
    <w:rsid w:val="00D253A0"/>
    <w:rsid w:val="00D2572E"/>
    <w:rsid w:val="00D26A94"/>
    <w:rsid w:val="00D26C0A"/>
    <w:rsid w:val="00D30942"/>
    <w:rsid w:val="00D311F8"/>
    <w:rsid w:val="00D31C6A"/>
    <w:rsid w:val="00D32F2D"/>
    <w:rsid w:val="00D35B26"/>
    <w:rsid w:val="00D36B52"/>
    <w:rsid w:val="00D36C21"/>
    <w:rsid w:val="00D372B8"/>
    <w:rsid w:val="00D377C8"/>
    <w:rsid w:val="00D40F6D"/>
    <w:rsid w:val="00D41274"/>
    <w:rsid w:val="00D43326"/>
    <w:rsid w:val="00D43BF3"/>
    <w:rsid w:val="00D4470E"/>
    <w:rsid w:val="00D46A36"/>
    <w:rsid w:val="00D50558"/>
    <w:rsid w:val="00D50F39"/>
    <w:rsid w:val="00D5224C"/>
    <w:rsid w:val="00D52B73"/>
    <w:rsid w:val="00D53335"/>
    <w:rsid w:val="00D5364B"/>
    <w:rsid w:val="00D543F6"/>
    <w:rsid w:val="00D566DD"/>
    <w:rsid w:val="00D67748"/>
    <w:rsid w:val="00D72E3A"/>
    <w:rsid w:val="00D767BB"/>
    <w:rsid w:val="00D77B20"/>
    <w:rsid w:val="00D830EC"/>
    <w:rsid w:val="00D90D9E"/>
    <w:rsid w:val="00D939B0"/>
    <w:rsid w:val="00D94374"/>
    <w:rsid w:val="00D961F2"/>
    <w:rsid w:val="00D97F4B"/>
    <w:rsid w:val="00DA38A9"/>
    <w:rsid w:val="00DA409D"/>
    <w:rsid w:val="00DA54FE"/>
    <w:rsid w:val="00DA5C55"/>
    <w:rsid w:val="00DA6FDB"/>
    <w:rsid w:val="00DB0141"/>
    <w:rsid w:val="00DB0B7A"/>
    <w:rsid w:val="00DB16E0"/>
    <w:rsid w:val="00DB23A6"/>
    <w:rsid w:val="00DB25D3"/>
    <w:rsid w:val="00DB2DF9"/>
    <w:rsid w:val="00DB33FC"/>
    <w:rsid w:val="00DB4376"/>
    <w:rsid w:val="00DB4B5E"/>
    <w:rsid w:val="00DB4EF9"/>
    <w:rsid w:val="00DB5D91"/>
    <w:rsid w:val="00DB5D92"/>
    <w:rsid w:val="00DB7E63"/>
    <w:rsid w:val="00DC2055"/>
    <w:rsid w:val="00DC2AE2"/>
    <w:rsid w:val="00DC54C8"/>
    <w:rsid w:val="00DC56F4"/>
    <w:rsid w:val="00DC5E47"/>
    <w:rsid w:val="00DC7FEB"/>
    <w:rsid w:val="00DD39F2"/>
    <w:rsid w:val="00DD71E8"/>
    <w:rsid w:val="00DD7F83"/>
    <w:rsid w:val="00DE16E9"/>
    <w:rsid w:val="00DE29E1"/>
    <w:rsid w:val="00DE6640"/>
    <w:rsid w:val="00DE6FDC"/>
    <w:rsid w:val="00DE7337"/>
    <w:rsid w:val="00DF47DD"/>
    <w:rsid w:val="00DF7EA1"/>
    <w:rsid w:val="00E00E39"/>
    <w:rsid w:val="00E027AA"/>
    <w:rsid w:val="00E03822"/>
    <w:rsid w:val="00E0641E"/>
    <w:rsid w:val="00E06664"/>
    <w:rsid w:val="00E14E6A"/>
    <w:rsid w:val="00E219B1"/>
    <w:rsid w:val="00E23AE8"/>
    <w:rsid w:val="00E246AD"/>
    <w:rsid w:val="00E24E0B"/>
    <w:rsid w:val="00E2510C"/>
    <w:rsid w:val="00E304BC"/>
    <w:rsid w:val="00E32853"/>
    <w:rsid w:val="00E370B7"/>
    <w:rsid w:val="00E4017B"/>
    <w:rsid w:val="00E401F8"/>
    <w:rsid w:val="00E4041D"/>
    <w:rsid w:val="00E41972"/>
    <w:rsid w:val="00E46425"/>
    <w:rsid w:val="00E46BDE"/>
    <w:rsid w:val="00E47D0E"/>
    <w:rsid w:val="00E518CE"/>
    <w:rsid w:val="00E51E9A"/>
    <w:rsid w:val="00E53FBA"/>
    <w:rsid w:val="00E54851"/>
    <w:rsid w:val="00E549D2"/>
    <w:rsid w:val="00E55408"/>
    <w:rsid w:val="00E578D0"/>
    <w:rsid w:val="00E62C50"/>
    <w:rsid w:val="00E645B9"/>
    <w:rsid w:val="00E65018"/>
    <w:rsid w:val="00E6549F"/>
    <w:rsid w:val="00E65CF3"/>
    <w:rsid w:val="00E66627"/>
    <w:rsid w:val="00E67277"/>
    <w:rsid w:val="00E67C53"/>
    <w:rsid w:val="00E7535B"/>
    <w:rsid w:val="00E8005D"/>
    <w:rsid w:val="00E80253"/>
    <w:rsid w:val="00E805ED"/>
    <w:rsid w:val="00E83893"/>
    <w:rsid w:val="00E8465C"/>
    <w:rsid w:val="00E848D6"/>
    <w:rsid w:val="00E867C4"/>
    <w:rsid w:val="00E94339"/>
    <w:rsid w:val="00E97563"/>
    <w:rsid w:val="00EA3DF7"/>
    <w:rsid w:val="00EB0B63"/>
    <w:rsid w:val="00EB43AD"/>
    <w:rsid w:val="00EB47D4"/>
    <w:rsid w:val="00EB7E34"/>
    <w:rsid w:val="00EC265C"/>
    <w:rsid w:val="00EC2CF3"/>
    <w:rsid w:val="00ED101F"/>
    <w:rsid w:val="00ED23B6"/>
    <w:rsid w:val="00ED3E27"/>
    <w:rsid w:val="00ED61CB"/>
    <w:rsid w:val="00EE1AC4"/>
    <w:rsid w:val="00EE4D49"/>
    <w:rsid w:val="00EE5F87"/>
    <w:rsid w:val="00EE6910"/>
    <w:rsid w:val="00EF2BB7"/>
    <w:rsid w:val="00EF3D27"/>
    <w:rsid w:val="00F00781"/>
    <w:rsid w:val="00F015C4"/>
    <w:rsid w:val="00F01A11"/>
    <w:rsid w:val="00F04AB3"/>
    <w:rsid w:val="00F06A72"/>
    <w:rsid w:val="00F114B5"/>
    <w:rsid w:val="00F117A8"/>
    <w:rsid w:val="00F11E74"/>
    <w:rsid w:val="00F1235E"/>
    <w:rsid w:val="00F12E79"/>
    <w:rsid w:val="00F136F0"/>
    <w:rsid w:val="00F1721E"/>
    <w:rsid w:val="00F20BBB"/>
    <w:rsid w:val="00F2231A"/>
    <w:rsid w:val="00F261BD"/>
    <w:rsid w:val="00F26668"/>
    <w:rsid w:val="00F27EF5"/>
    <w:rsid w:val="00F27FFE"/>
    <w:rsid w:val="00F32E28"/>
    <w:rsid w:val="00F32EB8"/>
    <w:rsid w:val="00F32F25"/>
    <w:rsid w:val="00F34725"/>
    <w:rsid w:val="00F37934"/>
    <w:rsid w:val="00F420F2"/>
    <w:rsid w:val="00F43BD8"/>
    <w:rsid w:val="00F4562B"/>
    <w:rsid w:val="00F5016C"/>
    <w:rsid w:val="00F51C8B"/>
    <w:rsid w:val="00F52E0E"/>
    <w:rsid w:val="00F53BDA"/>
    <w:rsid w:val="00F5406E"/>
    <w:rsid w:val="00F55AAA"/>
    <w:rsid w:val="00F562F3"/>
    <w:rsid w:val="00F61142"/>
    <w:rsid w:val="00F62219"/>
    <w:rsid w:val="00F70C8A"/>
    <w:rsid w:val="00F71755"/>
    <w:rsid w:val="00F727CF"/>
    <w:rsid w:val="00F74B89"/>
    <w:rsid w:val="00F750DB"/>
    <w:rsid w:val="00F75133"/>
    <w:rsid w:val="00F76F68"/>
    <w:rsid w:val="00F77457"/>
    <w:rsid w:val="00F77D06"/>
    <w:rsid w:val="00F803A2"/>
    <w:rsid w:val="00F80960"/>
    <w:rsid w:val="00F8167A"/>
    <w:rsid w:val="00F81A3D"/>
    <w:rsid w:val="00F82159"/>
    <w:rsid w:val="00F831ED"/>
    <w:rsid w:val="00F8568E"/>
    <w:rsid w:val="00F865AC"/>
    <w:rsid w:val="00F87AF6"/>
    <w:rsid w:val="00F87B83"/>
    <w:rsid w:val="00F9191E"/>
    <w:rsid w:val="00F92B2D"/>
    <w:rsid w:val="00F955B6"/>
    <w:rsid w:val="00F963A9"/>
    <w:rsid w:val="00FA0BBF"/>
    <w:rsid w:val="00FA33A4"/>
    <w:rsid w:val="00FA3899"/>
    <w:rsid w:val="00FA4909"/>
    <w:rsid w:val="00FA5876"/>
    <w:rsid w:val="00FA6731"/>
    <w:rsid w:val="00FA6751"/>
    <w:rsid w:val="00FB1048"/>
    <w:rsid w:val="00FB35EE"/>
    <w:rsid w:val="00FB428D"/>
    <w:rsid w:val="00FB62C4"/>
    <w:rsid w:val="00FB7701"/>
    <w:rsid w:val="00FB78CD"/>
    <w:rsid w:val="00FC0E5D"/>
    <w:rsid w:val="00FC1BA5"/>
    <w:rsid w:val="00FC1F20"/>
    <w:rsid w:val="00FC4D97"/>
    <w:rsid w:val="00FC4FA2"/>
    <w:rsid w:val="00FC628F"/>
    <w:rsid w:val="00FC6B0A"/>
    <w:rsid w:val="00FD1AC5"/>
    <w:rsid w:val="00FD5CF0"/>
    <w:rsid w:val="00FD67B3"/>
    <w:rsid w:val="00FD6B26"/>
    <w:rsid w:val="00FD7CAA"/>
    <w:rsid w:val="00FE0AE6"/>
    <w:rsid w:val="00FE6ED3"/>
    <w:rsid w:val="00FF409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2FFC1E"/>
  <w15:docId w15:val="{39D6E12F-1D56-2F46-9CB0-DE6863F125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locked="1" w:semiHidden="1" w:unhideWhenUsed="1"/>
    <w:lsdException w:name="Outline List 2" w:locked="1"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Theme" w:locked="1" w:semiHidden="1" w:unhideWhenUsed="1"/>
    <w:lsdException w:name="Placeholder Text" w:semiHidden="1" w:uiPriority="99"/>
    <w:lsdException w:name="No Spacing"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1790D"/>
    <w:rPr>
      <w:sz w:val="24"/>
      <w:szCs w:val="24"/>
      <w:lang w:val="en-AU" w:eastAsia="zh-CN"/>
    </w:rPr>
  </w:style>
  <w:style w:type="paragraph" w:styleId="1">
    <w:name w:val="heading 1"/>
    <w:basedOn w:val="a"/>
    <w:next w:val="a"/>
    <w:link w:val="10"/>
    <w:uiPriority w:val="9"/>
    <w:qFormat/>
    <w:rsid w:val="00081EBE"/>
    <w:pPr>
      <w:keepNext/>
      <w:spacing w:before="240" w:after="60"/>
      <w:outlineLvl w:val="0"/>
    </w:pPr>
    <w:rPr>
      <w:rFonts w:ascii="Arial" w:hAnsi="Arial" w:cs="Arial"/>
      <w:b/>
      <w:bCs/>
      <w:kern w:val="32"/>
      <w:sz w:val="32"/>
      <w:szCs w:val="32"/>
    </w:rPr>
  </w:style>
  <w:style w:type="paragraph" w:styleId="2">
    <w:name w:val="heading 2"/>
    <w:basedOn w:val="a"/>
    <w:next w:val="a"/>
    <w:qFormat/>
    <w:rsid w:val="0027227B"/>
    <w:pPr>
      <w:keepNext/>
      <w:spacing w:before="240" w:after="60"/>
      <w:outlineLvl w:val="1"/>
    </w:pPr>
    <w:rPr>
      <w:rFonts w:ascii="Arial" w:hAnsi="Arial" w:cs="Arial"/>
      <w:b/>
      <w:bCs/>
      <w:i/>
      <w:iCs/>
      <w:sz w:val="28"/>
      <w:szCs w:val="28"/>
    </w:rPr>
  </w:style>
  <w:style w:type="paragraph" w:styleId="3">
    <w:name w:val="heading 3"/>
    <w:basedOn w:val="a"/>
    <w:next w:val="a"/>
    <w:qFormat/>
    <w:rsid w:val="000C7AEE"/>
    <w:pPr>
      <w:keepNext/>
      <w:numPr>
        <w:ilvl w:val="2"/>
        <w:numId w:val="1"/>
      </w:numPr>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IETPaperTitle">
    <w:name w:val="IET Paper Title"/>
    <w:basedOn w:val="a3"/>
    <w:qFormat/>
    <w:locked/>
    <w:rsid w:val="0071790D"/>
    <w:rPr>
      <w:b/>
      <w:sz w:val="28"/>
    </w:rPr>
  </w:style>
  <w:style w:type="paragraph" w:customStyle="1" w:styleId="IETHeading1">
    <w:name w:val="IET Heading 1"/>
    <w:basedOn w:val="2"/>
    <w:qFormat/>
    <w:locked/>
    <w:rsid w:val="0031381D"/>
    <w:pPr>
      <w:numPr>
        <w:numId w:val="3"/>
      </w:numPr>
    </w:pPr>
    <w:rPr>
      <w:i w:val="0"/>
      <w:sz w:val="24"/>
    </w:rPr>
  </w:style>
  <w:style w:type="paragraph" w:styleId="a3">
    <w:name w:val="header"/>
    <w:basedOn w:val="a"/>
    <w:link w:val="a4"/>
    <w:rsid w:val="0071790D"/>
    <w:pPr>
      <w:tabs>
        <w:tab w:val="center" w:pos="4513"/>
        <w:tab w:val="right" w:pos="9026"/>
      </w:tabs>
    </w:pPr>
  </w:style>
  <w:style w:type="character" w:customStyle="1" w:styleId="a4">
    <w:name w:val="页眉 字符"/>
    <w:basedOn w:val="a0"/>
    <w:link w:val="a3"/>
    <w:rsid w:val="0071790D"/>
    <w:rPr>
      <w:sz w:val="24"/>
      <w:szCs w:val="24"/>
      <w:lang w:val="en-AU" w:eastAsia="zh-CN"/>
    </w:rPr>
  </w:style>
  <w:style w:type="paragraph" w:customStyle="1" w:styleId="IETAbstractText">
    <w:name w:val="IET Abstract Text"/>
    <w:basedOn w:val="a"/>
    <w:next w:val="a"/>
    <w:qFormat/>
    <w:locked/>
    <w:rsid w:val="00A425B2"/>
    <w:rPr>
      <w:b/>
    </w:rPr>
  </w:style>
  <w:style w:type="paragraph" w:customStyle="1" w:styleId="Style1">
    <w:name w:val="Style1"/>
    <w:basedOn w:val="a"/>
    <w:next w:val="a5"/>
    <w:qFormat/>
    <w:locked/>
    <w:rsid w:val="00A425B2"/>
  </w:style>
  <w:style w:type="paragraph" w:customStyle="1" w:styleId="IETParagraph">
    <w:name w:val="IET Paragraph"/>
    <w:basedOn w:val="a"/>
    <w:link w:val="IETParagraph0"/>
    <w:qFormat/>
    <w:locked/>
    <w:rsid w:val="00A425B2"/>
    <w:pPr>
      <w:spacing w:line="360" w:lineRule="auto"/>
      <w:ind w:firstLine="567"/>
      <w:jc w:val="both"/>
    </w:pPr>
  </w:style>
  <w:style w:type="paragraph" w:styleId="a5">
    <w:name w:val="Normal Indent"/>
    <w:basedOn w:val="a"/>
    <w:rsid w:val="00A425B2"/>
    <w:pPr>
      <w:ind w:left="720"/>
    </w:pPr>
  </w:style>
  <w:style w:type="paragraph" w:customStyle="1" w:styleId="IETHeading2">
    <w:name w:val="IET Heading 2"/>
    <w:basedOn w:val="a"/>
    <w:qFormat/>
    <w:locked/>
    <w:rsid w:val="0031381D"/>
    <w:pPr>
      <w:numPr>
        <w:numId w:val="4"/>
      </w:numPr>
    </w:pPr>
    <w:rPr>
      <w:rFonts w:ascii="Arial" w:hAnsi="Arial"/>
      <w:i/>
      <w:sz w:val="22"/>
    </w:rPr>
  </w:style>
  <w:style w:type="paragraph" w:customStyle="1" w:styleId="FigureCaption">
    <w:name w:val="Figure Caption"/>
    <w:basedOn w:val="a"/>
    <w:qFormat/>
    <w:rsid w:val="00AC34A1"/>
    <w:rPr>
      <w:b/>
      <w:i/>
    </w:rPr>
  </w:style>
  <w:style w:type="table" w:styleId="a6">
    <w:name w:val="Table Grid"/>
    <w:basedOn w:val="a1"/>
    <w:locked/>
    <w:rsid w:val="00A03E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ETFigureCaption">
    <w:name w:val="IET Figure Caption"/>
    <w:basedOn w:val="FigureCaption"/>
    <w:locked/>
    <w:rsid w:val="00AC34A1"/>
    <w:rPr>
      <w:b w:val="0"/>
      <w:iCs/>
      <w:sz w:val="20"/>
    </w:rPr>
  </w:style>
  <w:style w:type="paragraph" w:customStyle="1" w:styleId="TableHeading">
    <w:name w:val="Table Heading"/>
    <w:basedOn w:val="IETParagraph"/>
    <w:next w:val="a"/>
    <w:qFormat/>
    <w:locked/>
    <w:rsid w:val="009C7DC3"/>
    <w:pPr>
      <w:spacing w:line="240" w:lineRule="auto"/>
      <w:ind w:firstLine="0"/>
    </w:pPr>
    <w:rPr>
      <w:sz w:val="20"/>
      <w:lang w:val="en-GB"/>
    </w:rPr>
  </w:style>
  <w:style w:type="character" w:styleId="a7">
    <w:name w:val="Strong"/>
    <w:basedOn w:val="a0"/>
    <w:uiPriority w:val="22"/>
    <w:qFormat/>
    <w:rsid w:val="008B023F"/>
    <w:rPr>
      <w:b/>
      <w:bCs/>
    </w:rPr>
  </w:style>
  <w:style w:type="character" w:customStyle="1" w:styleId="apple-converted-space">
    <w:name w:val="apple-converted-space"/>
    <w:basedOn w:val="a0"/>
    <w:locked/>
    <w:rsid w:val="008B023F"/>
  </w:style>
  <w:style w:type="paragraph" w:styleId="a8">
    <w:name w:val="caption"/>
    <w:basedOn w:val="a"/>
    <w:next w:val="a"/>
    <w:qFormat/>
    <w:rsid w:val="00A45FCE"/>
    <w:pPr>
      <w:spacing w:before="120" w:after="120"/>
    </w:pPr>
    <w:rPr>
      <w:b/>
      <w:bCs/>
      <w:sz w:val="20"/>
      <w:szCs w:val="20"/>
    </w:rPr>
  </w:style>
  <w:style w:type="paragraph" w:styleId="a9">
    <w:name w:val="Normal (Web)"/>
    <w:basedOn w:val="a"/>
    <w:uiPriority w:val="99"/>
    <w:unhideWhenUsed/>
    <w:rsid w:val="004A096A"/>
    <w:pPr>
      <w:spacing w:before="100" w:beforeAutospacing="1" w:after="100" w:afterAutospacing="1"/>
    </w:pPr>
    <w:rPr>
      <w:rFonts w:eastAsia="Times New Roman"/>
      <w:lang w:val="en-GB" w:eastAsia="en-GB"/>
    </w:rPr>
  </w:style>
  <w:style w:type="character" w:styleId="aa">
    <w:name w:val="Emphasis"/>
    <w:basedOn w:val="a0"/>
    <w:uiPriority w:val="20"/>
    <w:qFormat/>
    <w:rsid w:val="004A096A"/>
    <w:rPr>
      <w:i/>
      <w:iCs/>
    </w:rPr>
  </w:style>
  <w:style w:type="paragraph" w:customStyle="1" w:styleId="IETReferences">
    <w:name w:val="IET References"/>
    <w:basedOn w:val="IETParagraph"/>
    <w:qFormat/>
    <w:locked/>
    <w:rsid w:val="00014653"/>
    <w:pPr>
      <w:spacing w:line="240" w:lineRule="auto"/>
      <w:ind w:firstLine="0"/>
      <w:jc w:val="left"/>
    </w:pPr>
    <w:rPr>
      <w:sz w:val="22"/>
      <w:lang w:val="en-GB" w:eastAsia="en-GB"/>
    </w:rPr>
  </w:style>
  <w:style w:type="character" w:styleId="ab">
    <w:name w:val="FollowedHyperlink"/>
    <w:basedOn w:val="a0"/>
    <w:rsid w:val="001B4E92"/>
    <w:rPr>
      <w:color w:val="800080"/>
      <w:u w:val="single"/>
    </w:rPr>
  </w:style>
  <w:style w:type="character" w:styleId="ac">
    <w:name w:val="Hyperlink"/>
    <w:basedOn w:val="a0"/>
    <w:rsid w:val="00E867C4"/>
    <w:rPr>
      <w:color w:val="0000FF" w:themeColor="hyperlink"/>
      <w:u w:val="single"/>
    </w:rPr>
  </w:style>
  <w:style w:type="paragraph" w:styleId="ad">
    <w:name w:val="Balloon Text"/>
    <w:basedOn w:val="a"/>
    <w:link w:val="ae"/>
    <w:rsid w:val="00316F83"/>
    <w:rPr>
      <w:rFonts w:ascii="Tahoma" w:hAnsi="Tahoma" w:cs="Tahoma"/>
      <w:sz w:val="16"/>
      <w:szCs w:val="16"/>
    </w:rPr>
  </w:style>
  <w:style w:type="character" w:customStyle="1" w:styleId="ae">
    <w:name w:val="批注框文本 字符"/>
    <w:basedOn w:val="a0"/>
    <w:link w:val="ad"/>
    <w:rsid w:val="00316F83"/>
    <w:rPr>
      <w:rFonts w:ascii="Tahoma" w:hAnsi="Tahoma" w:cs="Tahoma"/>
      <w:sz w:val="16"/>
      <w:szCs w:val="16"/>
      <w:lang w:val="en-AU" w:eastAsia="zh-CN"/>
    </w:rPr>
  </w:style>
  <w:style w:type="character" w:customStyle="1" w:styleId="10">
    <w:name w:val="标题 1 字符"/>
    <w:basedOn w:val="a0"/>
    <w:link w:val="1"/>
    <w:uiPriority w:val="9"/>
    <w:rsid w:val="00316F83"/>
    <w:rPr>
      <w:rFonts w:ascii="Arial" w:hAnsi="Arial" w:cs="Arial"/>
      <w:b/>
      <w:bCs/>
      <w:kern w:val="32"/>
      <w:sz w:val="32"/>
      <w:szCs w:val="32"/>
      <w:lang w:val="en-AU" w:eastAsia="zh-CN"/>
    </w:rPr>
  </w:style>
  <w:style w:type="paragraph" w:styleId="af">
    <w:name w:val="Bibliography"/>
    <w:basedOn w:val="a"/>
    <w:next w:val="a"/>
    <w:uiPriority w:val="37"/>
    <w:unhideWhenUsed/>
    <w:rsid w:val="00316F83"/>
  </w:style>
  <w:style w:type="character" w:styleId="af0">
    <w:name w:val="annotation reference"/>
    <w:basedOn w:val="a0"/>
    <w:rsid w:val="00904ACB"/>
    <w:rPr>
      <w:sz w:val="16"/>
      <w:szCs w:val="16"/>
    </w:rPr>
  </w:style>
  <w:style w:type="paragraph" w:styleId="af1">
    <w:name w:val="annotation text"/>
    <w:basedOn w:val="a"/>
    <w:link w:val="af2"/>
    <w:rsid w:val="00904ACB"/>
    <w:rPr>
      <w:sz w:val="20"/>
      <w:szCs w:val="20"/>
    </w:rPr>
  </w:style>
  <w:style w:type="character" w:customStyle="1" w:styleId="af2">
    <w:name w:val="批注文字 字符"/>
    <w:basedOn w:val="a0"/>
    <w:link w:val="af1"/>
    <w:rsid w:val="00904ACB"/>
    <w:rPr>
      <w:lang w:val="en-AU" w:eastAsia="zh-CN"/>
    </w:rPr>
  </w:style>
  <w:style w:type="paragraph" w:styleId="af3">
    <w:name w:val="annotation subject"/>
    <w:basedOn w:val="af1"/>
    <w:next w:val="af1"/>
    <w:link w:val="af4"/>
    <w:rsid w:val="00904ACB"/>
    <w:rPr>
      <w:b/>
      <w:bCs/>
    </w:rPr>
  </w:style>
  <w:style w:type="character" w:customStyle="1" w:styleId="af4">
    <w:name w:val="批注主题 字符"/>
    <w:basedOn w:val="af2"/>
    <w:link w:val="af3"/>
    <w:rsid w:val="00904ACB"/>
    <w:rPr>
      <w:b/>
      <w:bCs/>
      <w:lang w:val="en-AU" w:eastAsia="zh-CN"/>
    </w:rPr>
  </w:style>
  <w:style w:type="paragraph" w:styleId="af5">
    <w:name w:val="footer"/>
    <w:basedOn w:val="a"/>
    <w:link w:val="af6"/>
    <w:uiPriority w:val="99"/>
    <w:rsid w:val="008B2B41"/>
    <w:pPr>
      <w:tabs>
        <w:tab w:val="center" w:pos="4513"/>
        <w:tab w:val="right" w:pos="9026"/>
      </w:tabs>
    </w:pPr>
  </w:style>
  <w:style w:type="character" w:customStyle="1" w:styleId="af6">
    <w:name w:val="页脚 字符"/>
    <w:basedOn w:val="a0"/>
    <w:link w:val="af5"/>
    <w:uiPriority w:val="99"/>
    <w:rsid w:val="008B2B41"/>
    <w:rPr>
      <w:sz w:val="24"/>
      <w:szCs w:val="24"/>
      <w:lang w:val="en-AU" w:eastAsia="zh-CN"/>
    </w:rPr>
  </w:style>
  <w:style w:type="paragraph" w:styleId="af7">
    <w:name w:val="List Paragraph"/>
    <w:basedOn w:val="a"/>
    <w:uiPriority w:val="34"/>
    <w:qFormat/>
    <w:rsid w:val="00BE373D"/>
    <w:pPr>
      <w:ind w:left="720"/>
      <w:contextualSpacing/>
    </w:pPr>
  </w:style>
  <w:style w:type="character" w:styleId="af8">
    <w:name w:val="Placeholder Text"/>
    <w:basedOn w:val="a0"/>
    <w:uiPriority w:val="99"/>
    <w:semiHidden/>
    <w:rsid w:val="00D1124B"/>
    <w:rPr>
      <w:color w:val="808080"/>
    </w:rPr>
  </w:style>
  <w:style w:type="table" w:styleId="11">
    <w:name w:val="Table Simple 1"/>
    <w:basedOn w:val="a1"/>
    <w:locked/>
    <w:rsid w:val="00C46E3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MTEquationSection">
    <w:name w:val="MTEquationSection"/>
    <w:basedOn w:val="a0"/>
    <w:rsid w:val="0051479C"/>
    <w:rPr>
      <w:rFonts w:ascii="Arial" w:hAnsi="Arial" w:cs="Arial"/>
      <w:vanish/>
      <w:color w:val="FF0000"/>
      <w:sz w:val="24"/>
      <w:szCs w:val="20"/>
    </w:rPr>
  </w:style>
  <w:style w:type="paragraph" w:customStyle="1" w:styleId="MTDisplayEquation">
    <w:name w:val="MTDisplayEquation"/>
    <w:basedOn w:val="IETParagraph"/>
    <w:next w:val="a"/>
    <w:link w:val="MTDisplayEquation0"/>
    <w:rsid w:val="0051479C"/>
    <w:pPr>
      <w:tabs>
        <w:tab w:val="center" w:pos="2440"/>
        <w:tab w:val="right" w:pos="4880"/>
      </w:tabs>
      <w:spacing w:line="240" w:lineRule="auto"/>
    </w:pPr>
    <w:rPr>
      <w:shd w:val="clear" w:color="auto" w:fill="FFFFFF"/>
    </w:rPr>
  </w:style>
  <w:style w:type="character" w:customStyle="1" w:styleId="IETParagraph0">
    <w:name w:val="IET Paragraph 字符"/>
    <w:basedOn w:val="a0"/>
    <w:link w:val="IETParagraph"/>
    <w:rsid w:val="0051479C"/>
    <w:rPr>
      <w:sz w:val="24"/>
      <w:szCs w:val="24"/>
      <w:lang w:val="en-AU" w:eastAsia="zh-CN"/>
    </w:rPr>
  </w:style>
  <w:style w:type="character" w:customStyle="1" w:styleId="MTDisplayEquation0">
    <w:name w:val="MTDisplayEquation 字符"/>
    <w:basedOn w:val="IETParagraph0"/>
    <w:link w:val="MTDisplayEquation"/>
    <w:rsid w:val="0051479C"/>
    <w:rPr>
      <w:sz w:val="24"/>
      <w:szCs w:val="24"/>
      <w:lang w:val="en-AU" w:eastAsia="zh-CN"/>
    </w:rPr>
  </w:style>
  <w:style w:type="paragraph" w:styleId="af9">
    <w:name w:val="Body Text Indent"/>
    <w:basedOn w:val="a"/>
    <w:link w:val="afa"/>
    <w:rsid w:val="00F963A9"/>
    <w:pPr>
      <w:overflowPunct w:val="0"/>
      <w:autoSpaceDE w:val="0"/>
      <w:autoSpaceDN w:val="0"/>
      <w:adjustRightInd w:val="0"/>
      <w:ind w:firstLine="360"/>
      <w:jc w:val="both"/>
      <w:textAlignment w:val="baseline"/>
    </w:pPr>
    <w:rPr>
      <w:rFonts w:ascii="Times" w:hAnsi="Times"/>
      <w:sz w:val="20"/>
      <w:szCs w:val="20"/>
      <w:lang w:val="en-US" w:eastAsia="en-US"/>
    </w:rPr>
  </w:style>
  <w:style w:type="character" w:customStyle="1" w:styleId="afa">
    <w:name w:val="正文文本缩进 字符"/>
    <w:basedOn w:val="a0"/>
    <w:link w:val="af9"/>
    <w:rsid w:val="00F963A9"/>
    <w:rPr>
      <w:rFonts w:ascii="Times" w:hAnsi="Times"/>
      <w:lang w:val="en-US" w:eastAsia="en-US"/>
    </w:rPr>
  </w:style>
  <w:style w:type="character" w:styleId="afb">
    <w:name w:val="Unresolved Mention"/>
    <w:basedOn w:val="a0"/>
    <w:uiPriority w:val="99"/>
    <w:semiHidden/>
    <w:unhideWhenUsed/>
    <w:rsid w:val="00A6357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810137">
      <w:bodyDiv w:val="1"/>
      <w:marLeft w:val="0"/>
      <w:marRight w:val="0"/>
      <w:marTop w:val="0"/>
      <w:marBottom w:val="0"/>
      <w:divBdr>
        <w:top w:val="none" w:sz="0" w:space="0" w:color="auto"/>
        <w:left w:val="none" w:sz="0" w:space="0" w:color="auto"/>
        <w:bottom w:val="none" w:sz="0" w:space="0" w:color="auto"/>
        <w:right w:val="none" w:sz="0" w:space="0" w:color="auto"/>
      </w:divBdr>
    </w:div>
    <w:div w:id="1085958716">
      <w:bodyDiv w:val="1"/>
      <w:marLeft w:val="0"/>
      <w:marRight w:val="0"/>
      <w:marTop w:val="0"/>
      <w:marBottom w:val="0"/>
      <w:divBdr>
        <w:top w:val="none" w:sz="0" w:space="0" w:color="auto"/>
        <w:left w:val="none" w:sz="0" w:space="0" w:color="auto"/>
        <w:bottom w:val="none" w:sz="0" w:space="0" w:color="auto"/>
        <w:right w:val="none" w:sz="0" w:space="0" w:color="auto"/>
      </w:divBdr>
    </w:div>
    <w:div w:id="1250116539">
      <w:bodyDiv w:val="1"/>
      <w:marLeft w:val="0"/>
      <w:marRight w:val="0"/>
      <w:marTop w:val="0"/>
      <w:marBottom w:val="0"/>
      <w:divBdr>
        <w:top w:val="none" w:sz="0" w:space="0" w:color="auto"/>
        <w:left w:val="none" w:sz="0" w:space="0" w:color="auto"/>
        <w:bottom w:val="none" w:sz="0" w:space="0" w:color="auto"/>
        <w:right w:val="none" w:sz="0" w:space="0" w:color="auto"/>
      </w:divBdr>
    </w:div>
    <w:div w:id="1423721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oleObject" Target="embeddings/oleObject6.bin"/><Relationship Id="rId42" Type="http://schemas.openxmlformats.org/officeDocument/2006/relationships/image" Target="media/image17.wmf"/><Relationship Id="rId63" Type="http://schemas.openxmlformats.org/officeDocument/2006/relationships/oleObject" Target="embeddings/oleObject27.bin"/><Relationship Id="rId84" Type="http://schemas.openxmlformats.org/officeDocument/2006/relationships/image" Target="media/image38.wmf"/><Relationship Id="rId138" Type="http://schemas.openxmlformats.org/officeDocument/2006/relationships/image" Target="media/image65.wmf"/><Relationship Id="rId159" Type="http://schemas.openxmlformats.org/officeDocument/2006/relationships/image" Target="media/image75.wmf"/><Relationship Id="rId170" Type="http://schemas.openxmlformats.org/officeDocument/2006/relationships/oleObject" Target="embeddings/oleObject81.bin"/><Relationship Id="rId191" Type="http://schemas.openxmlformats.org/officeDocument/2006/relationships/oleObject" Target="embeddings/oleObject92.bin"/><Relationship Id="rId205" Type="http://schemas.openxmlformats.org/officeDocument/2006/relationships/image" Target="media/image97.wmf"/><Relationship Id="rId226" Type="http://schemas.openxmlformats.org/officeDocument/2006/relationships/image" Target="media/image110.jpeg"/><Relationship Id="rId107" Type="http://schemas.openxmlformats.org/officeDocument/2006/relationships/oleObject" Target="embeddings/oleObject49.bin"/><Relationship Id="rId11" Type="http://schemas.openxmlformats.org/officeDocument/2006/relationships/oleObject" Target="embeddings/oleObject1.bin"/><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oleObject" Target="embeddings/oleObject70.bin"/><Relationship Id="rId5" Type="http://schemas.openxmlformats.org/officeDocument/2006/relationships/webSettings" Target="webSettings.xml"/><Relationship Id="rId95" Type="http://schemas.openxmlformats.org/officeDocument/2006/relationships/oleObject" Target="embeddings/oleObject43.bin"/><Relationship Id="rId160" Type="http://schemas.openxmlformats.org/officeDocument/2006/relationships/oleObject" Target="embeddings/oleObject76.bin"/><Relationship Id="rId181" Type="http://schemas.openxmlformats.org/officeDocument/2006/relationships/oleObject" Target="embeddings/oleObject87.bin"/><Relationship Id="rId216" Type="http://schemas.openxmlformats.org/officeDocument/2006/relationships/oleObject" Target="embeddings/oleObject105.bin"/><Relationship Id="rId22" Type="http://schemas.openxmlformats.org/officeDocument/2006/relationships/image" Target="media/image7.wmf"/><Relationship Id="rId43" Type="http://schemas.openxmlformats.org/officeDocument/2006/relationships/oleObject" Target="embeddings/oleObject17.bin"/><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oleObject" Target="embeddings/oleObject65.bin"/><Relationship Id="rId85" Type="http://schemas.openxmlformats.org/officeDocument/2006/relationships/oleObject" Target="embeddings/oleObject38.bin"/><Relationship Id="rId150" Type="http://schemas.openxmlformats.org/officeDocument/2006/relationships/oleObject" Target="embeddings/oleObject71.bin"/><Relationship Id="rId171" Type="http://schemas.openxmlformats.org/officeDocument/2006/relationships/image" Target="media/image81.wmf"/><Relationship Id="rId192" Type="http://schemas.openxmlformats.org/officeDocument/2006/relationships/image" Target="media/image91.wmf"/><Relationship Id="rId206" Type="http://schemas.openxmlformats.org/officeDocument/2006/relationships/oleObject" Target="embeddings/oleObject100.bin"/><Relationship Id="rId227" Type="http://schemas.openxmlformats.org/officeDocument/2006/relationships/image" Target="media/image111.jpeg"/><Relationship Id="rId12" Type="http://schemas.openxmlformats.org/officeDocument/2006/relationships/image" Target="media/image2.wmf"/><Relationship Id="rId33" Type="http://schemas.openxmlformats.org/officeDocument/2006/relationships/oleObject" Target="embeddings/oleObject12.bin"/><Relationship Id="rId108" Type="http://schemas.openxmlformats.org/officeDocument/2006/relationships/image" Target="media/image50.wmf"/><Relationship Id="rId129" Type="http://schemas.openxmlformats.org/officeDocument/2006/relationships/oleObject" Target="embeddings/oleObject60.bin"/><Relationship Id="rId54" Type="http://schemas.openxmlformats.org/officeDocument/2006/relationships/image" Target="media/image23.wmf"/><Relationship Id="rId75" Type="http://schemas.openxmlformats.org/officeDocument/2006/relationships/oleObject" Target="embeddings/oleObject33.bin"/><Relationship Id="rId96" Type="http://schemas.openxmlformats.org/officeDocument/2006/relationships/image" Target="media/image44.wmf"/><Relationship Id="rId140" Type="http://schemas.openxmlformats.org/officeDocument/2006/relationships/image" Target="media/image66.wmf"/><Relationship Id="rId161" Type="http://schemas.openxmlformats.org/officeDocument/2006/relationships/image" Target="media/image76.wmf"/><Relationship Id="rId182" Type="http://schemas.openxmlformats.org/officeDocument/2006/relationships/image" Target="media/image86.wmf"/><Relationship Id="rId217" Type="http://schemas.openxmlformats.org/officeDocument/2006/relationships/image" Target="media/image103.wmf"/><Relationship Id="rId6" Type="http://schemas.openxmlformats.org/officeDocument/2006/relationships/footnotes" Target="footnotes.xml"/><Relationship Id="rId23" Type="http://schemas.openxmlformats.org/officeDocument/2006/relationships/oleObject" Target="embeddings/oleObject7.bin"/><Relationship Id="rId119" Type="http://schemas.openxmlformats.org/officeDocument/2006/relationships/oleObject" Target="embeddings/oleObject55.bin"/><Relationship Id="rId44" Type="http://schemas.openxmlformats.org/officeDocument/2006/relationships/image" Target="media/image18.wmf"/><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image" Target="media/image61.wmf"/><Relationship Id="rId151" Type="http://schemas.openxmlformats.org/officeDocument/2006/relationships/image" Target="media/image71.wmf"/><Relationship Id="rId172" Type="http://schemas.openxmlformats.org/officeDocument/2006/relationships/oleObject" Target="embeddings/oleObject82.bin"/><Relationship Id="rId193" Type="http://schemas.openxmlformats.org/officeDocument/2006/relationships/oleObject" Target="embeddings/oleObject93.bin"/><Relationship Id="rId207" Type="http://schemas.openxmlformats.org/officeDocument/2006/relationships/image" Target="media/image98.wmf"/><Relationship Id="rId228" Type="http://schemas.openxmlformats.org/officeDocument/2006/relationships/image" Target="media/image112.jpeg"/><Relationship Id="rId13" Type="http://schemas.openxmlformats.org/officeDocument/2006/relationships/oleObject" Target="embeddings/oleObject2.bin"/><Relationship Id="rId109" Type="http://schemas.openxmlformats.org/officeDocument/2006/relationships/oleObject" Target="embeddings/oleObject50.bin"/><Relationship Id="rId34" Type="http://schemas.openxmlformats.org/officeDocument/2006/relationships/image" Target="media/image13.wmf"/><Relationship Id="rId55" Type="http://schemas.openxmlformats.org/officeDocument/2006/relationships/oleObject" Target="embeddings/oleObject23.bin"/><Relationship Id="rId76" Type="http://schemas.openxmlformats.org/officeDocument/2006/relationships/image" Target="media/image34.wmf"/><Relationship Id="rId97" Type="http://schemas.openxmlformats.org/officeDocument/2006/relationships/oleObject" Target="embeddings/oleObject44.bin"/><Relationship Id="rId120" Type="http://schemas.openxmlformats.org/officeDocument/2006/relationships/image" Target="media/image56.wmf"/><Relationship Id="rId141" Type="http://schemas.openxmlformats.org/officeDocument/2006/relationships/oleObject" Target="embeddings/oleObject66.bin"/><Relationship Id="rId7" Type="http://schemas.openxmlformats.org/officeDocument/2006/relationships/endnotes" Target="endnotes.xml"/><Relationship Id="rId162" Type="http://schemas.openxmlformats.org/officeDocument/2006/relationships/oleObject" Target="embeddings/oleObject77.bin"/><Relationship Id="rId183" Type="http://schemas.openxmlformats.org/officeDocument/2006/relationships/oleObject" Target="embeddings/oleObject88.bin"/><Relationship Id="rId218" Type="http://schemas.openxmlformats.org/officeDocument/2006/relationships/oleObject" Target="embeddings/oleObject106.bin"/><Relationship Id="rId24" Type="http://schemas.openxmlformats.org/officeDocument/2006/relationships/image" Target="media/image8.wmf"/><Relationship Id="rId45" Type="http://schemas.openxmlformats.org/officeDocument/2006/relationships/oleObject" Target="embeddings/oleObject18.bin"/><Relationship Id="rId66" Type="http://schemas.openxmlformats.org/officeDocument/2006/relationships/image" Target="media/image29.wmf"/><Relationship Id="rId87" Type="http://schemas.openxmlformats.org/officeDocument/2006/relationships/oleObject" Target="embeddings/oleObject39.bin"/><Relationship Id="rId110" Type="http://schemas.openxmlformats.org/officeDocument/2006/relationships/image" Target="media/image51.wmf"/><Relationship Id="rId131" Type="http://schemas.openxmlformats.org/officeDocument/2006/relationships/oleObject" Target="embeddings/oleObject61.bin"/><Relationship Id="rId152" Type="http://schemas.openxmlformats.org/officeDocument/2006/relationships/oleObject" Target="embeddings/oleObject72.bin"/><Relationship Id="rId173" Type="http://schemas.openxmlformats.org/officeDocument/2006/relationships/image" Target="media/image82.wmf"/><Relationship Id="rId194" Type="http://schemas.openxmlformats.org/officeDocument/2006/relationships/image" Target="media/image92.wmf"/><Relationship Id="rId208" Type="http://schemas.openxmlformats.org/officeDocument/2006/relationships/oleObject" Target="embeddings/oleObject101.bin"/><Relationship Id="rId229" Type="http://schemas.openxmlformats.org/officeDocument/2006/relationships/image" Target="media/image113.jpeg"/><Relationship Id="rId14" Type="http://schemas.openxmlformats.org/officeDocument/2006/relationships/image" Target="media/image3.wmf"/><Relationship Id="rId35" Type="http://schemas.openxmlformats.org/officeDocument/2006/relationships/oleObject" Target="embeddings/oleObject13.bin"/><Relationship Id="rId56" Type="http://schemas.openxmlformats.org/officeDocument/2006/relationships/image" Target="media/image24.wmf"/><Relationship Id="rId77" Type="http://schemas.openxmlformats.org/officeDocument/2006/relationships/oleObject" Target="embeddings/oleObject34.bin"/><Relationship Id="rId100" Type="http://schemas.openxmlformats.org/officeDocument/2006/relationships/oleObject" Target="embeddings/oleObject45.bin"/><Relationship Id="rId8" Type="http://schemas.openxmlformats.org/officeDocument/2006/relationships/footer" Target="footer1.xml"/><Relationship Id="rId98" Type="http://schemas.openxmlformats.org/officeDocument/2006/relationships/image" Target="media/image45.jpeg"/><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image" Target="media/image77.wmf"/><Relationship Id="rId184" Type="http://schemas.openxmlformats.org/officeDocument/2006/relationships/image" Target="media/image87.wmf"/><Relationship Id="rId219" Type="http://schemas.openxmlformats.org/officeDocument/2006/relationships/image" Target="media/image104.wmf"/><Relationship Id="rId230" Type="http://schemas.openxmlformats.org/officeDocument/2006/relationships/fontTable" Target="fontTable.xml"/><Relationship Id="rId25" Type="http://schemas.openxmlformats.org/officeDocument/2006/relationships/oleObject" Target="embeddings/oleObject8.bin"/><Relationship Id="rId46" Type="http://schemas.openxmlformats.org/officeDocument/2006/relationships/image" Target="media/image19.wmf"/><Relationship Id="rId67" Type="http://schemas.openxmlformats.org/officeDocument/2006/relationships/oleObject" Target="embeddings/oleObject29.bin"/><Relationship Id="rId116" Type="http://schemas.openxmlformats.org/officeDocument/2006/relationships/image" Target="media/image54.wmf"/><Relationship Id="rId137" Type="http://schemas.openxmlformats.org/officeDocument/2006/relationships/oleObject" Target="embeddings/oleObject64.bin"/><Relationship Id="rId158" Type="http://schemas.openxmlformats.org/officeDocument/2006/relationships/oleObject" Target="embeddings/oleObject75.bin"/><Relationship Id="rId20" Type="http://schemas.openxmlformats.org/officeDocument/2006/relationships/image" Target="media/image6.wmf"/><Relationship Id="rId41" Type="http://schemas.openxmlformats.org/officeDocument/2006/relationships/oleObject" Target="embeddings/oleObject16.bin"/><Relationship Id="rId62" Type="http://schemas.openxmlformats.org/officeDocument/2006/relationships/image" Target="media/image27.wmf"/><Relationship Id="rId83" Type="http://schemas.openxmlformats.org/officeDocument/2006/relationships/oleObject" Target="embeddings/oleObject37.bin"/><Relationship Id="rId88" Type="http://schemas.openxmlformats.org/officeDocument/2006/relationships/image" Target="media/image40.wmf"/><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image" Target="media/image72.wmf"/><Relationship Id="rId174" Type="http://schemas.openxmlformats.org/officeDocument/2006/relationships/oleObject" Target="embeddings/oleObject83.bin"/><Relationship Id="rId179" Type="http://schemas.openxmlformats.org/officeDocument/2006/relationships/oleObject" Target="embeddings/oleObject86.bin"/><Relationship Id="rId195" Type="http://schemas.openxmlformats.org/officeDocument/2006/relationships/oleObject" Target="embeddings/oleObject94.bin"/><Relationship Id="rId209" Type="http://schemas.openxmlformats.org/officeDocument/2006/relationships/image" Target="media/image99.wmf"/><Relationship Id="rId190" Type="http://schemas.openxmlformats.org/officeDocument/2006/relationships/image" Target="media/image90.wmf"/><Relationship Id="rId204" Type="http://schemas.openxmlformats.org/officeDocument/2006/relationships/oleObject" Target="embeddings/oleObject99.bin"/><Relationship Id="rId220" Type="http://schemas.openxmlformats.org/officeDocument/2006/relationships/oleObject" Target="embeddings/oleObject107.bin"/><Relationship Id="rId225" Type="http://schemas.openxmlformats.org/officeDocument/2006/relationships/image" Target="media/image109.jpeg"/><Relationship Id="rId15" Type="http://schemas.openxmlformats.org/officeDocument/2006/relationships/oleObject" Target="embeddings/oleObject3.bin"/><Relationship Id="rId36" Type="http://schemas.openxmlformats.org/officeDocument/2006/relationships/image" Target="media/image14.wmf"/><Relationship Id="rId57" Type="http://schemas.openxmlformats.org/officeDocument/2006/relationships/oleObject" Target="embeddings/oleObject24.bin"/><Relationship Id="rId106" Type="http://schemas.openxmlformats.org/officeDocument/2006/relationships/image" Target="media/image49.wmf"/><Relationship Id="rId127" Type="http://schemas.openxmlformats.org/officeDocument/2006/relationships/oleObject" Target="embeddings/oleObject59.bin"/><Relationship Id="rId10" Type="http://schemas.openxmlformats.org/officeDocument/2006/relationships/image" Target="media/image1.wmf"/><Relationship Id="rId31" Type="http://schemas.openxmlformats.org/officeDocument/2006/relationships/oleObject" Target="embeddings/oleObject11.bin"/><Relationship Id="rId52" Type="http://schemas.openxmlformats.org/officeDocument/2006/relationships/image" Target="media/image22.wmf"/><Relationship Id="rId73" Type="http://schemas.openxmlformats.org/officeDocument/2006/relationships/oleObject" Target="embeddings/oleObject32.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7.wmf"/><Relationship Id="rId143" Type="http://schemas.openxmlformats.org/officeDocument/2006/relationships/oleObject" Target="embeddings/oleObject67.bin"/><Relationship Id="rId148" Type="http://schemas.openxmlformats.org/officeDocument/2006/relationships/image" Target="media/image70.wmf"/><Relationship Id="rId164" Type="http://schemas.openxmlformats.org/officeDocument/2006/relationships/oleObject" Target="embeddings/oleObject78.bin"/><Relationship Id="rId169" Type="http://schemas.openxmlformats.org/officeDocument/2006/relationships/image" Target="media/image80.wmf"/><Relationship Id="rId185" Type="http://schemas.openxmlformats.org/officeDocument/2006/relationships/oleObject" Target="embeddings/oleObject89.bin"/><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image" Target="media/image85.wmf"/><Relationship Id="rId210" Type="http://schemas.openxmlformats.org/officeDocument/2006/relationships/oleObject" Target="embeddings/oleObject102.bin"/><Relationship Id="rId215" Type="http://schemas.openxmlformats.org/officeDocument/2006/relationships/image" Target="media/image102.wmf"/><Relationship Id="rId26" Type="http://schemas.openxmlformats.org/officeDocument/2006/relationships/image" Target="media/image9.wmf"/><Relationship Id="rId231" Type="http://schemas.openxmlformats.org/officeDocument/2006/relationships/theme" Target="theme/theme1.xml"/><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0.bin"/><Relationship Id="rId112" Type="http://schemas.openxmlformats.org/officeDocument/2006/relationships/image" Target="media/image52.wmf"/><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4.bin"/><Relationship Id="rId196" Type="http://schemas.openxmlformats.org/officeDocument/2006/relationships/oleObject" Target="embeddings/oleObject95.bin"/><Relationship Id="rId200" Type="http://schemas.openxmlformats.org/officeDocument/2006/relationships/oleObject" Target="embeddings/oleObject97.bin"/><Relationship Id="rId16" Type="http://schemas.openxmlformats.org/officeDocument/2006/relationships/image" Target="media/image4.wmf"/><Relationship Id="rId221" Type="http://schemas.openxmlformats.org/officeDocument/2006/relationships/image" Target="media/image105.jpeg"/><Relationship Id="rId37" Type="http://schemas.openxmlformats.org/officeDocument/2006/relationships/oleObject" Target="embeddings/oleObject14.bin"/><Relationship Id="rId58" Type="http://schemas.openxmlformats.org/officeDocument/2006/relationships/image" Target="media/image25.wmf"/><Relationship Id="rId79" Type="http://schemas.openxmlformats.org/officeDocument/2006/relationships/oleObject" Target="embeddings/oleObject35.bin"/><Relationship Id="rId102" Type="http://schemas.openxmlformats.org/officeDocument/2006/relationships/oleObject" Target="embeddings/oleObject46.bin"/><Relationship Id="rId123" Type="http://schemas.openxmlformats.org/officeDocument/2006/relationships/oleObject" Target="embeddings/oleObject57.bin"/><Relationship Id="rId144" Type="http://schemas.openxmlformats.org/officeDocument/2006/relationships/image" Target="media/image68.wmf"/><Relationship Id="rId90" Type="http://schemas.openxmlformats.org/officeDocument/2006/relationships/image" Target="media/image41.wmf"/><Relationship Id="rId165" Type="http://schemas.openxmlformats.org/officeDocument/2006/relationships/image" Target="media/image78.wmf"/><Relationship Id="rId186" Type="http://schemas.openxmlformats.org/officeDocument/2006/relationships/image" Target="media/image88.wmf"/><Relationship Id="rId211" Type="http://schemas.openxmlformats.org/officeDocument/2006/relationships/image" Target="media/image100.wmf"/><Relationship Id="rId27" Type="http://schemas.openxmlformats.org/officeDocument/2006/relationships/oleObject" Target="embeddings/oleObject9.bin"/><Relationship Id="rId48" Type="http://schemas.openxmlformats.org/officeDocument/2006/relationships/image" Target="media/image20.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image" Target="media/image63.wmf"/><Relationship Id="rId80" Type="http://schemas.openxmlformats.org/officeDocument/2006/relationships/image" Target="media/image36.wmf"/><Relationship Id="rId155" Type="http://schemas.openxmlformats.org/officeDocument/2006/relationships/image" Target="media/image73.wmf"/><Relationship Id="rId176" Type="http://schemas.openxmlformats.org/officeDocument/2006/relationships/image" Target="media/image83.wmf"/><Relationship Id="rId197" Type="http://schemas.openxmlformats.org/officeDocument/2006/relationships/image" Target="media/image93.wmf"/><Relationship Id="rId201" Type="http://schemas.openxmlformats.org/officeDocument/2006/relationships/image" Target="media/image95.wmf"/><Relationship Id="rId222" Type="http://schemas.openxmlformats.org/officeDocument/2006/relationships/image" Target="media/image106.jpeg"/><Relationship Id="rId17" Type="http://schemas.openxmlformats.org/officeDocument/2006/relationships/oleObject" Target="embeddings/oleObject4.bin"/><Relationship Id="rId38" Type="http://schemas.openxmlformats.org/officeDocument/2006/relationships/image" Target="media/image15.wmf"/><Relationship Id="rId59" Type="http://schemas.openxmlformats.org/officeDocument/2006/relationships/oleObject" Target="embeddings/oleObject25.bin"/><Relationship Id="rId103" Type="http://schemas.openxmlformats.org/officeDocument/2006/relationships/oleObject" Target="embeddings/oleObject47.bin"/><Relationship Id="rId124" Type="http://schemas.openxmlformats.org/officeDocument/2006/relationships/image" Target="media/image58.wmf"/><Relationship Id="rId70" Type="http://schemas.openxmlformats.org/officeDocument/2006/relationships/image" Target="media/image31.wmf"/><Relationship Id="rId91" Type="http://schemas.openxmlformats.org/officeDocument/2006/relationships/oleObject" Target="embeddings/oleObject41.bin"/><Relationship Id="rId145" Type="http://schemas.openxmlformats.org/officeDocument/2006/relationships/oleObject" Target="embeddings/oleObject68.bin"/><Relationship Id="rId166" Type="http://schemas.openxmlformats.org/officeDocument/2006/relationships/oleObject" Target="embeddings/oleObject79.bin"/><Relationship Id="rId187" Type="http://schemas.openxmlformats.org/officeDocument/2006/relationships/oleObject" Target="embeddings/oleObject90.bin"/><Relationship Id="rId1" Type="http://schemas.openxmlformats.org/officeDocument/2006/relationships/customXml" Target="../customXml/item1.xml"/><Relationship Id="rId212" Type="http://schemas.openxmlformats.org/officeDocument/2006/relationships/oleObject" Target="embeddings/oleObject103.bin"/><Relationship Id="rId28" Type="http://schemas.openxmlformats.org/officeDocument/2006/relationships/image" Target="media/image10.wmf"/><Relationship Id="rId49" Type="http://schemas.openxmlformats.org/officeDocument/2006/relationships/oleObject" Target="embeddings/oleObject20.bin"/><Relationship Id="rId114" Type="http://schemas.openxmlformats.org/officeDocument/2006/relationships/image" Target="media/image53.wmf"/><Relationship Id="rId60" Type="http://schemas.openxmlformats.org/officeDocument/2006/relationships/image" Target="media/image26.wmf"/><Relationship Id="rId81" Type="http://schemas.openxmlformats.org/officeDocument/2006/relationships/oleObject" Target="embeddings/oleObject36.bin"/><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5.bin"/><Relationship Id="rId198" Type="http://schemas.openxmlformats.org/officeDocument/2006/relationships/oleObject" Target="embeddings/oleObject96.bin"/><Relationship Id="rId202" Type="http://schemas.openxmlformats.org/officeDocument/2006/relationships/oleObject" Target="embeddings/oleObject98.bin"/><Relationship Id="rId223" Type="http://schemas.openxmlformats.org/officeDocument/2006/relationships/image" Target="media/image107.jpeg"/><Relationship Id="rId18" Type="http://schemas.openxmlformats.org/officeDocument/2006/relationships/image" Target="media/image5.wmf"/><Relationship Id="rId39" Type="http://schemas.openxmlformats.org/officeDocument/2006/relationships/oleObject" Target="embeddings/oleObject15.bin"/><Relationship Id="rId50" Type="http://schemas.openxmlformats.org/officeDocument/2006/relationships/image" Target="media/image21.wmf"/><Relationship Id="rId104" Type="http://schemas.openxmlformats.org/officeDocument/2006/relationships/image" Target="media/image48.wmf"/><Relationship Id="rId125" Type="http://schemas.openxmlformats.org/officeDocument/2006/relationships/oleObject" Target="embeddings/oleObject58.bin"/><Relationship Id="rId146" Type="http://schemas.openxmlformats.org/officeDocument/2006/relationships/image" Target="media/image69.wmf"/><Relationship Id="rId167" Type="http://schemas.openxmlformats.org/officeDocument/2006/relationships/image" Target="media/image79.wmf"/><Relationship Id="rId188" Type="http://schemas.openxmlformats.org/officeDocument/2006/relationships/image" Target="media/image89.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101.wmf"/><Relationship Id="rId2" Type="http://schemas.openxmlformats.org/officeDocument/2006/relationships/numbering" Target="numbering.xml"/><Relationship Id="rId29" Type="http://schemas.openxmlformats.org/officeDocument/2006/relationships/oleObject" Target="embeddings/oleObject10.bin"/><Relationship Id="rId40" Type="http://schemas.openxmlformats.org/officeDocument/2006/relationships/image" Target="media/image16.wmf"/><Relationship Id="rId115" Type="http://schemas.openxmlformats.org/officeDocument/2006/relationships/oleObject" Target="embeddings/oleObject53.bin"/><Relationship Id="rId136" Type="http://schemas.openxmlformats.org/officeDocument/2006/relationships/image" Target="media/image64.wmf"/><Relationship Id="rId157" Type="http://schemas.openxmlformats.org/officeDocument/2006/relationships/image" Target="media/image74.wmf"/><Relationship Id="rId178" Type="http://schemas.openxmlformats.org/officeDocument/2006/relationships/image" Target="media/image84.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94.wmf"/><Relationship Id="rId203" Type="http://schemas.openxmlformats.org/officeDocument/2006/relationships/image" Target="media/image96.wmf"/><Relationship Id="rId19" Type="http://schemas.openxmlformats.org/officeDocument/2006/relationships/oleObject" Target="embeddings/oleObject5.bin"/><Relationship Id="rId224" Type="http://schemas.openxmlformats.org/officeDocument/2006/relationships/image" Target="media/image108.jpeg"/><Relationship Id="rId30" Type="http://schemas.openxmlformats.org/officeDocument/2006/relationships/image" Target="media/image11.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69.bin"/><Relationship Id="rId168" Type="http://schemas.openxmlformats.org/officeDocument/2006/relationships/oleObject" Target="embeddings/oleObject80.bin"/><Relationship Id="rId51" Type="http://schemas.openxmlformats.org/officeDocument/2006/relationships/oleObject" Target="embeddings/oleObject21.bin"/><Relationship Id="rId72" Type="http://schemas.openxmlformats.org/officeDocument/2006/relationships/image" Target="media/image32.wmf"/><Relationship Id="rId93" Type="http://schemas.openxmlformats.org/officeDocument/2006/relationships/oleObject" Target="embeddings/oleObject42.bin"/><Relationship Id="rId189" Type="http://schemas.openxmlformats.org/officeDocument/2006/relationships/oleObject" Target="embeddings/oleObject91.bin"/><Relationship Id="rId3" Type="http://schemas.openxmlformats.org/officeDocument/2006/relationships/styles" Target="styles.xml"/><Relationship Id="rId214" Type="http://schemas.openxmlformats.org/officeDocument/2006/relationships/oleObject" Target="embeddings/oleObject104.bin"/></Relationships>
</file>

<file path=word/_rels/settings.xml.rels><?xml version="1.0" encoding="UTF-8" standalone="yes"?>
<Relationships xmlns="http://schemas.openxmlformats.org/package/2006/relationships"><Relationship Id="rId1" Type="http://schemas.openxmlformats.org/officeDocument/2006/relationships/attachedTemplate" Target="file:///D:\&#24377;&#24615;&#35268;&#21010;\New_submissions_word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IET14</b:Tag>
    <b:SourceType>InternetSite</b:SourceType>
    <b:Guid>{63254D8E-9EA9-42D7-9576-CEB349B0702B}</b:Guid>
    <b:Title>Author Guide - IET Research Journals</b:Title>
    <b:Author>
      <b:Author>
        <b:Corporate>IET Digital Library</b:Corporate>
      </b:Author>
    </b:Author>
    <b:InternetSiteTitle>IET Digital Library</b:InternetSiteTitle>
    <b:YearAccessed>2014</b:YearAccessed>
    <b:MonthAccessed>November</b:MonthAccessed>
    <b:DayAccessed>27</b:DayAccessed>
    <b:URL>http://digital-library.theiet.org/journals/author-guide</b:URL>
    <b:RefOrder>1</b:RefOrder>
  </b:Source>
</b:Sources>
</file>

<file path=customXml/itemProps1.xml><?xml version="1.0" encoding="utf-8"?>
<ds:datastoreItem xmlns:ds="http://schemas.openxmlformats.org/officeDocument/2006/customXml" ds:itemID="{59521283-E863-436D-A09F-251E2D640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New_submissions_word_template</Template>
  <TotalTime>900</TotalTime>
  <Pages>10</Pages>
  <Words>7163</Words>
  <Characters>40835</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IET Submission Template</vt:lpstr>
    </vt:vector>
  </TitlesOfParts>
  <Company>Institution of Engineering and Technology</Company>
  <LinksUpToDate>false</LinksUpToDate>
  <CharactersWithSpaces>47903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 Submission Template</dc:title>
  <dc:subject/>
  <dc:creator>whk</dc:creator>
  <cp:keywords/>
  <dc:description/>
  <cp:lastModifiedBy>宏 张</cp:lastModifiedBy>
  <cp:revision>1455</cp:revision>
  <cp:lastPrinted>2008-01-18T19:55:00Z</cp:lastPrinted>
  <dcterms:created xsi:type="dcterms:W3CDTF">2019-09-12T11:18:00Z</dcterms:created>
  <dcterms:modified xsi:type="dcterms:W3CDTF">2023-10-13T10:32:00Z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WinEqns">
    <vt:bool>true</vt:bool>
  </property>
  <property fmtid="{D5CDD505-2E9C-101B-9397-08002B2CF9AE}" pid="4" name="MTEquationNumber2">
    <vt:lpwstr>(#E1)</vt:lpwstr>
  </property>
</Properties>
</file>