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9BF488" w14:textId="77777777" w:rsidR="00D3112F" w:rsidRPr="00477BC0" w:rsidRDefault="00D3112F" w:rsidP="007E14D0"/>
    <w:p w14:paraId="2D38627E" w14:textId="5F4A1A09" w:rsidR="00062A61" w:rsidRPr="002C2A73" w:rsidRDefault="00477BC0" w:rsidP="00062A61">
      <w:pPr>
        <w:pStyle w:val="Heading1"/>
        <w:rPr>
          <w:rFonts w:ascii="Times New Roman" w:hAnsi="Times New Roman" w:cs="Times New Roman"/>
          <w:sz w:val="20"/>
          <w:szCs w:val="20"/>
        </w:rPr>
      </w:pPr>
      <w:bookmarkStart w:id="0" w:name="_Hlk143089967"/>
      <w:r w:rsidRPr="00477BC0">
        <w:rPr>
          <w:rFonts w:ascii="Times New Roman" w:hAnsi="Times New Roman" w:cs="Times New Roman"/>
          <w:b/>
          <w:bCs/>
          <w:color w:val="000000" w:themeColor="text1"/>
          <w:sz w:val="24"/>
          <w:szCs w:val="24"/>
        </w:rPr>
        <w:t>INTRODUCTION</w:t>
      </w:r>
    </w:p>
    <w:p w14:paraId="706E8E3B" w14:textId="6D366429" w:rsidR="00F75C30" w:rsidRDefault="00F41660" w:rsidP="00DE5902">
      <w:pPr>
        <w:jc w:val="both"/>
        <w:rPr>
          <w:sz w:val="20"/>
          <w:szCs w:val="20"/>
        </w:rPr>
      </w:pPr>
      <w:r w:rsidRPr="6B9B7D4D">
        <w:rPr>
          <w:sz w:val="20"/>
          <w:szCs w:val="20"/>
        </w:rPr>
        <w:t xml:space="preserve">Resistant labile </w:t>
      </w:r>
      <w:r w:rsidR="00062A61" w:rsidRPr="6B9B7D4D">
        <w:rPr>
          <w:sz w:val="20"/>
          <w:szCs w:val="20"/>
        </w:rPr>
        <w:t>hypertension</w:t>
      </w:r>
      <w:r w:rsidRPr="6B9B7D4D">
        <w:rPr>
          <w:sz w:val="20"/>
          <w:szCs w:val="20"/>
        </w:rPr>
        <w:t>, often indicative of underlying pathologies,</w:t>
      </w:r>
      <w:r w:rsidR="008775A8" w:rsidRPr="6B9B7D4D">
        <w:rPr>
          <w:sz w:val="20"/>
          <w:szCs w:val="20"/>
        </w:rPr>
        <w:t xml:space="preserve"> </w:t>
      </w:r>
      <w:r w:rsidR="00062A61" w:rsidRPr="6B9B7D4D">
        <w:rPr>
          <w:sz w:val="20"/>
          <w:szCs w:val="20"/>
        </w:rPr>
        <w:t>can be a perplexing clinical entity to diagnose and manage</w:t>
      </w:r>
      <w:r w:rsidRPr="6B9B7D4D">
        <w:rPr>
          <w:sz w:val="20"/>
          <w:szCs w:val="20"/>
        </w:rPr>
        <w:t xml:space="preserve">, </w:t>
      </w:r>
      <w:r w:rsidR="008775A8" w:rsidRPr="6B9B7D4D">
        <w:rPr>
          <w:sz w:val="20"/>
          <w:szCs w:val="20"/>
        </w:rPr>
        <w:t>with adrenal neuroendocrine paragangliomas being a notable culprit.</w:t>
      </w:r>
      <w:r w:rsidRPr="6B9B7D4D">
        <w:rPr>
          <w:sz w:val="20"/>
          <w:szCs w:val="20"/>
        </w:rPr>
        <w:t xml:space="preserve"> We present a unique case of a young male whose sole presentation was resistant hypertension, lacking classic symptoms of catecholamine excess, traced to a paraganglioma in the Organ of </w:t>
      </w:r>
      <w:r w:rsidR="0033525B" w:rsidRPr="6B9B7D4D">
        <w:rPr>
          <w:sz w:val="20"/>
          <w:szCs w:val="20"/>
        </w:rPr>
        <w:t>Zuckerkandl. Emphasising</w:t>
      </w:r>
      <w:r w:rsidRPr="6B9B7D4D">
        <w:rPr>
          <w:sz w:val="20"/>
          <w:szCs w:val="20"/>
        </w:rPr>
        <w:t xml:space="preserve"> </w:t>
      </w:r>
      <w:r w:rsidR="00062A61" w:rsidRPr="6B9B7D4D">
        <w:rPr>
          <w:sz w:val="20"/>
          <w:szCs w:val="20"/>
        </w:rPr>
        <w:t xml:space="preserve">the </w:t>
      </w:r>
      <w:r w:rsidRPr="6B9B7D4D">
        <w:rPr>
          <w:sz w:val="20"/>
          <w:szCs w:val="20"/>
        </w:rPr>
        <w:t>diagnostic and therapeutic challenges</w:t>
      </w:r>
      <w:r w:rsidR="00062A61" w:rsidRPr="6B9B7D4D">
        <w:rPr>
          <w:sz w:val="20"/>
          <w:szCs w:val="20"/>
        </w:rPr>
        <w:t xml:space="preserve">, </w:t>
      </w:r>
      <w:r w:rsidRPr="6B9B7D4D">
        <w:rPr>
          <w:sz w:val="20"/>
          <w:szCs w:val="20"/>
        </w:rPr>
        <w:t xml:space="preserve">particularly </w:t>
      </w:r>
      <w:r w:rsidR="00062A61" w:rsidRPr="6B9B7D4D">
        <w:rPr>
          <w:sz w:val="20"/>
          <w:szCs w:val="20"/>
        </w:rPr>
        <w:t xml:space="preserve">when conventional antihypertensive therapies </w:t>
      </w:r>
      <w:r w:rsidRPr="6B9B7D4D">
        <w:rPr>
          <w:sz w:val="20"/>
          <w:szCs w:val="20"/>
        </w:rPr>
        <w:t>prove ineffective</w:t>
      </w:r>
      <w:r w:rsidR="00062A61" w:rsidRPr="6B9B7D4D">
        <w:rPr>
          <w:sz w:val="20"/>
          <w:szCs w:val="20"/>
        </w:rPr>
        <w:t xml:space="preserve">, this report </w:t>
      </w:r>
      <w:r w:rsidRPr="6B9B7D4D">
        <w:rPr>
          <w:sz w:val="20"/>
          <w:szCs w:val="20"/>
        </w:rPr>
        <w:t>advocates for</w:t>
      </w:r>
      <w:r w:rsidR="00062A61" w:rsidRPr="6B9B7D4D">
        <w:rPr>
          <w:sz w:val="20"/>
          <w:szCs w:val="20"/>
        </w:rPr>
        <w:t xml:space="preserve"> an integrative diagnostic strategy and </w:t>
      </w:r>
      <w:r w:rsidRPr="6B9B7D4D">
        <w:rPr>
          <w:sz w:val="20"/>
          <w:szCs w:val="20"/>
        </w:rPr>
        <w:t xml:space="preserve">multidisciplinary </w:t>
      </w:r>
      <w:r w:rsidR="00062A61" w:rsidRPr="6B9B7D4D">
        <w:rPr>
          <w:sz w:val="20"/>
          <w:szCs w:val="20"/>
        </w:rPr>
        <w:t xml:space="preserve">treatment approach. By shedding light on this </w:t>
      </w:r>
      <w:r w:rsidR="003E301A" w:rsidRPr="6B9B7D4D">
        <w:rPr>
          <w:sz w:val="20"/>
          <w:szCs w:val="20"/>
        </w:rPr>
        <w:t xml:space="preserve">diagnostic labyrinth, </w:t>
      </w:r>
      <w:r w:rsidR="00062A61" w:rsidRPr="6B9B7D4D">
        <w:rPr>
          <w:sz w:val="20"/>
          <w:szCs w:val="20"/>
        </w:rPr>
        <w:t xml:space="preserve">we </w:t>
      </w:r>
      <w:r w:rsidR="006C2B5B" w:rsidRPr="6B9B7D4D">
        <w:rPr>
          <w:sz w:val="20"/>
          <w:szCs w:val="20"/>
        </w:rPr>
        <w:t>aim</w:t>
      </w:r>
      <w:r w:rsidR="00062A61" w:rsidRPr="6B9B7D4D">
        <w:rPr>
          <w:sz w:val="20"/>
          <w:szCs w:val="20"/>
        </w:rPr>
        <w:t xml:space="preserve"> to provide a nuanced understanding of paragangliomas and offer insights to clinicians navigating similar </w:t>
      </w:r>
      <w:r w:rsidRPr="6B9B7D4D">
        <w:rPr>
          <w:sz w:val="20"/>
          <w:szCs w:val="20"/>
        </w:rPr>
        <w:t>cases</w:t>
      </w:r>
      <w:r w:rsidR="00062A61" w:rsidRPr="6B9B7D4D">
        <w:rPr>
          <w:sz w:val="20"/>
          <w:szCs w:val="20"/>
        </w:rPr>
        <w:t>.</w:t>
      </w:r>
    </w:p>
    <w:p w14:paraId="22412257" w14:textId="77777777" w:rsidR="006C2B5B" w:rsidRDefault="006C2B5B" w:rsidP="00477BC0">
      <w:pPr>
        <w:pStyle w:val="Heading2"/>
        <w:rPr>
          <w:rFonts w:ascii="Times New Roman" w:hAnsi="Times New Roman" w:cs="Times New Roman"/>
          <w:b/>
          <w:bCs/>
          <w:color w:val="000000" w:themeColor="text1"/>
          <w:sz w:val="24"/>
          <w:szCs w:val="24"/>
        </w:rPr>
      </w:pPr>
    </w:p>
    <w:p w14:paraId="21493D35" w14:textId="6093D437" w:rsidR="00215734" w:rsidRPr="00477BC0" w:rsidRDefault="00477BC0" w:rsidP="00477BC0">
      <w:pPr>
        <w:pStyle w:val="Heading2"/>
        <w:rPr>
          <w:rFonts w:ascii="Times New Roman" w:hAnsi="Times New Roman" w:cs="Times New Roman"/>
          <w:b/>
          <w:bCs/>
          <w:color w:val="000000" w:themeColor="text1"/>
          <w:sz w:val="24"/>
          <w:szCs w:val="24"/>
        </w:rPr>
      </w:pPr>
      <w:r w:rsidRPr="00477BC0">
        <w:rPr>
          <w:rFonts w:ascii="Times New Roman" w:hAnsi="Times New Roman" w:cs="Times New Roman"/>
          <w:b/>
          <w:bCs/>
          <w:color w:val="000000" w:themeColor="text1"/>
          <w:sz w:val="24"/>
          <w:szCs w:val="24"/>
        </w:rPr>
        <w:t>CASE PRESENTATION</w:t>
      </w:r>
    </w:p>
    <w:p w14:paraId="2207BC1C" w14:textId="714DA217" w:rsidR="00463EA6" w:rsidRPr="00AA3FED" w:rsidRDefault="00215734" w:rsidP="00DE5902">
      <w:pPr>
        <w:jc w:val="both"/>
        <w:rPr>
          <w:sz w:val="20"/>
          <w:szCs w:val="20"/>
        </w:rPr>
      </w:pPr>
      <w:r w:rsidRPr="6B9B7D4D">
        <w:rPr>
          <w:sz w:val="20"/>
          <w:szCs w:val="20"/>
        </w:rPr>
        <w:t xml:space="preserve">A </w:t>
      </w:r>
      <w:r w:rsidR="00DE5902" w:rsidRPr="6B9B7D4D">
        <w:rPr>
          <w:sz w:val="20"/>
          <w:szCs w:val="20"/>
        </w:rPr>
        <w:t>33</w:t>
      </w:r>
      <w:r w:rsidRPr="6B9B7D4D">
        <w:rPr>
          <w:sz w:val="20"/>
          <w:szCs w:val="20"/>
        </w:rPr>
        <w:t>-year-old male</w:t>
      </w:r>
      <w:r w:rsidR="00463EA6" w:rsidRPr="6B9B7D4D">
        <w:rPr>
          <w:sz w:val="20"/>
          <w:szCs w:val="20"/>
        </w:rPr>
        <w:t xml:space="preserve"> presented to</w:t>
      </w:r>
      <w:r w:rsidRPr="6B9B7D4D">
        <w:rPr>
          <w:sz w:val="20"/>
          <w:szCs w:val="20"/>
        </w:rPr>
        <w:t xml:space="preserve"> his general practitioner (GP) with blurred vision and eye discomfort </w:t>
      </w:r>
      <w:r w:rsidR="00463EA6" w:rsidRPr="6B9B7D4D">
        <w:rPr>
          <w:sz w:val="20"/>
          <w:szCs w:val="20"/>
        </w:rPr>
        <w:t>over</w:t>
      </w:r>
      <w:r w:rsidRPr="6B9B7D4D">
        <w:rPr>
          <w:sz w:val="20"/>
          <w:szCs w:val="20"/>
        </w:rPr>
        <w:t xml:space="preserve"> two weeks. </w:t>
      </w:r>
      <w:r w:rsidR="00463EA6" w:rsidRPr="6B9B7D4D">
        <w:rPr>
          <w:sz w:val="20"/>
          <w:szCs w:val="20"/>
        </w:rPr>
        <w:t>His visual acuity was found to be 6/6 bilaterally</w:t>
      </w:r>
      <w:r w:rsidR="007C3F86" w:rsidRPr="6B9B7D4D">
        <w:rPr>
          <w:sz w:val="20"/>
          <w:szCs w:val="20"/>
        </w:rPr>
        <w:t xml:space="preserve"> without</w:t>
      </w:r>
      <w:r w:rsidR="00463EA6" w:rsidRPr="6B9B7D4D">
        <w:rPr>
          <w:sz w:val="20"/>
          <w:szCs w:val="20"/>
        </w:rPr>
        <w:t xml:space="preserve"> </w:t>
      </w:r>
      <w:r w:rsidR="007C3F86" w:rsidRPr="6B9B7D4D">
        <w:rPr>
          <w:sz w:val="20"/>
          <w:szCs w:val="20"/>
        </w:rPr>
        <w:t>additional</w:t>
      </w:r>
      <w:r w:rsidR="00463EA6" w:rsidRPr="6B9B7D4D">
        <w:rPr>
          <w:sz w:val="20"/>
          <w:szCs w:val="20"/>
        </w:rPr>
        <w:t xml:space="preserve"> </w:t>
      </w:r>
      <w:r w:rsidR="007C3F86" w:rsidRPr="6B9B7D4D">
        <w:rPr>
          <w:sz w:val="20"/>
          <w:szCs w:val="20"/>
        </w:rPr>
        <w:t>ocular symptoms</w:t>
      </w:r>
      <w:r w:rsidR="00463EA6" w:rsidRPr="6B9B7D4D">
        <w:rPr>
          <w:sz w:val="20"/>
          <w:szCs w:val="20"/>
        </w:rPr>
        <w:t>.</w:t>
      </w:r>
      <w:r w:rsidR="007C3F86" w:rsidRPr="6B9B7D4D">
        <w:rPr>
          <w:sz w:val="20"/>
          <w:szCs w:val="20"/>
        </w:rPr>
        <w:t xml:space="preserve"> A thorough physical examination showed persistently elevated blood pressure, ranging from 150/90 mmHg to 180/100 mmHg, in the absence of any other abnormal findings.</w:t>
      </w:r>
      <w:r w:rsidR="00AA3FED" w:rsidRPr="6B9B7D4D">
        <w:rPr>
          <w:sz w:val="20"/>
          <w:szCs w:val="20"/>
        </w:rPr>
        <w:t xml:space="preserve"> The patient denied experiencing any characteristic hypertensive symptoms, such as palpitations, chest pain, dyspnoea, headaches, dizziness, nausea, vomiting, flushing, diaphoresis, insomnia, or anxiety.</w:t>
      </w:r>
      <w:r w:rsidR="00DE5902" w:rsidRPr="6B9B7D4D">
        <w:rPr>
          <w:sz w:val="20"/>
          <w:szCs w:val="20"/>
        </w:rPr>
        <w:t xml:space="preserve"> </w:t>
      </w:r>
      <w:r w:rsidR="00AA3FED" w:rsidRPr="6B9B7D4D">
        <w:rPr>
          <w:sz w:val="20"/>
          <w:szCs w:val="20"/>
        </w:rPr>
        <w:t>The patient</w:t>
      </w:r>
      <w:r w:rsidR="007C3F86" w:rsidRPr="6B9B7D4D">
        <w:rPr>
          <w:sz w:val="20"/>
          <w:szCs w:val="20"/>
        </w:rPr>
        <w:t xml:space="preserve"> had no notable personal, medical, or family history, led a healthy diet, and </w:t>
      </w:r>
      <w:r w:rsidR="00AA3FED" w:rsidRPr="6B9B7D4D">
        <w:rPr>
          <w:sz w:val="20"/>
          <w:szCs w:val="20"/>
        </w:rPr>
        <w:t xml:space="preserve">had a body mass index of 20.6 kg/m². </w:t>
      </w:r>
      <w:r w:rsidR="00463EA6" w:rsidRPr="6B9B7D4D">
        <w:rPr>
          <w:sz w:val="20"/>
          <w:szCs w:val="20"/>
        </w:rPr>
        <w:t>Initial antihypertensive therapy using prazosin was ineffective, even after dosage adjustment.</w:t>
      </w:r>
    </w:p>
    <w:p w14:paraId="7F452D70" w14:textId="1F55D538" w:rsidR="00463EA6" w:rsidRDefault="00463EA6" w:rsidP="00215734">
      <w:pPr>
        <w:rPr>
          <w:sz w:val="20"/>
          <w:szCs w:val="20"/>
        </w:rPr>
      </w:pPr>
    </w:p>
    <w:p w14:paraId="184EBED5" w14:textId="261FB4E7" w:rsidR="00215734" w:rsidRPr="00477BC0" w:rsidRDefault="00477BC0" w:rsidP="00215734">
      <w:pPr>
        <w:pStyle w:val="Heading2"/>
        <w:rPr>
          <w:rFonts w:ascii="Times New Roman" w:hAnsi="Times New Roman" w:cs="Times New Roman"/>
          <w:b/>
          <w:bCs/>
          <w:color w:val="000000" w:themeColor="text1"/>
          <w:sz w:val="24"/>
          <w:szCs w:val="24"/>
        </w:rPr>
      </w:pPr>
      <w:r w:rsidRPr="00477BC0">
        <w:rPr>
          <w:rFonts w:ascii="Times New Roman" w:hAnsi="Times New Roman" w:cs="Times New Roman"/>
          <w:b/>
          <w:bCs/>
          <w:color w:val="000000" w:themeColor="text1"/>
          <w:sz w:val="24"/>
          <w:szCs w:val="24"/>
        </w:rPr>
        <w:t>INVESTIGATIONS</w:t>
      </w:r>
    </w:p>
    <w:p w14:paraId="4BBFA722" w14:textId="5E6770B7" w:rsidR="00AA3FED" w:rsidRDefault="00AA3FED" w:rsidP="00DE5902">
      <w:pPr>
        <w:jc w:val="both"/>
        <w:rPr>
          <w:sz w:val="20"/>
          <w:szCs w:val="20"/>
        </w:rPr>
      </w:pPr>
      <w:r w:rsidRPr="6B9B7D4D">
        <w:rPr>
          <w:sz w:val="20"/>
          <w:szCs w:val="20"/>
        </w:rPr>
        <w:t>Exhaustive investigations into the secondary causes of hypertension mostly yielded results within the normal range</w:t>
      </w:r>
      <w:r w:rsidR="13651128" w:rsidRPr="6B9B7D4D">
        <w:rPr>
          <w:sz w:val="20"/>
          <w:szCs w:val="20"/>
        </w:rPr>
        <w:t xml:space="preserve"> </w:t>
      </w:r>
      <w:r w:rsidR="0033525B" w:rsidRPr="6B9B7D4D">
        <w:rPr>
          <w:sz w:val="20"/>
          <w:szCs w:val="20"/>
        </w:rPr>
        <w:t>with one</w:t>
      </w:r>
      <w:r w:rsidRPr="6B9B7D4D">
        <w:rPr>
          <w:sz w:val="20"/>
          <w:szCs w:val="20"/>
        </w:rPr>
        <w:t xml:space="preserve"> standout exception: markedly elevated serum normetanephrine levels, measured at 4550 pmol/L. Other indices, including metanephrine, 3-Methoxytyramine, renal function, the renin-angiotensin-aldosterone system, endocrine studies, and thyroid function, were within standard thresholds (</w:t>
      </w:r>
      <w:r w:rsidRPr="6B9B7D4D">
        <w:rPr>
          <w:b/>
          <w:bCs/>
          <w:sz w:val="20"/>
          <w:szCs w:val="20"/>
        </w:rPr>
        <w:t>Table 1</w:t>
      </w:r>
      <w:r w:rsidRPr="6B9B7D4D">
        <w:rPr>
          <w:sz w:val="20"/>
          <w:szCs w:val="20"/>
        </w:rPr>
        <w:t>).</w:t>
      </w:r>
    </w:p>
    <w:bookmarkEnd w:id="0"/>
    <w:p w14:paraId="1F7D2AAA" w14:textId="77777777" w:rsidR="00DE5902" w:rsidRPr="00477BC0" w:rsidRDefault="00DE5902" w:rsidP="00215734">
      <w:pPr>
        <w:rPr>
          <w:sz w:val="20"/>
          <w:szCs w:val="20"/>
        </w:rPr>
      </w:pPr>
    </w:p>
    <w:tbl>
      <w:tblPr>
        <w:tblStyle w:val="PlainTable1"/>
        <w:tblW w:w="8931" w:type="dxa"/>
        <w:tblLook w:val="0420" w:firstRow="1" w:lastRow="0" w:firstColumn="0" w:lastColumn="0" w:noHBand="0" w:noVBand="1"/>
      </w:tblPr>
      <w:tblGrid>
        <w:gridCol w:w="2740"/>
        <w:gridCol w:w="2784"/>
        <w:gridCol w:w="3407"/>
      </w:tblGrid>
      <w:tr w:rsidR="008C3C7C" w:rsidRPr="00477BC0" w14:paraId="26F336D2" w14:textId="77777777" w:rsidTr="006C2B5B">
        <w:trPr>
          <w:cnfStyle w:val="100000000000" w:firstRow="1" w:lastRow="0" w:firstColumn="0" w:lastColumn="0" w:oddVBand="0" w:evenVBand="0" w:oddHBand="0" w:evenHBand="0" w:firstRowFirstColumn="0" w:firstRowLastColumn="0" w:lastRowFirstColumn="0" w:lastRowLastColumn="0"/>
        </w:trPr>
        <w:tc>
          <w:tcPr>
            <w:tcW w:w="2740" w:type="dxa"/>
            <w:hideMark/>
          </w:tcPr>
          <w:p w14:paraId="2CC11E2F" w14:textId="77777777" w:rsidR="008C3C7C" w:rsidRPr="00477BC0" w:rsidRDefault="008C3C7C" w:rsidP="000954B0">
            <w:pPr>
              <w:rPr>
                <w:b w:val="0"/>
                <w:bCs w:val="0"/>
                <w:color w:val="222222"/>
                <w:sz w:val="18"/>
                <w:szCs w:val="18"/>
                <w:lang w:eastAsia="en-AU"/>
              </w:rPr>
            </w:pPr>
            <w:r w:rsidRPr="00477BC0">
              <w:rPr>
                <w:color w:val="222222"/>
                <w:sz w:val="18"/>
                <w:szCs w:val="18"/>
                <w:lang w:eastAsia="en-AU"/>
              </w:rPr>
              <w:t>Parameter</w:t>
            </w:r>
          </w:p>
        </w:tc>
        <w:tc>
          <w:tcPr>
            <w:tcW w:w="2784" w:type="dxa"/>
            <w:hideMark/>
          </w:tcPr>
          <w:p w14:paraId="07AFA9E0" w14:textId="77777777" w:rsidR="008C3C7C" w:rsidRPr="00477BC0" w:rsidRDefault="008C3C7C" w:rsidP="000954B0">
            <w:pPr>
              <w:rPr>
                <w:b w:val="0"/>
                <w:bCs w:val="0"/>
                <w:color w:val="222222"/>
                <w:sz w:val="18"/>
                <w:szCs w:val="18"/>
                <w:lang w:eastAsia="en-AU"/>
              </w:rPr>
            </w:pPr>
            <w:r w:rsidRPr="00477BC0">
              <w:rPr>
                <w:color w:val="222222"/>
                <w:sz w:val="18"/>
                <w:szCs w:val="18"/>
                <w:lang w:eastAsia="en-AU"/>
              </w:rPr>
              <w:t>Result</w:t>
            </w:r>
          </w:p>
        </w:tc>
        <w:tc>
          <w:tcPr>
            <w:tcW w:w="3407" w:type="dxa"/>
            <w:hideMark/>
          </w:tcPr>
          <w:p w14:paraId="79149DB6" w14:textId="77777777" w:rsidR="008C3C7C" w:rsidRPr="00477BC0" w:rsidRDefault="008C3C7C" w:rsidP="000954B0">
            <w:pPr>
              <w:rPr>
                <w:b w:val="0"/>
                <w:bCs w:val="0"/>
                <w:color w:val="222222"/>
                <w:sz w:val="18"/>
                <w:szCs w:val="18"/>
                <w:lang w:eastAsia="en-AU"/>
              </w:rPr>
            </w:pPr>
            <w:r w:rsidRPr="00477BC0">
              <w:rPr>
                <w:color w:val="222222"/>
                <w:sz w:val="18"/>
                <w:szCs w:val="18"/>
                <w:lang w:eastAsia="en-AU"/>
              </w:rPr>
              <w:t>Reference Range</w:t>
            </w:r>
          </w:p>
        </w:tc>
      </w:tr>
      <w:tr w:rsidR="008C3C7C" w:rsidRPr="00477BC0" w14:paraId="1DAEF50F" w14:textId="77777777" w:rsidTr="006C2B5B">
        <w:trPr>
          <w:cnfStyle w:val="000000100000" w:firstRow="0" w:lastRow="0" w:firstColumn="0" w:lastColumn="0" w:oddVBand="0" w:evenVBand="0" w:oddHBand="1" w:evenHBand="0" w:firstRowFirstColumn="0" w:firstRowLastColumn="0" w:lastRowFirstColumn="0" w:lastRowLastColumn="0"/>
        </w:trPr>
        <w:tc>
          <w:tcPr>
            <w:tcW w:w="2740" w:type="dxa"/>
            <w:hideMark/>
          </w:tcPr>
          <w:p w14:paraId="5B8AD8C0" w14:textId="77777777" w:rsidR="008C3C7C" w:rsidRPr="00477BC0" w:rsidRDefault="008C3C7C" w:rsidP="000954B0">
            <w:pPr>
              <w:rPr>
                <w:color w:val="222222"/>
                <w:sz w:val="18"/>
                <w:szCs w:val="18"/>
                <w:lang w:eastAsia="en-AU"/>
              </w:rPr>
            </w:pPr>
            <w:r w:rsidRPr="00477BC0">
              <w:rPr>
                <w:color w:val="222222"/>
                <w:sz w:val="18"/>
                <w:szCs w:val="18"/>
                <w:lang w:eastAsia="en-AU"/>
              </w:rPr>
              <w:t>Normetanephrine</w:t>
            </w:r>
          </w:p>
        </w:tc>
        <w:tc>
          <w:tcPr>
            <w:tcW w:w="2784" w:type="dxa"/>
            <w:hideMark/>
          </w:tcPr>
          <w:p w14:paraId="78AA1C02" w14:textId="22B4DA04" w:rsidR="008C3C7C" w:rsidRPr="00477BC0" w:rsidRDefault="008C3C7C" w:rsidP="000954B0">
            <w:pPr>
              <w:rPr>
                <w:color w:val="222222"/>
                <w:sz w:val="18"/>
                <w:szCs w:val="18"/>
                <w:lang w:eastAsia="en-AU"/>
              </w:rPr>
            </w:pPr>
            <w:r w:rsidRPr="00477BC0">
              <w:rPr>
                <w:color w:val="222222"/>
                <w:sz w:val="18"/>
                <w:szCs w:val="18"/>
                <w:lang w:eastAsia="en-AU"/>
              </w:rPr>
              <w:t xml:space="preserve">4550 </w:t>
            </w:r>
            <w:r w:rsidR="006C2B5B" w:rsidRPr="00477BC0">
              <w:rPr>
                <w:color w:val="222222"/>
                <w:sz w:val="18"/>
                <w:szCs w:val="18"/>
                <w:lang w:eastAsia="en-AU"/>
              </w:rPr>
              <w:t>↑</w:t>
            </w:r>
          </w:p>
        </w:tc>
        <w:tc>
          <w:tcPr>
            <w:tcW w:w="3407" w:type="dxa"/>
            <w:hideMark/>
          </w:tcPr>
          <w:p w14:paraId="310165E6" w14:textId="77777777" w:rsidR="008C3C7C" w:rsidRPr="00477BC0" w:rsidRDefault="008C3C7C" w:rsidP="000954B0">
            <w:pPr>
              <w:rPr>
                <w:color w:val="222222"/>
                <w:sz w:val="18"/>
                <w:szCs w:val="18"/>
                <w:lang w:eastAsia="en-AU"/>
              </w:rPr>
            </w:pPr>
            <w:r w:rsidRPr="00477BC0">
              <w:rPr>
                <w:color w:val="222222"/>
                <w:sz w:val="18"/>
                <w:szCs w:val="18"/>
                <w:lang w:eastAsia="en-AU"/>
              </w:rPr>
              <w:t>&lt;610 pmol/L</w:t>
            </w:r>
          </w:p>
        </w:tc>
      </w:tr>
      <w:tr w:rsidR="008C3C7C" w:rsidRPr="00477BC0" w14:paraId="2176267A" w14:textId="77777777" w:rsidTr="006C2B5B">
        <w:tc>
          <w:tcPr>
            <w:tcW w:w="2740" w:type="dxa"/>
            <w:hideMark/>
          </w:tcPr>
          <w:p w14:paraId="5BFC0562" w14:textId="77777777" w:rsidR="008C3C7C" w:rsidRPr="00477BC0" w:rsidRDefault="008C3C7C" w:rsidP="000954B0">
            <w:pPr>
              <w:rPr>
                <w:color w:val="222222"/>
                <w:sz w:val="18"/>
                <w:szCs w:val="18"/>
                <w:lang w:eastAsia="en-AU"/>
              </w:rPr>
            </w:pPr>
            <w:r w:rsidRPr="00477BC0">
              <w:rPr>
                <w:color w:val="222222"/>
                <w:sz w:val="18"/>
                <w:szCs w:val="18"/>
                <w:lang w:eastAsia="en-AU"/>
              </w:rPr>
              <w:t>Metanephrine</w:t>
            </w:r>
          </w:p>
        </w:tc>
        <w:tc>
          <w:tcPr>
            <w:tcW w:w="2784" w:type="dxa"/>
            <w:hideMark/>
          </w:tcPr>
          <w:p w14:paraId="6E675EA2" w14:textId="62F8C5DD" w:rsidR="008C3C7C" w:rsidRPr="00477BC0" w:rsidRDefault="008C3C7C" w:rsidP="000954B0">
            <w:pPr>
              <w:rPr>
                <w:color w:val="222222"/>
                <w:sz w:val="18"/>
                <w:szCs w:val="18"/>
                <w:lang w:eastAsia="en-AU"/>
              </w:rPr>
            </w:pPr>
            <w:r w:rsidRPr="00477BC0">
              <w:rPr>
                <w:color w:val="222222"/>
                <w:sz w:val="18"/>
                <w:szCs w:val="18"/>
                <w:lang w:eastAsia="en-AU"/>
              </w:rPr>
              <w:t>330</w:t>
            </w:r>
          </w:p>
        </w:tc>
        <w:tc>
          <w:tcPr>
            <w:tcW w:w="3407" w:type="dxa"/>
            <w:hideMark/>
          </w:tcPr>
          <w:p w14:paraId="0EA66B7C" w14:textId="77777777" w:rsidR="008C3C7C" w:rsidRPr="00477BC0" w:rsidRDefault="008C3C7C" w:rsidP="000954B0">
            <w:pPr>
              <w:rPr>
                <w:color w:val="222222"/>
                <w:sz w:val="18"/>
                <w:szCs w:val="18"/>
                <w:lang w:eastAsia="en-AU"/>
              </w:rPr>
            </w:pPr>
            <w:r w:rsidRPr="00477BC0">
              <w:rPr>
                <w:color w:val="222222"/>
                <w:sz w:val="18"/>
                <w:szCs w:val="18"/>
                <w:lang w:eastAsia="en-AU"/>
              </w:rPr>
              <w:t>&lt;447 pmol/L</w:t>
            </w:r>
          </w:p>
        </w:tc>
      </w:tr>
      <w:tr w:rsidR="008C3C7C" w:rsidRPr="00477BC0" w14:paraId="62A5B5EE" w14:textId="77777777" w:rsidTr="006C2B5B">
        <w:trPr>
          <w:cnfStyle w:val="000000100000" w:firstRow="0" w:lastRow="0" w:firstColumn="0" w:lastColumn="0" w:oddVBand="0" w:evenVBand="0" w:oddHBand="1" w:evenHBand="0" w:firstRowFirstColumn="0" w:firstRowLastColumn="0" w:lastRowFirstColumn="0" w:lastRowLastColumn="0"/>
        </w:trPr>
        <w:tc>
          <w:tcPr>
            <w:tcW w:w="2740" w:type="dxa"/>
            <w:hideMark/>
          </w:tcPr>
          <w:p w14:paraId="4CAED329" w14:textId="77777777" w:rsidR="008C3C7C" w:rsidRPr="00477BC0" w:rsidRDefault="008C3C7C" w:rsidP="000954B0">
            <w:pPr>
              <w:rPr>
                <w:color w:val="222222"/>
                <w:sz w:val="18"/>
                <w:szCs w:val="18"/>
                <w:lang w:eastAsia="en-AU"/>
              </w:rPr>
            </w:pPr>
            <w:r w:rsidRPr="00477BC0">
              <w:rPr>
                <w:color w:val="222222"/>
                <w:sz w:val="18"/>
                <w:szCs w:val="18"/>
                <w:lang w:eastAsia="en-AU"/>
              </w:rPr>
              <w:t>3-Methoxytyramine</w:t>
            </w:r>
          </w:p>
        </w:tc>
        <w:tc>
          <w:tcPr>
            <w:tcW w:w="2784" w:type="dxa"/>
            <w:hideMark/>
          </w:tcPr>
          <w:p w14:paraId="69E7B89D" w14:textId="3487E680" w:rsidR="008C3C7C" w:rsidRPr="00477BC0" w:rsidRDefault="008C3C7C" w:rsidP="000954B0">
            <w:pPr>
              <w:rPr>
                <w:color w:val="222222"/>
                <w:sz w:val="18"/>
                <w:szCs w:val="18"/>
                <w:lang w:eastAsia="en-AU"/>
              </w:rPr>
            </w:pPr>
            <w:r w:rsidRPr="00477BC0">
              <w:rPr>
                <w:color w:val="222222"/>
                <w:sz w:val="18"/>
                <w:szCs w:val="18"/>
                <w:lang w:eastAsia="en-AU"/>
              </w:rPr>
              <w:t>80</w:t>
            </w:r>
          </w:p>
        </w:tc>
        <w:tc>
          <w:tcPr>
            <w:tcW w:w="3407" w:type="dxa"/>
            <w:hideMark/>
          </w:tcPr>
          <w:p w14:paraId="79A24E60" w14:textId="77777777" w:rsidR="008C3C7C" w:rsidRPr="00477BC0" w:rsidRDefault="008C3C7C" w:rsidP="000954B0">
            <w:pPr>
              <w:rPr>
                <w:color w:val="222222"/>
                <w:sz w:val="18"/>
                <w:szCs w:val="18"/>
                <w:lang w:eastAsia="en-AU"/>
              </w:rPr>
            </w:pPr>
            <w:r w:rsidRPr="00477BC0">
              <w:rPr>
                <w:color w:val="222222"/>
                <w:sz w:val="18"/>
                <w:szCs w:val="18"/>
                <w:lang w:eastAsia="en-AU"/>
              </w:rPr>
              <w:t>&lt;181 pmol/L</w:t>
            </w:r>
          </w:p>
        </w:tc>
      </w:tr>
      <w:tr w:rsidR="008C3C7C" w:rsidRPr="00477BC0" w14:paraId="50806EBB" w14:textId="77777777" w:rsidTr="006C2B5B">
        <w:tc>
          <w:tcPr>
            <w:tcW w:w="2740" w:type="dxa"/>
            <w:hideMark/>
          </w:tcPr>
          <w:p w14:paraId="0A414B73" w14:textId="77777777" w:rsidR="008C3C7C" w:rsidRPr="00477BC0" w:rsidRDefault="008C3C7C" w:rsidP="000954B0">
            <w:pPr>
              <w:rPr>
                <w:color w:val="222222"/>
                <w:sz w:val="18"/>
                <w:szCs w:val="18"/>
                <w:lang w:eastAsia="en-AU"/>
              </w:rPr>
            </w:pPr>
            <w:r w:rsidRPr="00477BC0">
              <w:rPr>
                <w:color w:val="222222"/>
                <w:sz w:val="18"/>
                <w:szCs w:val="18"/>
                <w:lang w:eastAsia="en-AU"/>
              </w:rPr>
              <w:t>Creatinine</w:t>
            </w:r>
          </w:p>
        </w:tc>
        <w:tc>
          <w:tcPr>
            <w:tcW w:w="2784" w:type="dxa"/>
            <w:hideMark/>
          </w:tcPr>
          <w:p w14:paraId="05F8220B" w14:textId="011B28C1" w:rsidR="008C3C7C" w:rsidRPr="00477BC0" w:rsidRDefault="008C3C7C" w:rsidP="000954B0">
            <w:pPr>
              <w:rPr>
                <w:color w:val="222222"/>
                <w:sz w:val="18"/>
                <w:szCs w:val="18"/>
                <w:lang w:eastAsia="en-AU"/>
              </w:rPr>
            </w:pPr>
            <w:r w:rsidRPr="00477BC0">
              <w:rPr>
                <w:color w:val="222222"/>
                <w:sz w:val="18"/>
                <w:szCs w:val="18"/>
                <w:lang w:eastAsia="en-AU"/>
              </w:rPr>
              <w:t>65</w:t>
            </w:r>
          </w:p>
        </w:tc>
        <w:tc>
          <w:tcPr>
            <w:tcW w:w="3407" w:type="dxa"/>
            <w:hideMark/>
          </w:tcPr>
          <w:p w14:paraId="1B3EBA5E" w14:textId="77777777" w:rsidR="008C3C7C" w:rsidRPr="00477BC0" w:rsidRDefault="008C3C7C" w:rsidP="000954B0">
            <w:pPr>
              <w:rPr>
                <w:color w:val="222222"/>
                <w:sz w:val="18"/>
                <w:szCs w:val="18"/>
                <w:lang w:eastAsia="en-AU"/>
              </w:rPr>
            </w:pPr>
            <w:r w:rsidRPr="00477BC0">
              <w:rPr>
                <w:color w:val="222222"/>
                <w:sz w:val="18"/>
                <w:szCs w:val="18"/>
                <w:lang w:eastAsia="en-AU"/>
              </w:rPr>
              <w:t>60 - 110 umol/L</w:t>
            </w:r>
          </w:p>
        </w:tc>
      </w:tr>
      <w:tr w:rsidR="008C3C7C" w:rsidRPr="00477BC0" w14:paraId="5C33036A" w14:textId="77777777" w:rsidTr="006C2B5B">
        <w:trPr>
          <w:cnfStyle w:val="000000100000" w:firstRow="0" w:lastRow="0" w:firstColumn="0" w:lastColumn="0" w:oddVBand="0" w:evenVBand="0" w:oddHBand="1" w:evenHBand="0" w:firstRowFirstColumn="0" w:firstRowLastColumn="0" w:lastRowFirstColumn="0" w:lastRowLastColumn="0"/>
        </w:trPr>
        <w:tc>
          <w:tcPr>
            <w:tcW w:w="2740" w:type="dxa"/>
            <w:hideMark/>
          </w:tcPr>
          <w:p w14:paraId="6A24D9D1" w14:textId="77777777" w:rsidR="008C3C7C" w:rsidRPr="00477BC0" w:rsidRDefault="008C3C7C" w:rsidP="000954B0">
            <w:pPr>
              <w:rPr>
                <w:color w:val="222222"/>
                <w:sz w:val="18"/>
                <w:szCs w:val="18"/>
                <w:lang w:eastAsia="en-AU"/>
              </w:rPr>
            </w:pPr>
            <w:r w:rsidRPr="00477BC0">
              <w:rPr>
                <w:color w:val="222222"/>
                <w:sz w:val="18"/>
                <w:szCs w:val="18"/>
                <w:lang w:eastAsia="en-AU"/>
              </w:rPr>
              <w:t>eGFR</w:t>
            </w:r>
          </w:p>
        </w:tc>
        <w:tc>
          <w:tcPr>
            <w:tcW w:w="2784" w:type="dxa"/>
            <w:hideMark/>
          </w:tcPr>
          <w:p w14:paraId="22C5179F" w14:textId="691B6483" w:rsidR="008C3C7C" w:rsidRPr="00477BC0" w:rsidRDefault="008C3C7C" w:rsidP="000954B0">
            <w:pPr>
              <w:rPr>
                <w:color w:val="222222"/>
                <w:sz w:val="18"/>
                <w:szCs w:val="18"/>
                <w:lang w:eastAsia="en-AU"/>
              </w:rPr>
            </w:pPr>
            <w:r w:rsidRPr="00477BC0">
              <w:rPr>
                <w:color w:val="222222"/>
                <w:sz w:val="18"/>
                <w:szCs w:val="18"/>
                <w:lang w:eastAsia="en-AU"/>
              </w:rPr>
              <w:t>&gt;90</w:t>
            </w:r>
          </w:p>
        </w:tc>
        <w:tc>
          <w:tcPr>
            <w:tcW w:w="3407" w:type="dxa"/>
            <w:hideMark/>
          </w:tcPr>
          <w:p w14:paraId="7E27E96D" w14:textId="5AEBD2D6" w:rsidR="008C3C7C" w:rsidRPr="00477BC0" w:rsidRDefault="008C3C7C" w:rsidP="000954B0">
            <w:pPr>
              <w:rPr>
                <w:color w:val="222222"/>
                <w:sz w:val="18"/>
                <w:szCs w:val="18"/>
                <w:lang w:eastAsia="en-AU"/>
              </w:rPr>
            </w:pPr>
            <w:r w:rsidRPr="00477BC0">
              <w:rPr>
                <w:color w:val="222222"/>
                <w:sz w:val="18"/>
                <w:szCs w:val="18"/>
                <w:lang w:eastAsia="en-AU"/>
              </w:rPr>
              <w:t>&gt;90 mL/min/1.73 m²</w:t>
            </w:r>
          </w:p>
        </w:tc>
      </w:tr>
      <w:tr w:rsidR="008C3C7C" w:rsidRPr="00477BC0" w14:paraId="5B3C4A7F" w14:textId="77777777" w:rsidTr="006C2B5B">
        <w:tc>
          <w:tcPr>
            <w:tcW w:w="2740" w:type="dxa"/>
            <w:hideMark/>
          </w:tcPr>
          <w:p w14:paraId="2C16ED46" w14:textId="77777777" w:rsidR="008C3C7C" w:rsidRPr="00477BC0" w:rsidRDefault="008C3C7C" w:rsidP="000954B0">
            <w:pPr>
              <w:rPr>
                <w:color w:val="222222"/>
                <w:sz w:val="18"/>
                <w:szCs w:val="18"/>
                <w:lang w:eastAsia="en-AU"/>
              </w:rPr>
            </w:pPr>
            <w:r w:rsidRPr="00477BC0">
              <w:rPr>
                <w:color w:val="222222"/>
                <w:sz w:val="18"/>
                <w:szCs w:val="18"/>
                <w:lang w:eastAsia="en-AU"/>
              </w:rPr>
              <w:t>Aldosterone</w:t>
            </w:r>
          </w:p>
        </w:tc>
        <w:tc>
          <w:tcPr>
            <w:tcW w:w="2784" w:type="dxa"/>
            <w:hideMark/>
          </w:tcPr>
          <w:p w14:paraId="06996243" w14:textId="53B5E233" w:rsidR="008C3C7C" w:rsidRPr="00477BC0" w:rsidRDefault="008C3C7C" w:rsidP="000954B0">
            <w:pPr>
              <w:rPr>
                <w:color w:val="222222"/>
                <w:sz w:val="18"/>
                <w:szCs w:val="18"/>
                <w:lang w:eastAsia="en-AU"/>
              </w:rPr>
            </w:pPr>
            <w:r w:rsidRPr="00477BC0">
              <w:rPr>
                <w:color w:val="222222"/>
                <w:sz w:val="18"/>
                <w:szCs w:val="18"/>
                <w:lang w:eastAsia="en-AU"/>
              </w:rPr>
              <w:t>269</w:t>
            </w:r>
          </w:p>
        </w:tc>
        <w:tc>
          <w:tcPr>
            <w:tcW w:w="3407" w:type="dxa"/>
            <w:hideMark/>
          </w:tcPr>
          <w:p w14:paraId="455B50EC" w14:textId="77777777" w:rsidR="008C3C7C" w:rsidRPr="00477BC0" w:rsidRDefault="008C3C7C" w:rsidP="000954B0">
            <w:pPr>
              <w:rPr>
                <w:color w:val="222222"/>
                <w:sz w:val="18"/>
                <w:szCs w:val="18"/>
                <w:lang w:eastAsia="en-AU"/>
              </w:rPr>
            </w:pPr>
            <w:r w:rsidRPr="00477BC0">
              <w:rPr>
                <w:color w:val="222222"/>
                <w:sz w:val="18"/>
                <w:szCs w:val="18"/>
                <w:lang w:eastAsia="en-AU"/>
              </w:rPr>
              <w:t>100 - 950 pmol/L</w:t>
            </w:r>
          </w:p>
        </w:tc>
      </w:tr>
      <w:tr w:rsidR="008C3C7C" w:rsidRPr="00477BC0" w14:paraId="63B7B219" w14:textId="77777777" w:rsidTr="006C2B5B">
        <w:trPr>
          <w:cnfStyle w:val="000000100000" w:firstRow="0" w:lastRow="0" w:firstColumn="0" w:lastColumn="0" w:oddVBand="0" w:evenVBand="0" w:oddHBand="1" w:evenHBand="0" w:firstRowFirstColumn="0" w:firstRowLastColumn="0" w:lastRowFirstColumn="0" w:lastRowLastColumn="0"/>
        </w:trPr>
        <w:tc>
          <w:tcPr>
            <w:tcW w:w="2740" w:type="dxa"/>
            <w:hideMark/>
          </w:tcPr>
          <w:p w14:paraId="3302BF08" w14:textId="77777777" w:rsidR="008C3C7C" w:rsidRPr="00477BC0" w:rsidRDefault="008C3C7C" w:rsidP="000954B0">
            <w:pPr>
              <w:rPr>
                <w:color w:val="222222"/>
                <w:sz w:val="18"/>
                <w:szCs w:val="18"/>
                <w:lang w:eastAsia="en-AU"/>
              </w:rPr>
            </w:pPr>
            <w:r w:rsidRPr="00477BC0">
              <w:rPr>
                <w:color w:val="222222"/>
                <w:sz w:val="18"/>
                <w:szCs w:val="18"/>
                <w:lang w:eastAsia="en-AU"/>
              </w:rPr>
              <w:t>Renin</w:t>
            </w:r>
          </w:p>
        </w:tc>
        <w:tc>
          <w:tcPr>
            <w:tcW w:w="2784" w:type="dxa"/>
            <w:hideMark/>
          </w:tcPr>
          <w:p w14:paraId="0B676808" w14:textId="1F4A58E5" w:rsidR="008C3C7C" w:rsidRPr="00477BC0" w:rsidRDefault="008C3C7C" w:rsidP="000954B0">
            <w:pPr>
              <w:rPr>
                <w:color w:val="222222"/>
                <w:sz w:val="18"/>
                <w:szCs w:val="18"/>
                <w:lang w:eastAsia="en-AU"/>
              </w:rPr>
            </w:pPr>
            <w:r w:rsidRPr="00477BC0">
              <w:rPr>
                <w:color w:val="222222"/>
                <w:sz w:val="18"/>
                <w:szCs w:val="18"/>
                <w:lang w:eastAsia="en-AU"/>
              </w:rPr>
              <w:t>20</w:t>
            </w:r>
          </w:p>
        </w:tc>
        <w:tc>
          <w:tcPr>
            <w:tcW w:w="3407" w:type="dxa"/>
            <w:hideMark/>
          </w:tcPr>
          <w:p w14:paraId="190EB162" w14:textId="77777777" w:rsidR="008C3C7C" w:rsidRPr="00477BC0" w:rsidRDefault="008C3C7C" w:rsidP="000954B0">
            <w:pPr>
              <w:rPr>
                <w:color w:val="222222"/>
                <w:sz w:val="18"/>
                <w:szCs w:val="18"/>
                <w:lang w:eastAsia="en-AU"/>
              </w:rPr>
            </w:pPr>
            <w:r w:rsidRPr="00477BC0">
              <w:rPr>
                <w:color w:val="222222"/>
                <w:sz w:val="18"/>
                <w:szCs w:val="18"/>
                <w:lang w:eastAsia="en-AU"/>
              </w:rPr>
              <w:t xml:space="preserve">3.3 - 41 </w:t>
            </w:r>
            <w:proofErr w:type="spellStart"/>
            <w:r w:rsidRPr="00477BC0">
              <w:rPr>
                <w:color w:val="222222"/>
                <w:sz w:val="18"/>
                <w:szCs w:val="18"/>
                <w:lang w:eastAsia="en-AU"/>
              </w:rPr>
              <w:t>mU</w:t>
            </w:r>
            <w:proofErr w:type="spellEnd"/>
            <w:r w:rsidRPr="00477BC0">
              <w:rPr>
                <w:color w:val="222222"/>
                <w:sz w:val="18"/>
                <w:szCs w:val="18"/>
                <w:lang w:eastAsia="en-AU"/>
              </w:rPr>
              <w:t>/L</w:t>
            </w:r>
          </w:p>
        </w:tc>
      </w:tr>
      <w:tr w:rsidR="008C3C7C" w:rsidRPr="00477BC0" w14:paraId="1099D1FE" w14:textId="77777777" w:rsidTr="006C2B5B">
        <w:tc>
          <w:tcPr>
            <w:tcW w:w="2740" w:type="dxa"/>
            <w:hideMark/>
          </w:tcPr>
          <w:p w14:paraId="19385D73" w14:textId="77777777" w:rsidR="008C3C7C" w:rsidRPr="00477BC0" w:rsidRDefault="008C3C7C" w:rsidP="000954B0">
            <w:pPr>
              <w:rPr>
                <w:color w:val="222222"/>
                <w:sz w:val="18"/>
                <w:szCs w:val="18"/>
                <w:lang w:eastAsia="en-AU"/>
              </w:rPr>
            </w:pPr>
            <w:r w:rsidRPr="00477BC0">
              <w:rPr>
                <w:color w:val="222222"/>
                <w:sz w:val="18"/>
                <w:szCs w:val="18"/>
                <w:lang w:eastAsia="en-AU"/>
              </w:rPr>
              <w:t>Aldosterone/Renin ratio</w:t>
            </w:r>
          </w:p>
        </w:tc>
        <w:tc>
          <w:tcPr>
            <w:tcW w:w="2784" w:type="dxa"/>
            <w:hideMark/>
          </w:tcPr>
          <w:p w14:paraId="2265BBA1" w14:textId="77777777" w:rsidR="008C3C7C" w:rsidRPr="00477BC0" w:rsidRDefault="008C3C7C" w:rsidP="000954B0">
            <w:pPr>
              <w:rPr>
                <w:color w:val="222222"/>
                <w:sz w:val="18"/>
                <w:szCs w:val="18"/>
                <w:lang w:eastAsia="en-AU"/>
              </w:rPr>
            </w:pPr>
            <w:r w:rsidRPr="00477BC0">
              <w:rPr>
                <w:color w:val="222222"/>
                <w:sz w:val="18"/>
                <w:szCs w:val="18"/>
                <w:lang w:eastAsia="en-AU"/>
              </w:rPr>
              <w:t>13</w:t>
            </w:r>
          </w:p>
        </w:tc>
        <w:tc>
          <w:tcPr>
            <w:tcW w:w="3407" w:type="dxa"/>
            <w:hideMark/>
          </w:tcPr>
          <w:p w14:paraId="33DBC177" w14:textId="77777777" w:rsidR="008C3C7C" w:rsidRPr="00477BC0" w:rsidRDefault="008C3C7C" w:rsidP="000954B0">
            <w:pPr>
              <w:rPr>
                <w:color w:val="222222"/>
                <w:sz w:val="18"/>
                <w:szCs w:val="18"/>
                <w:lang w:eastAsia="en-AU"/>
              </w:rPr>
            </w:pPr>
            <w:r w:rsidRPr="00477BC0">
              <w:rPr>
                <w:color w:val="222222"/>
                <w:sz w:val="18"/>
                <w:szCs w:val="18"/>
                <w:lang w:eastAsia="en-AU"/>
              </w:rPr>
              <w:t>&lt;70</w:t>
            </w:r>
          </w:p>
        </w:tc>
      </w:tr>
      <w:tr w:rsidR="008C3C7C" w:rsidRPr="00477BC0" w14:paraId="55E19D8B" w14:textId="77777777" w:rsidTr="006C2B5B">
        <w:trPr>
          <w:cnfStyle w:val="000000100000" w:firstRow="0" w:lastRow="0" w:firstColumn="0" w:lastColumn="0" w:oddVBand="0" w:evenVBand="0" w:oddHBand="1" w:evenHBand="0" w:firstRowFirstColumn="0" w:firstRowLastColumn="0" w:lastRowFirstColumn="0" w:lastRowLastColumn="0"/>
        </w:trPr>
        <w:tc>
          <w:tcPr>
            <w:tcW w:w="2740" w:type="dxa"/>
            <w:hideMark/>
          </w:tcPr>
          <w:p w14:paraId="7819B5FE" w14:textId="77777777" w:rsidR="008C3C7C" w:rsidRPr="00477BC0" w:rsidRDefault="008C3C7C" w:rsidP="000954B0">
            <w:pPr>
              <w:rPr>
                <w:color w:val="222222"/>
                <w:sz w:val="18"/>
                <w:szCs w:val="18"/>
                <w:lang w:eastAsia="en-AU"/>
              </w:rPr>
            </w:pPr>
            <w:r w:rsidRPr="00477BC0">
              <w:rPr>
                <w:color w:val="222222"/>
                <w:sz w:val="18"/>
                <w:szCs w:val="18"/>
                <w:lang w:eastAsia="en-AU"/>
              </w:rPr>
              <w:t>Cortisol (fasting)</w:t>
            </w:r>
          </w:p>
        </w:tc>
        <w:tc>
          <w:tcPr>
            <w:tcW w:w="2784" w:type="dxa"/>
            <w:hideMark/>
          </w:tcPr>
          <w:p w14:paraId="0D67BE5F" w14:textId="15ECF279" w:rsidR="008C3C7C" w:rsidRPr="00477BC0" w:rsidRDefault="008C3C7C" w:rsidP="000954B0">
            <w:pPr>
              <w:rPr>
                <w:color w:val="222222"/>
                <w:sz w:val="18"/>
                <w:szCs w:val="18"/>
                <w:lang w:eastAsia="en-AU"/>
              </w:rPr>
            </w:pPr>
            <w:r w:rsidRPr="00477BC0">
              <w:rPr>
                <w:color w:val="222222"/>
                <w:sz w:val="18"/>
                <w:szCs w:val="18"/>
                <w:lang w:eastAsia="en-AU"/>
              </w:rPr>
              <w:t>271</w:t>
            </w:r>
          </w:p>
        </w:tc>
        <w:tc>
          <w:tcPr>
            <w:tcW w:w="3407" w:type="dxa"/>
            <w:hideMark/>
          </w:tcPr>
          <w:p w14:paraId="5FFF07F8" w14:textId="77777777" w:rsidR="008C3C7C" w:rsidRPr="00477BC0" w:rsidRDefault="008C3C7C" w:rsidP="000954B0">
            <w:pPr>
              <w:rPr>
                <w:color w:val="222222"/>
                <w:sz w:val="18"/>
                <w:szCs w:val="18"/>
                <w:lang w:eastAsia="en-AU"/>
              </w:rPr>
            </w:pPr>
            <w:r w:rsidRPr="00477BC0">
              <w:rPr>
                <w:color w:val="222222"/>
                <w:sz w:val="18"/>
                <w:szCs w:val="18"/>
                <w:lang w:eastAsia="en-AU"/>
              </w:rPr>
              <w:t>100 - 535 nmol/L</w:t>
            </w:r>
          </w:p>
        </w:tc>
      </w:tr>
      <w:tr w:rsidR="008C3C7C" w:rsidRPr="00477BC0" w14:paraId="47E035C6" w14:textId="77777777" w:rsidTr="006C2B5B">
        <w:tc>
          <w:tcPr>
            <w:tcW w:w="2740" w:type="dxa"/>
            <w:hideMark/>
          </w:tcPr>
          <w:p w14:paraId="4B65BF47" w14:textId="29B3A1DA" w:rsidR="008C3C7C" w:rsidRPr="00A7477F" w:rsidRDefault="00A7477F" w:rsidP="000954B0">
            <w:pPr>
              <w:rPr>
                <w:color w:val="222222"/>
                <w:sz w:val="18"/>
                <w:szCs w:val="18"/>
                <w:lang w:eastAsia="en-AU"/>
              </w:rPr>
            </w:pPr>
            <w:r>
              <w:rPr>
                <w:sz w:val="18"/>
                <w:szCs w:val="18"/>
              </w:rPr>
              <w:t>TSH</w:t>
            </w:r>
          </w:p>
        </w:tc>
        <w:tc>
          <w:tcPr>
            <w:tcW w:w="2784" w:type="dxa"/>
            <w:hideMark/>
          </w:tcPr>
          <w:p w14:paraId="1967E235" w14:textId="3CA5CDDF" w:rsidR="008C3C7C" w:rsidRPr="00477BC0" w:rsidRDefault="008C3C7C" w:rsidP="000954B0">
            <w:pPr>
              <w:rPr>
                <w:color w:val="222222"/>
                <w:sz w:val="18"/>
                <w:szCs w:val="18"/>
                <w:lang w:eastAsia="en-AU"/>
              </w:rPr>
            </w:pPr>
            <w:r w:rsidRPr="00477BC0">
              <w:rPr>
                <w:color w:val="222222"/>
                <w:sz w:val="18"/>
                <w:szCs w:val="18"/>
                <w:lang w:eastAsia="en-AU"/>
              </w:rPr>
              <w:t>3.4</w:t>
            </w:r>
          </w:p>
        </w:tc>
        <w:tc>
          <w:tcPr>
            <w:tcW w:w="3407" w:type="dxa"/>
            <w:hideMark/>
          </w:tcPr>
          <w:p w14:paraId="415DD5CF" w14:textId="77777777" w:rsidR="008C3C7C" w:rsidRPr="00477BC0" w:rsidRDefault="008C3C7C" w:rsidP="000954B0">
            <w:pPr>
              <w:rPr>
                <w:color w:val="222222"/>
                <w:sz w:val="18"/>
                <w:szCs w:val="18"/>
                <w:lang w:eastAsia="en-AU"/>
              </w:rPr>
            </w:pPr>
            <w:r w:rsidRPr="00477BC0">
              <w:rPr>
                <w:color w:val="222222"/>
                <w:sz w:val="18"/>
                <w:szCs w:val="18"/>
                <w:lang w:eastAsia="en-AU"/>
              </w:rPr>
              <w:t xml:space="preserve">0.40 - 3.5 </w:t>
            </w:r>
            <w:proofErr w:type="spellStart"/>
            <w:r w:rsidRPr="00477BC0">
              <w:rPr>
                <w:color w:val="222222"/>
                <w:sz w:val="18"/>
                <w:szCs w:val="18"/>
                <w:lang w:eastAsia="en-AU"/>
              </w:rPr>
              <w:t>mlU</w:t>
            </w:r>
            <w:proofErr w:type="spellEnd"/>
            <w:r w:rsidRPr="00477BC0">
              <w:rPr>
                <w:color w:val="222222"/>
                <w:sz w:val="18"/>
                <w:szCs w:val="18"/>
                <w:lang w:eastAsia="en-AU"/>
              </w:rPr>
              <w:t>/L</w:t>
            </w:r>
          </w:p>
        </w:tc>
      </w:tr>
    </w:tbl>
    <w:p w14:paraId="01032E5D" w14:textId="54EB892B" w:rsidR="00215734" w:rsidRPr="00477BC0" w:rsidRDefault="00215734" w:rsidP="00215734">
      <w:pPr>
        <w:rPr>
          <w:sz w:val="18"/>
          <w:szCs w:val="18"/>
        </w:rPr>
      </w:pPr>
      <w:r w:rsidRPr="00477BC0">
        <w:rPr>
          <w:b/>
          <w:bCs/>
          <w:sz w:val="18"/>
          <w:szCs w:val="18"/>
        </w:rPr>
        <w:t xml:space="preserve">Table 1: </w:t>
      </w:r>
      <w:r w:rsidR="00AA3FED">
        <w:rPr>
          <w:b/>
          <w:bCs/>
          <w:sz w:val="18"/>
          <w:szCs w:val="18"/>
        </w:rPr>
        <w:t>Summary of the patient’s initial serum investigations.</w:t>
      </w:r>
    </w:p>
    <w:p w14:paraId="1A433E76" w14:textId="77777777" w:rsidR="00DE5902" w:rsidRDefault="00DE5902" w:rsidP="00A7477F">
      <w:pPr>
        <w:rPr>
          <w:sz w:val="20"/>
          <w:szCs w:val="20"/>
        </w:rPr>
      </w:pPr>
    </w:p>
    <w:p w14:paraId="4E9931EA" w14:textId="1FDA718F" w:rsidR="00A7477F" w:rsidRPr="00477BC0" w:rsidRDefault="00A7477F" w:rsidP="00DE5902">
      <w:pPr>
        <w:jc w:val="both"/>
        <w:rPr>
          <w:sz w:val="20"/>
          <w:szCs w:val="20"/>
        </w:rPr>
      </w:pPr>
      <w:bookmarkStart w:id="1" w:name="_Hlk143089973"/>
      <w:r w:rsidRPr="00A7477F">
        <w:rPr>
          <w:sz w:val="20"/>
          <w:szCs w:val="20"/>
        </w:rPr>
        <w:t xml:space="preserve">24-hour ambulatory blood pressure monitoring </w:t>
      </w:r>
      <w:r>
        <w:rPr>
          <w:sz w:val="20"/>
          <w:szCs w:val="20"/>
        </w:rPr>
        <w:t>indicated</w:t>
      </w:r>
      <w:r w:rsidRPr="00A7477F">
        <w:rPr>
          <w:sz w:val="20"/>
          <w:szCs w:val="20"/>
        </w:rPr>
        <w:t xml:space="preserve"> average systolic readings of 136 mmHg (day) and 126 mmHg (night), with a peak of 171/96 mmHg (day) and 146/77 mmHg (night). Systolic dipping was </w:t>
      </w:r>
      <w:r w:rsidRPr="00477BC0">
        <w:rPr>
          <w:sz w:val="20"/>
          <w:szCs w:val="20"/>
        </w:rPr>
        <w:t xml:space="preserve">significantly </w:t>
      </w:r>
      <w:r w:rsidRPr="00A7477F">
        <w:rPr>
          <w:sz w:val="20"/>
          <w:szCs w:val="20"/>
        </w:rPr>
        <w:t>reduced</w:t>
      </w:r>
      <w:r>
        <w:rPr>
          <w:sz w:val="20"/>
          <w:szCs w:val="20"/>
        </w:rPr>
        <w:t xml:space="preserve">, </w:t>
      </w:r>
      <w:r w:rsidRPr="00477BC0">
        <w:rPr>
          <w:sz w:val="20"/>
          <w:szCs w:val="20"/>
        </w:rPr>
        <w:t xml:space="preserve">observed at just </w:t>
      </w:r>
      <w:r w:rsidRPr="00A7477F">
        <w:rPr>
          <w:sz w:val="20"/>
          <w:szCs w:val="20"/>
        </w:rPr>
        <w:t xml:space="preserve">7.4%. The electrocardiogram showed a sinus rhythm with </w:t>
      </w:r>
      <w:r w:rsidRPr="00477BC0">
        <w:rPr>
          <w:sz w:val="20"/>
          <w:szCs w:val="20"/>
        </w:rPr>
        <w:t xml:space="preserve">intermittent episodes of </w:t>
      </w:r>
      <w:r>
        <w:rPr>
          <w:sz w:val="20"/>
          <w:szCs w:val="20"/>
        </w:rPr>
        <w:t>2</w:t>
      </w:r>
      <w:r w:rsidRPr="00A7477F">
        <w:rPr>
          <w:sz w:val="20"/>
          <w:szCs w:val="20"/>
          <w:vertAlign w:val="superscript"/>
        </w:rPr>
        <w:t>nd</w:t>
      </w:r>
      <w:r>
        <w:rPr>
          <w:sz w:val="20"/>
          <w:szCs w:val="20"/>
        </w:rPr>
        <w:t xml:space="preserve"> degree</w:t>
      </w:r>
      <w:r w:rsidRPr="00A7477F">
        <w:rPr>
          <w:sz w:val="20"/>
          <w:szCs w:val="20"/>
        </w:rPr>
        <w:t xml:space="preserve"> Mobitz type I </w:t>
      </w:r>
      <w:r w:rsidRPr="00477BC0">
        <w:rPr>
          <w:sz w:val="20"/>
          <w:szCs w:val="20"/>
        </w:rPr>
        <w:t xml:space="preserve">(Wenckebach) atrioventricular </w:t>
      </w:r>
      <w:r w:rsidRPr="00A7477F">
        <w:rPr>
          <w:sz w:val="20"/>
          <w:szCs w:val="20"/>
        </w:rPr>
        <w:t>blocks</w:t>
      </w:r>
      <w:r>
        <w:rPr>
          <w:sz w:val="20"/>
          <w:szCs w:val="20"/>
        </w:rPr>
        <w:t>,</w:t>
      </w:r>
      <w:r w:rsidRPr="00A7477F">
        <w:rPr>
          <w:sz w:val="20"/>
          <w:szCs w:val="20"/>
        </w:rPr>
        <w:t xml:space="preserve"> </w:t>
      </w:r>
      <w:r>
        <w:rPr>
          <w:sz w:val="20"/>
          <w:szCs w:val="20"/>
        </w:rPr>
        <w:t xml:space="preserve">but </w:t>
      </w:r>
      <w:r w:rsidRPr="00477BC0">
        <w:rPr>
          <w:sz w:val="20"/>
          <w:szCs w:val="20"/>
        </w:rPr>
        <w:t>otherwise normal electrical activity and intervals</w:t>
      </w:r>
      <w:r>
        <w:rPr>
          <w:sz w:val="20"/>
          <w:szCs w:val="20"/>
        </w:rPr>
        <w:t xml:space="preserve"> (</w:t>
      </w:r>
      <w:r w:rsidRPr="00DE5902">
        <w:rPr>
          <w:b/>
          <w:bCs/>
          <w:sz w:val="20"/>
          <w:szCs w:val="20"/>
        </w:rPr>
        <w:t>Figure 1</w:t>
      </w:r>
      <w:r>
        <w:rPr>
          <w:sz w:val="20"/>
          <w:szCs w:val="20"/>
        </w:rPr>
        <w:t>)</w:t>
      </w:r>
      <w:r w:rsidRPr="00477BC0">
        <w:rPr>
          <w:sz w:val="20"/>
          <w:szCs w:val="20"/>
        </w:rPr>
        <w:t>.</w:t>
      </w:r>
    </w:p>
    <w:bookmarkEnd w:id="1"/>
    <w:p w14:paraId="7C4150D8" w14:textId="77777777" w:rsidR="008C3C7C" w:rsidRDefault="00215734" w:rsidP="006537E9">
      <w:pPr>
        <w:rPr>
          <w:b/>
          <w:bCs/>
          <w:sz w:val="18"/>
          <w:szCs w:val="18"/>
        </w:rPr>
      </w:pPr>
      <w:r w:rsidRPr="00477BC0">
        <w:rPr>
          <w:noProof/>
        </w:rPr>
        <w:lastRenderedPageBreak/>
        <w:drawing>
          <wp:inline distT="0" distB="0" distL="0" distR="0" wp14:anchorId="233C652D" wp14:editId="41D6F748">
            <wp:extent cx="4357315" cy="2704857"/>
            <wp:effectExtent l="0" t="0" r="5715" b="635"/>
            <wp:docPr id="1" name="Picture 1" descr="ECG-image-demonstrating-a-sinus-rhythm-with-sporadic-2nd-degree-Mobitz-type-I-AV-bl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G-image-demonstrating-a-sinus-rhythm-with-sporadic-2nd-degree-Mobitz-type-I-AV-block."/>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426421" cy="2747755"/>
                    </a:xfrm>
                    <a:prstGeom prst="rect">
                      <a:avLst/>
                    </a:prstGeom>
                    <a:noFill/>
                    <a:ln>
                      <a:noFill/>
                    </a:ln>
                  </pic:spPr>
                </pic:pic>
              </a:graphicData>
            </a:graphic>
          </wp:inline>
        </w:drawing>
      </w:r>
    </w:p>
    <w:p w14:paraId="4C0D8F3B" w14:textId="39975EF7" w:rsidR="006537E9" w:rsidRPr="00477BC0" w:rsidRDefault="006537E9" w:rsidP="006537E9">
      <w:pPr>
        <w:rPr>
          <w:i/>
          <w:iCs/>
          <w:sz w:val="18"/>
          <w:szCs w:val="18"/>
        </w:rPr>
      </w:pPr>
      <w:r w:rsidRPr="00477BC0">
        <w:rPr>
          <w:b/>
          <w:bCs/>
          <w:sz w:val="18"/>
          <w:szCs w:val="18"/>
        </w:rPr>
        <w:t>Figure 1: ECG image demonstrating a sinus rhythm with 2nd degree Mobitz type I AV block.</w:t>
      </w:r>
      <w:r w:rsidRPr="00477BC0">
        <w:rPr>
          <w:b/>
          <w:bCs/>
          <w:sz w:val="18"/>
          <w:szCs w:val="18"/>
        </w:rPr>
        <w:br/>
      </w:r>
      <w:r w:rsidRPr="00A7477F">
        <w:rPr>
          <w:i/>
          <w:iCs/>
          <w:sz w:val="18"/>
          <w:szCs w:val="18"/>
        </w:rPr>
        <w:t>65 BPM, QRS axis 67</w:t>
      </w:r>
      <w:r w:rsidRPr="00A7477F">
        <w:rPr>
          <w:i/>
          <w:iCs/>
          <w:sz w:val="18"/>
          <w:szCs w:val="18"/>
          <w:vertAlign w:val="superscript"/>
        </w:rPr>
        <w:t>o</w:t>
      </w:r>
      <w:r w:rsidRPr="00A7477F">
        <w:rPr>
          <w:i/>
          <w:iCs/>
          <w:sz w:val="18"/>
          <w:szCs w:val="18"/>
        </w:rPr>
        <w:t>, T axis 46</w:t>
      </w:r>
      <w:r w:rsidRPr="00A7477F">
        <w:rPr>
          <w:i/>
          <w:iCs/>
          <w:sz w:val="18"/>
          <w:szCs w:val="18"/>
          <w:vertAlign w:val="superscript"/>
        </w:rPr>
        <w:t>o</w:t>
      </w:r>
      <w:r w:rsidRPr="00A7477F">
        <w:rPr>
          <w:i/>
          <w:iCs/>
          <w:sz w:val="18"/>
          <w:szCs w:val="18"/>
        </w:rPr>
        <w:t>, RR interval 1131 ms, QRS duration 88 ms, QT interval 404 ms, corrected QT 381 ms.</w:t>
      </w:r>
    </w:p>
    <w:p w14:paraId="18B7408B" w14:textId="77777777" w:rsidR="006537E9" w:rsidRPr="00477BC0" w:rsidRDefault="006537E9" w:rsidP="006537E9">
      <w:pPr>
        <w:rPr>
          <w:noProof/>
        </w:rPr>
      </w:pPr>
    </w:p>
    <w:p w14:paraId="6A68BE01" w14:textId="20C00199" w:rsidR="00215734" w:rsidRDefault="00215734" w:rsidP="00DE5902">
      <w:pPr>
        <w:jc w:val="both"/>
        <w:rPr>
          <w:sz w:val="20"/>
          <w:szCs w:val="20"/>
        </w:rPr>
      </w:pPr>
      <w:bookmarkStart w:id="2" w:name="_Hlk143089987"/>
      <w:r w:rsidRPr="00477BC0">
        <w:rPr>
          <w:sz w:val="20"/>
          <w:szCs w:val="20"/>
        </w:rPr>
        <w:t>A contrast-enhanced CT of the abdomen and pelvis revealed a</w:t>
      </w:r>
      <w:r w:rsidR="00A7477F">
        <w:rPr>
          <w:sz w:val="20"/>
          <w:szCs w:val="20"/>
        </w:rPr>
        <w:t xml:space="preserve"> </w:t>
      </w:r>
      <w:r w:rsidRPr="00477BC0">
        <w:rPr>
          <w:sz w:val="20"/>
          <w:szCs w:val="20"/>
        </w:rPr>
        <w:t xml:space="preserve">33 x 23 x 20 mm ellipsoid mass </w:t>
      </w:r>
      <w:r w:rsidR="00A7477F">
        <w:rPr>
          <w:sz w:val="20"/>
          <w:szCs w:val="20"/>
        </w:rPr>
        <w:t>near</w:t>
      </w:r>
      <w:r w:rsidRPr="00477BC0">
        <w:rPr>
          <w:sz w:val="20"/>
          <w:szCs w:val="20"/>
        </w:rPr>
        <w:t xml:space="preserve"> the aortic bifurcation, strongly suggestive of an Organ of Zuckerkandl paraganglioma (</w:t>
      </w:r>
      <w:r w:rsidRPr="00DE5902">
        <w:rPr>
          <w:b/>
          <w:bCs/>
          <w:sz w:val="20"/>
          <w:szCs w:val="20"/>
        </w:rPr>
        <w:t>Figure 2</w:t>
      </w:r>
      <w:r w:rsidRPr="00477BC0">
        <w:rPr>
          <w:sz w:val="20"/>
          <w:szCs w:val="20"/>
        </w:rPr>
        <w:t>).</w:t>
      </w:r>
    </w:p>
    <w:bookmarkEnd w:id="2"/>
    <w:p w14:paraId="0109FE10" w14:textId="77777777" w:rsidR="00DE5902" w:rsidRPr="00477BC0" w:rsidRDefault="00DE5902" w:rsidP="00215734">
      <w:pPr>
        <w:rPr>
          <w:sz w:val="20"/>
          <w:szCs w:val="20"/>
        </w:rPr>
      </w:pPr>
    </w:p>
    <w:p w14:paraId="2D300E07" w14:textId="77777777" w:rsidR="008C3C7C" w:rsidRDefault="00215734" w:rsidP="00215734">
      <w:pPr>
        <w:rPr>
          <w:b/>
          <w:bCs/>
          <w:sz w:val="18"/>
          <w:szCs w:val="18"/>
        </w:rPr>
      </w:pPr>
      <w:r w:rsidRPr="00477BC0">
        <w:rPr>
          <w:noProof/>
        </w:rPr>
        <w:drawing>
          <wp:inline distT="0" distB="0" distL="0" distR="0" wp14:anchorId="72D3A4E7" wp14:editId="6FC738E7">
            <wp:extent cx="5731510" cy="2863215"/>
            <wp:effectExtent l="0" t="0" r="0" b="0"/>
            <wp:docPr id="2" name="Picture 2" descr="coronal-(A)-and-axial-(B)-abdominal-CT-slices-depicting-the-33-x-23-x-20-mm-enhancing-mass-near-the-aortic-bifur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ronal-(A)-and-axial-(B)-abdominal-CT-slices-depicting-the-33-x-23-x-20-mm-enhancing-mass-near-the-aortic-bifurcatio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6593" cy="2880741"/>
                    </a:xfrm>
                    <a:prstGeom prst="rect">
                      <a:avLst/>
                    </a:prstGeom>
                    <a:noFill/>
                    <a:ln>
                      <a:noFill/>
                    </a:ln>
                  </pic:spPr>
                </pic:pic>
              </a:graphicData>
            </a:graphic>
          </wp:inline>
        </w:drawing>
      </w:r>
    </w:p>
    <w:p w14:paraId="0A861956" w14:textId="48DEFA2B" w:rsidR="00215734" w:rsidRPr="00477BC0" w:rsidRDefault="00215734" w:rsidP="00215734">
      <w:pPr>
        <w:rPr>
          <w:sz w:val="20"/>
          <w:szCs w:val="20"/>
        </w:rPr>
      </w:pPr>
      <w:r w:rsidRPr="00477BC0">
        <w:rPr>
          <w:b/>
          <w:bCs/>
          <w:sz w:val="18"/>
          <w:szCs w:val="18"/>
        </w:rPr>
        <w:t>Figure 2: coronal (A) and axial (B) abdominal CT slices depicting the 33 x 23 x 20 mm enhancing mass near the aortic bifurcation.</w:t>
      </w:r>
    </w:p>
    <w:p w14:paraId="5F6F19A7" w14:textId="77777777" w:rsidR="00DE5902" w:rsidRDefault="00DE5902" w:rsidP="00215734">
      <w:pPr>
        <w:rPr>
          <w:sz w:val="20"/>
          <w:szCs w:val="20"/>
        </w:rPr>
      </w:pPr>
    </w:p>
    <w:p w14:paraId="26772857" w14:textId="7764571E" w:rsidR="00215734" w:rsidRPr="00477BC0" w:rsidRDefault="00A7477F" w:rsidP="00DE5902">
      <w:pPr>
        <w:jc w:val="both"/>
        <w:rPr>
          <w:sz w:val="20"/>
          <w:szCs w:val="20"/>
        </w:rPr>
      </w:pPr>
      <w:bookmarkStart w:id="3" w:name="_Hlk143089983"/>
      <w:r>
        <w:rPr>
          <w:sz w:val="20"/>
          <w:szCs w:val="20"/>
        </w:rPr>
        <w:t>A</w:t>
      </w:r>
      <w:r w:rsidR="00215734" w:rsidRPr="00477BC0">
        <w:rPr>
          <w:sz w:val="20"/>
          <w:szCs w:val="20"/>
        </w:rPr>
        <w:t xml:space="preserve"> subsequent 68Ga DOTATATE PET/CT scan</w:t>
      </w:r>
      <w:r>
        <w:rPr>
          <w:sz w:val="20"/>
          <w:szCs w:val="20"/>
        </w:rPr>
        <w:t xml:space="preserve"> </w:t>
      </w:r>
      <w:r w:rsidRPr="00477BC0">
        <w:rPr>
          <w:sz w:val="20"/>
          <w:szCs w:val="20"/>
        </w:rPr>
        <w:t>corroborated</w:t>
      </w:r>
      <w:r>
        <w:rPr>
          <w:sz w:val="20"/>
          <w:szCs w:val="20"/>
        </w:rPr>
        <w:t xml:space="preserve"> this </w:t>
      </w:r>
      <w:r w:rsidRPr="00477BC0">
        <w:rPr>
          <w:sz w:val="20"/>
          <w:szCs w:val="20"/>
        </w:rPr>
        <w:t>suspicion</w:t>
      </w:r>
      <w:r w:rsidR="00215734" w:rsidRPr="00477BC0">
        <w:rPr>
          <w:sz w:val="20"/>
          <w:szCs w:val="20"/>
        </w:rPr>
        <w:t>,</w:t>
      </w:r>
      <w:r>
        <w:rPr>
          <w:sz w:val="20"/>
          <w:szCs w:val="20"/>
        </w:rPr>
        <w:t xml:space="preserve"> </w:t>
      </w:r>
      <w:r w:rsidR="00215734" w:rsidRPr="00477BC0">
        <w:rPr>
          <w:sz w:val="20"/>
          <w:szCs w:val="20"/>
        </w:rPr>
        <w:t>demonstrat</w:t>
      </w:r>
      <w:r>
        <w:rPr>
          <w:sz w:val="20"/>
          <w:szCs w:val="20"/>
        </w:rPr>
        <w:t>ing</w:t>
      </w:r>
      <w:r w:rsidR="00215734" w:rsidRPr="00477BC0">
        <w:rPr>
          <w:sz w:val="20"/>
          <w:szCs w:val="20"/>
        </w:rPr>
        <w:t xml:space="preserve"> intense radiotracer uptake </w:t>
      </w:r>
      <w:r w:rsidR="006E4FC0">
        <w:rPr>
          <w:sz w:val="20"/>
          <w:szCs w:val="20"/>
        </w:rPr>
        <w:t>with</w:t>
      </w:r>
      <w:r>
        <w:rPr>
          <w:sz w:val="20"/>
          <w:szCs w:val="20"/>
        </w:rPr>
        <w:t>in the lesion</w:t>
      </w:r>
      <w:r w:rsidR="00215734" w:rsidRPr="00477BC0">
        <w:rPr>
          <w:sz w:val="20"/>
          <w:szCs w:val="20"/>
        </w:rPr>
        <w:t>,</w:t>
      </w:r>
      <w:r>
        <w:rPr>
          <w:sz w:val="20"/>
          <w:szCs w:val="20"/>
        </w:rPr>
        <w:t xml:space="preserve"> with no</w:t>
      </w:r>
      <w:r w:rsidR="00215734" w:rsidRPr="00477BC0">
        <w:rPr>
          <w:sz w:val="20"/>
          <w:szCs w:val="20"/>
        </w:rPr>
        <w:t xml:space="preserve"> </w:t>
      </w:r>
      <w:r w:rsidRPr="00477BC0">
        <w:rPr>
          <w:sz w:val="20"/>
          <w:szCs w:val="20"/>
        </w:rPr>
        <w:t xml:space="preserve">abnormal </w:t>
      </w:r>
      <w:r>
        <w:rPr>
          <w:sz w:val="20"/>
          <w:szCs w:val="20"/>
        </w:rPr>
        <w:t xml:space="preserve">tracer </w:t>
      </w:r>
      <w:r w:rsidRPr="00477BC0">
        <w:rPr>
          <w:sz w:val="20"/>
          <w:szCs w:val="20"/>
        </w:rPr>
        <w:t>uptake observed elsewhere</w:t>
      </w:r>
      <w:r w:rsidR="00215734" w:rsidRPr="00477BC0">
        <w:rPr>
          <w:sz w:val="20"/>
          <w:szCs w:val="20"/>
        </w:rPr>
        <w:t xml:space="preserve"> (</w:t>
      </w:r>
      <w:r w:rsidR="00215734" w:rsidRPr="00DE5902">
        <w:rPr>
          <w:b/>
          <w:bCs/>
          <w:sz w:val="20"/>
          <w:szCs w:val="20"/>
        </w:rPr>
        <w:t>Figure 3</w:t>
      </w:r>
      <w:r w:rsidR="00215734" w:rsidRPr="00477BC0">
        <w:rPr>
          <w:sz w:val="20"/>
          <w:szCs w:val="20"/>
        </w:rPr>
        <w:t xml:space="preserve">). </w:t>
      </w:r>
    </w:p>
    <w:bookmarkEnd w:id="3"/>
    <w:p w14:paraId="23BBA5CF" w14:textId="77777777" w:rsidR="006537E9" w:rsidRPr="00477BC0" w:rsidRDefault="006537E9" w:rsidP="00215734">
      <w:pPr>
        <w:rPr>
          <w:sz w:val="20"/>
          <w:szCs w:val="20"/>
        </w:rPr>
      </w:pPr>
    </w:p>
    <w:p w14:paraId="5314FB7C" w14:textId="77777777" w:rsidR="008C3C7C" w:rsidRDefault="00215734" w:rsidP="00215734">
      <w:pPr>
        <w:rPr>
          <w:b/>
          <w:bCs/>
          <w:sz w:val="18"/>
          <w:szCs w:val="18"/>
        </w:rPr>
      </w:pPr>
      <w:r w:rsidRPr="00477BC0">
        <w:rPr>
          <w:b/>
          <w:bCs/>
          <w:noProof/>
          <w:sz w:val="18"/>
          <w:szCs w:val="18"/>
        </w:rPr>
        <w:lastRenderedPageBreak/>
        <w:drawing>
          <wp:inline distT="0" distB="0" distL="0" distR="0" wp14:anchorId="661E5E10" wp14:editId="09EDA78D">
            <wp:extent cx="6052518" cy="2017059"/>
            <wp:effectExtent l="0" t="0" r="5715" b="2540"/>
            <wp:docPr id="3" name="Picture 3" descr="coronal-(A),-axial-(B),-and-MIP-(C)-views-of-the-DOTATATE-PET,-showing-significant-radiotracer-uptake-(SUVmax-10.8)-within-the-mass-at-the-aortic-bifur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ronal-(A),-axial-(B),-and-MIP-(C)-views-of-the-DOTATATE-PET,-showing-significant-radiotracer-uptake-(SUVmax-10.8)-within-the-mass-at-the-aortic-bifurcatio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10262" cy="2036303"/>
                    </a:xfrm>
                    <a:prstGeom prst="rect">
                      <a:avLst/>
                    </a:prstGeom>
                    <a:noFill/>
                    <a:ln>
                      <a:noFill/>
                    </a:ln>
                  </pic:spPr>
                </pic:pic>
              </a:graphicData>
            </a:graphic>
          </wp:inline>
        </w:drawing>
      </w:r>
    </w:p>
    <w:p w14:paraId="555529F5" w14:textId="266EFC43" w:rsidR="00215734" w:rsidRPr="00477BC0" w:rsidRDefault="00215734" w:rsidP="00215734">
      <w:pPr>
        <w:rPr>
          <w:i/>
          <w:iCs/>
          <w:sz w:val="18"/>
          <w:szCs w:val="18"/>
        </w:rPr>
      </w:pPr>
      <w:r w:rsidRPr="00477BC0">
        <w:rPr>
          <w:b/>
          <w:bCs/>
          <w:sz w:val="18"/>
          <w:szCs w:val="18"/>
        </w:rPr>
        <w:t xml:space="preserve">Figure 3: coronal (A), axial (B), and MIP (C) views of the DOTATATE PET, showing significant radiotracer uptake (SUVmax 10.8) within the </w:t>
      </w:r>
      <w:r w:rsidR="00A7477F" w:rsidRPr="00A7477F">
        <w:rPr>
          <w:b/>
          <w:bCs/>
          <w:sz w:val="18"/>
          <w:szCs w:val="18"/>
        </w:rPr>
        <w:t xml:space="preserve">23 x 33 mm </w:t>
      </w:r>
      <w:r w:rsidRPr="00477BC0">
        <w:rPr>
          <w:b/>
          <w:bCs/>
          <w:sz w:val="18"/>
          <w:szCs w:val="18"/>
        </w:rPr>
        <w:t xml:space="preserve">mass </w:t>
      </w:r>
      <w:r w:rsidR="00A7477F">
        <w:rPr>
          <w:b/>
          <w:bCs/>
          <w:sz w:val="18"/>
          <w:szCs w:val="18"/>
        </w:rPr>
        <w:t xml:space="preserve">located </w:t>
      </w:r>
      <w:r w:rsidRPr="00477BC0">
        <w:rPr>
          <w:b/>
          <w:bCs/>
          <w:sz w:val="18"/>
          <w:szCs w:val="18"/>
        </w:rPr>
        <w:t>at the aortic bifurcation.</w:t>
      </w:r>
      <w:r w:rsidR="006537E9" w:rsidRPr="00477BC0">
        <w:rPr>
          <w:b/>
          <w:bCs/>
          <w:sz w:val="18"/>
          <w:szCs w:val="18"/>
        </w:rPr>
        <w:br/>
      </w:r>
      <w:r w:rsidRPr="00477BC0">
        <w:rPr>
          <w:i/>
          <w:iCs/>
          <w:sz w:val="18"/>
          <w:szCs w:val="18"/>
        </w:rPr>
        <w:t>MIP: Maximum intensity projection, PET: positron emission tomography, SUVmax: maximum standardised uptake value.</w:t>
      </w:r>
    </w:p>
    <w:p w14:paraId="31D24DE6" w14:textId="77777777" w:rsidR="00DE5902" w:rsidRDefault="00DE5902" w:rsidP="00215734">
      <w:pPr>
        <w:rPr>
          <w:sz w:val="20"/>
          <w:szCs w:val="20"/>
        </w:rPr>
      </w:pPr>
    </w:p>
    <w:p w14:paraId="3F10D60D" w14:textId="5D0AD482" w:rsidR="006537E9" w:rsidRPr="00477BC0" w:rsidRDefault="006537E9" w:rsidP="00DE5902">
      <w:pPr>
        <w:jc w:val="both"/>
        <w:rPr>
          <w:sz w:val="20"/>
          <w:szCs w:val="20"/>
        </w:rPr>
      </w:pPr>
      <w:bookmarkStart w:id="4" w:name="_Hlk143089993"/>
      <w:r w:rsidRPr="00477BC0">
        <w:rPr>
          <w:sz w:val="20"/>
          <w:szCs w:val="20"/>
        </w:rPr>
        <w:t>A</w:t>
      </w:r>
      <w:r w:rsidR="00894010">
        <w:rPr>
          <w:sz w:val="20"/>
          <w:szCs w:val="20"/>
        </w:rPr>
        <w:t xml:space="preserve">n abdominal </w:t>
      </w:r>
      <w:r w:rsidRPr="00477BC0">
        <w:rPr>
          <w:sz w:val="20"/>
          <w:szCs w:val="20"/>
        </w:rPr>
        <w:t>MRI</w:t>
      </w:r>
      <w:r w:rsidR="00B40D88">
        <w:rPr>
          <w:sz w:val="20"/>
          <w:szCs w:val="20"/>
        </w:rPr>
        <w:t xml:space="preserve"> </w:t>
      </w:r>
      <w:r w:rsidR="00D83AAE">
        <w:rPr>
          <w:sz w:val="20"/>
          <w:szCs w:val="20"/>
        </w:rPr>
        <w:t>report initially indicated</w:t>
      </w:r>
      <w:r w:rsidR="004A644B">
        <w:rPr>
          <w:sz w:val="20"/>
          <w:szCs w:val="20"/>
        </w:rPr>
        <w:t xml:space="preserve"> </w:t>
      </w:r>
      <w:r w:rsidR="00894010">
        <w:rPr>
          <w:sz w:val="20"/>
          <w:szCs w:val="20"/>
        </w:rPr>
        <w:t xml:space="preserve">the mass </w:t>
      </w:r>
      <w:r w:rsidR="00D83AAE">
        <w:rPr>
          <w:sz w:val="20"/>
          <w:szCs w:val="20"/>
        </w:rPr>
        <w:t>as</w:t>
      </w:r>
      <w:r w:rsidR="00894010">
        <w:rPr>
          <w:sz w:val="20"/>
          <w:szCs w:val="20"/>
        </w:rPr>
        <w:t xml:space="preserve"> a</w:t>
      </w:r>
      <w:r w:rsidR="00D83AAE">
        <w:rPr>
          <w:sz w:val="20"/>
          <w:szCs w:val="20"/>
        </w:rPr>
        <w:t xml:space="preserve">n </w:t>
      </w:r>
      <w:r w:rsidR="00992AE6" w:rsidRPr="00477BC0">
        <w:rPr>
          <w:sz w:val="20"/>
          <w:szCs w:val="20"/>
        </w:rPr>
        <w:t xml:space="preserve">enlarged </w:t>
      </w:r>
      <w:r w:rsidRPr="00477BC0">
        <w:rPr>
          <w:sz w:val="20"/>
          <w:szCs w:val="20"/>
        </w:rPr>
        <w:t xml:space="preserve">necrotic lymph node due to its </w:t>
      </w:r>
      <w:r w:rsidR="00D83AAE">
        <w:rPr>
          <w:sz w:val="20"/>
          <w:szCs w:val="20"/>
        </w:rPr>
        <w:t>ambiguous</w:t>
      </w:r>
      <w:r w:rsidRPr="00477BC0">
        <w:rPr>
          <w:sz w:val="20"/>
          <w:szCs w:val="20"/>
        </w:rPr>
        <w:t xml:space="preserve"> </w:t>
      </w:r>
      <w:r w:rsidR="00D83AAE">
        <w:rPr>
          <w:sz w:val="20"/>
          <w:szCs w:val="20"/>
        </w:rPr>
        <w:t>appearance</w:t>
      </w:r>
      <w:r w:rsidRPr="00477BC0">
        <w:rPr>
          <w:sz w:val="20"/>
          <w:szCs w:val="20"/>
        </w:rPr>
        <w:t xml:space="preserve">. However, a </w:t>
      </w:r>
      <w:r w:rsidR="00C4755E">
        <w:rPr>
          <w:sz w:val="20"/>
          <w:szCs w:val="20"/>
        </w:rPr>
        <w:t>subsequent</w:t>
      </w:r>
      <w:r w:rsidRPr="00477BC0">
        <w:rPr>
          <w:sz w:val="20"/>
          <w:szCs w:val="20"/>
        </w:rPr>
        <w:t xml:space="preserve"> </w:t>
      </w:r>
      <w:r w:rsidR="00C4755E">
        <w:rPr>
          <w:sz w:val="20"/>
          <w:szCs w:val="20"/>
        </w:rPr>
        <w:t>evaluation</w:t>
      </w:r>
      <w:r w:rsidRPr="00477BC0">
        <w:rPr>
          <w:sz w:val="20"/>
          <w:szCs w:val="20"/>
        </w:rPr>
        <w:t xml:space="preserve"> by </w:t>
      </w:r>
      <w:r w:rsidR="00D83AAE">
        <w:rPr>
          <w:sz w:val="20"/>
          <w:szCs w:val="20"/>
        </w:rPr>
        <w:t xml:space="preserve">a </w:t>
      </w:r>
      <w:r w:rsidR="00C4755E">
        <w:rPr>
          <w:sz w:val="20"/>
          <w:szCs w:val="20"/>
        </w:rPr>
        <w:t>different</w:t>
      </w:r>
      <w:r w:rsidRPr="00477BC0">
        <w:rPr>
          <w:sz w:val="20"/>
          <w:szCs w:val="20"/>
        </w:rPr>
        <w:t xml:space="preserve"> radiologist </w:t>
      </w:r>
      <w:r w:rsidR="005E3B34">
        <w:rPr>
          <w:sz w:val="20"/>
          <w:szCs w:val="20"/>
        </w:rPr>
        <w:t xml:space="preserve">accurately identified it as a </w:t>
      </w:r>
      <w:r w:rsidR="005E3B34" w:rsidRPr="00477BC0">
        <w:rPr>
          <w:sz w:val="20"/>
          <w:szCs w:val="20"/>
        </w:rPr>
        <w:t>paraganglioma</w:t>
      </w:r>
      <w:r w:rsidR="00D83AAE">
        <w:rPr>
          <w:sz w:val="20"/>
          <w:szCs w:val="20"/>
        </w:rPr>
        <w:t xml:space="preserve"> due to </w:t>
      </w:r>
      <w:r w:rsidR="00333009">
        <w:rPr>
          <w:sz w:val="20"/>
          <w:szCs w:val="20"/>
        </w:rPr>
        <w:t>its</w:t>
      </w:r>
      <w:r w:rsidRPr="00477BC0">
        <w:rPr>
          <w:sz w:val="20"/>
          <w:szCs w:val="20"/>
        </w:rPr>
        <w:t xml:space="preserve"> increased T2 signal, restricted diffusion, heterogeneous enhancement patterns, and </w:t>
      </w:r>
      <w:r w:rsidR="00D83AAE">
        <w:rPr>
          <w:sz w:val="20"/>
          <w:szCs w:val="20"/>
        </w:rPr>
        <w:t>absence</w:t>
      </w:r>
      <w:r w:rsidRPr="00477BC0">
        <w:rPr>
          <w:sz w:val="20"/>
          <w:szCs w:val="20"/>
        </w:rPr>
        <w:t xml:space="preserve"> of fluid </w:t>
      </w:r>
      <w:r w:rsidR="00D83AAE">
        <w:rPr>
          <w:sz w:val="20"/>
          <w:szCs w:val="20"/>
        </w:rPr>
        <w:t>suggestive</w:t>
      </w:r>
      <w:r w:rsidRPr="00477BC0">
        <w:rPr>
          <w:sz w:val="20"/>
          <w:szCs w:val="20"/>
        </w:rPr>
        <w:t xml:space="preserve"> of necrosis. </w:t>
      </w:r>
      <w:r w:rsidR="0048751C">
        <w:rPr>
          <w:sz w:val="20"/>
          <w:szCs w:val="20"/>
        </w:rPr>
        <w:t>The</w:t>
      </w:r>
      <w:r w:rsidRPr="00477BC0">
        <w:rPr>
          <w:sz w:val="20"/>
          <w:szCs w:val="20"/>
        </w:rPr>
        <w:t xml:space="preserve"> lesion was </w:t>
      </w:r>
      <w:r w:rsidR="00D409B7">
        <w:rPr>
          <w:sz w:val="20"/>
          <w:szCs w:val="20"/>
        </w:rPr>
        <w:t>located near</w:t>
      </w:r>
      <w:r w:rsidRPr="00477BC0">
        <w:rPr>
          <w:sz w:val="20"/>
          <w:szCs w:val="20"/>
        </w:rPr>
        <w:t xml:space="preserve"> the medial walls of the common iliac arteries and the anterior </w:t>
      </w:r>
      <w:r w:rsidR="00D409B7">
        <w:rPr>
          <w:sz w:val="20"/>
          <w:szCs w:val="20"/>
        </w:rPr>
        <w:t>aspect</w:t>
      </w:r>
      <w:r w:rsidRPr="00477BC0">
        <w:rPr>
          <w:sz w:val="20"/>
          <w:szCs w:val="20"/>
        </w:rPr>
        <w:t xml:space="preserve"> of the left common iliac vein</w:t>
      </w:r>
      <w:r w:rsidR="00DE5902">
        <w:rPr>
          <w:sz w:val="20"/>
          <w:szCs w:val="20"/>
        </w:rPr>
        <w:t xml:space="preserve"> (</w:t>
      </w:r>
      <w:r w:rsidR="00DE5902" w:rsidRPr="00DE5902">
        <w:rPr>
          <w:b/>
          <w:bCs/>
          <w:sz w:val="20"/>
          <w:szCs w:val="20"/>
        </w:rPr>
        <w:t>Figure 4</w:t>
      </w:r>
      <w:r w:rsidR="00DE5902">
        <w:rPr>
          <w:sz w:val="20"/>
          <w:szCs w:val="20"/>
        </w:rPr>
        <w:t>)</w:t>
      </w:r>
      <w:r w:rsidRPr="00477BC0">
        <w:rPr>
          <w:sz w:val="20"/>
          <w:szCs w:val="20"/>
        </w:rPr>
        <w:t>.</w:t>
      </w:r>
    </w:p>
    <w:bookmarkEnd w:id="4"/>
    <w:p w14:paraId="174EFDE8" w14:textId="77777777" w:rsidR="006537E9" w:rsidRPr="00477BC0" w:rsidRDefault="006537E9" w:rsidP="00215734">
      <w:pPr>
        <w:rPr>
          <w:sz w:val="20"/>
          <w:szCs w:val="20"/>
        </w:rPr>
      </w:pPr>
    </w:p>
    <w:p w14:paraId="1D712052" w14:textId="77777777" w:rsidR="008C3C7C" w:rsidRDefault="006537E9" w:rsidP="006537E9">
      <w:pPr>
        <w:rPr>
          <w:b/>
          <w:bCs/>
          <w:sz w:val="18"/>
          <w:szCs w:val="18"/>
        </w:rPr>
      </w:pPr>
      <w:r w:rsidRPr="00477BC0">
        <w:rPr>
          <w:noProof/>
        </w:rPr>
        <w:drawing>
          <wp:inline distT="0" distB="0" distL="0" distR="0" wp14:anchorId="34FA9689" wp14:editId="29BBC955">
            <wp:extent cx="5872895" cy="1472453"/>
            <wp:effectExtent l="0" t="0" r="0" b="1270"/>
            <wp:docPr id="4" name="Picture 4" descr="coronal-T2-fat-saturated-(A),-axial-T2-fat-saturated-(B),-gadolinium-enhanced-axial-T1-fat-saturated,-and-DWI-MRI-images-showcasing-the-21-x-21-x-29-mm-lesion-at-the-aortic-bifurcation.-The-lesion-demonstrates-increased-T2-signal-(orange-arrow),-heterogeneous-enhancement-patterns-(yellow-circle),-and-restricted-diffusion-(red-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ronal-T2-fat-saturated-(A),-axial-T2-fat-saturated-(B),-gadolinium-enhanced-axial-T1-fat-saturated,-and-DWI-MRI-images-showcasing-the-21-x-21-x-29-mm-lesion-at-the-aortic-bifurcation.-The-lesion-demonstrates-increased-T2-signal-(orange-arrow),-heterogeneous-enhancement-patterns-(yellow-circle),-and-restricted-diffusion-(red-arrow)."/>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569" cy="1490172"/>
                    </a:xfrm>
                    <a:prstGeom prst="rect">
                      <a:avLst/>
                    </a:prstGeom>
                    <a:noFill/>
                    <a:ln>
                      <a:noFill/>
                    </a:ln>
                  </pic:spPr>
                </pic:pic>
              </a:graphicData>
            </a:graphic>
          </wp:inline>
        </w:drawing>
      </w:r>
    </w:p>
    <w:p w14:paraId="047942E6" w14:textId="3B0767A3" w:rsidR="006537E9" w:rsidRPr="00477BC0" w:rsidRDefault="006537E9" w:rsidP="006537E9">
      <w:pPr>
        <w:rPr>
          <w:sz w:val="20"/>
          <w:szCs w:val="20"/>
        </w:rPr>
      </w:pPr>
      <w:r w:rsidRPr="00477BC0">
        <w:rPr>
          <w:b/>
          <w:bCs/>
          <w:sz w:val="18"/>
          <w:szCs w:val="18"/>
        </w:rPr>
        <w:t>Figure 4: coronal T2 fat-saturated (A), axial T2 fat-saturated (B), gadolinium-enhanced axial T1 fat-saturated, and DWI MRI images showcasing the 21 x 21 x 29 mm lesion at the aortic bifurcation.</w:t>
      </w:r>
      <w:r w:rsidRPr="00477BC0">
        <w:rPr>
          <w:b/>
          <w:bCs/>
          <w:sz w:val="20"/>
          <w:szCs w:val="20"/>
        </w:rPr>
        <w:t xml:space="preserve"> </w:t>
      </w:r>
      <w:r w:rsidRPr="00477BC0">
        <w:rPr>
          <w:b/>
          <w:bCs/>
          <w:sz w:val="18"/>
          <w:szCs w:val="18"/>
        </w:rPr>
        <w:t>The lesion demonstrates increased T2 signal (orange arrow), heterogeneous enhancement patterns (yellow circle), and restricted diffusion (red arrow).</w:t>
      </w:r>
    </w:p>
    <w:p w14:paraId="0FD7A99E" w14:textId="77777777" w:rsidR="006537E9" w:rsidRPr="00477BC0" w:rsidRDefault="006537E9" w:rsidP="006537E9">
      <w:pPr>
        <w:rPr>
          <w:sz w:val="20"/>
          <w:szCs w:val="20"/>
        </w:rPr>
      </w:pPr>
    </w:p>
    <w:p w14:paraId="18899E5C" w14:textId="5F0DB1AE" w:rsidR="006537E9" w:rsidRPr="00477BC0" w:rsidRDefault="00477BC0" w:rsidP="006537E9">
      <w:pPr>
        <w:pStyle w:val="Heading2"/>
        <w:rPr>
          <w:rFonts w:ascii="Times New Roman" w:hAnsi="Times New Roman" w:cs="Times New Roman"/>
          <w:b/>
          <w:bCs/>
          <w:color w:val="000000" w:themeColor="text1"/>
          <w:sz w:val="24"/>
          <w:szCs w:val="24"/>
        </w:rPr>
      </w:pPr>
      <w:bookmarkStart w:id="5" w:name="_Hlk143089999"/>
      <w:r w:rsidRPr="00477BC0">
        <w:rPr>
          <w:rFonts w:ascii="Times New Roman" w:hAnsi="Times New Roman" w:cs="Times New Roman"/>
          <w:b/>
          <w:bCs/>
          <w:color w:val="000000" w:themeColor="text1"/>
          <w:sz w:val="24"/>
          <w:szCs w:val="24"/>
        </w:rPr>
        <w:t xml:space="preserve">SURGICAL </w:t>
      </w:r>
      <w:r w:rsidR="00D83AAE">
        <w:rPr>
          <w:rFonts w:ascii="Times New Roman" w:hAnsi="Times New Roman" w:cs="Times New Roman"/>
          <w:b/>
          <w:bCs/>
          <w:color w:val="000000" w:themeColor="text1"/>
          <w:sz w:val="24"/>
          <w:szCs w:val="24"/>
        </w:rPr>
        <w:t>EXCISION</w:t>
      </w:r>
    </w:p>
    <w:p w14:paraId="2E168313" w14:textId="7A68133B" w:rsidR="00EA46BC" w:rsidRDefault="00D83AAE" w:rsidP="00DE5902">
      <w:pPr>
        <w:jc w:val="both"/>
        <w:rPr>
          <w:sz w:val="20"/>
          <w:szCs w:val="20"/>
        </w:rPr>
      </w:pPr>
      <w:r w:rsidRPr="6B9B7D4D">
        <w:rPr>
          <w:sz w:val="20"/>
          <w:szCs w:val="20"/>
        </w:rPr>
        <w:t>Upon confirming the diagnosis of an organ of Zuckerkandl paraganglioma through biochemical and radiological tests, the patient was promptly referred to the vascular surgery outpatient clinic. After discussing the procedure, risks, and anticipated outcomes, informed consent was obtained for open tumour excision.</w:t>
      </w:r>
      <w:r w:rsidR="00DE5902" w:rsidRPr="6B9B7D4D">
        <w:rPr>
          <w:sz w:val="20"/>
          <w:szCs w:val="20"/>
        </w:rPr>
        <w:t xml:space="preserve"> </w:t>
      </w:r>
      <w:r w:rsidRPr="6B9B7D4D">
        <w:rPr>
          <w:sz w:val="20"/>
          <w:szCs w:val="20"/>
        </w:rPr>
        <w:t xml:space="preserve">Six weeks post-consultation, the patient underwent a para-umbilical midline laparotomy to remove the tumour at the aortic bifurcation. </w:t>
      </w:r>
      <w:r w:rsidR="00243D2F" w:rsidRPr="6B9B7D4D">
        <w:rPr>
          <w:sz w:val="20"/>
          <w:szCs w:val="20"/>
        </w:rPr>
        <w:t>The complexity of the operation necessitated meticulous preoperative planning d</w:t>
      </w:r>
      <w:r w:rsidRPr="6B9B7D4D">
        <w:rPr>
          <w:sz w:val="20"/>
          <w:szCs w:val="20"/>
        </w:rPr>
        <w:t xml:space="preserve">ue to the risk of </w:t>
      </w:r>
      <w:r w:rsidR="00243D2F" w:rsidRPr="6B9B7D4D">
        <w:rPr>
          <w:sz w:val="20"/>
          <w:szCs w:val="20"/>
        </w:rPr>
        <w:t xml:space="preserve">a </w:t>
      </w:r>
      <w:r w:rsidRPr="6B9B7D4D">
        <w:rPr>
          <w:sz w:val="20"/>
          <w:szCs w:val="20"/>
        </w:rPr>
        <w:t>catecholamine-induced hypertensive crisis.</w:t>
      </w:r>
    </w:p>
    <w:p w14:paraId="05B6CA8E" w14:textId="77777777" w:rsidR="00DE5902" w:rsidRDefault="00DE5902" w:rsidP="00DE5902">
      <w:pPr>
        <w:jc w:val="both"/>
        <w:rPr>
          <w:sz w:val="20"/>
          <w:szCs w:val="20"/>
        </w:rPr>
      </w:pPr>
    </w:p>
    <w:p w14:paraId="5649F7F5" w14:textId="14180519" w:rsidR="00243D2F" w:rsidRPr="00477BC0" w:rsidRDefault="00F00E7E" w:rsidP="00DE5902">
      <w:pPr>
        <w:jc w:val="both"/>
        <w:rPr>
          <w:sz w:val="20"/>
          <w:szCs w:val="20"/>
        </w:rPr>
      </w:pPr>
      <w:r w:rsidRPr="6B9B7D4D">
        <w:rPr>
          <w:sz w:val="20"/>
          <w:szCs w:val="20"/>
        </w:rPr>
        <w:t>The procedure, lasting approximately five hours, involved the excision of the Organ of Zuckerkandl mass found adhering to the left common iliac vein</w:t>
      </w:r>
      <w:r w:rsidR="3869DF17" w:rsidRPr="6B9B7D4D">
        <w:rPr>
          <w:sz w:val="20"/>
          <w:szCs w:val="20"/>
        </w:rPr>
        <w:t xml:space="preserve"> requiring partial venous resection</w:t>
      </w:r>
      <w:r w:rsidRPr="6B9B7D4D">
        <w:rPr>
          <w:sz w:val="20"/>
          <w:szCs w:val="20"/>
        </w:rPr>
        <w:t xml:space="preserve"> and repair using a bovine pericardium patch, leading to an estimated blood loss of 250 mL, which was recirculated to the patient through a cell </w:t>
      </w:r>
      <w:r w:rsidR="0033525B" w:rsidRPr="6B9B7D4D">
        <w:rPr>
          <w:sz w:val="20"/>
          <w:szCs w:val="20"/>
        </w:rPr>
        <w:t>saver.</w:t>
      </w:r>
      <w:r w:rsidR="00DE5902" w:rsidRPr="6B9B7D4D">
        <w:rPr>
          <w:sz w:val="20"/>
          <w:szCs w:val="20"/>
        </w:rPr>
        <w:t xml:space="preserve"> </w:t>
      </w:r>
      <w:r w:rsidR="00243D2F" w:rsidRPr="6B9B7D4D">
        <w:rPr>
          <w:sz w:val="20"/>
          <w:szCs w:val="20"/>
        </w:rPr>
        <w:t xml:space="preserve">Throughout the procedure, the patient's blood pressure exhibited fluctuations </w:t>
      </w:r>
      <w:r w:rsidRPr="6B9B7D4D">
        <w:rPr>
          <w:sz w:val="20"/>
          <w:szCs w:val="20"/>
        </w:rPr>
        <w:t>incited by</w:t>
      </w:r>
      <w:r w:rsidR="00243D2F" w:rsidRPr="6B9B7D4D">
        <w:rPr>
          <w:sz w:val="20"/>
          <w:szCs w:val="20"/>
        </w:rPr>
        <w:t xml:space="preserve"> </w:t>
      </w:r>
      <w:r w:rsidRPr="6B9B7D4D">
        <w:rPr>
          <w:sz w:val="20"/>
          <w:szCs w:val="20"/>
        </w:rPr>
        <w:t xml:space="preserve">the physiological response to the </w:t>
      </w:r>
      <w:r w:rsidR="00243D2F" w:rsidRPr="6B9B7D4D">
        <w:rPr>
          <w:sz w:val="20"/>
          <w:szCs w:val="20"/>
        </w:rPr>
        <w:t>catecholamine release during tumour manipulation</w:t>
      </w:r>
      <w:r w:rsidRPr="6B9B7D4D">
        <w:rPr>
          <w:sz w:val="20"/>
          <w:szCs w:val="20"/>
        </w:rPr>
        <w:t xml:space="preserve">, </w:t>
      </w:r>
      <w:r w:rsidR="00243D2F" w:rsidRPr="6B9B7D4D">
        <w:rPr>
          <w:sz w:val="20"/>
          <w:szCs w:val="20"/>
        </w:rPr>
        <w:t xml:space="preserve">effectively managed </w:t>
      </w:r>
      <w:r w:rsidRPr="6B9B7D4D">
        <w:rPr>
          <w:sz w:val="20"/>
          <w:szCs w:val="20"/>
        </w:rPr>
        <w:t xml:space="preserve">intraoperatively </w:t>
      </w:r>
      <w:r w:rsidR="00243D2F" w:rsidRPr="6B9B7D4D">
        <w:rPr>
          <w:sz w:val="20"/>
          <w:szCs w:val="20"/>
        </w:rPr>
        <w:t>using</w:t>
      </w:r>
      <w:r w:rsidRPr="6B9B7D4D">
        <w:rPr>
          <w:sz w:val="20"/>
          <w:szCs w:val="20"/>
        </w:rPr>
        <w:t xml:space="preserve"> intravenous calcium channel blockers</w:t>
      </w:r>
      <w:r w:rsidR="00EA46BC" w:rsidRPr="6B9B7D4D">
        <w:rPr>
          <w:sz w:val="20"/>
          <w:szCs w:val="20"/>
        </w:rPr>
        <w:t xml:space="preserve"> (</w:t>
      </w:r>
      <w:r w:rsidR="00EA46BC" w:rsidRPr="6B9B7D4D">
        <w:rPr>
          <w:b/>
          <w:bCs/>
          <w:sz w:val="20"/>
          <w:szCs w:val="20"/>
        </w:rPr>
        <w:t>Figure 5</w:t>
      </w:r>
      <w:r w:rsidR="00EA46BC" w:rsidRPr="6B9B7D4D">
        <w:rPr>
          <w:sz w:val="20"/>
          <w:szCs w:val="20"/>
        </w:rPr>
        <w:t>).</w:t>
      </w:r>
    </w:p>
    <w:bookmarkEnd w:id="5"/>
    <w:p w14:paraId="1F72B4E2" w14:textId="77777777" w:rsidR="006537E9" w:rsidRPr="00477BC0" w:rsidRDefault="006537E9" w:rsidP="006537E9">
      <w:pPr>
        <w:rPr>
          <w:sz w:val="20"/>
          <w:szCs w:val="20"/>
        </w:rPr>
      </w:pPr>
    </w:p>
    <w:p w14:paraId="01A55BD2" w14:textId="2D05EF6F" w:rsidR="006537E9" w:rsidRPr="00477BC0" w:rsidRDefault="006537E9" w:rsidP="006537E9">
      <w:pPr>
        <w:rPr>
          <w:noProof/>
        </w:rPr>
      </w:pPr>
      <w:r w:rsidRPr="00477BC0">
        <w:rPr>
          <w:noProof/>
        </w:rPr>
        <w:lastRenderedPageBreak/>
        <w:drawing>
          <wp:inline distT="0" distB="0" distL="0" distR="0" wp14:anchorId="4D75C8A8" wp14:editId="7946D27D">
            <wp:extent cx="5731510" cy="160020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1600200"/>
                    </a:xfrm>
                    <a:prstGeom prst="rect">
                      <a:avLst/>
                    </a:prstGeom>
                    <a:noFill/>
                    <a:ln>
                      <a:noFill/>
                    </a:ln>
                  </pic:spPr>
                </pic:pic>
              </a:graphicData>
            </a:graphic>
          </wp:inline>
        </w:drawing>
      </w:r>
    </w:p>
    <w:p w14:paraId="57BF5010" w14:textId="52E7D124" w:rsidR="006537E9" w:rsidRPr="00477BC0" w:rsidRDefault="006537E9" w:rsidP="006537E9">
      <w:pPr>
        <w:rPr>
          <w:sz w:val="20"/>
          <w:szCs w:val="20"/>
        </w:rPr>
      </w:pPr>
      <w:r w:rsidRPr="00477BC0">
        <w:rPr>
          <w:b/>
          <w:bCs/>
          <w:sz w:val="18"/>
          <w:szCs w:val="18"/>
        </w:rPr>
        <w:t xml:space="preserve">Figure 5: </w:t>
      </w:r>
      <w:r w:rsidR="00EA46BC">
        <w:rPr>
          <w:b/>
          <w:bCs/>
          <w:sz w:val="18"/>
          <w:szCs w:val="18"/>
        </w:rPr>
        <w:t xml:space="preserve">graphical depiction of </w:t>
      </w:r>
      <w:r w:rsidRPr="00477BC0">
        <w:rPr>
          <w:b/>
          <w:bCs/>
          <w:sz w:val="18"/>
          <w:szCs w:val="18"/>
        </w:rPr>
        <w:t>intraoperative vital sign</w:t>
      </w:r>
      <w:r w:rsidR="00EA46BC">
        <w:rPr>
          <w:b/>
          <w:bCs/>
          <w:sz w:val="18"/>
          <w:szCs w:val="18"/>
        </w:rPr>
        <w:t xml:space="preserve">s, </w:t>
      </w:r>
      <w:r w:rsidRPr="00477BC0">
        <w:rPr>
          <w:b/>
          <w:bCs/>
          <w:sz w:val="18"/>
          <w:szCs w:val="18"/>
        </w:rPr>
        <w:t xml:space="preserve">displaying significant systolic blood pressure </w:t>
      </w:r>
      <w:r w:rsidR="00EA46BC">
        <w:rPr>
          <w:b/>
          <w:bCs/>
          <w:sz w:val="18"/>
          <w:szCs w:val="18"/>
        </w:rPr>
        <w:t xml:space="preserve">spikes during </w:t>
      </w:r>
      <w:r w:rsidRPr="00477BC0">
        <w:rPr>
          <w:b/>
          <w:bCs/>
          <w:sz w:val="18"/>
          <w:szCs w:val="18"/>
        </w:rPr>
        <w:t>manual tumour manipulation</w:t>
      </w:r>
      <w:r w:rsidR="00EA46BC">
        <w:rPr>
          <w:b/>
          <w:bCs/>
          <w:sz w:val="18"/>
          <w:szCs w:val="18"/>
        </w:rPr>
        <w:t>,</w:t>
      </w:r>
      <w:r w:rsidRPr="00477BC0">
        <w:rPr>
          <w:b/>
          <w:bCs/>
          <w:sz w:val="18"/>
          <w:szCs w:val="18"/>
        </w:rPr>
        <w:t xml:space="preserve"> </w:t>
      </w:r>
      <w:r w:rsidR="00EA46BC">
        <w:rPr>
          <w:b/>
          <w:bCs/>
          <w:sz w:val="18"/>
          <w:szCs w:val="18"/>
        </w:rPr>
        <w:t>peaking at</w:t>
      </w:r>
      <w:r w:rsidRPr="00477BC0">
        <w:rPr>
          <w:b/>
          <w:bCs/>
          <w:sz w:val="18"/>
          <w:szCs w:val="18"/>
        </w:rPr>
        <w:t xml:space="preserve"> 161/84.</w:t>
      </w:r>
      <w:r w:rsidRPr="00477BC0">
        <w:rPr>
          <w:sz w:val="20"/>
          <w:szCs w:val="20"/>
        </w:rPr>
        <w:br/>
      </w:r>
      <w:r w:rsidRPr="00477BC0">
        <w:rPr>
          <w:i/>
          <w:iCs/>
          <w:sz w:val="18"/>
          <w:szCs w:val="18"/>
        </w:rPr>
        <w:t>Blood pressure, mmHg (Purple); mean blood pressure, mmHg (green); pulse, BPM (blue)</w:t>
      </w:r>
    </w:p>
    <w:p w14:paraId="3AA28BA7" w14:textId="77777777" w:rsidR="006537E9" w:rsidRPr="00477BC0" w:rsidRDefault="006537E9" w:rsidP="006537E9">
      <w:pPr>
        <w:rPr>
          <w:sz w:val="20"/>
          <w:szCs w:val="20"/>
        </w:rPr>
      </w:pPr>
    </w:p>
    <w:p w14:paraId="584903F4" w14:textId="3A483204" w:rsidR="006537E9" w:rsidRDefault="006537E9" w:rsidP="006537E9">
      <w:pPr>
        <w:rPr>
          <w:sz w:val="20"/>
          <w:szCs w:val="20"/>
        </w:rPr>
      </w:pPr>
      <w:bookmarkStart w:id="6" w:name="_Hlk143090005"/>
      <w:r w:rsidRPr="00477BC0">
        <w:rPr>
          <w:sz w:val="20"/>
          <w:szCs w:val="20"/>
        </w:rPr>
        <w:t xml:space="preserve">The excised tissues were sent for histopathological analysis, which confirmed the diagnosis of a sympathetic paraganglioma. </w:t>
      </w:r>
      <w:r w:rsidRPr="00DE5902">
        <w:rPr>
          <w:b/>
          <w:bCs/>
          <w:sz w:val="20"/>
          <w:szCs w:val="20"/>
        </w:rPr>
        <w:t>Figure 6</w:t>
      </w:r>
      <w:r w:rsidRPr="00477BC0">
        <w:rPr>
          <w:sz w:val="20"/>
          <w:szCs w:val="20"/>
        </w:rPr>
        <w:t xml:space="preserve"> showcases a photograph of the excised tumour.</w:t>
      </w:r>
    </w:p>
    <w:bookmarkEnd w:id="6"/>
    <w:p w14:paraId="0FB7C674" w14:textId="77777777" w:rsidR="00EA46BC" w:rsidRPr="00477BC0" w:rsidRDefault="00EA46BC" w:rsidP="006537E9">
      <w:pPr>
        <w:rPr>
          <w:sz w:val="20"/>
          <w:szCs w:val="20"/>
        </w:rPr>
      </w:pPr>
    </w:p>
    <w:p w14:paraId="4AAE3A26" w14:textId="08BA5426" w:rsidR="006537E9" w:rsidRPr="00477BC0" w:rsidRDefault="006537E9" w:rsidP="006537E9">
      <w:pPr>
        <w:rPr>
          <w:noProof/>
        </w:rPr>
      </w:pPr>
      <w:r w:rsidRPr="00477BC0">
        <w:rPr>
          <w:noProof/>
        </w:rPr>
        <w:drawing>
          <wp:inline distT="0" distB="0" distL="0" distR="0" wp14:anchorId="629D8F95" wp14:editId="503763E6">
            <wp:extent cx="2669241" cy="3139742"/>
            <wp:effectExtent l="0" t="0" r="0" b="0"/>
            <wp:docPr id="6" name="Picture 6" descr="photograph-of-the-excised-paragangli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hotograph-of-the-excised-paraganglioma."/>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00312" cy="3176290"/>
                    </a:xfrm>
                    <a:prstGeom prst="rect">
                      <a:avLst/>
                    </a:prstGeom>
                    <a:noFill/>
                    <a:ln>
                      <a:noFill/>
                    </a:ln>
                  </pic:spPr>
                </pic:pic>
              </a:graphicData>
            </a:graphic>
          </wp:inline>
        </w:drawing>
      </w:r>
      <w:r w:rsidRPr="00477BC0">
        <w:rPr>
          <w:noProof/>
        </w:rPr>
        <w:br/>
      </w:r>
      <w:r w:rsidRPr="00477BC0">
        <w:rPr>
          <w:b/>
          <w:bCs/>
          <w:sz w:val="18"/>
          <w:szCs w:val="18"/>
        </w:rPr>
        <w:t>Figure 6: photograph of the excised paraganglioma.</w:t>
      </w:r>
    </w:p>
    <w:p w14:paraId="503C893A" w14:textId="77777777" w:rsidR="00EA46BC" w:rsidRDefault="00EA46BC" w:rsidP="00F75C30">
      <w:pPr>
        <w:pStyle w:val="Heading2"/>
        <w:rPr>
          <w:rFonts w:ascii="Times New Roman" w:hAnsi="Times New Roman" w:cs="Times New Roman"/>
          <w:b/>
          <w:bCs/>
          <w:color w:val="000000" w:themeColor="text1"/>
          <w:sz w:val="24"/>
          <w:szCs w:val="24"/>
        </w:rPr>
      </w:pPr>
    </w:p>
    <w:p w14:paraId="1E3F190A" w14:textId="30AF4D7D" w:rsidR="006537E9" w:rsidRPr="00477BC0" w:rsidRDefault="00477BC0" w:rsidP="00F75C30">
      <w:pPr>
        <w:pStyle w:val="Heading2"/>
        <w:rPr>
          <w:rFonts w:ascii="Times New Roman" w:hAnsi="Times New Roman" w:cs="Times New Roman"/>
          <w:b/>
          <w:bCs/>
          <w:color w:val="000000" w:themeColor="text1"/>
          <w:sz w:val="24"/>
          <w:szCs w:val="24"/>
        </w:rPr>
      </w:pPr>
      <w:bookmarkStart w:id="7" w:name="_Hlk143090010"/>
      <w:r w:rsidRPr="00477BC0">
        <w:rPr>
          <w:rFonts w:ascii="Times New Roman" w:hAnsi="Times New Roman" w:cs="Times New Roman"/>
          <w:b/>
          <w:bCs/>
          <w:color w:val="000000" w:themeColor="text1"/>
          <w:sz w:val="24"/>
          <w:szCs w:val="24"/>
        </w:rPr>
        <w:t>HISTOPATHOLOGY</w:t>
      </w:r>
    </w:p>
    <w:p w14:paraId="61C79995" w14:textId="17D9CF88" w:rsidR="00427461" w:rsidRPr="00477BC0" w:rsidRDefault="00427461" w:rsidP="00DE5902">
      <w:pPr>
        <w:jc w:val="both"/>
        <w:rPr>
          <w:sz w:val="20"/>
          <w:szCs w:val="20"/>
        </w:rPr>
      </w:pPr>
      <w:r w:rsidRPr="6B9B7D4D">
        <w:rPr>
          <w:sz w:val="20"/>
          <w:szCs w:val="20"/>
        </w:rPr>
        <w:t xml:space="preserve">The specimen consisted of an ovoid tissue piece, 38 x 22 x 20mm. Sectioning revealed an encapsulated, solid tumour with </w:t>
      </w:r>
      <w:r w:rsidR="00D83AAE" w:rsidRPr="6B9B7D4D">
        <w:rPr>
          <w:sz w:val="20"/>
          <w:szCs w:val="20"/>
        </w:rPr>
        <w:t>a</w:t>
      </w:r>
      <w:r w:rsidRPr="6B9B7D4D">
        <w:rPr>
          <w:sz w:val="20"/>
          <w:szCs w:val="20"/>
        </w:rPr>
        <w:t xml:space="preserve"> homogenous tan cut surface. Microscopically, the tumour was well-circumscribed, surrounded by a thick fibrous capsule (</w:t>
      </w:r>
      <w:r w:rsidRPr="6B9B7D4D">
        <w:rPr>
          <w:b/>
          <w:bCs/>
          <w:sz w:val="20"/>
          <w:szCs w:val="20"/>
        </w:rPr>
        <w:t>Figure 7</w:t>
      </w:r>
      <w:r w:rsidR="00FC0DF8">
        <w:rPr>
          <w:b/>
          <w:bCs/>
          <w:sz w:val="20"/>
          <w:szCs w:val="20"/>
        </w:rPr>
        <w:t xml:space="preserve"> </w:t>
      </w:r>
      <w:r w:rsidRPr="6B9B7D4D">
        <w:rPr>
          <w:b/>
          <w:bCs/>
          <w:sz w:val="20"/>
          <w:szCs w:val="20"/>
        </w:rPr>
        <w:t>A</w:t>
      </w:r>
      <w:r w:rsidRPr="6B9B7D4D">
        <w:rPr>
          <w:sz w:val="20"/>
          <w:szCs w:val="20"/>
        </w:rPr>
        <w:t>). It showed ‘</w:t>
      </w:r>
      <w:r w:rsidR="441CA2CB" w:rsidRPr="6B9B7D4D">
        <w:rPr>
          <w:sz w:val="20"/>
          <w:szCs w:val="20"/>
        </w:rPr>
        <w:t>Z</w:t>
      </w:r>
      <w:r w:rsidRPr="6B9B7D4D">
        <w:rPr>
          <w:sz w:val="20"/>
          <w:szCs w:val="20"/>
        </w:rPr>
        <w:t xml:space="preserve">ellballen’ architecture, composed of nests of epithelioid cells with eosinophilic, </w:t>
      </w:r>
      <w:r w:rsidR="00D83AAE" w:rsidRPr="6B9B7D4D">
        <w:rPr>
          <w:sz w:val="20"/>
          <w:szCs w:val="20"/>
        </w:rPr>
        <w:t>focally vacuolated</w:t>
      </w:r>
      <w:r w:rsidRPr="6B9B7D4D">
        <w:rPr>
          <w:sz w:val="20"/>
          <w:szCs w:val="20"/>
        </w:rPr>
        <w:t xml:space="preserve"> cytoplasm and round to ovoid nuclei, separated by a thin network of capillaries and inconspicuous sustentacular cells (</w:t>
      </w:r>
      <w:r w:rsidRPr="6B9B7D4D">
        <w:rPr>
          <w:b/>
          <w:bCs/>
          <w:sz w:val="20"/>
          <w:szCs w:val="20"/>
        </w:rPr>
        <w:t>Figure 7</w:t>
      </w:r>
      <w:r w:rsidR="00FC0DF8">
        <w:rPr>
          <w:b/>
          <w:bCs/>
          <w:sz w:val="20"/>
          <w:szCs w:val="20"/>
        </w:rPr>
        <w:t xml:space="preserve"> </w:t>
      </w:r>
      <w:r w:rsidRPr="6B9B7D4D">
        <w:rPr>
          <w:b/>
          <w:bCs/>
          <w:sz w:val="20"/>
          <w:szCs w:val="20"/>
        </w:rPr>
        <w:t>B</w:t>
      </w:r>
      <w:r w:rsidRPr="6B9B7D4D">
        <w:rPr>
          <w:sz w:val="20"/>
          <w:szCs w:val="20"/>
        </w:rPr>
        <w:t>). Occasional mitoses were noted (</w:t>
      </w:r>
      <w:r w:rsidRPr="6B9B7D4D">
        <w:rPr>
          <w:b/>
          <w:bCs/>
          <w:sz w:val="20"/>
          <w:szCs w:val="20"/>
        </w:rPr>
        <w:t>Figure 7</w:t>
      </w:r>
      <w:r w:rsidR="00FC0DF8">
        <w:rPr>
          <w:b/>
          <w:bCs/>
          <w:sz w:val="20"/>
          <w:szCs w:val="20"/>
        </w:rPr>
        <w:t xml:space="preserve"> </w:t>
      </w:r>
      <w:r w:rsidRPr="6B9B7D4D">
        <w:rPr>
          <w:b/>
          <w:bCs/>
          <w:sz w:val="20"/>
          <w:szCs w:val="20"/>
        </w:rPr>
        <w:t>B</w:t>
      </w:r>
      <w:r w:rsidRPr="6B9B7D4D">
        <w:rPr>
          <w:sz w:val="20"/>
          <w:szCs w:val="20"/>
        </w:rPr>
        <w:t xml:space="preserve">, </w:t>
      </w:r>
      <w:r w:rsidRPr="6B9B7D4D">
        <w:rPr>
          <w:i/>
          <w:iCs/>
          <w:sz w:val="20"/>
          <w:szCs w:val="20"/>
        </w:rPr>
        <w:t>inset</w:t>
      </w:r>
      <w:r w:rsidRPr="6B9B7D4D">
        <w:rPr>
          <w:sz w:val="20"/>
          <w:szCs w:val="20"/>
        </w:rPr>
        <w:t>). Immunohistochemistry showed positive staining for synaptophysin (</w:t>
      </w:r>
      <w:r w:rsidRPr="6B9B7D4D">
        <w:rPr>
          <w:b/>
          <w:bCs/>
          <w:sz w:val="20"/>
          <w:szCs w:val="20"/>
        </w:rPr>
        <w:t>Figure 7</w:t>
      </w:r>
      <w:r w:rsidR="00FC0DF8">
        <w:rPr>
          <w:b/>
          <w:bCs/>
          <w:sz w:val="20"/>
          <w:szCs w:val="20"/>
        </w:rPr>
        <w:t xml:space="preserve"> </w:t>
      </w:r>
      <w:r w:rsidRPr="6B9B7D4D">
        <w:rPr>
          <w:b/>
          <w:bCs/>
          <w:sz w:val="20"/>
          <w:szCs w:val="20"/>
        </w:rPr>
        <w:t>C</w:t>
      </w:r>
      <w:r w:rsidRPr="6B9B7D4D">
        <w:rPr>
          <w:sz w:val="20"/>
          <w:szCs w:val="20"/>
        </w:rPr>
        <w:t>) and chromogranin (not shown), with positive immunostaining for S100 in sustentacular cells (</w:t>
      </w:r>
      <w:r w:rsidRPr="6B9B7D4D">
        <w:rPr>
          <w:b/>
          <w:bCs/>
          <w:sz w:val="20"/>
          <w:szCs w:val="20"/>
        </w:rPr>
        <w:t>Figure 7</w:t>
      </w:r>
      <w:r w:rsidR="00FC0DF8">
        <w:rPr>
          <w:b/>
          <w:bCs/>
          <w:sz w:val="20"/>
          <w:szCs w:val="20"/>
        </w:rPr>
        <w:t xml:space="preserve"> </w:t>
      </w:r>
      <w:r w:rsidRPr="6B9B7D4D">
        <w:rPr>
          <w:b/>
          <w:bCs/>
          <w:sz w:val="20"/>
          <w:szCs w:val="20"/>
        </w:rPr>
        <w:t>D</w:t>
      </w:r>
      <w:r w:rsidRPr="6B9B7D4D">
        <w:rPr>
          <w:sz w:val="20"/>
          <w:szCs w:val="20"/>
        </w:rPr>
        <w:t>). Succinate dehydrogenase B showed positive/retained cytoplasmic expression (</w:t>
      </w:r>
      <w:r w:rsidRPr="6B9B7D4D">
        <w:rPr>
          <w:b/>
          <w:bCs/>
          <w:sz w:val="20"/>
          <w:szCs w:val="20"/>
        </w:rPr>
        <w:t>Figure 7</w:t>
      </w:r>
      <w:r w:rsidR="00FC0DF8">
        <w:rPr>
          <w:b/>
          <w:bCs/>
          <w:sz w:val="20"/>
          <w:szCs w:val="20"/>
        </w:rPr>
        <w:t xml:space="preserve"> </w:t>
      </w:r>
      <w:r w:rsidRPr="6B9B7D4D">
        <w:rPr>
          <w:b/>
          <w:bCs/>
          <w:sz w:val="20"/>
          <w:szCs w:val="20"/>
        </w:rPr>
        <w:t>E</w:t>
      </w:r>
      <w:r w:rsidRPr="6B9B7D4D">
        <w:rPr>
          <w:sz w:val="20"/>
          <w:szCs w:val="20"/>
        </w:rPr>
        <w:t>). The Ki67 proliferation index was up to 12% in hotspots (</w:t>
      </w:r>
      <w:r w:rsidRPr="6B9B7D4D">
        <w:rPr>
          <w:b/>
          <w:bCs/>
          <w:sz w:val="20"/>
          <w:szCs w:val="20"/>
        </w:rPr>
        <w:t>Figure 7</w:t>
      </w:r>
      <w:r w:rsidR="00FC0DF8">
        <w:rPr>
          <w:b/>
          <w:bCs/>
          <w:sz w:val="20"/>
          <w:szCs w:val="20"/>
        </w:rPr>
        <w:t xml:space="preserve"> </w:t>
      </w:r>
      <w:r w:rsidRPr="6B9B7D4D">
        <w:rPr>
          <w:b/>
          <w:bCs/>
          <w:sz w:val="20"/>
          <w:szCs w:val="20"/>
        </w:rPr>
        <w:t>F</w:t>
      </w:r>
      <w:r w:rsidRPr="6B9B7D4D">
        <w:rPr>
          <w:sz w:val="20"/>
          <w:szCs w:val="20"/>
        </w:rPr>
        <w:t xml:space="preserve">). The surgical margins were negative. </w:t>
      </w:r>
    </w:p>
    <w:bookmarkEnd w:id="7"/>
    <w:p w14:paraId="67CC5D5E" w14:textId="2FB3E015" w:rsidR="00E63F4B" w:rsidRPr="00477BC0" w:rsidRDefault="00E6187E" w:rsidP="006537E9">
      <w:pPr>
        <w:rPr>
          <w:sz w:val="20"/>
          <w:szCs w:val="20"/>
        </w:rPr>
      </w:pPr>
      <w:r w:rsidRPr="00477BC0">
        <w:rPr>
          <w:noProof/>
          <w:sz w:val="20"/>
          <w:szCs w:val="20"/>
        </w:rPr>
        <w:lastRenderedPageBreak/>
        <w:drawing>
          <wp:inline distT="0" distB="0" distL="0" distR="0" wp14:anchorId="3AB646E3" wp14:editId="0F1F9C85">
            <wp:extent cx="4301504" cy="641985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25460" cy="6455604"/>
                    </a:xfrm>
                    <a:prstGeom prst="rect">
                      <a:avLst/>
                    </a:prstGeom>
                  </pic:spPr>
                </pic:pic>
              </a:graphicData>
            </a:graphic>
          </wp:inline>
        </w:drawing>
      </w:r>
    </w:p>
    <w:p w14:paraId="2D9C645A" w14:textId="6002B9F4" w:rsidR="00E6187E" w:rsidRPr="00477BC0" w:rsidRDefault="00E6187E" w:rsidP="00E6187E">
      <w:pPr>
        <w:rPr>
          <w:sz w:val="20"/>
          <w:szCs w:val="20"/>
        </w:rPr>
      </w:pPr>
      <w:r w:rsidRPr="00477BC0">
        <w:rPr>
          <w:b/>
          <w:bCs/>
          <w:sz w:val="20"/>
          <w:szCs w:val="20"/>
        </w:rPr>
        <w:t>Figure 7:</w:t>
      </w:r>
      <w:r w:rsidR="00961FD5" w:rsidRPr="00477BC0">
        <w:rPr>
          <w:b/>
          <w:bCs/>
          <w:sz w:val="20"/>
          <w:szCs w:val="20"/>
        </w:rPr>
        <w:t xml:space="preserve"> (A) Low power image showing well-circumscribed peripheral edge of tumour with fibrous capsule (H&amp;E, 12.5x); (B) Higher power image showing ‘zellballen’ architecture characteristic of paraganglioma (H&amp;E, 100x), with </w:t>
      </w:r>
      <w:r w:rsidR="00961FD5" w:rsidRPr="00477BC0">
        <w:rPr>
          <w:b/>
          <w:bCs/>
          <w:i/>
          <w:iCs/>
          <w:sz w:val="20"/>
          <w:szCs w:val="20"/>
        </w:rPr>
        <w:t>inset</w:t>
      </w:r>
      <w:r w:rsidR="00961FD5" w:rsidRPr="00477BC0">
        <w:rPr>
          <w:b/>
          <w:bCs/>
          <w:sz w:val="20"/>
          <w:szCs w:val="20"/>
        </w:rPr>
        <w:t xml:space="preserve"> showing a mitotic figure (H&amp;E, 400x); (C) Synaptophysin immunohistochemistry showing positive expression in tumour cells (100x); (D) S100 immunohistochemistry highlighting positive sustentacular cells at edges of nests (100x); (E) Succinate dehydrogenase B immunohistochemistry showing positive (retained) cytoplasmic expression (200x); (F) Ki67 proliferation index was up to 12% in the most active region (100x).</w:t>
      </w:r>
    </w:p>
    <w:p w14:paraId="7DAA21B7" w14:textId="77777777" w:rsidR="00E6187E" w:rsidRPr="00477BC0" w:rsidRDefault="00E6187E" w:rsidP="006537E9">
      <w:pPr>
        <w:rPr>
          <w:sz w:val="20"/>
          <w:szCs w:val="20"/>
        </w:rPr>
      </w:pPr>
    </w:p>
    <w:p w14:paraId="08AE161F" w14:textId="72105B8D" w:rsidR="006537E9" w:rsidRPr="00477BC0" w:rsidRDefault="00477BC0" w:rsidP="006537E9">
      <w:pPr>
        <w:pStyle w:val="Heading2"/>
        <w:rPr>
          <w:rFonts w:ascii="Times New Roman" w:hAnsi="Times New Roman" w:cs="Times New Roman"/>
          <w:b/>
          <w:bCs/>
          <w:color w:val="000000" w:themeColor="text1"/>
          <w:sz w:val="24"/>
          <w:szCs w:val="24"/>
        </w:rPr>
      </w:pPr>
      <w:bookmarkStart w:id="8" w:name="_Hlk143090017"/>
      <w:r w:rsidRPr="00477BC0">
        <w:rPr>
          <w:rFonts w:ascii="Times New Roman" w:hAnsi="Times New Roman" w:cs="Times New Roman"/>
          <w:b/>
          <w:bCs/>
          <w:color w:val="000000" w:themeColor="text1"/>
          <w:sz w:val="24"/>
          <w:szCs w:val="24"/>
        </w:rPr>
        <w:t>POST-OPERATIVE COURSE</w:t>
      </w:r>
    </w:p>
    <w:p w14:paraId="0480DF5D" w14:textId="74CEA13D" w:rsidR="00337C00" w:rsidRDefault="00337C00" w:rsidP="00DE5902">
      <w:pPr>
        <w:jc w:val="both"/>
        <w:rPr>
          <w:sz w:val="20"/>
          <w:szCs w:val="20"/>
        </w:rPr>
      </w:pPr>
      <w:r w:rsidRPr="00EA46BC">
        <w:rPr>
          <w:sz w:val="20"/>
          <w:szCs w:val="20"/>
        </w:rPr>
        <w:t xml:space="preserve">After the surgery, the patient was </w:t>
      </w:r>
      <w:r>
        <w:rPr>
          <w:sz w:val="20"/>
          <w:szCs w:val="20"/>
        </w:rPr>
        <w:t>admitted</w:t>
      </w:r>
      <w:r w:rsidRPr="00EA46BC">
        <w:rPr>
          <w:sz w:val="20"/>
          <w:szCs w:val="20"/>
        </w:rPr>
        <w:t xml:space="preserve"> to the Intensive Care Unit for </w:t>
      </w:r>
      <w:r>
        <w:rPr>
          <w:sz w:val="20"/>
          <w:szCs w:val="20"/>
        </w:rPr>
        <w:t xml:space="preserve">close </w:t>
      </w:r>
      <w:r w:rsidRPr="00EA46BC">
        <w:rPr>
          <w:sz w:val="20"/>
          <w:szCs w:val="20"/>
        </w:rPr>
        <w:t xml:space="preserve">observation. </w:t>
      </w:r>
      <w:r w:rsidRPr="00477BC0">
        <w:rPr>
          <w:sz w:val="20"/>
          <w:szCs w:val="20"/>
        </w:rPr>
        <w:t>Despite the critical postoperative period</w:t>
      </w:r>
      <w:r>
        <w:rPr>
          <w:sz w:val="20"/>
          <w:szCs w:val="20"/>
        </w:rPr>
        <w:t>, h</w:t>
      </w:r>
      <w:r w:rsidRPr="00EA46BC">
        <w:rPr>
          <w:sz w:val="20"/>
          <w:szCs w:val="20"/>
        </w:rPr>
        <w:t xml:space="preserve">e remained hemodynamically stable without the need for vasopressor support or ventilation. Postoperative pain was managed through </w:t>
      </w:r>
      <w:r>
        <w:rPr>
          <w:sz w:val="20"/>
          <w:szCs w:val="20"/>
        </w:rPr>
        <w:t>p</w:t>
      </w:r>
      <w:r w:rsidRPr="00EA46BC">
        <w:rPr>
          <w:sz w:val="20"/>
          <w:szCs w:val="20"/>
        </w:rPr>
        <w:t>atient-</w:t>
      </w:r>
      <w:r>
        <w:rPr>
          <w:sz w:val="20"/>
          <w:szCs w:val="20"/>
        </w:rPr>
        <w:t>c</w:t>
      </w:r>
      <w:r w:rsidRPr="00EA46BC">
        <w:rPr>
          <w:sz w:val="20"/>
          <w:szCs w:val="20"/>
        </w:rPr>
        <w:t xml:space="preserve">ontrolled </w:t>
      </w:r>
      <w:r>
        <w:rPr>
          <w:sz w:val="20"/>
          <w:szCs w:val="20"/>
        </w:rPr>
        <w:t>a</w:t>
      </w:r>
      <w:r w:rsidRPr="00EA46BC">
        <w:rPr>
          <w:sz w:val="20"/>
          <w:szCs w:val="20"/>
        </w:rPr>
        <w:t xml:space="preserve">nalgesia (PCA), and to </w:t>
      </w:r>
      <w:r w:rsidRPr="00477BC0">
        <w:rPr>
          <w:sz w:val="20"/>
          <w:szCs w:val="20"/>
        </w:rPr>
        <w:t xml:space="preserve">mitigate </w:t>
      </w:r>
      <w:r w:rsidRPr="00EA46BC">
        <w:rPr>
          <w:sz w:val="20"/>
          <w:szCs w:val="20"/>
        </w:rPr>
        <w:t xml:space="preserve">thromboembolic </w:t>
      </w:r>
      <w:r>
        <w:rPr>
          <w:sz w:val="20"/>
          <w:szCs w:val="20"/>
        </w:rPr>
        <w:t>risks</w:t>
      </w:r>
      <w:r w:rsidRPr="00EA46BC">
        <w:rPr>
          <w:sz w:val="20"/>
          <w:szCs w:val="20"/>
        </w:rPr>
        <w:t>,</w:t>
      </w:r>
      <w:r>
        <w:rPr>
          <w:sz w:val="20"/>
          <w:szCs w:val="20"/>
        </w:rPr>
        <w:t xml:space="preserve"> prophylactic</w:t>
      </w:r>
      <w:r w:rsidRPr="00EA46BC">
        <w:rPr>
          <w:sz w:val="20"/>
          <w:szCs w:val="20"/>
        </w:rPr>
        <w:t xml:space="preserve"> Enoxaparin was introduced and escalated to therapeutic doses by the next day.</w:t>
      </w:r>
      <w:r w:rsidR="00DE5902">
        <w:rPr>
          <w:sz w:val="20"/>
          <w:szCs w:val="20"/>
        </w:rPr>
        <w:t xml:space="preserve"> </w:t>
      </w:r>
      <w:r w:rsidRPr="00477BC0">
        <w:rPr>
          <w:sz w:val="20"/>
          <w:szCs w:val="20"/>
        </w:rPr>
        <w:t xml:space="preserve">Given the patient's stable condition, </w:t>
      </w:r>
      <w:r>
        <w:rPr>
          <w:sz w:val="20"/>
          <w:szCs w:val="20"/>
        </w:rPr>
        <w:t>he was</w:t>
      </w:r>
      <w:r w:rsidRPr="00EA46BC">
        <w:rPr>
          <w:sz w:val="20"/>
          <w:szCs w:val="20"/>
        </w:rPr>
        <w:t xml:space="preserve"> transferred to a general ward on the first postoperative day. </w:t>
      </w:r>
      <w:r>
        <w:rPr>
          <w:sz w:val="20"/>
          <w:szCs w:val="20"/>
        </w:rPr>
        <w:t>P</w:t>
      </w:r>
      <w:r w:rsidRPr="00EA46BC">
        <w:rPr>
          <w:sz w:val="20"/>
          <w:szCs w:val="20"/>
        </w:rPr>
        <w:t>re-</w:t>
      </w:r>
      <w:r>
        <w:rPr>
          <w:sz w:val="20"/>
          <w:szCs w:val="20"/>
        </w:rPr>
        <w:t>admission</w:t>
      </w:r>
      <w:r w:rsidRPr="00EA46BC">
        <w:rPr>
          <w:sz w:val="20"/>
          <w:szCs w:val="20"/>
        </w:rPr>
        <w:t xml:space="preserve"> </w:t>
      </w:r>
      <w:r>
        <w:rPr>
          <w:sz w:val="20"/>
          <w:szCs w:val="20"/>
        </w:rPr>
        <w:t>antihypertensives</w:t>
      </w:r>
      <w:r w:rsidRPr="00EA46BC">
        <w:rPr>
          <w:sz w:val="20"/>
          <w:szCs w:val="20"/>
        </w:rPr>
        <w:t xml:space="preserve"> </w:t>
      </w:r>
      <w:r>
        <w:rPr>
          <w:sz w:val="20"/>
          <w:szCs w:val="20"/>
        </w:rPr>
        <w:t>were</w:t>
      </w:r>
      <w:r w:rsidRPr="00EA46BC">
        <w:rPr>
          <w:sz w:val="20"/>
          <w:szCs w:val="20"/>
        </w:rPr>
        <w:t xml:space="preserve"> </w:t>
      </w:r>
      <w:r w:rsidRPr="00477BC0">
        <w:rPr>
          <w:sz w:val="20"/>
          <w:szCs w:val="20"/>
        </w:rPr>
        <w:t xml:space="preserve">gradually </w:t>
      </w:r>
      <w:r w:rsidRPr="00EA46BC">
        <w:rPr>
          <w:sz w:val="20"/>
          <w:szCs w:val="20"/>
        </w:rPr>
        <w:t xml:space="preserve">tapered and </w:t>
      </w:r>
      <w:r w:rsidRPr="00477BC0">
        <w:rPr>
          <w:sz w:val="20"/>
          <w:szCs w:val="20"/>
        </w:rPr>
        <w:t>eventually</w:t>
      </w:r>
      <w:r>
        <w:rPr>
          <w:sz w:val="20"/>
          <w:szCs w:val="20"/>
        </w:rPr>
        <w:t xml:space="preserve"> ceased</w:t>
      </w:r>
      <w:r w:rsidRPr="00EA46BC">
        <w:rPr>
          <w:sz w:val="20"/>
          <w:szCs w:val="20"/>
        </w:rPr>
        <w:t xml:space="preserve">. </w:t>
      </w:r>
      <w:r>
        <w:rPr>
          <w:sz w:val="20"/>
          <w:szCs w:val="20"/>
        </w:rPr>
        <w:t>The patient</w:t>
      </w:r>
      <w:r w:rsidRPr="00EA46BC">
        <w:rPr>
          <w:sz w:val="20"/>
          <w:szCs w:val="20"/>
        </w:rPr>
        <w:t xml:space="preserve"> progressed well initially, </w:t>
      </w:r>
      <w:r w:rsidRPr="00477BC0">
        <w:rPr>
          <w:sz w:val="20"/>
          <w:szCs w:val="20"/>
        </w:rPr>
        <w:lastRenderedPageBreak/>
        <w:t xml:space="preserve">tolerating </w:t>
      </w:r>
      <w:r w:rsidRPr="00EA46BC">
        <w:rPr>
          <w:sz w:val="20"/>
          <w:szCs w:val="20"/>
        </w:rPr>
        <w:t>a full diet</w:t>
      </w:r>
      <w:r>
        <w:rPr>
          <w:sz w:val="20"/>
          <w:szCs w:val="20"/>
        </w:rPr>
        <w:t xml:space="preserve">, mobilising </w:t>
      </w:r>
      <w:r w:rsidRPr="00477BC0">
        <w:rPr>
          <w:sz w:val="20"/>
          <w:szCs w:val="20"/>
        </w:rPr>
        <w:t>independently</w:t>
      </w:r>
      <w:r>
        <w:rPr>
          <w:sz w:val="20"/>
          <w:szCs w:val="20"/>
        </w:rPr>
        <w:t>, and passing</w:t>
      </w:r>
      <w:r w:rsidRPr="00EA46BC">
        <w:rPr>
          <w:sz w:val="20"/>
          <w:szCs w:val="20"/>
        </w:rPr>
        <w:t xml:space="preserve"> flatus</w:t>
      </w:r>
      <w:r>
        <w:rPr>
          <w:sz w:val="20"/>
          <w:szCs w:val="20"/>
        </w:rPr>
        <w:t xml:space="preserve"> by </w:t>
      </w:r>
      <w:r w:rsidR="0032632A">
        <w:rPr>
          <w:sz w:val="20"/>
          <w:szCs w:val="20"/>
        </w:rPr>
        <w:t>the second day</w:t>
      </w:r>
      <w:r w:rsidRPr="00477BC0">
        <w:rPr>
          <w:sz w:val="20"/>
          <w:szCs w:val="20"/>
        </w:rPr>
        <w:t>, albeit with</w:t>
      </w:r>
      <w:r w:rsidR="0032632A">
        <w:rPr>
          <w:sz w:val="20"/>
          <w:szCs w:val="20"/>
        </w:rPr>
        <w:t xml:space="preserve">out </w:t>
      </w:r>
      <w:r w:rsidRPr="00477BC0">
        <w:rPr>
          <w:sz w:val="20"/>
          <w:szCs w:val="20"/>
        </w:rPr>
        <w:t>bowel movements.</w:t>
      </w:r>
    </w:p>
    <w:p w14:paraId="591D92FC" w14:textId="77777777" w:rsidR="00337C00" w:rsidRDefault="00337C00" w:rsidP="00337C00">
      <w:pPr>
        <w:rPr>
          <w:sz w:val="20"/>
          <w:szCs w:val="20"/>
        </w:rPr>
      </w:pPr>
    </w:p>
    <w:p w14:paraId="29D5CBF8" w14:textId="60A1D57C" w:rsidR="00337C00" w:rsidRPr="00EA46BC" w:rsidRDefault="688C95C9" w:rsidP="00DE5902">
      <w:pPr>
        <w:jc w:val="both"/>
        <w:rPr>
          <w:sz w:val="20"/>
          <w:szCs w:val="20"/>
        </w:rPr>
      </w:pPr>
      <w:r w:rsidRPr="6B9B7D4D">
        <w:rPr>
          <w:sz w:val="20"/>
          <w:szCs w:val="20"/>
        </w:rPr>
        <w:t>O</w:t>
      </w:r>
      <w:r w:rsidR="0032632A" w:rsidRPr="6B9B7D4D">
        <w:rPr>
          <w:sz w:val="20"/>
          <w:szCs w:val="20"/>
        </w:rPr>
        <w:t xml:space="preserve">n </w:t>
      </w:r>
      <w:r w:rsidR="00491889" w:rsidRPr="6B9B7D4D">
        <w:rPr>
          <w:sz w:val="20"/>
          <w:szCs w:val="20"/>
        </w:rPr>
        <w:t>day three</w:t>
      </w:r>
      <w:r w:rsidR="0032632A" w:rsidRPr="6B9B7D4D">
        <w:rPr>
          <w:sz w:val="20"/>
          <w:szCs w:val="20"/>
        </w:rPr>
        <w:t xml:space="preserve"> </w:t>
      </w:r>
      <w:r w:rsidR="00491889" w:rsidRPr="6B9B7D4D">
        <w:rPr>
          <w:sz w:val="20"/>
          <w:szCs w:val="20"/>
        </w:rPr>
        <w:t>postoperatively</w:t>
      </w:r>
      <w:r w:rsidR="0032632A" w:rsidRPr="6B9B7D4D">
        <w:rPr>
          <w:sz w:val="20"/>
          <w:szCs w:val="20"/>
        </w:rPr>
        <w:t xml:space="preserve">, he began experiencing increased discomfort, marked by acute lower back pain, nausea, vomiting, extreme lethargy, and reduced appetite. These symptoms worsened over the following two days, prompting a reintroduction of </w:t>
      </w:r>
      <w:proofErr w:type="gramStart"/>
      <w:r w:rsidR="0032632A" w:rsidRPr="6B9B7D4D">
        <w:rPr>
          <w:sz w:val="20"/>
          <w:szCs w:val="20"/>
        </w:rPr>
        <w:t>PCA</w:t>
      </w:r>
      <w:proofErr w:type="gramEnd"/>
      <w:r w:rsidR="0032632A" w:rsidRPr="6B9B7D4D">
        <w:rPr>
          <w:sz w:val="20"/>
          <w:szCs w:val="20"/>
        </w:rPr>
        <w:t xml:space="preserve"> and starting IV hydration.</w:t>
      </w:r>
      <w:r w:rsidR="00DE5902" w:rsidRPr="6B9B7D4D">
        <w:rPr>
          <w:sz w:val="20"/>
          <w:szCs w:val="20"/>
        </w:rPr>
        <w:t xml:space="preserve"> </w:t>
      </w:r>
      <w:r w:rsidR="00491889" w:rsidRPr="6B9B7D4D">
        <w:rPr>
          <w:sz w:val="20"/>
          <w:szCs w:val="20"/>
        </w:rPr>
        <w:t>By the fifth day, his pain intensified, accompanied by periodic fevers peaking at 38.5°C, with serum tests showing a drop in haemoglobin and rising inflammatory markers (</w:t>
      </w:r>
      <w:r w:rsidR="00491889" w:rsidRPr="6B9B7D4D">
        <w:rPr>
          <w:b/>
          <w:bCs/>
          <w:sz w:val="20"/>
          <w:szCs w:val="20"/>
        </w:rPr>
        <w:t>Table 2</w:t>
      </w:r>
      <w:r w:rsidR="00491889" w:rsidRPr="6B9B7D4D">
        <w:rPr>
          <w:sz w:val="20"/>
          <w:szCs w:val="20"/>
        </w:rPr>
        <w:t xml:space="preserve">). Despite moderate abdominal distension, there </w:t>
      </w:r>
      <w:r w:rsidR="5BB3B370" w:rsidRPr="6B9B7D4D">
        <w:rPr>
          <w:sz w:val="20"/>
          <w:szCs w:val="20"/>
        </w:rPr>
        <w:t xml:space="preserve">was </w:t>
      </w:r>
      <w:r w:rsidR="00491889" w:rsidRPr="6B9B7D4D">
        <w:rPr>
          <w:sz w:val="20"/>
          <w:szCs w:val="20"/>
        </w:rPr>
        <w:t>no peritonitis, and bowel movements were notably absent. The</w:t>
      </w:r>
      <w:r w:rsidR="00337C00" w:rsidRPr="6B9B7D4D">
        <w:rPr>
          <w:sz w:val="20"/>
          <w:szCs w:val="20"/>
        </w:rPr>
        <w:t xml:space="preserve"> surgical incision</w:t>
      </w:r>
      <w:r w:rsidR="0032632A" w:rsidRPr="6B9B7D4D">
        <w:rPr>
          <w:sz w:val="20"/>
          <w:szCs w:val="20"/>
        </w:rPr>
        <w:t xml:space="preserve"> </w:t>
      </w:r>
      <w:r w:rsidR="00491889" w:rsidRPr="6B9B7D4D">
        <w:rPr>
          <w:sz w:val="20"/>
          <w:szCs w:val="20"/>
        </w:rPr>
        <w:t>site remained intact</w:t>
      </w:r>
      <w:r w:rsidR="0032632A" w:rsidRPr="6B9B7D4D">
        <w:rPr>
          <w:sz w:val="20"/>
          <w:szCs w:val="20"/>
        </w:rPr>
        <w:t>, displaying no apparent signs of infection or bleeding</w:t>
      </w:r>
      <w:r w:rsidR="00337C00" w:rsidRPr="6B9B7D4D">
        <w:rPr>
          <w:sz w:val="20"/>
          <w:szCs w:val="20"/>
        </w:rPr>
        <w:t xml:space="preserve">. A septic screen, including urine </w:t>
      </w:r>
      <w:r w:rsidR="0032632A" w:rsidRPr="6B9B7D4D">
        <w:rPr>
          <w:sz w:val="20"/>
          <w:szCs w:val="20"/>
        </w:rPr>
        <w:t xml:space="preserve">MCS, blood cultures, </w:t>
      </w:r>
      <w:r w:rsidR="00337C00" w:rsidRPr="6B9B7D4D">
        <w:rPr>
          <w:sz w:val="20"/>
          <w:szCs w:val="20"/>
        </w:rPr>
        <w:t xml:space="preserve">and a chest X-ray, </w:t>
      </w:r>
      <w:r w:rsidR="00491889" w:rsidRPr="6B9B7D4D">
        <w:rPr>
          <w:sz w:val="20"/>
          <w:szCs w:val="20"/>
        </w:rPr>
        <w:t>yielded normal results.</w:t>
      </w:r>
    </w:p>
    <w:bookmarkEnd w:id="8"/>
    <w:p w14:paraId="7111FC38" w14:textId="77777777" w:rsidR="00337C00" w:rsidRPr="00EA46BC" w:rsidRDefault="00337C00" w:rsidP="00337C00">
      <w:pPr>
        <w:rPr>
          <w:sz w:val="20"/>
          <w:szCs w:val="20"/>
        </w:rPr>
      </w:pPr>
    </w:p>
    <w:p w14:paraId="4A934E46" w14:textId="77777777" w:rsidR="0032632A" w:rsidRPr="00477BC0" w:rsidRDefault="0032632A" w:rsidP="006537E9">
      <w:pPr>
        <w:rPr>
          <w:sz w:val="20"/>
          <w:szCs w:val="20"/>
        </w:rPr>
      </w:pPr>
    </w:p>
    <w:tbl>
      <w:tblPr>
        <w:tblStyle w:val="PlainTable1"/>
        <w:tblW w:w="0" w:type="auto"/>
        <w:tblLook w:val="04A0" w:firstRow="1" w:lastRow="0" w:firstColumn="1" w:lastColumn="0" w:noHBand="0" w:noVBand="1"/>
      </w:tblPr>
      <w:tblGrid>
        <w:gridCol w:w="1718"/>
        <w:gridCol w:w="1008"/>
        <w:gridCol w:w="993"/>
        <w:gridCol w:w="992"/>
        <w:gridCol w:w="992"/>
        <w:gridCol w:w="1134"/>
        <w:gridCol w:w="1963"/>
      </w:tblGrid>
      <w:tr w:rsidR="008C3C7C" w:rsidRPr="00477BC0" w14:paraId="7C6F6DDB" w14:textId="77777777" w:rsidTr="006C2B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8" w:type="dxa"/>
            <w:hideMark/>
          </w:tcPr>
          <w:p w14:paraId="07DD7D22" w14:textId="77777777" w:rsidR="008C3C7C" w:rsidRPr="00477BC0" w:rsidRDefault="008C3C7C" w:rsidP="000954B0">
            <w:pPr>
              <w:rPr>
                <w:b w:val="0"/>
                <w:bCs w:val="0"/>
                <w:color w:val="222222"/>
                <w:sz w:val="18"/>
                <w:szCs w:val="18"/>
                <w:lang w:eastAsia="en-AU"/>
              </w:rPr>
            </w:pPr>
            <w:r w:rsidRPr="00477BC0">
              <w:rPr>
                <w:color w:val="222222"/>
                <w:sz w:val="18"/>
                <w:szCs w:val="18"/>
                <w:lang w:eastAsia="en-AU"/>
              </w:rPr>
              <w:t>Parameter</w:t>
            </w:r>
          </w:p>
        </w:tc>
        <w:tc>
          <w:tcPr>
            <w:tcW w:w="1008" w:type="dxa"/>
            <w:hideMark/>
          </w:tcPr>
          <w:p w14:paraId="57163354" w14:textId="77777777" w:rsidR="008C3C7C" w:rsidRPr="00477BC0" w:rsidRDefault="008C3C7C" w:rsidP="000954B0">
            <w:pPr>
              <w:cnfStyle w:val="100000000000" w:firstRow="1" w:lastRow="0" w:firstColumn="0" w:lastColumn="0" w:oddVBand="0" w:evenVBand="0" w:oddHBand="0" w:evenHBand="0" w:firstRowFirstColumn="0" w:firstRowLastColumn="0" w:lastRowFirstColumn="0" w:lastRowLastColumn="0"/>
              <w:rPr>
                <w:b w:val="0"/>
                <w:bCs w:val="0"/>
                <w:color w:val="222222"/>
                <w:sz w:val="18"/>
                <w:szCs w:val="18"/>
                <w:lang w:eastAsia="en-AU"/>
              </w:rPr>
            </w:pPr>
            <w:r w:rsidRPr="00477BC0">
              <w:rPr>
                <w:color w:val="222222"/>
                <w:sz w:val="18"/>
                <w:szCs w:val="18"/>
                <w:lang w:eastAsia="en-AU"/>
              </w:rPr>
              <w:t>Day 1</w:t>
            </w:r>
          </w:p>
        </w:tc>
        <w:tc>
          <w:tcPr>
            <w:tcW w:w="993" w:type="dxa"/>
            <w:hideMark/>
          </w:tcPr>
          <w:p w14:paraId="09BBFD47" w14:textId="77777777" w:rsidR="008C3C7C" w:rsidRPr="00477BC0" w:rsidRDefault="008C3C7C" w:rsidP="000954B0">
            <w:pPr>
              <w:cnfStyle w:val="100000000000" w:firstRow="1" w:lastRow="0" w:firstColumn="0" w:lastColumn="0" w:oddVBand="0" w:evenVBand="0" w:oddHBand="0" w:evenHBand="0" w:firstRowFirstColumn="0" w:firstRowLastColumn="0" w:lastRowFirstColumn="0" w:lastRowLastColumn="0"/>
              <w:rPr>
                <w:b w:val="0"/>
                <w:bCs w:val="0"/>
                <w:color w:val="222222"/>
                <w:sz w:val="18"/>
                <w:szCs w:val="18"/>
                <w:lang w:eastAsia="en-AU"/>
              </w:rPr>
            </w:pPr>
            <w:r w:rsidRPr="00477BC0">
              <w:rPr>
                <w:color w:val="222222"/>
                <w:sz w:val="18"/>
                <w:szCs w:val="18"/>
                <w:lang w:eastAsia="en-AU"/>
              </w:rPr>
              <w:t>Day 2</w:t>
            </w:r>
          </w:p>
        </w:tc>
        <w:tc>
          <w:tcPr>
            <w:tcW w:w="992" w:type="dxa"/>
            <w:hideMark/>
          </w:tcPr>
          <w:p w14:paraId="0BF04584" w14:textId="77777777" w:rsidR="008C3C7C" w:rsidRPr="00477BC0" w:rsidRDefault="008C3C7C" w:rsidP="000954B0">
            <w:pPr>
              <w:cnfStyle w:val="100000000000" w:firstRow="1" w:lastRow="0" w:firstColumn="0" w:lastColumn="0" w:oddVBand="0" w:evenVBand="0" w:oddHBand="0" w:evenHBand="0" w:firstRowFirstColumn="0" w:firstRowLastColumn="0" w:lastRowFirstColumn="0" w:lastRowLastColumn="0"/>
              <w:rPr>
                <w:b w:val="0"/>
                <w:bCs w:val="0"/>
                <w:color w:val="222222"/>
                <w:sz w:val="18"/>
                <w:szCs w:val="18"/>
                <w:lang w:eastAsia="en-AU"/>
              </w:rPr>
            </w:pPr>
            <w:r w:rsidRPr="00477BC0">
              <w:rPr>
                <w:color w:val="222222"/>
                <w:sz w:val="18"/>
                <w:szCs w:val="18"/>
                <w:lang w:eastAsia="en-AU"/>
              </w:rPr>
              <w:t>Day 3</w:t>
            </w:r>
          </w:p>
        </w:tc>
        <w:tc>
          <w:tcPr>
            <w:tcW w:w="992" w:type="dxa"/>
            <w:hideMark/>
          </w:tcPr>
          <w:p w14:paraId="1BA79FB0" w14:textId="0566585B" w:rsidR="008C3C7C" w:rsidRPr="00477BC0" w:rsidRDefault="008C3C7C" w:rsidP="000954B0">
            <w:pPr>
              <w:cnfStyle w:val="100000000000" w:firstRow="1" w:lastRow="0" w:firstColumn="0" w:lastColumn="0" w:oddVBand="0" w:evenVBand="0" w:oddHBand="0" w:evenHBand="0" w:firstRowFirstColumn="0" w:firstRowLastColumn="0" w:lastRowFirstColumn="0" w:lastRowLastColumn="0"/>
              <w:rPr>
                <w:b w:val="0"/>
                <w:bCs w:val="0"/>
                <w:color w:val="222222"/>
                <w:sz w:val="18"/>
                <w:szCs w:val="18"/>
                <w:lang w:eastAsia="en-AU"/>
              </w:rPr>
            </w:pPr>
            <w:r w:rsidRPr="00477BC0">
              <w:rPr>
                <w:color w:val="222222"/>
                <w:sz w:val="18"/>
                <w:szCs w:val="18"/>
                <w:lang w:eastAsia="en-AU"/>
              </w:rPr>
              <w:t>Day 5</w:t>
            </w:r>
            <w:r w:rsidRPr="008C3C7C">
              <w:rPr>
                <w:sz w:val="18"/>
                <w:szCs w:val="18"/>
                <w:vertAlign w:val="superscript"/>
              </w:rPr>
              <w:t>†</w:t>
            </w:r>
          </w:p>
        </w:tc>
        <w:tc>
          <w:tcPr>
            <w:tcW w:w="1134" w:type="dxa"/>
            <w:hideMark/>
          </w:tcPr>
          <w:p w14:paraId="08A5E866" w14:textId="77777777" w:rsidR="008C3C7C" w:rsidRPr="00477BC0" w:rsidRDefault="008C3C7C" w:rsidP="000954B0">
            <w:pPr>
              <w:cnfStyle w:val="100000000000" w:firstRow="1" w:lastRow="0" w:firstColumn="0" w:lastColumn="0" w:oddVBand="0" w:evenVBand="0" w:oddHBand="0" w:evenHBand="0" w:firstRowFirstColumn="0" w:firstRowLastColumn="0" w:lastRowFirstColumn="0" w:lastRowLastColumn="0"/>
              <w:rPr>
                <w:b w:val="0"/>
                <w:bCs w:val="0"/>
                <w:color w:val="222222"/>
                <w:sz w:val="18"/>
                <w:szCs w:val="18"/>
                <w:lang w:eastAsia="en-AU"/>
              </w:rPr>
            </w:pPr>
            <w:r w:rsidRPr="00477BC0">
              <w:rPr>
                <w:color w:val="222222"/>
                <w:sz w:val="18"/>
                <w:szCs w:val="18"/>
                <w:lang w:eastAsia="en-AU"/>
              </w:rPr>
              <w:t>Day 6</w:t>
            </w:r>
          </w:p>
        </w:tc>
        <w:tc>
          <w:tcPr>
            <w:tcW w:w="1963" w:type="dxa"/>
            <w:hideMark/>
          </w:tcPr>
          <w:p w14:paraId="5FD15324" w14:textId="77777777" w:rsidR="008C3C7C" w:rsidRPr="00477BC0" w:rsidRDefault="008C3C7C" w:rsidP="000954B0">
            <w:pPr>
              <w:cnfStyle w:val="100000000000" w:firstRow="1" w:lastRow="0" w:firstColumn="0" w:lastColumn="0" w:oddVBand="0" w:evenVBand="0" w:oddHBand="0" w:evenHBand="0" w:firstRowFirstColumn="0" w:firstRowLastColumn="0" w:lastRowFirstColumn="0" w:lastRowLastColumn="0"/>
              <w:rPr>
                <w:b w:val="0"/>
                <w:bCs w:val="0"/>
                <w:color w:val="222222"/>
                <w:sz w:val="18"/>
                <w:szCs w:val="18"/>
                <w:lang w:eastAsia="en-AU"/>
              </w:rPr>
            </w:pPr>
            <w:r w:rsidRPr="00477BC0">
              <w:rPr>
                <w:color w:val="222222"/>
                <w:sz w:val="18"/>
                <w:szCs w:val="18"/>
                <w:lang w:eastAsia="en-AU"/>
              </w:rPr>
              <w:t>Reference Range</w:t>
            </w:r>
          </w:p>
        </w:tc>
      </w:tr>
      <w:tr w:rsidR="006C2B5B" w:rsidRPr="00477BC0" w14:paraId="2BB4C417" w14:textId="77777777" w:rsidTr="006C2B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8" w:type="dxa"/>
            <w:hideMark/>
          </w:tcPr>
          <w:p w14:paraId="59D66C55" w14:textId="77777777" w:rsidR="008C3C7C" w:rsidRPr="008C3C7C" w:rsidRDefault="008C3C7C" w:rsidP="000954B0">
            <w:pPr>
              <w:rPr>
                <w:b w:val="0"/>
                <w:bCs w:val="0"/>
                <w:color w:val="222222"/>
                <w:sz w:val="18"/>
                <w:szCs w:val="18"/>
                <w:lang w:eastAsia="en-AU"/>
              </w:rPr>
            </w:pPr>
            <w:r w:rsidRPr="008C3C7C">
              <w:rPr>
                <w:b w:val="0"/>
                <w:bCs w:val="0"/>
                <w:color w:val="222222"/>
                <w:sz w:val="18"/>
                <w:szCs w:val="18"/>
                <w:lang w:eastAsia="en-AU"/>
              </w:rPr>
              <w:t>Haemoglobin</w:t>
            </w:r>
          </w:p>
        </w:tc>
        <w:tc>
          <w:tcPr>
            <w:tcW w:w="1008" w:type="dxa"/>
            <w:hideMark/>
          </w:tcPr>
          <w:p w14:paraId="1206E9CD"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140</w:t>
            </w:r>
          </w:p>
        </w:tc>
        <w:tc>
          <w:tcPr>
            <w:tcW w:w="993" w:type="dxa"/>
            <w:hideMark/>
          </w:tcPr>
          <w:p w14:paraId="2E4406AF"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144</w:t>
            </w:r>
          </w:p>
        </w:tc>
        <w:tc>
          <w:tcPr>
            <w:tcW w:w="992" w:type="dxa"/>
            <w:hideMark/>
          </w:tcPr>
          <w:p w14:paraId="02C13DAC"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134 ↓</w:t>
            </w:r>
          </w:p>
        </w:tc>
        <w:tc>
          <w:tcPr>
            <w:tcW w:w="992" w:type="dxa"/>
            <w:hideMark/>
          </w:tcPr>
          <w:p w14:paraId="4A6797A5"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110 ↓</w:t>
            </w:r>
          </w:p>
        </w:tc>
        <w:tc>
          <w:tcPr>
            <w:tcW w:w="1134" w:type="dxa"/>
            <w:hideMark/>
          </w:tcPr>
          <w:p w14:paraId="03317C93"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102 ↓</w:t>
            </w:r>
          </w:p>
        </w:tc>
        <w:tc>
          <w:tcPr>
            <w:tcW w:w="1963" w:type="dxa"/>
            <w:hideMark/>
          </w:tcPr>
          <w:p w14:paraId="1C84BF8A"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135 - 189 g/L</w:t>
            </w:r>
          </w:p>
        </w:tc>
      </w:tr>
      <w:tr w:rsidR="008C3C7C" w:rsidRPr="00477BC0" w14:paraId="0B68718C" w14:textId="77777777" w:rsidTr="006C2B5B">
        <w:tc>
          <w:tcPr>
            <w:cnfStyle w:val="001000000000" w:firstRow="0" w:lastRow="0" w:firstColumn="1" w:lastColumn="0" w:oddVBand="0" w:evenVBand="0" w:oddHBand="0" w:evenHBand="0" w:firstRowFirstColumn="0" w:firstRowLastColumn="0" w:lastRowFirstColumn="0" w:lastRowLastColumn="0"/>
            <w:tcW w:w="1718" w:type="dxa"/>
            <w:hideMark/>
          </w:tcPr>
          <w:p w14:paraId="50D35E40" w14:textId="77777777" w:rsidR="008C3C7C" w:rsidRPr="008C3C7C" w:rsidRDefault="008C3C7C" w:rsidP="000954B0">
            <w:pPr>
              <w:rPr>
                <w:b w:val="0"/>
                <w:bCs w:val="0"/>
                <w:color w:val="222222"/>
                <w:sz w:val="18"/>
                <w:szCs w:val="18"/>
                <w:lang w:eastAsia="en-AU"/>
              </w:rPr>
            </w:pPr>
            <w:r w:rsidRPr="008C3C7C">
              <w:rPr>
                <w:b w:val="0"/>
                <w:bCs w:val="0"/>
                <w:color w:val="222222"/>
                <w:sz w:val="18"/>
                <w:szCs w:val="18"/>
                <w:lang w:eastAsia="en-AU"/>
              </w:rPr>
              <w:t>Haematocrit</w:t>
            </w:r>
          </w:p>
        </w:tc>
        <w:tc>
          <w:tcPr>
            <w:tcW w:w="1008" w:type="dxa"/>
            <w:hideMark/>
          </w:tcPr>
          <w:p w14:paraId="57D3AA6B"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0.41</w:t>
            </w:r>
          </w:p>
        </w:tc>
        <w:tc>
          <w:tcPr>
            <w:tcW w:w="993" w:type="dxa"/>
            <w:hideMark/>
          </w:tcPr>
          <w:p w14:paraId="6E3DBDA9"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0.42</w:t>
            </w:r>
          </w:p>
        </w:tc>
        <w:tc>
          <w:tcPr>
            <w:tcW w:w="992" w:type="dxa"/>
            <w:hideMark/>
          </w:tcPr>
          <w:p w14:paraId="51A1E0B9"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0.38 ↓</w:t>
            </w:r>
          </w:p>
        </w:tc>
        <w:tc>
          <w:tcPr>
            <w:tcW w:w="992" w:type="dxa"/>
            <w:hideMark/>
          </w:tcPr>
          <w:p w14:paraId="4A36FB70"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0.32 ↓</w:t>
            </w:r>
          </w:p>
        </w:tc>
        <w:tc>
          <w:tcPr>
            <w:tcW w:w="1134" w:type="dxa"/>
            <w:hideMark/>
          </w:tcPr>
          <w:p w14:paraId="3A58D68C"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0.30 ↓</w:t>
            </w:r>
          </w:p>
        </w:tc>
        <w:tc>
          <w:tcPr>
            <w:tcW w:w="1963" w:type="dxa"/>
            <w:hideMark/>
          </w:tcPr>
          <w:p w14:paraId="7D2B910C"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0.40 - 0.53 L/L</w:t>
            </w:r>
          </w:p>
        </w:tc>
      </w:tr>
      <w:tr w:rsidR="006C2B5B" w:rsidRPr="00477BC0" w14:paraId="458CAB9E" w14:textId="77777777" w:rsidTr="006C2B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8" w:type="dxa"/>
            <w:hideMark/>
          </w:tcPr>
          <w:p w14:paraId="40D8C8D3" w14:textId="77777777" w:rsidR="008C3C7C" w:rsidRPr="008C3C7C" w:rsidRDefault="008C3C7C" w:rsidP="000954B0">
            <w:pPr>
              <w:rPr>
                <w:b w:val="0"/>
                <w:bCs w:val="0"/>
                <w:color w:val="222222"/>
                <w:sz w:val="18"/>
                <w:szCs w:val="18"/>
                <w:lang w:eastAsia="en-AU"/>
              </w:rPr>
            </w:pPr>
            <w:r w:rsidRPr="008C3C7C">
              <w:rPr>
                <w:b w:val="0"/>
                <w:bCs w:val="0"/>
                <w:color w:val="222222"/>
                <w:sz w:val="18"/>
                <w:szCs w:val="18"/>
                <w:lang w:eastAsia="en-AU"/>
              </w:rPr>
              <w:t>WBC</w:t>
            </w:r>
          </w:p>
        </w:tc>
        <w:tc>
          <w:tcPr>
            <w:tcW w:w="1008" w:type="dxa"/>
            <w:hideMark/>
          </w:tcPr>
          <w:p w14:paraId="579D0CA2"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15.1 ↑</w:t>
            </w:r>
          </w:p>
        </w:tc>
        <w:tc>
          <w:tcPr>
            <w:tcW w:w="993" w:type="dxa"/>
            <w:hideMark/>
          </w:tcPr>
          <w:p w14:paraId="3EFA95B8"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11.4 ↑</w:t>
            </w:r>
          </w:p>
        </w:tc>
        <w:tc>
          <w:tcPr>
            <w:tcW w:w="992" w:type="dxa"/>
            <w:hideMark/>
          </w:tcPr>
          <w:p w14:paraId="2E4E78C7"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9.2</w:t>
            </w:r>
          </w:p>
        </w:tc>
        <w:tc>
          <w:tcPr>
            <w:tcW w:w="992" w:type="dxa"/>
            <w:hideMark/>
          </w:tcPr>
          <w:p w14:paraId="137C4855"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11.9 ↑</w:t>
            </w:r>
          </w:p>
        </w:tc>
        <w:tc>
          <w:tcPr>
            <w:tcW w:w="1134" w:type="dxa"/>
            <w:hideMark/>
          </w:tcPr>
          <w:p w14:paraId="21EF96C9"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11.5 ↑</w:t>
            </w:r>
          </w:p>
        </w:tc>
        <w:tc>
          <w:tcPr>
            <w:tcW w:w="1963" w:type="dxa"/>
            <w:hideMark/>
          </w:tcPr>
          <w:p w14:paraId="7F784F71"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4.0 - 11.0 x 10</w:t>
            </w:r>
            <w:r w:rsidRPr="00477BC0">
              <w:rPr>
                <w:color w:val="222222"/>
                <w:sz w:val="18"/>
                <w:szCs w:val="18"/>
                <w:vertAlign w:val="superscript"/>
                <w:lang w:eastAsia="en-AU"/>
              </w:rPr>
              <w:t>9</w:t>
            </w:r>
            <w:r w:rsidRPr="00477BC0">
              <w:rPr>
                <w:color w:val="222222"/>
                <w:sz w:val="18"/>
                <w:szCs w:val="18"/>
                <w:lang w:eastAsia="en-AU"/>
              </w:rPr>
              <w:t>/L</w:t>
            </w:r>
          </w:p>
        </w:tc>
      </w:tr>
      <w:tr w:rsidR="008C3C7C" w:rsidRPr="00477BC0" w14:paraId="0B46039B" w14:textId="77777777" w:rsidTr="006C2B5B">
        <w:tc>
          <w:tcPr>
            <w:cnfStyle w:val="001000000000" w:firstRow="0" w:lastRow="0" w:firstColumn="1" w:lastColumn="0" w:oddVBand="0" w:evenVBand="0" w:oddHBand="0" w:evenHBand="0" w:firstRowFirstColumn="0" w:firstRowLastColumn="0" w:lastRowFirstColumn="0" w:lastRowLastColumn="0"/>
            <w:tcW w:w="1718" w:type="dxa"/>
            <w:hideMark/>
          </w:tcPr>
          <w:p w14:paraId="40A0B91F" w14:textId="77777777" w:rsidR="008C3C7C" w:rsidRPr="008C3C7C" w:rsidRDefault="008C3C7C" w:rsidP="000954B0">
            <w:pPr>
              <w:rPr>
                <w:b w:val="0"/>
                <w:bCs w:val="0"/>
                <w:color w:val="222222"/>
                <w:sz w:val="18"/>
                <w:szCs w:val="18"/>
                <w:lang w:eastAsia="en-AU"/>
              </w:rPr>
            </w:pPr>
            <w:r w:rsidRPr="008C3C7C">
              <w:rPr>
                <w:b w:val="0"/>
                <w:bCs w:val="0"/>
                <w:color w:val="222222"/>
                <w:sz w:val="18"/>
                <w:szCs w:val="18"/>
                <w:lang w:eastAsia="en-AU"/>
              </w:rPr>
              <w:t>Neutrophils</w:t>
            </w:r>
          </w:p>
        </w:tc>
        <w:tc>
          <w:tcPr>
            <w:tcW w:w="1008" w:type="dxa"/>
            <w:hideMark/>
          </w:tcPr>
          <w:p w14:paraId="70EAA33D"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13.14 ↑</w:t>
            </w:r>
          </w:p>
        </w:tc>
        <w:tc>
          <w:tcPr>
            <w:tcW w:w="993" w:type="dxa"/>
            <w:hideMark/>
          </w:tcPr>
          <w:p w14:paraId="74855836"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8.21 ↑</w:t>
            </w:r>
          </w:p>
        </w:tc>
        <w:tc>
          <w:tcPr>
            <w:tcW w:w="992" w:type="dxa"/>
            <w:hideMark/>
          </w:tcPr>
          <w:p w14:paraId="3A9615F7"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6.07</w:t>
            </w:r>
          </w:p>
        </w:tc>
        <w:tc>
          <w:tcPr>
            <w:tcW w:w="992" w:type="dxa"/>
            <w:hideMark/>
          </w:tcPr>
          <w:p w14:paraId="2AD5726F"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9.28 ↑</w:t>
            </w:r>
          </w:p>
        </w:tc>
        <w:tc>
          <w:tcPr>
            <w:tcW w:w="1134" w:type="dxa"/>
            <w:hideMark/>
          </w:tcPr>
          <w:p w14:paraId="5993CDA9"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8.51 ↑</w:t>
            </w:r>
          </w:p>
        </w:tc>
        <w:tc>
          <w:tcPr>
            <w:tcW w:w="1963" w:type="dxa"/>
            <w:hideMark/>
          </w:tcPr>
          <w:p w14:paraId="1645B539"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1.80 - 7.50 x 10</w:t>
            </w:r>
            <w:r w:rsidRPr="00477BC0">
              <w:rPr>
                <w:color w:val="222222"/>
                <w:sz w:val="18"/>
                <w:szCs w:val="18"/>
                <w:vertAlign w:val="superscript"/>
                <w:lang w:eastAsia="en-AU"/>
              </w:rPr>
              <w:t>9</w:t>
            </w:r>
            <w:r w:rsidRPr="00477BC0">
              <w:rPr>
                <w:color w:val="222222"/>
                <w:sz w:val="18"/>
                <w:szCs w:val="18"/>
                <w:lang w:eastAsia="en-AU"/>
              </w:rPr>
              <w:t>/L</w:t>
            </w:r>
          </w:p>
        </w:tc>
      </w:tr>
      <w:tr w:rsidR="006C2B5B" w:rsidRPr="00477BC0" w14:paraId="1A1FDF0F" w14:textId="77777777" w:rsidTr="006C2B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8" w:type="dxa"/>
            <w:hideMark/>
          </w:tcPr>
          <w:p w14:paraId="1805181E" w14:textId="77777777" w:rsidR="008C3C7C" w:rsidRPr="008C3C7C" w:rsidRDefault="008C3C7C" w:rsidP="000954B0">
            <w:pPr>
              <w:rPr>
                <w:b w:val="0"/>
                <w:bCs w:val="0"/>
                <w:color w:val="222222"/>
                <w:sz w:val="18"/>
                <w:szCs w:val="18"/>
                <w:lang w:eastAsia="en-AU"/>
              </w:rPr>
            </w:pPr>
            <w:r w:rsidRPr="008C3C7C">
              <w:rPr>
                <w:b w:val="0"/>
                <w:bCs w:val="0"/>
                <w:color w:val="222222"/>
                <w:sz w:val="18"/>
                <w:szCs w:val="18"/>
                <w:lang w:eastAsia="en-AU"/>
              </w:rPr>
              <w:t>CRP</w:t>
            </w:r>
          </w:p>
        </w:tc>
        <w:tc>
          <w:tcPr>
            <w:tcW w:w="1008" w:type="dxa"/>
            <w:hideMark/>
          </w:tcPr>
          <w:p w14:paraId="167B0354"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37.1 ↑</w:t>
            </w:r>
          </w:p>
        </w:tc>
        <w:tc>
          <w:tcPr>
            <w:tcW w:w="993" w:type="dxa"/>
            <w:hideMark/>
          </w:tcPr>
          <w:p w14:paraId="083B6B7C"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w:t>
            </w:r>
          </w:p>
        </w:tc>
        <w:tc>
          <w:tcPr>
            <w:tcW w:w="992" w:type="dxa"/>
            <w:hideMark/>
          </w:tcPr>
          <w:p w14:paraId="6A972FD6"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 xml:space="preserve">87.9 </w:t>
            </w:r>
            <w:r w:rsidRPr="00491889">
              <w:rPr>
                <w:color w:val="222222"/>
                <w:sz w:val="18"/>
                <w:szCs w:val="18"/>
                <w:lang w:eastAsia="en-AU"/>
              </w:rPr>
              <w:t>↑</w:t>
            </w:r>
          </w:p>
        </w:tc>
        <w:tc>
          <w:tcPr>
            <w:tcW w:w="992" w:type="dxa"/>
            <w:hideMark/>
          </w:tcPr>
          <w:p w14:paraId="451322FF"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150.0 ↑</w:t>
            </w:r>
          </w:p>
        </w:tc>
        <w:tc>
          <w:tcPr>
            <w:tcW w:w="1134" w:type="dxa"/>
            <w:hideMark/>
          </w:tcPr>
          <w:p w14:paraId="0A326CF4"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237.9 ↑</w:t>
            </w:r>
          </w:p>
        </w:tc>
        <w:tc>
          <w:tcPr>
            <w:tcW w:w="1963" w:type="dxa"/>
            <w:hideMark/>
          </w:tcPr>
          <w:p w14:paraId="4B8A77B9"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&lt;6.0 mg/L</w:t>
            </w:r>
          </w:p>
        </w:tc>
      </w:tr>
      <w:tr w:rsidR="008C3C7C" w:rsidRPr="00477BC0" w14:paraId="1319C94D" w14:textId="77777777" w:rsidTr="006C2B5B">
        <w:tc>
          <w:tcPr>
            <w:cnfStyle w:val="001000000000" w:firstRow="0" w:lastRow="0" w:firstColumn="1" w:lastColumn="0" w:oddVBand="0" w:evenVBand="0" w:oddHBand="0" w:evenHBand="0" w:firstRowFirstColumn="0" w:firstRowLastColumn="0" w:lastRowFirstColumn="0" w:lastRowLastColumn="0"/>
            <w:tcW w:w="1718" w:type="dxa"/>
            <w:hideMark/>
          </w:tcPr>
          <w:p w14:paraId="53BCF6AC" w14:textId="77777777" w:rsidR="008C3C7C" w:rsidRPr="008C3C7C" w:rsidRDefault="008C3C7C" w:rsidP="000954B0">
            <w:pPr>
              <w:rPr>
                <w:b w:val="0"/>
                <w:bCs w:val="0"/>
                <w:color w:val="222222"/>
                <w:sz w:val="18"/>
                <w:szCs w:val="18"/>
                <w:lang w:eastAsia="en-AU"/>
              </w:rPr>
            </w:pPr>
            <w:r w:rsidRPr="008C3C7C">
              <w:rPr>
                <w:b w:val="0"/>
                <w:bCs w:val="0"/>
                <w:color w:val="222222"/>
                <w:sz w:val="18"/>
                <w:szCs w:val="18"/>
                <w:lang w:eastAsia="en-AU"/>
              </w:rPr>
              <w:t>Urea</w:t>
            </w:r>
          </w:p>
        </w:tc>
        <w:tc>
          <w:tcPr>
            <w:tcW w:w="1008" w:type="dxa"/>
            <w:hideMark/>
          </w:tcPr>
          <w:p w14:paraId="1350157B"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3.4</w:t>
            </w:r>
          </w:p>
        </w:tc>
        <w:tc>
          <w:tcPr>
            <w:tcW w:w="993" w:type="dxa"/>
            <w:hideMark/>
          </w:tcPr>
          <w:p w14:paraId="0254BFDE"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3.6</w:t>
            </w:r>
          </w:p>
        </w:tc>
        <w:tc>
          <w:tcPr>
            <w:tcW w:w="992" w:type="dxa"/>
            <w:hideMark/>
          </w:tcPr>
          <w:p w14:paraId="08515343"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2.9 ↓</w:t>
            </w:r>
          </w:p>
        </w:tc>
        <w:tc>
          <w:tcPr>
            <w:tcW w:w="992" w:type="dxa"/>
            <w:hideMark/>
          </w:tcPr>
          <w:p w14:paraId="32F3D9E1"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2.9 ↓</w:t>
            </w:r>
          </w:p>
        </w:tc>
        <w:tc>
          <w:tcPr>
            <w:tcW w:w="1134" w:type="dxa"/>
            <w:hideMark/>
          </w:tcPr>
          <w:p w14:paraId="4FFA6179"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3.4</w:t>
            </w:r>
          </w:p>
        </w:tc>
        <w:tc>
          <w:tcPr>
            <w:tcW w:w="1963" w:type="dxa"/>
            <w:hideMark/>
          </w:tcPr>
          <w:p w14:paraId="537A3A42"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3.4 - 9.0 mmol/L</w:t>
            </w:r>
          </w:p>
        </w:tc>
      </w:tr>
      <w:tr w:rsidR="006C2B5B" w:rsidRPr="00477BC0" w14:paraId="7FB5B673" w14:textId="77777777" w:rsidTr="006C2B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8" w:type="dxa"/>
            <w:hideMark/>
          </w:tcPr>
          <w:p w14:paraId="5F4C41D9" w14:textId="77777777" w:rsidR="008C3C7C" w:rsidRPr="008C3C7C" w:rsidRDefault="008C3C7C" w:rsidP="000954B0">
            <w:pPr>
              <w:rPr>
                <w:b w:val="0"/>
                <w:bCs w:val="0"/>
                <w:color w:val="222222"/>
                <w:sz w:val="18"/>
                <w:szCs w:val="18"/>
                <w:lang w:eastAsia="en-AU"/>
              </w:rPr>
            </w:pPr>
            <w:r w:rsidRPr="008C3C7C">
              <w:rPr>
                <w:b w:val="0"/>
                <w:bCs w:val="0"/>
                <w:color w:val="222222"/>
                <w:sz w:val="18"/>
                <w:szCs w:val="18"/>
                <w:lang w:eastAsia="en-AU"/>
              </w:rPr>
              <w:t>Creatinine</w:t>
            </w:r>
          </w:p>
        </w:tc>
        <w:tc>
          <w:tcPr>
            <w:tcW w:w="1008" w:type="dxa"/>
            <w:hideMark/>
          </w:tcPr>
          <w:p w14:paraId="0B87087D"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62</w:t>
            </w:r>
          </w:p>
        </w:tc>
        <w:tc>
          <w:tcPr>
            <w:tcW w:w="993" w:type="dxa"/>
            <w:hideMark/>
          </w:tcPr>
          <w:p w14:paraId="565D510A"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65</w:t>
            </w:r>
          </w:p>
        </w:tc>
        <w:tc>
          <w:tcPr>
            <w:tcW w:w="992" w:type="dxa"/>
            <w:hideMark/>
          </w:tcPr>
          <w:p w14:paraId="54FADE39"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57 ↓</w:t>
            </w:r>
          </w:p>
        </w:tc>
        <w:tc>
          <w:tcPr>
            <w:tcW w:w="992" w:type="dxa"/>
            <w:hideMark/>
          </w:tcPr>
          <w:p w14:paraId="372C18A2"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58 ↓</w:t>
            </w:r>
          </w:p>
        </w:tc>
        <w:tc>
          <w:tcPr>
            <w:tcW w:w="1134" w:type="dxa"/>
            <w:hideMark/>
          </w:tcPr>
          <w:p w14:paraId="31B9D638"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63</w:t>
            </w:r>
          </w:p>
        </w:tc>
        <w:tc>
          <w:tcPr>
            <w:tcW w:w="1963" w:type="dxa"/>
            <w:hideMark/>
          </w:tcPr>
          <w:p w14:paraId="415BF43E"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60 - 110 umol/L</w:t>
            </w:r>
          </w:p>
        </w:tc>
      </w:tr>
      <w:tr w:rsidR="008C3C7C" w:rsidRPr="00477BC0" w14:paraId="1081B84C" w14:textId="77777777" w:rsidTr="006C2B5B">
        <w:tc>
          <w:tcPr>
            <w:cnfStyle w:val="001000000000" w:firstRow="0" w:lastRow="0" w:firstColumn="1" w:lastColumn="0" w:oddVBand="0" w:evenVBand="0" w:oddHBand="0" w:evenHBand="0" w:firstRowFirstColumn="0" w:firstRowLastColumn="0" w:lastRowFirstColumn="0" w:lastRowLastColumn="0"/>
            <w:tcW w:w="1718" w:type="dxa"/>
            <w:hideMark/>
          </w:tcPr>
          <w:p w14:paraId="7925685D" w14:textId="77777777" w:rsidR="008C3C7C" w:rsidRPr="008C3C7C" w:rsidRDefault="008C3C7C" w:rsidP="000954B0">
            <w:pPr>
              <w:rPr>
                <w:b w:val="0"/>
                <w:bCs w:val="0"/>
                <w:color w:val="222222"/>
                <w:sz w:val="18"/>
                <w:szCs w:val="18"/>
                <w:lang w:eastAsia="en-AU"/>
              </w:rPr>
            </w:pPr>
            <w:r w:rsidRPr="008C3C7C">
              <w:rPr>
                <w:b w:val="0"/>
                <w:bCs w:val="0"/>
                <w:color w:val="222222"/>
                <w:sz w:val="18"/>
                <w:szCs w:val="18"/>
                <w:lang w:eastAsia="en-AU"/>
              </w:rPr>
              <w:t>eGFR</w:t>
            </w:r>
          </w:p>
        </w:tc>
        <w:tc>
          <w:tcPr>
            <w:tcW w:w="1008" w:type="dxa"/>
            <w:hideMark/>
          </w:tcPr>
          <w:p w14:paraId="2B21AB1A"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&gt;90</w:t>
            </w:r>
          </w:p>
        </w:tc>
        <w:tc>
          <w:tcPr>
            <w:tcW w:w="993" w:type="dxa"/>
            <w:hideMark/>
          </w:tcPr>
          <w:p w14:paraId="45ADCCE7"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&gt;90</w:t>
            </w:r>
          </w:p>
        </w:tc>
        <w:tc>
          <w:tcPr>
            <w:tcW w:w="992" w:type="dxa"/>
            <w:hideMark/>
          </w:tcPr>
          <w:p w14:paraId="379A8632"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&gt;90</w:t>
            </w:r>
          </w:p>
        </w:tc>
        <w:tc>
          <w:tcPr>
            <w:tcW w:w="992" w:type="dxa"/>
            <w:hideMark/>
          </w:tcPr>
          <w:p w14:paraId="3E1B028F"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&gt;90</w:t>
            </w:r>
          </w:p>
        </w:tc>
        <w:tc>
          <w:tcPr>
            <w:tcW w:w="1134" w:type="dxa"/>
            <w:hideMark/>
          </w:tcPr>
          <w:p w14:paraId="2D3DEBFC"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&gt;90</w:t>
            </w:r>
          </w:p>
        </w:tc>
        <w:tc>
          <w:tcPr>
            <w:tcW w:w="1963" w:type="dxa"/>
            <w:hideMark/>
          </w:tcPr>
          <w:p w14:paraId="3B92F9B0"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&gt;=90 mL/min/1.73 m²</w:t>
            </w:r>
          </w:p>
        </w:tc>
      </w:tr>
      <w:tr w:rsidR="006C2B5B" w:rsidRPr="00477BC0" w14:paraId="1B9D01CB" w14:textId="77777777" w:rsidTr="006C2B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8" w:type="dxa"/>
            <w:hideMark/>
          </w:tcPr>
          <w:p w14:paraId="5B87E98A" w14:textId="77777777" w:rsidR="008C3C7C" w:rsidRPr="008C3C7C" w:rsidRDefault="008C3C7C" w:rsidP="000954B0">
            <w:pPr>
              <w:rPr>
                <w:b w:val="0"/>
                <w:bCs w:val="0"/>
                <w:color w:val="222222"/>
                <w:sz w:val="18"/>
                <w:szCs w:val="18"/>
                <w:lang w:eastAsia="en-AU"/>
              </w:rPr>
            </w:pPr>
            <w:r w:rsidRPr="008C3C7C">
              <w:rPr>
                <w:b w:val="0"/>
                <w:bCs w:val="0"/>
                <w:color w:val="222222"/>
                <w:sz w:val="18"/>
                <w:szCs w:val="18"/>
                <w:lang w:eastAsia="en-AU"/>
              </w:rPr>
              <w:t>Sodium</w:t>
            </w:r>
          </w:p>
        </w:tc>
        <w:tc>
          <w:tcPr>
            <w:tcW w:w="1008" w:type="dxa"/>
            <w:hideMark/>
          </w:tcPr>
          <w:p w14:paraId="08173A3D"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136</w:t>
            </w:r>
          </w:p>
        </w:tc>
        <w:tc>
          <w:tcPr>
            <w:tcW w:w="993" w:type="dxa"/>
            <w:hideMark/>
          </w:tcPr>
          <w:p w14:paraId="7E21E73C"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141</w:t>
            </w:r>
          </w:p>
        </w:tc>
        <w:tc>
          <w:tcPr>
            <w:tcW w:w="992" w:type="dxa"/>
            <w:hideMark/>
          </w:tcPr>
          <w:p w14:paraId="75B0E806"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139</w:t>
            </w:r>
          </w:p>
        </w:tc>
        <w:tc>
          <w:tcPr>
            <w:tcW w:w="992" w:type="dxa"/>
            <w:hideMark/>
          </w:tcPr>
          <w:p w14:paraId="1EC2185B"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137</w:t>
            </w:r>
          </w:p>
        </w:tc>
        <w:tc>
          <w:tcPr>
            <w:tcW w:w="1134" w:type="dxa"/>
            <w:hideMark/>
          </w:tcPr>
          <w:p w14:paraId="172D1D5F"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137</w:t>
            </w:r>
          </w:p>
        </w:tc>
        <w:tc>
          <w:tcPr>
            <w:tcW w:w="1963" w:type="dxa"/>
            <w:hideMark/>
          </w:tcPr>
          <w:p w14:paraId="38CC95D6"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135 - 145 mmol/L</w:t>
            </w:r>
          </w:p>
        </w:tc>
      </w:tr>
      <w:tr w:rsidR="008C3C7C" w:rsidRPr="00477BC0" w14:paraId="3BA5D00B" w14:textId="77777777" w:rsidTr="006C2B5B">
        <w:tc>
          <w:tcPr>
            <w:cnfStyle w:val="001000000000" w:firstRow="0" w:lastRow="0" w:firstColumn="1" w:lastColumn="0" w:oddVBand="0" w:evenVBand="0" w:oddHBand="0" w:evenHBand="0" w:firstRowFirstColumn="0" w:firstRowLastColumn="0" w:lastRowFirstColumn="0" w:lastRowLastColumn="0"/>
            <w:tcW w:w="1718" w:type="dxa"/>
            <w:hideMark/>
          </w:tcPr>
          <w:p w14:paraId="715A946C" w14:textId="77777777" w:rsidR="008C3C7C" w:rsidRPr="008C3C7C" w:rsidRDefault="008C3C7C" w:rsidP="000954B0">
            <w:pPr>
              <w:rPr>
                <w:b w:val="0"/>
                <w:bCs w:val="0"/>
                <w:color w:val="222222"/>
                <w:sz w:val="18"/>
                <w:szCs w:val="18"/>
                <w:lang w:eastAsia="en-AU"/>
              </w:rPr>
            </w:pPr>
            <w:r w:rsidRPr="008C3C7C">
              <w:rPr>
                <w:b w:val="0"/>
                <w:bCs w:val="0"/>
                <w:color w:val="222222"/>
                <w:sz w:val="18"/>
                <w:szCs w:val="18"/>
                <w:lang w:eastAsia="en-AU"/>
              </w:rPr>
              <w:t>Potassium</w:t>
            </w:r>
          </w:p>
        </w:tc>
        <w:tc>
          <w:tcPr>
            <w:tcW w:w="1008" w:type="dxa"/>
            <w:hideMark/>
          </w:tcPr>
          <w:p w14:paraId="3AFCDE9B"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4.2</w:t>
            </w:r>
          </w:p>
        </w:tc>
        <w:tc>
          <w:tcPr>
            <w:tcW w:w="993" w:type="dxa"/>
            <w:hideMark/>
          </w:tcPr>
          <w:p w14:paraId="11F4C564"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4.0</w:t>
            </w:r>
          </w:p>
        </w:tc>
        <w:tc>
          <w:tcPr>
            <w:tcW w:w="992" w:type="dxa"/>
            <w:hideMark/>
          </w:tcPr>
          <w:p w14:paraId="76454213"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4.0</w:t>
            </w:r>
          </w:p>
        </w:tc>
        <w:tc>
          <w:tcPr>
            <w:tcW w:w="992" w:type="dxa"/>
            <w:hideMark/>
          </w:tcPr>
          <w:p w14:paraId="5A04CE4F"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4.0</w:t>
            </w:r>
          </w:p>
        </w:tc>
        <w:tc>
          <w:tcPr>
            <w:tcW w:w="1134" w:type="dxa"/>
            <w:hideMark/>
          </w:tcPr>
          <w:p w14:paraId="056B8CD6"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3.8</w:t>
            </w:r>
          </w:p>
        </w:tc>
        <w:tc>
          <w:tcPr>
            <w:tcW w:w="1963" w:type="dxa"/>
            <w:hideMark/>
          </w:tcPr>
          <w:p w14:paraId="0A06A2F2"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3.5 - 5.2 mmol/L</w:t>
            </w:r>
          </w:p>
        </w:tc>
      </w:tr>
      <w:tr w:rsidR="006C2B5B" w:rsidRPr="00477BC0" w14:paraId="7FBFDA33" w14:textId="77777777" w:rsidTr="006C2B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8" w:type="dxa"/>
            <w:hideMark/>
          </w:tcPr>
          <w:p w14:paraId="632AFD53" w14:textId="77777777" w:rsidR="008C3C7C" w:rsidRPr="008C3C7C" w:rsidRDefault="008C3C7C" w:rsidP="000954B0">
            <w:pPr>
              <w:rPr>
                <w:b w:val="0"/>
                <w:bCs w:val="0"/>
                <w:color w:val="222222"/>
                <w:sz w:val="18"/>
                <w:szCs w:val="18"/>
                <w:lang w:eastAsia="en-AU"/>
              </w:rPr>
            </w:pPr>
            <w:r w:rsidRPr="008C3C7C">
              <w:rPr>
                <w:b w:val="0"/>
                <w:bCs w:val="0"/>
                <w:color w:val="222222"/>
                <w:sz w:val="18"/>
                <w:szCs w:val="18"/>
                <w:lang w:eastAsia="en-AU"/>
              </w:rPr>
              <w:t>Corrected Calcium</w:t>
            </w:r>
          </w:p>
        </w:tc>
        <w:tc>
          <w:tcPr>
            <w:tcW w:w="1008" w:type="dxa"/>
            <w:hideMark/>
          </w:tcPr>
          <w:p w14:paraId="0345565D"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2.18</w:t>
            </w:r>
          </w:p>
        </w:tc>
        <w:tc>
          <w:tcPr>
            <w:tcW w:w="993" w:type="dxa"/>
            <w:hideMark/>
          </w:tcPr>
          <w:p w14:paraId="160ECEE8"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2.19</w:t>
            </w:r>
          </w:p>
        </w:tc>
        <w:tc>
          <w:tcPr>
            <w:tcW w:w="992" w:type="dxa"/>
            <w:hideMark/>
          </w:tcPr>
          <w:p w14:paraId="512458B3"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w:t>
            </w:r>
          </w:p>
        </w:tc>
        <w:tc>
          <w:tcPr>
            <w:tcW w:w="992" w:type="dxa"/>
            <w:hideMark/>
          </w:tcPr>
          <w:p w14:paraId="7A6BA144"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2.26</w:t>
            </w:r>
          </w:p>
        </w:tc>
        <w:tc>
          <w:tcPr>
            <w:tcW w:w="1134" w:type="dxa"/>
            <w:hideMark/>
          </w:tcPr>
          <w:p w14:paraId="0E16B088"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2.26</w:t>
            </w:r>
          </w:p>
        </w:tc>
        <w:tc>
          <w:tcPr>
            <w:tcW w:w="1963" w:type="dxa"/>
            <w:hideMark/>
          </w:tcPr>
          <w:p w14:paraId="177F0A6E"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2.10 - 2.60 mmol/L</w:t>
            </w:r>
          </w:p>
        </w:tc>
      </w:tr>
      <w:tr w:rsidR="008C3C7C" w:rsidRPr="00477BC0" w14:paraId="528A6F29" w14:textId="77777777" w:rsidTr="006C2B5B">
        <w:tc>
          <w:tcPr>
            <w:cnfStyle w:val="001000000000" w:firstRow="0" w:lastRow="0" w:firstColumn="1" w:lastColumn="0" w:oddVBand="0" w:evenVBand="0" w:oddHBand="0" w:evenHBand="0" w:firstRowFirstColumn="0" w:firstRowLastColumn="0" w:lastRowFirstColumn="0" w:lastRowLastColumn="0"/>
            <w:tcW w:w="1718" w:type="dxa"/>
            <w:hideMark/>
          </w:tcPr>
          <w:p w14:paraId="7E22D83A" w14:textId="77777777" w:rsidR="008C3C7C" w:rsidRPr="008C3C7C" w:rsidRDefault="008C3C7C" w:rsidP="000954B0">
            <w:pPr>
              <w:rPr>
                <w:b w:val="0"/>
                <w:bCs w:val="0"/>
                <w:color w:val="222222"/>
                <w:sz w:val="18"/>
                <w:szCs w:val="18"/>
                <w:lang w:eastAsia="en-AU"/>
              </w:rPr>
            </w:pPr>
            <w:r w:rsidRPr="008C3C7C">
              <w:rPr>
                <w:b w:val="0"/>
                <w:bCs w:val="0"/>
                <w:color w:val="222222"/>
                <w:sz w:val="18"/>
                <w:szCs w:val="18"/>
                <w:lang w:eastAsia="en-AU"/>
              </w:rPr>
              <w:t>Magnesium</w:t>
            </w:r>
          </w:p>
        </w:tc>
        <w:tc>
          <w:tcPr>
            <w:tcW w:w="1008" w:type="dxa"/>
            <w:hideMark/>
          </w:tcPr>
          <w:p w14:paraId="19CE1319"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0.91</w:t>
            </w:r>
          </w:p>
        </w:tc>
        <w:tc>
          <w:tcPr>
            <w:tcW w:w="993" w:type="dxa"/>
            <w:hideMark/>
          </w:tcPr>
          <w:p w14:paraId="11BF5A76"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0.75</w:t>
            </w:r>
          </w:p>
        </w:tc>
        <w:tc>
          <w:tcPr>
            <w:tcW w:w="992" w:type="dxa"/>
            <w:hideMark/>
          </w:tcPr>
          <w:p w14:paraId="74FE1311"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w:t>
            </w:r>
          </w:p>
        </w:tc>
        <w:tc>
          <w:tcPr>
            <w:tcW w:w="992" w:type="dxa"/>
            <w:hideMark/>
          </w:tcPr>
          <w:p w14:paraId="522E67D7"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0.74</w:t>
            </w:r>
          </w:p>
        </w:tc>
        <w:tc>
          <w:tcPr>
            <w:tcW w:w="1134" w:type="dxa"/>
            <w:hideMark/>
          </w:tcPr>
          <w:p w14:paraId="595275E6"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0.74</w:t>
            </w:r>
          </w:p>
        </w:tc>
        <w:tc>
          <w:tcPr>
            <w:tcW w:w="1963" w:type="dxa"/>
            <w:hideMark/>
          </w:tcPr>
          <w:p w14:paraId="4B81EDBE" w14:textId="77777777" w:rsidR="008C3C7C" w:rsidRPr="00477BC0" w:rsidRDefault="008C3C7C"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0.70 - 1.10 mmol/L</w:t>
            </w:r>
          </w:p>
        </w:tc>
      </w:tr>
      <w:tr w:rsidR="006C2B5B" w:rsidRPr="00477BC0" w14:paraId="067A4B9E" w14:textId="77777777" w:rsidTr="006C2B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8" w:type="dxa"/>
            <w:hideMark/>
          </w:tcPr>
          <w:p w14:paraId="23D74945" w14:textId="77777777" w:rsidR="008C3C7C" w:rsidRPr="008C3C7C" w:rsidRDefault="008C3C7C" w:rsidP="000954B0">
            <w:pPr>
              <w:rPr>
                <w:b w:val="0"/>
                <w:bCs w:val="0"/>
                <w:color w:val="222222"/>
                <w:sz w:val="18"/>
                <w:szCs w:val="18"/>
                <w:lang w:eastAsia="en-AU"/>
              </w:rPr>
            </w:pPr>
            <w:r w:rsidRPr="008C3C7C">
              <w:rPr>
                <w:b w:val="0"/>
                <w:bCs w:val="0"/>
                <w:color w:val="222222"/>
                <w:sz w:val="18"/>
                <w:szCs w:val="18"/>
                <w:lang w:eastAsia="en-AU"/>
              </w:rPr>
              <w:t>Phosphate</w:t>
            </w:r>
          </w:p>
        </w:tc>
        <w:tc>
          <w:tcPr>
            <w:tcW w:w="1008" w:type="dxa"/>
            <w:hideMark/>
          </w:tcPr>
          <w:p w14:paraId="15229996"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1.46</w:t>
            </w:r>
          </w:p>
        </w:tc>
        <w:tc>
          <w:tcPr>
            <w:tcW w:w="993" w:type="dxa"/>
            <w:hideMark/>
          </w:tcPr>
          <w:p w14:paraId="6B6AC7D6"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0.97</w:t>
            </w:r>
          </w:p>
        </w:tc>
        <w:tc>
          <w:tcPr>
            <w:tcW w:w="992" w:type="dxa"/>
            <w:hideMark/>
          </w:tcPr>
          <w:p w14:paraId="7A814D5B"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w:t>
            </w:r>
          </w:p>
        </w:tc>
        <w:tc>
          <w:tcPr>
            <w:tcW w:w="992" w:type="dxa"/>
            <w:hideMark/>
          </w:tcPr>
          <w:p w14:paraId="4D819C8F"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1.24</w:t>
            </w:r>
          </w:p>
        </w:tc>
        <w:tc>
          <w:tcPr>
            <w:tcW w:w="1134" w:type="dxa"/>
            <w:hideMark/>
          </w:tcPr>
          <w:p w14:paraId="00600793"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0.99</w:t>
            </w:r>
          </w:p>
        </w:tc>
        <w:tc>
          <w:tcPr>
            <w:tcW w:w="1963" w:type="dxa"/>
            <w:hideMark/>
          </w:tcPr>
          <w:p w14:paraId="7F0F3BE9" w14:textId="77777777" w:rsidR="008C3C7C" w:rsidRPr="00477BC0" w:rsidRDefault="008C3C7C"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0.75 - 1.50 mmol/L</w:t>
            </w:r>
          </w:p>
        </w:tc>
      </w:tr>
    </w:tbl>
    <w:p w14:paraId="057A8C5B" w14:textId="3BD541B6" w:rsidR="006537E9" w:rsidRDefault="006537E9" w:rsidP="006537E9">
      <w:pPr>
        <w:rPr>
          <w:sz w:val="18"/>
          <w:szCs w:val="18"/>
        </w:rPr>
      </w:pPr>
      <w:r w:rsidRPr="00477BC0">
        <w:rPr>
          <w:b/>
          <w:bCs/>
          <w:sz w:val="18"/>
          <w:szCs w:val="18"/>
        </w:rPr>
        <w:t xml:space="preserve">Table </w:t>
      </w:r>
      <w:r w:rsidR="00EA46BC">
        <w:rPr>
          <w:b/>
          <w:bCs/>
          <w:sz w:val="18"/>
          <w:szCs w:val="18"/>
        </w:rPr>
        <w:t>2</w:t>
      </w:r>
      <w:r w:rsidRPr="00477BC0">
        <w:rPr>
          <w:b/>
          <w:bCs/>
          <w:sz w:val="18"/>
          <w:szCs w:val="18"/>
        </w:rPr>
        <w:t xml:space="preserve">: </w:t>
      </w:r>
      <w:r w:rsidR="00491889">
        <w:rPr>
          <w:b/>
          <w:bCs/>
          <w:sz w:val="18"/>
          <w:szCs w:val="18"/>
        </w:rPr>
        <w:t xml:space="preserve">a </w:t>
      </w:r>
      <w:r w:rsidRPr="00477BC0">
        <w:rPr>
          <w:b/>
          <w:bCs/>
          <w:sz w:val="18"/>
          <w:szCs w:val="18"/>
        </w:rPr>
        <w:t xml:space="preserve">sequential analysis of daily blood parameters in the postoperative period over six days, </w:t>
      </w:r>
      <w:r w:rsidR="00FF2958">
        <w:rPr>
          <w:b/>
          <w:bCs/>
          <w:sz w:val="18"/>
          <w:szCs w:val="18"/>
        </w:rPr>
        <w:t>highlighting</w:t>
      </w:r>
      <w:r w:rsidRPr="00477BC0">
        <w:rPr>
          <w:b/>
          <w:bCs/>
          <w:sz w:val="18"/>
          <w:szCs w:val="18"/>
        </w:rPr>
        <w:t xml:space="preserve"> variations in haemoglobin, WBC, neutrophils, and CRP. </w:t>
      </w:r>
      <w:r w:rsidR="00F75C30" w:rsidRPr="00477BC0">
        <w:rPr>
          <w:b/>
          <w:bCs/>
          <w:sz w:val="18"/>
          <w:szCs w:val="18"/>
        </w:rPr>
        <w:br/>
      </w:r>
      <w:r w:rsidR="008C3C7C" w:rsidRPr="008C3C7C">
        <w:rPr>
          <w:sz w:val="18"/>
          <w:szCs w:val="18"/>
          <w:vertAlign w:val="superscript"/>
        </w:rPr>
        <w:t>†</w:t>
      </w:r>
      <w:proofErr w:type="gramStart"/>
      <w:r w:rsidRPr="00477BC0">
        <w:rPr>
          <w:sz w:val="18"/>
          <w:szCs w:val="18"/>
        </w:rPr>
        <w:t>no</w:t>
      </w:r>
      <w:proofErr w:type="gramEnd"/>
      <w:r w:rsidRPr="00477BC0">
        <w:rPr>
          <w:sz w:val="18"/>
          <w:szCs w:val="18"/>
        </w:rPr>
        <w:t xml:space="preserve"> blood tests were conducted on the fourth postoperative day</w:t>
      </w:r>
    </w:p>
    <w:p w14:paraId="242FECE6" w14:textId="77777777" w:rsidR="00FF2958" w:rsidRDefault="00FF2958" w:rsidP="006537E9">
      <w:pPr>
        <w:rPr>
          <w:sz w:val="18"/>
          <w:szCs w:val="18"/>
        </w:rPr>
      </w:pPr>
    </w:p>
    <w:p w14:paraId="3C4D3AD3" w14:textId="77777777" w:rsidR="00EA46BC" w:rsidRPr="00477BC0" w:rsidRDefault="00EA46BC" w:rsidP="006537E9">
      <w:pPr>
        <w:rPr>
          <w:b/>
          <w:bCs/>
          <w:sz w:val="18"/>
          <w:szCs w:val="18"/>
        </w:rPr>
      </w:pPr>
    </w:p>
    <w:p w14:paraId="6F101B8D" w14:textId="0C4B52F0" w:rsidR="00EA46BC" w:rsidRDefault="00491889" w:rsidP="00DE5902">
      <w:pPr>
        <w:jc w:val="both"/>
        <w:rPr>
          <w:sz w:val="20"/>
          <w:szCs w:val="20"/>
        </w:rPr>
      </w:pPr>
      <w:bookmarkStart w:id="9" w:name="_Hlk143090023"/>
      <w:r w:rsidRPr="00EA46BC">
        <w:rPr>
          <w:sz w:val="20"/>
          <w:szCs w:val="20"/>
        </w:rPr>
        <w:t xml:space="preserve">A subsequent </w:t>
      </w:r>
      <w:r w:rsidR="006537E9" w:rsidRPr="00477BC0">
        <w:rPr>
          <w:sz w:val="20"/>
          <w:szCs w:val="20"/>
        </w:rPr>
        <w:t>triple-phase</w:t>
      </w:r>
      <w:r>
        <w:rPr>
          <w:sz w:val="20"/>
          <w:szCs w:val="20"/>
        </w:rPr>
        <w:t xml:space="preserve"> abdominal</w:t>
      </w:r>
      <w:r w:rsidR="006537E9" w:rsidRPr="00477BC0">
        <w:rPr>
          <w:sz w:val="20"/>
          <w:szCs w:val="20"/>
        </w:rPr>
        <w:t xml:space="preserve"> CT </w:t>
      </w:r>
      <w:r w:rsidRPr="00EA46BC">
        <w:rPr>
          <w:sz w:val="20"/>
          <w:szCs w:val="20"/>
        </w:rPr>
        <w:t xml:space="preserve">identified </w:t>
      </w:r>
      <w:r w:rsidR="006537E9" w:rsidRPr="00477BC0">
        <w:rPr>
          <w:sz w:val="20"/>
          <w:szCs w:val="20"/>
        </w:rPr>
        <w:t>a large retroperitoneal collection</w:t>
      </w:r>
      <w:r w:rsidR="00EE6CD6">
        <w:rPr>
          <w:sz w:val="20"/>
          <w:szCs w:val="20"/>
        </w:rPr>
        <w:t xml:space="preserve"> </w:t>
      </w:r>
      <w:r w:rsidR="00EE6CD6" w:rsidRPr="00EE6CD6">
        <w:rPr>
          <w:sz w:val="20"/>
          <w:szCs w:val="20"/>
        </w:rPr>
        <w:t xml:space="preserve">consistent </w:t>
      </w:r>
      <w:r w:rsidR="00EE6CD6">
        <w:rPr>
          <w:sz w:val="20"/>
          <w:szCs w:val="20"/>
        </w:rPr>
        <w:t xml:space="preserve">with </w:t>
      </w:r>
      <w:r>
        <w:rPr>
          <w:sz w:val="20"/>
          <w:szCs w:val="20"/>
        </w:rPr>
        <w:t xml:space="preserve">a </w:t>
      </w:r>
      <w:r w:rsidR="006537E9" w:rsidRPr="00477BC0">
        <w:rPr>
          <w:sz w:val="20"/>
          <w:szCs w:val="20"/>
        </w:rPr>
        <w:t>postoperative haematoma</w:t>
      </w:r>
      <w:r w:rsidR="00EE6CD6">
        <w:rPr>
          <w:sz w:val="20"/>
          <w:szCs w:val="20"/>
        </w:rPr>
        <w:t>,</w:t>
      </w:r>
      <w:r w:rsidRPr="00491889">
        <w:rPr>
          <w:sz w:val="20"/>
          <w:szCs w:val="20"/>
        </w:rPr>
        <w:t xml:space="preserve"> </w:t>
      </w:r>
      <w:r w:rsidRPr="00477BC0">
        <w:rPr>
          <w:sz w:val="20"/>
          <w:szCs w:val="20"/>
        </w:rPr>
        <w:t>compressing the infrarenal inferior vena cava</w:t>
      </w:r>
      <w:r w:rsidR="00EE6CD6" w:rsidRPr="00EE6CD6">
        <w:rPr>
          <w:sz w:val="20"/>
          <w:szCs w:val="20"/>
        </w:rPr>
        <w:t xml:space="preserve"> </w:t>
      </w:r>
      <w:r w:rsidR="006537E9" w:rsidRPr="00477BC0">
        <w:rPr>
          <w:sz w:val="20"/>
          <w:szCs w:val="20"/>
        </w:rPr>
        <w:t>(</w:t>
      </w:r>
      <w:r w:rsidR="00EE6CD6" w:rsidRPr="00DE5902">
        <w:rPr>
          <w:b/>
          <w:bCs/>
          <w:sz w:val="20"/>
          <w:szCs w:val="20"/>
        </w:rPr>
        <w:t>Figure</w:t>
      </w:r>
      <w:r w:rsidR="00B35DA1">
        <w:rPr>
          <w:b/>
          <w:bCs/>
          <w:sz w:val="20"/>
          <w:szCs w:val="20"/>
        </w:rPr>
        <w:t xml:space="preserve"> 8</w:t>
      </w:r>
      <w:r w:rsidR="006537E9" w:rsidRPr="00DE5902">
        <w:rPr>
          <w:b/>
          <w:bCs/>
          <w:sz w:val="20"/>
          <w:szCs w:val="20"/>
        </w:rPr>
        <w:t xml:space="preserve"> </w:t>
      </w:r>
      <w:r w:rsidR="00EE6CD6" w:rsidRPr="00DE5902">
        <w:rPr>
          <w:b/>
          <w:bCs/>
          <w:sz w:val="20"/>
          <w:szCs w:val="20"/>
        </w:rPr>
        <w:t>&amp;</w:t>
      </w:r>
      <w:r w:rsidR="00B35DA1">
        <w:rPr>
          <w:b/>
          <w:bCs/>
          <w:sz w:val="20"/>
          <w:szCs w:val="20"/>
        </w:rPr>
        <w:t xml:space="preserve"> Figure 9</w:t>
      </w:r>
      <w:r w:rsidR="006537E9" w:rsidRPr="00477BC0">
        <w:rPr>
          <w:sz w:val="20"/>
          <w:szCs w:val="20"/>
        </w:rPr>
        <w:t>).</w:t>
      </w:r>
      <w:r w:rsidR="00EE6CD6">
        <w:rPr>
          <w:sz w:val="20"/>
          <w:szCs w:val="20"/>
        </w:rPr>
        <w:t xml:space="preserve"> </w:t>
      </w:r>
      <w:proofErr w:type="gramStart"/>
      <w:r w:rsidR="00EE6CD6">
        <w:rPr>
          <w:sz w:val="20"/>
          <w:szCs w:val="20"/>
        </w:rPr>
        <w:t>In light of</w:t>
      </w:r>
      <w:proofErr w:type="gramEnd"/>
      <w:r w:rsidR="00EE6CD6">
        <w:rPr>
          <w:sz w:val="20"/>
          <w:szCs w:val="20"/>
        </w:rPr>
        <w:t xml:space="preserve"> these findings</w:t>
      </w:r>
      <w:r w:rsidR="00EA46BC" w:rsidRPr="00EA46BC">
        <w:rPr>
          <w:sz w:val="20"/>
          <w:szCs w:val="20"/>
        </w:rPr>
        <w:t xml:space="preserve">, a decision was made for a second surgery to </w:t>
      </w:r>
      <w:r w:rsidR="00EE6CD6" w:rsidRPr="00477BC0">
        <w:rPr>
          <w:sz w:val="20"/>
          <w:szCs w:val="20"/>
        </w:rPr>
        <w:t xml:space="preserve">evacuate </w:t>
      </w:r>
      <w:r w:rsidR="00EA46BC" w:rsidRPr="00EA46BC">
        <w:rPr>
          <w:sz w:val="20"/>
          <w:szCs w:val="20"/>
        </w:rPr>
        <w:t xml:space="preserve">the haematoma. The patient's </w:t>
      </w:r>
      <w:r w:rsidR="00EE6CD6">
        <w:rPr>
          <w:sz w:val="20"/>
          <w:szCs w:val="20"/>
        </w:rPr>
        <w:t>enoxaparin</w:t>
      </w:r>
      <w:r w:rsidR="00EA46BC" w:rsidRPr="00EA46BC">
        <w:rPr>
          <w:sz w:val="20"/>
          <w:szCs w:val="20"/>
        </w:rPr>
        <w:t xml:space="preserve"> was adjusted</w:t>
      </w:r>
      <w:r w:rsidR="00EE6CD6">
        <w:rPr>
          <w:sz w:val="20"/>
          <w:szCs w:val="20"/>
        </w:rPr>
        <w:t xml:space="preserve"> back to prophylactic dosing</w:t>
      </w:r>
      <w:r w:rsidR="00EA46BC" w:rsidRPr="00EA46BC">
        <w:rPr>
          <w:sz w:val="20"/>
          <w:szCs w:val="20"/>
        </w:rPr>
        <w:t xml:space="preserve">, and intravenous cefazolin was </w:t>
      </w:r>
      <w:r w:rsidR="00EE6CD6" w:rsidRPr="00477BC0">
        <w:rPr>
          <w:sz w:val="20"/>
          <w:szCs w:val="20"/>
        </w:rPr>
        <w:t>initiated</w:t>
      </w:r>
      <w:r w:rsidR="00EA46BC" w:rsidRPr="00EA46BC">
        <w:rPr>
          <w:sz w:val="20"/>
          <w:szCs w:val="20"/>
        </w:rPr>
        <w:t>.</w:t>
      </w:r>
      <w:r w:rsidR="00EE6CD6">
        <w:rPr>
          <w:sz w:val="20"/>
          <w:szCs w:val="20"/>
        </w:rPr>
        <w:t xml:space="preserve"> A </w:t>
      </w:r>
      <w:r w:rsidR="00EE6CD6" w:rsidRPr="00EA46BC">
        <w:rPr>
          <w:sz w:val="20"/>
          <w:szCs w:val="20"/>
        </w:rPr>
        <w:t>week</w:t>
      </w:r>
      <w:r w:rsidR="00EA46BC" w:rsidRPr="00EA46BC">
        <w:rPr>
          <w:sz w:val="20"/>
          <w:szCs w:val="20"/>
        </w:rPr>
        <w:t xml:space="preserve"> </w:t>
      </w:r>
      <w:r w:rsidR="008E2E65">
        <w:rPr>
          <w:sz w:val="20"/>
          <w:szCs w:val="20"/>
        </w:rPr>
        <w:t xml:space="preserve">after the </w:t>
      </w:r>
      <w:r w:rsidR="00EA46BC" w:rsidRPr="00EA46BC">
        <w:rPr>
          <w:sz w:val="20"/>
          <w:szCs w:val="20"/>
        </w:rPr>
        <w:t xml:space="preserve">initial surgery, a second laparotomy was </w:t>
      </w:r>
      <w:r w:rsidR="00EE6CD6">
        <w:rPr>
          <w:sz w:val="20"/>
          <w:szCs w:val="20"/>
        </w:rPr>
        <w:t>performed</w:t>
      </w:r>
      <w:r w:rsidR="00EA46BC" w:rsidRPr="00EA46BC">
        <w:rPr>
          <w:sz w:val="20"/>
          <w:szCs w:val="20"/>
        </w:rPr>
        <w:t xml:space="preserve">, resulting in the </w:t>
      </w:r>
      <w:r w:rsidR="00EE6CD6" w:rsidRPr="00477BC0">
        <w:rPr>
          <w:sz w:val="20"/>
          <w:szCs w:val="20"/>
        </w:rPr>
        <w:t xml:space="preserve">successful </w:t>
      </w:r>
      <w:r w:rsidR="00EA46BC" w:rsidRPr="00EA46BC">
        <w:rPr>
          <w:sz w:val="20"/>
          <w:szCs w:val="20"/>
        </w:rPr>
        <w:t>removal of a 100 mL clotted haematoma</w:t>
      </w:r>
      <w:r w:rsidR="008E2E65">
        <w:rPr>
          <w:sz w:val="20"/>
          <w:szCs w:val="20"/>
        </w:rPr>
        <w:t xml:space="preserve">, with </w:t>
      </w:r>
      <w:r w:rsidR="00EE6CD6" w:rsidRPr="00EE6CD6">
        <w:rPr>
          <w:sz w:val="20"/>
          <w:szCs w:val="20"/>
        </w:rPr>
        <w:t xml:space="preserve">no intraoperative </w:t>
      </w:r>
      <w:r w:rsidR="00EA46BC" w:rsidRPr="00EA46BC">
        <w:rPr>
          <w:sz w:val="20"/>
          <w:szCs w:val="20"/>
        </w:rPr>
        <w:t>bleeding</w:t>
      </w:r>
      <w:r w:rsidR="008E2E65">
        <w:rPr>
          <w:sz w:val="20"/>
          <w:szCs w:val="20"/>
        </w:rPr>
        <w:t xml:space="preserve"> observed</w:t>
      </w:r>
      <w:r w:rsidR="00B35DA1">
        <w:rPr>
          <w:sz w:val="20"/>
          <w:szCs w:val="20"/>
        </w:rPr>
        <w:t xml:space="preserve"> (</w:t>
      </w:r>
      <w:r w:rsidR="00B35DA1" w:rsidRPr="00B35DA1">
        <w:rPr>
          <w:b/>
          <w:bCs/>
          <w:sz w:val="20"/>
          <w:szCs w:val="20"/>
        </w:rPr>
        <w:t>Figure 10</w:t>
      </w:r>
      <w:r w:rsidR="00B35DA1">
        <w:rPr>
          <w:sz w:val="20"/>
          <w:szCs w:val="20"/>
        </w:rPr>
        <w:t>)</w:t>
      </w:r>
      <w:r w:rsidR="00EA46BC" w:rsidRPr="00EA46BC">
        <w:rPr>
          <w:sz w:val="20"/>
          <w:szCs w:val="20"/>
        </w:rPr>
        <w:t xml:space="preserve">. The </w:t>
      </w:r>
      <w:r w:rsidR="00EE6CD6">
        <w:rPr>
          <w:sz w:val="20"/>
          <w:szCs w:val="20"/>
        </w:rPr>
        <w:t>wound bed</w:t>
      </w:r>
      <w:r w:rsidR="00EA46BC" w:rsidRPr="00EA46BC">
        <w:rPr>
          <w:sz w:val="20"/>
          <w:szCs w:val="20"/>
        </w:rPr>
        <w:t xml:space="preserve"> was </w:t>
      </w:r>
      <w:r w:rsidR="00EE6CD6" w:rsidRPr="00477BC0">
        <w:rPr>
          <w:sz w:val="20"/>
          <w:szCs w:val="20"/>
        </w:rPr>
        <w:t>thoroughly irrigated with saline,</w:t>
      </w:r>
      <w:r w:rsidR="00EE6CD6" w:rsidRPr="00EA46BC">
        <w:rPr>
          <w:sz w:val="20"/>
          <w:szCs w:val="20"/>
        </w:rPr>
        <w:t xml:space="preserve"> </w:t>
      </w:r>
      <w:r w:rsidR="00EA46BC" w:rsidRPr="00EA46BC">
        <w:rPr>
          <w:sz w:val="20"/>
          <w:szCs w:val="20"/>
        </w:rPr>
        <w:t xml:space="preserve">and </w:t>
      </w:r>
      <w:r w:rsidR="00EE6CD6">
        <w:rPr>
          <w:sz w:val="20"/>
          <w:szCs w:val="20"/>
        </w:rPr>
        <w:t xml:space="preserve">a </w:t>
      </w:r>
      <w:r w:rsidR="00EE6CD6" w:rsidRPr="00EE6CD6">
        <w:rPr>
          <w:sz w:val="20"/>
          <w:szCs w:val="20"/>
        </w:rPr>
        <w:t>fibrin sealant patch</w:t>
      </w:r>
      <w:r w:rsidR="00EE6CD6" w:rsidRPr="00EA46BC">
        <w:rPr>
          <w:sz w:val="20"/>
          <w:szCs w:val="20"/>
        </w:rPr>
        <w:t xml:space="preserve"> </w:t>
      </w:r>
      <w:r w:rsidR="00EE6CD6">
        <w:rPr>
          <w:sz w:val="20"/>
          <w:szCs w:val="20"/>
        </w:rPr>
        <w:t>was applied</w:t>
      </w:r>
      <w:r w:rsidR="00EA46BC" w:rsidRPr="00EA46BC">
        <w:rPr>
          <w:sz w:val="20"/>
          <w:szCs w:val="20"/>
        </w:rPr>
        <w:t xml:space="preserve">. </w:t>
      </w:r>
      <w:r w:rsidR="00EE6CD6" w:rsidRPr="00477BC0">
        <w:rPr>
          <w:sz w:val="20"/>
          <w:szCs w:val="20"/>
        </w:rPr>
        <w:t>MCS testing</w:t>
      </w:r>
      <w:r w:rsidR="00EE6CD6" w:rsidRPr="00EA46BC">
        <w:rPr>
          <w:sz w:val="20"/>
          <w:szCs w:val="20"/>
        </w:rPr>
        <w:t xml:space="preserve"> </w:t>
      </w:r>
      <w:r w:rsidR="00EA46BC" w:rsidRPr="00EA46BC">
        <w:rPr>
          <w:sz w:val="20"/>
          <w:szCs w:val="20"/>
        </w:rPr>
        <w:t>on the haematoma confirmed no microbial growth.</w:t>
      </w:r>
    </w:p>
    <w:bookmarkEnd w:id="9"/>
    <w:p w14:paraId="57C64C16" w14:textId="77777777" w:rsidR="00EE6CD6" w:rsidRDefault="00EE6CD6" w:rsidP="00EA46BC">
      <w:pPr>
        <w:rPr>
          <w:sz w:val="20"/>
          <w:szCs w:val="20"/>
        </w:rPr>
      </w:pPr>
    </w:p>
    <w:p w14:paraId="5E232DEA" w14:textId="77777777" w:rsidR="00EE6CD6" w:rsidRPr="00477BC0" w:rsidRDefault="00EE6CD6" w:rsidP="00EA46BC">
      <w:pPr>
        <w:rPr>
          <w:sz w:val="20"/>
          <w:szCs w:val="20"/>
        </w:rPr>
      </w:pPr>
    </w:p>
    <w:p w14:paraId="7DE86DCC" w14:textId="39BA9F0D" w:rsidR="006537E9" w:rsidRDefault="006537E9" w:rsidP="006537E9">
      <w:pPr>
        <w:rPr>
          <w:b/>
          <w:bCs/>
          <w:sz w:val="18"/>
          <w:szCs w:val="18"/>
        </w:rPr>
      </w:pPr>
      <w:r w:rsidRPr="00477BC0">
        <w:rPr>
          <w:noProof/>
        </w:rPr>
        <w:drawing>
          <wp:inline distT="0" distB="0" distL="0" distR="0" wp14:anchorId="04F545DE" wp14:editId="63F02F54">
            <wp:extent cx="5731510" cy="2837815"/>
            <wp:effectExtent l="0" t="0" r="2540" b="635"/>
            <wp:docPr id="7" name="Picture 7" descr="coronal-(A)-and-axial-(B)-abdominal-CT-angiography-images-showing-the-large-non-enhancing-retroperitoneal-hematoma-(91-x-66-x-77-mm),-extending-from-the-common-iliac-bifurcations-to-the-level-of-the-inferior-mesenteric-artery-at-L3.-The-collection-shows-no-contrast-enhanc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oronal-(A)-and-axial-(B)-abdominal-CT-angiography-images-showing-the-large-non-enhancing-retroperitoneal-hematoma-(91-x-66-x-77-mm),-extending-from-the-common-iliac-bifurcations-to-the-level-of-the-inferior-mesenteric-artery-at-L3.-The-collection-shows-no-contrast-enhanc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2837815"/>
                    </a:xfrm>
                    <a:prstGeom prst="rect">
                      <a:avLst/>
                    </a:prstGeom>
                    <a:noFill/>
                    <a:ln>
                      <a:noFill/>
                    </a:ln>
                  </pic:spPr>
                </pic:pic>
              </a:graphicData>
            </a:graphic>
          </wp:inline>
        </w:drawing>
      </w:r>
      <w:r w:rsidRPr="00477BC0">
        <w:rPr>
          <w:b/>
          <w:bCs/>
          <w:sz w:val="18"/>
          <w:szCs w:val="18"/>
        </w:rPr>
        <w:t xml:space="preserve">Figure </w:t>
      </w:r>
      <w:r w:rsidR="00EA46BC">
        <w:rPr>
          <w:b/>
          <w:bCs/>
          <w:sz w:val="18"/>
          <w:szCs w:val="18"/>
        </w:rPr>
        <w:t>8</w:t>
      </w:r>
      <w:r w:rsidRPr="00477BC0">
        <w:rPr>
          <w:b/>
          <w:bCs/>
          <w:sz w:val="18"/>
          <w:szCs w:val="18"/>
        </w:rPr>
        <w:t xml:space="preserve">: coronal (A) and axial (B) abdominal CT angiography images showing the large non-enhancing </w:t>
      </w:r>
      <w:r w:rsidRPr="00477BC0">
        <w:rPr>
          <w:b/>
          <w:bCs/>
          <w:sz w:val="18"/>
          <w:szCs w:val="18"/>
        </w:rPr>
        <w:lastRenderedPageBreak/>
        <w:t>retroperitoneal hematoma (91 x 66 x 77 mm), extending from the common iliac bifurcations to the level of the inferior mesenteric artery at L3. The collection shows no contrast enhancement.</w:t>
      </w:r>
    </w:p>
    <w:p w14:paraId="47747650" w14:textId="77777777" w:rsidR="00DE5902" w:rsidRPr="00477BC0" w:rsidRDefault="00DE5902" w:rsidP="006537E9">
      <w:pPr>
        <w:rPr>
          <w:sz w:val="20"/>
          <w:szCs w:val="20"/>
        </w:rPr>
      </w:pPr>
    </w:p>
    <w:p w14:paraId="1D2BF560" w14:textId="1D648B2F" w:rsidR="006537E9" w:rsidRPr="00477BC0" w:rsidRDefault="006537E9" w:rsidP="006537E9">
      <w:pPr>
        <w:rPr>
          <w:noProof/>
        </w:rPr>
      </w:pPr>
      <w:r w:rsidRPr="00477BC0">
        <w:rPr>
          <w:noProof/>
        </w:rPr>
        <w:drawing>
          <wp:inline distT="0" distB="0" distL="0" distR="0" wp14:anchorId="3D875A5C" wp14:editId="6DC2D6AB">
            <wp:extent cx="5731510" cy="2863215"/>
            <wp:effectExtent l="0" t="0" r="2540" b="0"/>
            <wp:docPr id="8" name="Picture 8" descr="coronal-(A)-and-axial-(B)-slices-from-the-portal-venous-phase-demonstrating-compression-of-the-infrarenal-inferior-vena-cava-(blue-circle)-with-presence-of-free-fluid-in-the-upper-abdomen-and-right-flank,-and-presacral-stran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ronal-(A)-and-axial-(B)-slices-from-the-portal-venous-phase-demonstrating-compression-of-the-infrarenal-inferior-vena-cava-(blue-circle)-with-presence-of-free-fluid-in-the-upper-abdomen-and-right-flank,-and-presacral-strandi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2863215"/>
                    </a:xfrm>
                    <a:prstGeom prst="rect">
                      <a:avLst/>
                    </a:prstGeom>
                    <a:noFill/>
                    <a:ln>
                      <a:noFill/>
                    </a:ln>
                  </pic:spPr>
                </pic:pic>
              </a:graphicData>
            </a:graphic>
          </wp:inline>
        </w:drawing>
      </w:r>
      <w:r w:rsidRPr="00477BC0">
        <w:rPr>
          <w:b/>
          <w:bCs/>
          <w:sz w:val="18"/>
          <w:szCs w:val="18"/>
        </w:rPr>
        <w:t xml:space="preserve">Figure </w:t>
      </w:r>
      <w:r w:rsidR="00EA46BC">
        <w:rPr>
          <w:b/>
          <w:bCs/>
          <w:sz w:val="18"/>
          <w:szCs w:val="18"/>
        </w:rPr>
        <w:t>9</w:t>
      </w:r>
      <w:r w:rsidRPr="00477BC0">
        <w:rPr>
          <w:b/>
          <w:bCs/>
          <w:sz w:val="18"/>
          <w:szCs w:val="18"/>
        </w:rPr>
        <w:t>: coronal (A) and axial (B) slices from the portal venous phase demonstrating compression of the infrarenal inferior vena cava (blue circle) with presence of free fluid in the upper abdomen and right flank, and presacral stranding.</w:t>
      </w:r>
    </w:p>
    <w:p w14:paraId="1C82F179" w14:textId="77777777" w:rsidR="00F75C30" w:rsidRPr="00477BC0" w:rsidRDefault="00F75C30" w:rsidP="006537E9">
      <w:pPr>
        <w:rPr>
          <w:sz w:val="20"/>
          <w:szCs w:val="20"/>
        </w:rPr>
      </w:pPr>
    </w:p>
    <w:p w14:paraId="5A155C72" w14:textId="77777777" w:rsidR="00F75C30" w:rsidRPr="00477BC0" w:rsidRDefault="00F75C30" w:rsidP="006537E9">
      <w:pPr>
        <w:rPr>
          <w:sz w:val="20"/>
          <w:szCs w:val="20"/>
        </w:rPr>
      </w:pPr>
    </w:p>
    <w:p w14:paraId="0823120D" w14:textId="07D6F516" w:rsidR="00F75C30" w:rsidRDefault="006537E9" w:rsidP="00DE5902">
      <w:pPr>
        <w:rPr>
          <w:b/>
          <w:bCs/>
          <w:sz w:val="18"/>
          <w:szCs w:val="18"/>
        </w:rPr>
      </w:pPr>
      <w:r w:rsidRPr="00477BC0">
        <w:rPr>
          <w:noProof/>
        </w:rPr>
        <w:drawing>
          <wp:inline distT="0" distB="0" distL="0" distR="0" wp14:anchorId="1D21E981" wp14:editId="276FE2F9">
            <wp:extent cx="2553419" cy="3205211"/>
            <wp:effectExtent l="0" t="0" r="0" b="0"/>
            <wp:docPr id="9" name="Picture 9" descr="photograph-of-the-evacuated-100-mL-clotted-haematoma,-successfully-removed-from-the-retroperitone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hotograph-of-the-evacuated-100-mL-clotted-haematoma,-successfully-removed-from-the-retroperitoneu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57381" cy="3210185"/>
                    </a:xfrm>
                    <a:prstGeom prst="rect">
                      <a:avLst/>
                    </a:prstGeom>
                    <a:noFill/>
                    <a:ln>
                      <a:noFill/>
                    </a:ln>
                  </pic:spPr>
                </pic:pic>
              </a:graphicData>
            </a:graphic>
          </wp:inline>
        </w:drawing>
      </w:r>
      <w:r w:rsidR="00F75C30" w:rsidRPr="00477BC0">
        <w:rPr>
          <w:noProof/>
        </w:rPr>
        <w:br/>
      </w:r>
      <w:r w:rsidRPr="00477BC0">
        <w:rPr>
          <w:b/>
          <w:bCs/>
          <w:sz w:val="18"/>
          <w:szCs w:val="18"/>
        </w:rPr>
        <w:t xml:space="preserve">Figure </w:t>
      </w:r>
      <w:r w:rsidR="00EA46BC">
        <w:rPr>
          <w:b/>
          <w:bCs/>
          <w:sz w:val="18"/>
          <w:szCs w:val="18"/>
        </w:rPr>
        <w:t>10</w:t>
      </w:r>
      <w:r w:rsidRPr="00477BC0">
        <w:rPr>
          <w:b/>
          <w:bCs/>
          <w:sz w:val="18"/>
          <w:szCs w:val="18"/>
        </w:rPr>
        <w:t xml:space="preserve">: </w:t>
      </w:r>
      <w:r w:rsidR="00EE6CD6">
        <w:rPr>
          <w:b/>
          <w:bCs/>
          <w:sz w:val="18"/>
          <w:szCs w:val="18"/>
        </w:rPr>
        <w:t>image</w:t>
      </w:r>
      <w:r w:rsidRPr="00477BC0">
        <w:rPr>
          <w:b/>
          <w:bCs/>
          <w:sz w:val="18"/>
          <w:szCs w:val="18"/>
        </w:rPr>
        <w:t xml:space="preserve"> of the 100 mL </w:t>
      </w:r>
      <w:r w:rsidR="00EE6CD6">
        <w:rPr>
          <w:b/>
          <w:bCs/>
          <w:sz w:val="18"/>
          <w:szCs w:val="18"/>
        </w:rPr>
        <w:t>evacuated</w:t>
      </w:r>
      <w:r w:rsidRPr="00477BC0">
        <w:rPr>
          <w:b/>
          <w:bCs/>
          <w:sz w:val="18"/>
          <w:szCs w:val="18"/>
        </w:rPr>
        <w:t xml:space="preserve"> haematoma</w:t>
      </w:r>
      <w:r w:rsidR="00EE6CD6">
        <w:rPr>
          <w:b/>
          <w:bCs/>
          <w:sz w:val="18"/>
          <w:szCs w:val="18"/>
        </w:rPr>
        <w:t xml:space="preserve"> </w:t>
      </w:r>
      <w:r w:rsidRPr="00477BC0">
        <w:rPr>
          <w:b/>
          <w:bCs/>
          <w:sz w:val="18"/>
          <w:szCs w:val="18"/>
        </w:rPr>
        <w:t>from the retroperitoneum.</w:t>
      </w:r>
    </w:p>
    <w:p w14:paraId="5C84EFE8" w14:textId="77777777" w:rsidR="00DE5902" w:rsidRPr="00DE5902" w:rsidRDefault="00DE5902" w:rsidP="00DE5902">
      <w:pPr>
        <w:rPr>
          <w:b/>
          <w:bCs/>
          <w:sz w:val="18"/>
          <w:szCs w:val="18"/>
        </w:rPr>
      </w:pPr>
    </w:p>
    <w:p w14:paraId="01B87786" w14:textId="59EBA491" w:rsidR="008E2E65" w:rsidRPr="00DE5902" w:rsidRDefault="00477BC0" w:rsidP="00DE5902">
      <w:pPr>
        <w:pStyle w:val="Heading2"/>
        <w:rPr>
          <w:rFonts w:ascii="Times New Roman" w:hAnsi="Times New Roman" w:cs="Times New Roman"/>
          <w:b/>
          <w:bCs/>
          <w:color w:val="000000" w:themeColor="text1"/>
          <w:sz w:val="24"/>
          <w:szCs w:val="24"/>
        </w:rPr>
      </w:pPr>
      <w:bookmarkStart w:id="10" w:name="_Hlk143090029"/>
      <w:r w:rsidRPr="00477BC0">
        <w:rPr>
          <w:rFonts w:ascii="Times New Roman" w:hAnsi="Times New Roman" w:cs="Times New Roman"/>
          <w:b/>
          <w:bCs/>
          <w:color w:val="000000" w:themeColor="text1"/>
          <w:sz w:val="24"/>
          <w:szCs w:val="24"/>
        </w:rPr>
        <w:t>OUTCOME AND FOLLOW-UP</w:t>
      </w:r>
    </w:p>
    <w:p w14:paraId="2502F6BA" w14:textId="1DF66635" w:rsidR="008E2E65" w:rsidRDefault="008E2E65" w:rsidP="00DE5902">
      <w:pPr>
        <w:jc w:val="both"/>
        <w:rPr>
          <w:sz w:val="20"/>
          <w:szCs w:val="20"/>
        </w:rPr>
      </w:pPr>
      <w:r w:rsidRPr="008E2E65">
        <w:rPr>
          <w:sz w:val="20"/>
          <w:szCs w:val="20"/>
        </w:rPr>
        <w:t xml:space="preserve">Post the second surgery, the patient's symptoms markedly improved. By day two, he was on a full diet without </w:t>
      </w:r>
      <w:r w:rsidRPr="00477BC0">
        <w:rPr>
          <w:sz w:val="20"/>
          <w:szCs w:val="20"/>
        </w:rPr>
        <w:t xml:space="preserve">further incidences </w:t>
      </w:r>
      <w:r w:rsidRPr="008E2E65">
        <w:rPr>
          <w:sz w:val="20"/>
          <w:szCs w:val="20"/>
        </w:rPr>
        <w:t xml:space="preserve">of nausea or vomiting, and by the third day, regular bowel functions resumed. </w:t>
      </w:r>
      <w:r>
        <w:rPr>
          <w:sz w:val="20"/>
          <w:szCs w:val="20"/>
        </w:rPr>
        <w:t>The patient’s</w:t>
      </w:r>
      <w:r w:rsidRPr="008E2E65">
        <w:rPr>
          <w:sz w:val="20"/>
          <w:szCs w:val="20"/>
        </w:rPr>
        <w:t xml:space="preserve"> recovery </w:t>
      </w:r>
      <w:r w:rsidRPr="00477BC0">
        <w:rPr>
          <w:sz w:val="20"/>
          <w:szCs w:val="20"/>
        </w:rPr>
        <w:t xml:space="preserve">trajectory </w:t>
      </w:r>
      <w:r w:rsidRPr="008E2E65">
        <w:rPr>
          <w:sz w:val="20"/>
          <w:szCs w:val="20"/>
        </w:rPr>
        <w:t xml:space="preserve">was </w:t>
      </w:r>
      <w:r w:rsidRPr="00477BC0">
        <w:rPr>
          <w:sz w:val="20"/>
          <w:szCs w:val="20"/>
        </w:rPr>
        <w:t>deemed optimal</w:t>
      </w:r>
      <w:r w:rsidRPr="008E2E65">
        <w:rPr>
          <w:sz w:val="20"/>
          <w:szCs w:val="20"/>
        </w:rPr>
        <w:t>, evidenced by</w:t>
      </w:r>
      <w:r>
        <w:rPr>
          <w:sz w:val="20"/>
          <w:szCs w:val="20"/>
        </w:rPr>
        <w:t xml:space="preserve"> his</w:t>
      </w:r>
      <w:r w:rsidRPr="008E2E65">
        <w:rPr>
          <w:sz w:val="20"/>
          <w:szCs w:val="20"/>
        </w:rPr>
        <w:t xml:space="preserve"> independent mobility</w:t>
      </w:r>
      <w:r>
        <w:rPr>
          <w:sz w:val="20"/>
          <w:szCs w:val="20"/>
        </w:rPr>
        <w:t xml:space="preserve">, </w:t>
      </w:r>
      <w:r w:rsidRPr="008E2E65">
        <w:rPr>
          <w:sz w:val="20"/>
          <w:szCs w:val="20"/>
        </w:rPr>
        <w:t xml:space="preserve">the cessation of antibiotics by </w:t>
      </w:r>
      <w:r>
        <w:rPr>
          <w:sz w:val="20"/>
          <w:szCs w:val="20"/>
        </w:rPr>
        <w:t xml:space="preserve">the </w:t>
      </w:r>
      <w:r w:rsidRPr="00477BC0">
        <w:rPr>
          <w:sz w:val="20"/>
          <w:szCs w:val="20"/>
        </w:rPr>
        <w:t xml:space="preserve">fourth </w:t>
      </w:r>
      <w:r w:rsidRPr="008E2E65">
        <w:rPr>
          <w:sz w:val="20"/>
          <w:szCs w:val="20"/>
        </w:rPr>
        <w:t>day</w:t>
      </w:r>
      <w:r>
        <w:rPr>
          <w:sz w:val="20"/>
          <w:szCs w:val="20"/>
        </w:rPr>
        <w:t>, and the s</w:t>
      </w:r>
      <w:r w:rsidRPr="00477BC0">
        <w:rPr>
          <w:sz w:val="20"/>
          <w:szCs w:val="20"/>
        </w:rPr>
        <w:t xml:space="preserve">ignificant </w:t>
      </w:r>
      <w:r>
        <w:rPr>
          <w:sz w:val="20"/>
          <w:szCs w:val="20"/>
        </w:rPr>
        <w:t>improvement</w:t>
      </w:r>
      <w:r w:rsidRPr="00477BC0">
        <w:rPr>
          <w:sz w:val="20"/>
          <w:szCs w:val="20"/>
        </w:rPr>
        <w:t xml:space="preserve"> </w:t>
      </w:r>
      <w:r>
        <w:rPr>
          <w:sz w:val="20"/>
          <w:szCs w:val="20"/>
        </w:rPr>
        <w:t>in serum biomarkers</w:t>
      </w:r>
      <w:r w:rsidRPr="008E2E65">
        <w:rPr>
          <w:sz w:val="20"/>
          <w:szCs w:val="20"/>
        </w:rPr>
        <w:t xml:space="preserve"> (</w:t>
      </w:r>
      <w:r w:rsidRPr="00DE5902">
        <w:rPr>
          <w:b/>
          <w:bCs/>
          <w:sz w:val="20"/>
          <w:szCs w:val="20"/>
        </w:rPr>
        <w:t>Table 3</w:t>
      </w:r>
      <w:r w:rsidRPr="008E2E65">
        <w:rPr>
          <w:sz w:val="20"/>
          <w:szCs w:val="20"/>
        </w:rPr>
        <w:t>). He was discharged five days after the second surgery, totalling eleven days post initial laparotomy.</w:t>
      </w:r>
    </w:p>
    <w:bookmarkEnd w:id="10"/>
    <w:p w14:paraId="4A4F6B59" w14:textId="77777777" w:rsidR="008E2E65" w:rsidRDefault="008E2E65" w:rsidP="006537E9">
      <w:pPr>
        <w:rPr>
          <w:sz w:val="20"/>
          <w:szCs w:val="20"/>
        </w:rPr>
      </w:pPr>
    </w:p>
    <w:p w14:paraId="242DF263" w14:textId="77777777" w:rsidR="008E2E65" w:rsidRPr="00477BC0" w:rsidRDefault="008E2E65" w:rsidP="006537E9">
      <w:pPr>
        <w:rPr>
          <w:sz w:val="20"/>
          <w:szCs w:val="20"/>
        </w:rPr>
      </w:pPr>
    </w:p>
    <w:tbl>
      <w:tblPr>
        <w:tblStyle w:val="PlainTable1"/>
        <w:tblW w:w="0" w:type="auto"/>
        <w:tblLook w:val="04A0" w:firstRow="1" w:lastRow="0" w:firstColumn="1" w:lastColumn="0" w:noHBand="0" w:noVBand="1"/>
      </w:tblPr>
      <w:tblGrid>
        <w:gridCol w:w="1592"/>
        <w:gridCol w:w="993"/>
        <w:gridCol w:w="992"/>
        <w:gridCol w:w="992"/>
        <w:gridCol w:w="1134"/>
        <w:gridCol w:w="1134"/>
        <w:gridCol w:w="1963"/>
      </w:tblGrid>
      <w:tr w:rsidR="006C2B5B" w:rsidRPr="00477BC0" w14:paraId="2291BE1B" w14:textId="77777777" w:rsidTr="006C2B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hideMark/>
          </w:tcPr>
          <w:p w14:paraId="38C1FE4C" w14:textId="77777777" w:rsidR="006C2B5B" w:rsidRPr="00477BC0" w:rsidRDefault="006C2B5B" w:rsidP="000954B0">
            <w:pPr>
              <w:rPr>
                <w:b w:val="0"/>
                <w:bCs w:val="0"/>
                <w:color w:val="222222"/>
                <w:sz w:val="18"/>
                <w:szCs w:val="18"/>
                <w:lang w:eastAsia="en-AU"/>
              </w:rPr>
            </w:pPr>
            <w:r w:rsidRPr="00477BC0">
              <w:rPr>
                <w:color w:val="222222"/>
                <w:sz w:val="18"/>
                <w:szCs w:val="18"/>
                <w:lang w:eastAsia="en-AU"/>
              </w:rPr>
              <w:t>Parameter</w:t>
            </w:r>
          </w:p>
        </w:tc>
        <w:tc>
          <w:tcPr>
            <w:tcW w:w="993" w:type="dxa"/>
            <w:hideMark/>
          </w:tcPr>
          <w:p w14:paraId="05457B83" w14:textId="77777777" w:rsidR="006C2B5B" w:rsidRPr="00477BC0" w:rsidRDefault="006C2B5B" w:rsidP="000954B0">
            <w:pPr>
              <w:cnfStyle w:val="100000000000" w:firstRow="1" w:lastRow="0" w:firstColumn="0" w:lastColumn="0" w:oddVBand="0" w:evenVBand="0" w:oddHBand="0" w:evenHBand="0" w:firstRowFirstColumn="0" w:firstRowLastColumn="0" w:lastRowFirstColumn="0" w:lastRowLastColumn="0"/>
              <w:rPr>
                <w:b w:val="0"/>
                <w:bCs w:val="0"/>
                <w:color w:val="222222"/>
                <w:sz w:val="18"/>
                <w:szCs w:val="18"/>
                <w:lang w:eastAsia="en-AU"/>
              </w:rPr>
            </w:pPr>
            <w:r w:rsidRPr="00477BC0">
              <w:rPr>
                <w:color w:val="222222"/>
                <w:sz w:val="18"/>
                <w:szCs w:val="18"/>
                <w:lang w:eastAsia="en-AU"/>
              </w:rPr>
              <w:t>Day 1</w:t>
            </w:r>
          </w:p>
        </w:tc>
        <w:tc>
          <w:tcPr>
            <w:tcW w:w="992" w:type="dxa"/>
            <w:hideMark/>
          </w:tcPr>
          <w:p w14:paraId="559FF228" w14:textId="77777777" w:rsidR="006C2B5B" w:rsidRPr="00477BC0" w:rsidRDefault="006C2B5B" w:rsidP="000954B0">
            <w:pPr>
              <w:cnfStyle w:val="100000000000" w:firstRow="1" w:lastRow="0" w:firstColumn="0" w:lastColumn="0" w:oddVBand="0" w:evenVBand="0" w:oddHBand="0" w:evenHBand="0" w:firstRowFirstColumn="0" w:firstRowLastColumn="0" w:lastRowFirstColumn="0" w:lastRowLastColumn="0"/>
              <w:rPr>
                <w:b w:val="0"/>
                <w:bCs w:val="0"/>
                <w:color w:val="222222"/>
                <w:sz w:val="18"/>
                <w:szCs w:val="18"/>
                <w:lang w:eastAsia="en-AU"/>
              </w:rPr>
            </w:pPr>
            <w:r w:rsidRPr="00477BC0">
              <w:rPr>
                <w:color w:val="222222"/>
                <w:sz w:val="18"/>
                <w:szCs w:val="18"/>
                <w:lang w:eastAsia="en-AU"/>
              </w:rPr>
              <w:t>Day 2</w:t>
            </w:r>
          </w:p>
        </w:tc>
        <w:tc>
          <w:tcPr>
            <w:tcW w:w="992" w:type="dxa"/>
            <w:hideMark/>
          </w:tcPr>
          <w:p w14:paraId="7419D0C1" w14:textId="77777777" w:rsidR="006C2B5B" w:rsidRPr="00477BC0" w:rsidRDefault="006C2B5B" w:rsidP="000954B0">
            <w:pPr>
              <w:cnfStyle w:val="100000000000" w:firstRow="1" w:lastRow="0" w:firstColumn="0" w:lastColumn="0" w:oddVBand="0" w:evenVBand="0" w:oddHBand="0" w:evenHBand="0" w:firstRowFirstColumn="0" w:firstRowLastColumn="0" w:lastRowFirstColumn="0" w:lastRowLastColumn="0"/>
              <w:rPr>
                <w:b w:val="0"/>
                <w:bCs w:val="0"/>
                <w:color w:val="222222"/>
                <w:sz w:val="18"/>
                <w:szCs w:val="18"/>
                <w:lang w:eastAsia="en-AU"/>
              </w:rPr>
            </w:pPr>
            <w:r w:rsidRPr="00477BC0">
              <w:rPr>
                <w:color w:val="222222"/>
                <w:sz w:val="18"/>
                <w:szCs w:val="18"/>
                <w:lang w:eastAsia="en-AU"/>
              </w:rPr>
              <w:t>Day 3</w:t>
            </w:r>
          </w:p>
        </w:tc>
        <w:tc>
          <w:tcPr>
            <w:tcW w:w="1134" w:type="dxa"/>
            <w:hideMark/>
          </w:tcPr>
          <w:p w14:paraId="1D6A6F5B" w14:textId="77777777" w:rsidR="006C2B5B" w:rsidRPr="00477BC0" w:rsidRDefault="006C2B5B" w:rsidP="000954B0">
            <w:pPr>
              <w:cnfStyle w:val="100000000000" w:firstRow="1" w:lastRow="0" w:firstColumn="0" w:lastColumn="0" w:oddVBand="0" w:evenVBand="0" w:oddHBand="0" w:evenHBand="0" w:firstRowFirstColumn="0" w:firstRowLastColumn="0" w:lastRowFirstColumn="0" w:lastRowLastColumn="0"/>
              <w:rPr>
                <w:b w:val="0"/>
                <w:bCs w:val="0"/>
                <w:color w:val="222222"/>
                <w:sz w:val="18"/>
                <w:szCs w:val="18"/>
                <w:lang w:eastAsia="en-AU"/>
              </w:rPr>
            </w:pPr>
            <w:r w:rsidRPr="00477BC0">
              <w:rPr>
                <w:color w:val="222222"/>
                <w:sz w:val="18"/>
                <w:szCs w:val="18"/>
                <w:lang w:eastAsia="en-AU"/>
              </w:rPr>
              <w:t>Day 4</w:t>
            </w:r>
          </w:p>
        </w:tc>
        <w:tc>
          <w:tcPr>
            <w:tcW w:w="1134" w:type="dxa"/>
            <w:hideMark/>
          </w:tcPr>
          <w:p w14:paraId="173EB779" w14:textId="77777777" w:rsidR="006C2B5B" w:rsidRPr="00477BC0" w:rsidRDefault="006C2B5B" w:rsidP="000954B0">
            <w:pPr>
              <w:cnfStyle w:val="100000000000" w:firstRow="1" w:lastRow="0" w:firstColumn="0" w:lastColumn="0" w:oddVBand="0" w:evenVBand="0" w:oddHBand="0" w:evenHBand="0" w:firstRowFirstColumn="0" w:firstRowLastColumn="0" w:lastRowFirstColumn="0" w:lastRowLastColumn="0"/>
              <w:rPr>
                <w:b w:val="0"/>
                <w:bCs w:val="0"/>
                <w:color w:val="222222"/>
                <w:sz w:val="18"/>
                <w:szCs w:val="18"/>
                <w:lang w:eastAsia="en-AU"/>
              </w:rPr>
            </w:pPr>
            <w:r w:rsidRPr="00477BC0">
              <w:rPr>
                <w:color w:val="222222"/>
                <w:sz w:val="18"/>
                <w:szCs w:val="18"/>
                <w:lang w:eastAsia="en-AU"/>
              </w:rPr>
              <w:t>Day 5</w:t>
            </w:r>
          </w:p>
        </w:tc>
        <w:tc>
          <w:tcPr>
            <w:tcW w:w="1963" w:type="dxa"/>
            <w:hideMark/>
          </w:tcPr>
          <w:p w14:paraId="5C116663" w14:textId="77777777" w:rsidR="006C2B5B" w:rsidRPr="00477BC0" w:rsidRDefault="006C2B5B" w:rsidP="000954B0">
            <w:pPr>
              <w:cnfStyle w:val="100000000000" w:firstRow="1" w:lastRow="0" w:firstColumn="0" w:lastColumn="0" w:oddVBand="0" w:evenVBand="0" w:oddHBand="0" w:evenHBand="0" w:firstRowFirstColumn="0" w:firstRowLastColumn="0" w:lastRowFirstColumn="0" w:lastRowLastColumn="0"/>
              <w:rPr>
                <w:b w:val="0"/>
                <w:bCs w:val="0"/>
                <w:color w:val="222222"/>
                <w:sz w:val="18"/>
                <w:szCs w:val="18"/>
                <w:lang w:eastAsia="en-AU"/>
              </w:rPr>
            </w:pPr>
            <w:r w:rsidRPr="00477BC0">
              <w:rPr>
                <w:color w:val="222222"/>
                <w:sz w:val="18"/>
                <w:szCs w:val="18"/>
                <w:lang w:eastAsia="en-AU"/>
              </w:rPr>
              <w:t>Reference Range</w:t>
            </w:r>
          </w:p>
        </w:tc>
      </w:tr>
      <w:tr w:rsidR="006C2B5B" w:rsidRPr="00477BC0" w14:paraId="73EA8A2B" w14:textId="77777777" w:rsidTr="006C2B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hideMark/>
          </w:tcPr>
          <w:p w14:paraId="4C36D8FD" w14:textId="77777777" w:rsidR="006C2B5B" w:rsidRPr="006C2B5B" w:rsidRDefault="006C2B5B" w:rsidP="000954B0">
            <w:pPr>
              <w:rPr>
                <w:b w:val="0"/>
                <w:bCs w:val="0"/>
                <w:color w:val="222222"/>
                <w:sz w:val="18"/>
                <w:szCs w:val="18"/>
                <w:lang w:eastAsia="en-AU"/>
              </w:rPr>
            </w:pPr>
            <w:r w:rsidRPr="006C2B5B">
              <w:rPr>
                <w:b w:val="0"/>
                <w:bCs w:val="0"/>
                <w:color w:val="222222"/>
                <w:sz w:val="18"/>
                <w:szCs w:val="18"/>
                <w:lang w:eastAsia="en-AU"/>
              </w:rPr>
              <w:lastRenderedPageBreak/>
              <w:t>Haemoglobin</w:t>
            </w:r>
          </w:p>
        </w:tc>
        <w:tc>
          <w:tcPr>
            <w:tcW w:w="993" w:type="dxa"/>
            <w:hideMark/>
          </w:tcPr>
          <w:p w14:paraId="6F2F512D"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99 ↓</w:t>
            </w:r>
          </w:p>
        </w:tc>
        <w:tc>
          <w:tcPr>
            <w:tcW w:w="992" w:type="dxa"/>
            <w:hideMark/>
          </w:tcPr>
          <w:p w14:paraId="054A2170"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98 ↓</w:t>
            </w:r>
          </w:p>
        </w:tc>
        <w:tc>
          <w:tcPr>
            <w:tcW w:w="992" w:type="dxa"/>
            <w:hideMark/>
          </w:tcPr>
          <w:p w14:paraId="07F1835B"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105 ↓</w:t>
            </w:r>
          </w:p>
        </w:tc>
        <w:tc>
          <w:tcPr>
            <w:tcW w:w="1134" w:type="dxa"/>
            <w:hideMark/>
          </w:tcPr>
          <w:p w14:paraId="57490057"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103 ↓</w:t>
            </w:r>
          </w:p>
        </w:tc>
        <w:tc>
          <w:tcPr>
            <w:tcW w:w="1134" w:type="dxa"/>
            <w:hideMark/>
          </w:tcPr>
          <w:p w14:paraId="269EF1FC"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115 ↓</w:t>
            </w:r>
          </w:p>
        </w:tc>
        <w:tc>
          <w:tcPr>
            <w:tcW w:w="1963" w:type="dxa"/>
            <w:hideMark/>
          </w:tcPr>
          <w:p w14:paraId="3AB604FF"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135 - 189 g/L</w:t>
            </w:r>
          </w:p>
        </w:tc>
      </w:tr>
      <w:tr w:rsidR="006C2B5B" w:rsidRPr="00477BC0" w14:paraId="444D3DC9" w14:textId="77777777" w:rsidTr="006C2B5B">
        <w:tc>
          <w:tcPr>
            <w:cnfStyle w:val="001000000000" w:firstRow="0" w:lastRow="0" w:firstColumn="1" w:lastColumn="0" w:oddVBand="0" w:evenVBand="0" w:oddHBand="0" w:evenHBand="0" w:firstRowFirstColumn="0" w:firstRowLastColumn="0" w:lastRowFirstColumn="0" w:lastRowLastColumn="0"/>
            <w:tcW w:w="1592" w:type="dxa"/>
            <w:hideMark/>
          </w:tcPr>
          <w:p w14:paraId="07C3842B" w14:textId="77777777" w:rsidR="006C2B5B" w:rsidRPr="006C2B5B" w:rsidRDefault="006C2B5B" w:rsidP="000954B0">
            <w:pPr>
              <w:rPr>
                <w:b w:val="0"/>
                <w:bCs w:val="0"/>
                <w:color w:val="222222"/>
                <w:sz w:val="18"/>
                <w:szCs w:val="18"/>
                <w:lang w:eastAsia="en-AU"/>
              </w:rPr>
            </w:pPr>
            <w:r w:rsidRPr="006C2B5B">
              <w:rPr>
                <w:b w:val="0"/>
                <w:bCs w:val="0"/>
                <w:color w:val="222222"/>
                <w:sz w:val="18"/>
                <w:szCs w:val="18"/>
                <w:lang w:eastAsia="en-AU"/>
              </w:rPr>
              <w:t>Haematocrit</w:t>
            </w:r>
          </w:p>
        </w:tc>
        <w:tc>
          <w:tcPr>
            <w:tcW w:w="993" w:type="dxa"/>
            <w:hideMark/>
          </w:tcPr>
          <w:p w14:paraId="72B2125A"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0.29 ↓</w:t>
            </w:r>
          </w:p>
        </w:tc>
        <w:tc>
          <w:tcPr>
            <w:tcW w:w="992" w:type="dxa"/>
            <w:hideMark/>
          </w:tcPr>
          <w:p w14:paraId="3476F165"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0.29 ↓</w:t>
            </w:r>
          </w:p>
        </w:tc>
        <w:tc>
          <w:tcPr>
            <w:tcW w:w="992" w:type="dxa"/>
            <w:hideMark/>
          </w:tcPr>
          <w:p w14:paraId="52177C58"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0.30 ↓</w:t>
            </w:r>
          </w:p>
        </w:tc>
        <w:tc>
          <w:tcPr>
            <w:tcW w:w="1134" w:type="dxa"/>
            <w:hideMark/>
          </w:tcPr>
          <w:p w14:paraId="6A0A0ED6"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0.29 ↓</w:t>
            </w:r>
          </w:p>
        </w:tc>
        <w:tc>
          <w:tcPr>
            <w:tcW w:w="1134" w:type="dxa"/>
            <w:hideMark/>
          </w:tcPr>
          <w:p w14:paraId="1EE823E7"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0.33 ↓</w:t>
            </w:r>
          </w:p>
        </w:tc>
        <w:tc>
          <w:tcPr>
            <w:tcW w:w="1963" w:type="dxa"/>
            <w:hideMark/>
          </w:tcPr>
          <w:p w14:paraId="4AB60792"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0.40 - 0.53 L/L</w:t>
            </w:r>
          </w:p>
        </w:tc>
      </w:tr>
      <w:tr w:rsidR="006C2B5B" w:rsidRPr="00477BC0" w14:paraId="58A47CA2" w14:textId="77777777" w:rsidTr="006C2B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hideMark/>
          </w:tcPr>
          <w:p w14:paraId="62482860" w14:textId="77777777" w:rsidR="006C2B5B" w:rsidRPr="006C2B5B" w:rsidRDefault="006C2B5B" w:rsidP="000954B0">
            <w:pPr>
              <w:rPr>
                <w:b w:val="0"/>
                <w:bCs w:val="0"/>
                <w:color w:val="222222"/>
                <w:sz w:val="18"/>
                <w:szCs w:val="18"/>
                <w:lang w:eastAsia="en-AU"/>
              </w:rPr>
            </w:pPr>
            <w:r w:rsidRPr="006C2B5B">
              <w:rPr>
                <w:b w:val="0"/>
                <w:bCs w:val="0"/>
                <w:color w:val="222222"/>
                <w:sz w:val="18"/>
                <w:szCs w:val="18"/>
                <w:lang w:eastAsia="en-AU"/>
              </w:rPr>
              <w:t>WBC</w:t>
            </w:r>
          </w:p>
        </w:tc>
        <w:tc>
          <w:tcPr>
            <w:tcW w:w="993" w:type="dxa"/>
            <w:hideMark/>
          </w:tcPr>
          <w:p w14:paraId="0541DB59"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11.0</w:t>
            </w:r>
          </w:p>
        </w:tc>
        <w:tc>
          <w:tcPr>
            <w:tcW w:w="992" w:type="dxa"/>
            <w:hideMark/>
          </w:tcPr>
          <w:p w14:paraId="4A888B18"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9.6</w:t>
            </w:r>
          </w:p>
        </w:tc>
        <w:tc>
          <w:tcPr>
            <w:tcW w:w="992" w:type="dxa"/>
            <w:hideMark/>
          </w:tcPr>
          <w:p w14:paraId="734D0689"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10.7</w:t>
            </w:r>
          </w:p>
        </w:tc>
        <w:tc>
          <w:tcPr>
            <w:tcW w:w="1134" w:type="dxa"/>
            <w:hideMark/>
          </w:tcPr>
          <w:p w14:paraId="6D00A868"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10.2</w:t>
            </w:r>
          </w:p>
        </w:tc>
        <w:tc>
          <w:tcPr>
            <w:tcW w:w="1134" w:type="dxa"/>
            <w:hideMark/>
          </w:tcPr>
          <w:p w14:paraId="4D499A89"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11.8 ↑</w:t>
            </w:r>
          </w:p>
        </w:tc>
        <w:tc>
          <w:tcPr>
            <w:tcW w:w="1963" w:type="dxa"/>
            <w:hideMark/>
          </w:tcPr>
          <w:p w14:paraId="1BBA643F"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4.0 - 11.0 x 109/L</w:t>
            </w:r>
          </w:p>
        </w:tc>
      </w:tr>
      <w:tr w:rsidR="006C2B5B" w:rsidRPr="00477BC0" w14:paraId="7B0D1963" w14:textId="77777777" w:rsidTr="006C2B5B">
        <w:tc>
          <w:tcPr>
            <w:cnfStyle w:val="001000000000" w:firstRow="0" w:lastRow="0" w:firstColumn="1" w:lastColumn="0" w:oddVBand="0" w:evenVBand="0" w:oddHBand="0" w:evenHBand="0" w:firstRowFirstColumn="0" w:firstRowLastColumn="0" w:lastRowFirstColumn="0" w:lastRowLastColumn="0"/>
            <w:tcW w:w="1592" w:type="dxa"/>
            <w:hideMark/>
          </w:tcPr>
          <w:p w14:paraId="394E3216" w14:textId="77777777" w:rsidR="006C2B5B" w:rsidRPr="006C2B5B" w:rsidRDefault="006C2B5B" w:rsidP="000954B0">
            <w:pPr>
              <w:rPr>
                <w:b w:val="0"/>
                <w:bCs w:val="0"/>
                <w:color w:val="222222"/>
                <w:sz w:val="18"/>
                <w:szCs w:val="18"/>
                <w:lang w:eastAsia="en-AU"/>
              </w:rPr>
            </w:pPr>
            <w:r w:rsidRPr="006C2B5B">
              <w:rPr>
                <w:b w:val="0"/>
                <w:bCs w:val="0"/>
                <w:color w:val="222222"/>
                <w:sz w:val="18"/>
                <w:szCs w:val="18"/>
                <w:lang w:eastAsia="en-AU"/>
              </w:rPr>
              <w:t>Neutrophils</w:t>
            </w:r>
          </w:p>
        </w:tc>
        <w:tc>
          <w:tcPr>
            <w:tcW w:w="993" w:type="dxa"/>
            <w:hideMark/>
          </w:tcPr>
          <w:p w14:paraId="07E44AAA"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8.25 ↑</w:t>
            </w:r>
          </w:p>
        </w:tc>
        <w:tc>
          <w:tcPr>
            <w:tcW w:w="992" w:type="dxa"/>
            <w:hideMark/>
          </w:tcPr>
          <w:p w14:paraId="5C1118F9"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6.53</w:t>
            </w:r>
          </w:p>
        </w:tc>
        <w:tc>
          <w:tcPr>
            <w:tcW w:w="992" w:type="dxa"/>
            <w:hideMark/>
          </w:tcPr>
          <w:p w14:paraId="16F7F1A9"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7.92 ↑</w:t>
            </w:r>
          </w:p>
        </w:tc>
        <w:tc>
          <w:tcPr>
            <w:tcW w:w="1134" w:type="dxa"/>
            <w:hideMark/>
          </w:tcPr>
          <w:p w14:paraId="40FE94C5"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7.34</w:t>
            </w:r>
          </w:p>
        </w:tc>
        <w:tc>
          <w:tcPr>
            <w:tcW w:w="1134" w:type="dxa"/>
            <w:hideMark/>
          </w:tcPr>
          <w:p w14:paraId="019E2223"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8.26 ↑</w:t>
            </w:r>
          </w:p>
        </w:tc>
        <w:tc>
          <w:tcPr>
            <w:tcW w:w="1963" w:type="dxa"/>
            <w:hideMark/>
          </w:tcPr>
          <w:p w14:paraId="2A9040A7"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1.80 - 7.50 x 109/L</w:t>
            </w:r>
          </w:p>
        </w:tc>
      </w:tr>
      <w:tr w:rsidR="006C2B5B" w:rsidRPr="00477BC0" w14:paraId="69CE6F01" w14:textId="77777777" w:rsidTr="006C2B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hideMark/>
          </w:tcPr>
          <w:p w14:paraId="4093E4B0" w14:textId="77777777" w:rsidR="006C2B5B" w:rsidRPr="006C2B5B" w:rsidRDefault="006C2B5B" w:rsidP="000954B0">
            <w:pPr>
              <w:rPr>
                <w:b w:val="0"/>
                <w:bCs w:val="0"/>
                <w:color w:val="222222"/>
                <w:sz w:val="18"/>
                <w:szCs w:val="18"/>
                <w:lang w:eastAsia="en-AU"/>
              </w:rPr>
            </w:pPr>
            <w:r w:rsidRPr="006C2B5B">
              <w:rPr>
                <w:b w:val="0"/>
                <w:bCs w:val="0"/>
                <w:color w:val="222222"/>
                <w:sz w:val="18"/>
                <w:szCs w:val="18"/>
                <w:lang w:eastAsia="en-AU"/>
              </w:rPr>
              <w:t>CRP</w:t>
            </w:r>
          </w:p>
        </w:tc>
        <w:tc>
          <w:tcPr>
            <w:tcW w:w="993" w:type="dxa"/>
            <w:hideMark/>
          </w:tcPr>
          <w:p w14:paraId="04B8FD72"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263.7 ↑</w:t>
            </w:r>
          </w:p>
        </w:tc>
        <w:tc>
          <w:tcPr>
            <w:tcW w:w="992" w:type="dxa"/>
            <w:hideMark/>
          </w:tcPr>
          <w:p w14:paraId="47DFB928"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309.3 ↑</w:t>
            </w:r>
          </w:p>
        </w:tc>
        <w:tc>
          <w:tcPr>
            <w:tcW w:w="992" w:type="dxa"/>
            <w:hideMark/>
          </w:tcPr>
          <w:p w14:paraId="6CCF1CF4"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257.1 ↑</w:t>
            </w:r>
          </w:p>
        </w:tc>
        <w:tc>
          <w:tcPr>
            <w:tcW w:w="1134" w:type="dxa"/>
            <w:hideMark/>
          </w:tcPr>
          <w:p w14:paraId="6096AC48"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174.4 ↑</w:t>
            </w:r>
          </w:p>
        </w:tc>
        <w:tc>
          <w:tcPr>
            <w:tcW w:w="1134" w:type="dxa"/>
            <w:hideMark/>
          </w:tcPr>
          <w:p w14:paraId="0F5C38BA"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122.4 ↑</w:t>
            </w:r>
          </w:p>
        </w:tc>
        <w:tc>
          <w:tcPr>
            <w:tcW w:w="1963" w:type="dxa"/>
            <w:hideMark/>
          </w:tcPr>
          <w:p w14:paraId="5FF8E0A1"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&lt;6.0 mg/L</w:t>
            </w:r>
          </w:p>
        </w:tc>
      </w:tr>
      <w:tr w:rsidR="006C2B5B" w:rsidRPr="00477BC0" w14:paraId="6FD6ABBF" w14:textId="77777777" w:rsidTr="006C2B5B">
        <w:tc>
          <w:tcPr>
            <w:cnfStyle w:val="001000000000" w:firstRow="0" w:lastRow="0" w:firstColumn="1" w:lastColumn="0" w:oddVBand="0" w:evenVBand="0" w:oddHBand="0" w:evenHBand="0" w:firstRowFirstColumn="0" w:firstRowLastColumn="0" w:lastRowFirstColumn="0" w:lastRowLastColumn="0"/>
            <w:tcW w:w="1592" w:type="dxa"/>
            <w:hideMark/>
          </w:tcPr>
          <w:p w14:paraId="2F85767F" w14:textId="77777777" w:rsidR="006C2B5B" w:rsidRPr="006C2B5B" w:rsidRDefault="006C2B5B" w:rsidP="000954B0">
            <w:pPr>
              <w:rPr>
                <w:b w:val="0"/>
                <w:bCs w:val="0"/>
                <w:color w:val="222222"/>
                <w:sz w:val="18"/>
                <w:szCs w:val="18"/>
                <w:lang w:eastAsia="en-AU"/>
              </w:rPr>
            </w:pPr>
            <w:r w:rsidRPr="006C2B5B">
              <w:rPr>
                <w:b w:val="0"/>
                <w:bCs w:val="0"/>
                <w:color w:val="222222"/>
                <w:sz w:val="18"/>
                <w:szCs w:val="18"/>
                <w:lang w:eastAsia="en-AU"/>
              </w:rPr>
              <w:t>Urea</w:t>
            </w:r>
          </w:p>
        </w:tc>
        <w:tc>
          <w:tcPr>
            <w:tcW w:w="993" w:type="dxa"/>
            <w:hideMark/>
          </w:tcPr>
          <w:p w14:paraId="2E1FA6A7"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3.7</w:t>
            </w:r>
          </w:p>
        </w:tc>
        <w:tc>
          <w:tcPr>
            <w:tcW w:w="992" w:type="dxa"/>
            <w:hideMark/>
          </w:tcPr>
          <w:p w14:paraId="0F491735"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2.2 ↓</w:t>
            </w:r>
          </w:p>
        </w:tc>
        <w:tc>
          <w:tcPr>
            <w:tcW w:w="992" w:type="dxa"/>
            <w:hideMark/>
          </w:tcPr>
          <w:p w14:paraId="020C0B1F"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2.9 ↓</w:t>
            </w:r>
          </w:p>
        </w:tc>
        <w:tc>
          <w:tcPr>
            <w:tcW w:w="1134" w:type="dxa"/>
            <w:hideMark/>
          </w:tcPr>
          <w:p w14:paraId="231366F3"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2.1 ↓</w:t>
            </w:r>
          </w:p>
        </w:tc>
        <w:tc>
          <w:tcPr>
            <w:tcW w:w="1134" w:type="dxa"/>
            <w:hideMark/>
          </w:tcPr>
          <w:p w14:paraId="3A614515"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2.3 ↓</w:t>
            </w:r>
          </w:p>
        </w:tc>
        <w:tc>
          <w:tcPr>
            <w:tcW w:w="1963" w:type="dxa"/>
            <w:hideMark/>
          </w:tcPr>
          <w:p w14:paraId="40A40814"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3.4 - 9.0 mmol/L</w:t>
            </w:r>
          </w:p>
        </w:tc>
      </w:tr>
      <w:tr w:rsidR="006C2B5B" w:rsidRPr="00477BC0" w14:paraId="3A14EA2E" w14:textId="77777777" w:rsidTr="006C2B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hideMark/>
          </w:tcPr>
          <w:p w14:paraId="1987BF57" w14:textId="77777777" w:rsidR="006C2B5B" w:rsidRPr="006C2B5B" w:rsidRDefault="006C2B5B" w:rsidP="000954B0">
            <w:pPr>
              <w:rPr>
                <w:b w:val="0"/>
                <w:bCs w:val="0"/>
                <w:color w:val="222222"/>
                <w:sz w:val="18"/>
                <w:szCs w:val="18"/>
                <w:lang w:eastAsia="en-AU"/>
              </w:rPr>
            </w:pPr>
            <w:r w:rsidRPr="006C2B5B">
              <w:rPr>
                <w:b w:val="0"/>
                <w:bCs w:val="0"/>
                <w:color w:val="222222"/>
                <w:sz w:val="18"/>
                <w:szCs w:val="18"/>
                <w:lang w:eastAsia="en-AU"/>
              </w:rPr>
              <w:t>Creatinine</w:t>
            </w:r>
          </w:p>
        </w:tc>
        <w:tc>
          <w:tcPr>
            <w:tcW w:w="993" w:type="dxa"/>
            <w:hideMark/>
          </w:tcPr>
          <w:p w14:paraId="07C43750"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47 ↓</w:t>
            </w:r>
          </w:p>
        </w:tc>
        <w:tc>
          <w:tcPr>
            <w:tcW w:w="992" w:type="dxa"/>
            <w:hideMark/>
          </w:tcPr>
          <w:p w14:paraId="0D8AAF37"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52 ↓</w:t>
            </w:r>
          </w:p>
        </w:tc>
        <w:tc>
          <w:tcPr>
            <w:tcW w:w="992" w:type="dxa"/>
            <w:hideMark/>
          </w:tcPr>
          <w:p w14:paraId="1C707878"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53 ↓</w:t>
            </w:r>
          </w:p>
        </w:tc>
        <w:tc>
          <w:tcPr>
            <w:tcW w:w="1134" w:type="dxa"/>
            <w:hideMark/>
          </w:tcPr>
          <w:p w14:paraId="21CA62DF"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53 ↓</w:t>
            </w:r>
          </w:p>
        </w:tc>
        <w:tc>
          <w:tcPr>
            <w:tcW w:w="1134" w:type="dxa"/>
            <w:hideMark/>
          </w:tcPr>
          <w:p w14:paraId="6C3FBF3B"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59 ↓</w:t>
            </w:r>
          </w:p>
        </w:tc>
        <w:tc>
          <w:tcPr>
            <w:tcW w:w="1963" w:type="dxa"/>
            <w:hideMark/>
          </w:tcPr>
          <w:p w14:paraId="64981971"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60 - 110 umol/L</w:t>
            </w:r>
          </w:p>
        </w:tc>
      </w:tr>
      <w:tr w:rsidR="006C2B5B" w:rsidRPr="00477BC0" w14:paraId="6F7637DC" w14:textId="77777777" w:rsidTr="006C2B5B">
        <w:tc>
          <w:tcPr>
            <w:cnfStyle w:val="001000000000" w:firstRow="0" w:lastRow="0" w:firstColumn="1" w:lastColumn="0" w:oddVBand="0" w:evenVBand="0" w:oddHBand="0" w:evenHBand="0" w:firstRowFirstColumn="0" w:firstRowLastColumn="0" w:lastRowFirstColumn="0" w:lastRowLastColumn="0"/>
            <w:tcW w:w="1592" w:type="dxa"/>
            <w:hideMark/>
          </w:tcPr>
          <w:p w14:paraId="4F68B04A" w14:textId="77777777" w:rsidR="006C2B5B" w:rsidRPr="006C2B5B" w:rsidRDefault="006C2B5B" w:rsidP="000954B0">
            <w:pPr>
              <w:rPr>
                <w:b w:val="0"/>
                <w:bCs w:val="0"/>
                <w:color w:val="222222"/>
                <w:sz w:val="18"/>
                <w:szCs w:val="18"/>
                <w:lang w:eastAsia="en-AU"/>
              </w:rPr>
            </w:pPr>
            <w:r w:rsidRPr="006C2B5B">
              <w:rPr>
                <w:b w:val="0"/>
                <w:bCs w:val="0"/>
                <w:color w:val="222222"/>
                <w:sz w:val="18"/>
                <w:szCs w:val="18"/>
                <w:lang w:eastAsia="en-AU"/>
              </w:rPr>
              <w:t>eGFR</w:t>
            </w:r>
          </w:p>
        </w:tc>
        <w:tc>
          <w:tcPr>
            <w:tcW w:w="993" w:type="dxa"/>
            <w:hideMark/>
          </w:tcPr>
          <w:p w14:paraId="7E3FEEF4"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&gt;90</w:t>
            </w:r>
          </w:p>
        </w:tc>
        <w:tc>
          <w:tcPr>
            <w:tcW w:w="992" w:type="dxa"/>
            <w:hideMark/>
          </w:tcPr>
          <w:p w14:paraId="75BF124E"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&gt;90</w:t>
            </w:r>
          </w:p>
        </w:tc>
        <w:tc>
          <w:tcPr>
            <w:tcW w:w="992" w:type="dxa"/>
            <w:hideMark/>
          </w:tcPr>
          <w:p w14:paraId="3E2E2A5B"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&gt;90</w:t>
            </w:r>
          </w:p>
        </w:tc>
        <w:tc>
          <w:tcPr>
            <w:tcW w:w="1134" w:type="dxa"/>
            <w:hideMark/>
          </w:tcPr>
          <w:p w14:paraId="0C1BADD1"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&gt;90</w:t>
            </w:r>
          </w:p>
        </w:tc>
        <w:tc>
          <w:tcPr>
            <w:tcW w:w="1134" w:type="dxa"/>
            <w:hideMark/>
          </w:tcPr>
          <w:p w14:paraId="1CE7ECB7"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&gt;90</w:t>
            </w:r>
          </w:p>
        </w:tc>
        <w:tc>
          <w:tcPr>
            <w:tcW w:w="1963" w:type="dxa"/>
            <w:hideMark/>
          </w:tcPr>
          <w:p w14:paraId="0870EE64"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&gt;=90 mL/min/1.73 m²</w:t>
            </w:r>
          </w:p>
        </w:tc>
      </w:tr>
      <w:tr w:rsidR="006C2B5B" w:rsidRPr="00477BC0" w14:paraId="38685048" w14:textId="77777777" w:rsidTr="006C2B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hideMark/>
          </w:tcPr>
          <w:p w14:paraId="2549E258" w14:textId="77777777" w:rsidR="006C2B5B" w:rsidRPr="006C2B5B" w:rsidRDefault="006C2B5B" w:rsidP="000954B0">
            <w:pPr>
              <w:rPr>
                <w:b w:val="0"/>
                <w:bCs w:val="0"/>
                <w:color w:val="222222"/>
                <w:sz w:val="18"/>
                <w:szCs w:val="18"/>
                <w:lang w:eastAsia="en-AU"/>
              </w:rPr>
            </w:pPr>
            <w:r w:rsidRPr="006C2B5B">
              <w:rPr>
                <w:b w:val="0"/>
                <w:bCs w:val="0"/>
                <w:color w:val="222222"/>
                <w:sz w:val="18"/>
                <w:szCs w:val="18"/>
                <w:lang w:eastAsia="en-AU"/>
              </w:rPr>
              <w:t>Sodium</w:t>
            </w:r>
          </w:p>
        </w:tc>
        <w:tc>
          <w:tcPr>
            <w:tcW w:w="993" w:type="dxa"/>
            <w:hideMark/>
          </w:tcPr>
          <w:p w14:paraId="1E7D0158"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137</w:t>
            </w:r>
          </w:p>
        </w:tc>
        <w:tc>
          <w:tcPr>
            <w:tcW w:w="992" w:type="dxa"/>
            <w:hideMark/>
          </w:tcPr>
          <w:p w14:paraId="3CA9495D"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137</w:t>
            </w:r>
          </w:p>
        </w:tc>
        <w:tc>
          <w:tcPr>
            <w:tcW w:w="992" w:type="dxa"/>
            <w:hideMark/>
          </w:tcPr>
          <w:p w14:paraId="457037B2"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137</w:t>
            </w:r>
          </w:p>
        </w:tc>
        <w:tc>
          <w:tcPr>
            <w:tcW w:w="1134" w:type="dxa"/>
            <w:hideMark/>
          </w:tcPr>
          <w:p w14:paraId="7D15895E"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136</w:t>
            </w:r>
          </w:p>
        </w:tc>
        <w:tc>
          <w:tcPr>
            <w:tcW w:w="1134" w:type="dxa"/>
            <w:hideMark/>
          </w:tcPr>
          <w:p w14:paraId="3E43D5F5"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137</w:t>
            </w:r>
          </w:p>
        </w:tc>
        <w:tc>
          <w:tcPr>
            <w:tcW w:w="1963" w:type="dxa"/>
            <w:hideMark/>
          </w:tcPr>
          <w:p w14:paraId="4B73E6C1"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135 - 145 mmol/L</w:t>
            </w:r>
          </w:p>
        </w:tc>
      </w:tr>
      <w:tr w:rsidR="006C2B5B" w:rsidRPr="00477BC0" w14:paraId="0A769C5C" w14:textId="77777777" w:rsidTr="006C2B5B">
        <w:tc>
          <w:tcPr>
            <w:cnfStyle w:val="001000000000" w:firstRow="0" w:lastRow="0" w:firstColumn="1" w:lastColumn="0" w:oddVBand="0" w:evenVBand="0" w:oddHBand="0" w:evenHBand="0" w:firstRowFirstColumn="0" w:firstRowLastColumn="0" w:lastRowFirstColumn="0" w:lastRowLastColumn="0"/>
            <w:tcW w:w="1592" w:type="dxa"/>
            <w:hideMark/>
          </w:tcPr>
          <w:p w14:paraId="14DCAFA7" w14:textId="77777777" w:rsidR="006C2B5B" w:rsidRPr="006C2B5B" w:rsidRDefault="006C2B5B" w:rsidP="000954B0">
            <w:pPr>
              <w:rPr>
                <w:b w:val="0"/>
                <w:bCs w:val="0"/>
                <w:color w:val="222222"/>
                <w:sz w:val="18"/>
                <w:szCs w:val="18"/>
                <w:lang w:eastAsia="en-AU"/>
              </w:rPr>
            </w:pPr>
            <w:r w:rsidRPr="006C2B5B">
              <w:rPr>
                <w:b w:val="0"/>
                <w:bCs w:val="0"/>
                <w:color w:val="222222"/>
                <w:sz w:val="18"/>
                <w:szCs w:val="18"/>
                <w:lang w:eastAsia="en-AU"/>
              </w:rPr>
              <w:t>Potassium</w:t>
            </w:r>
          </w:p>
        </w:tc>
        <w:tc>
          <w:tcPr>
            <w:tcW w:w="993" w:type="dxa"/>
            <w:hideMark/>
          </w:tcPr>
          <w:p w14:paraId="714B56CF"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4.2</w:t>
            </w:r>
          </w:p>
        </w:tc>
        <w:tc>
          <w:tcPr>
            <w:tcW w:w="992" w:type="dxa"/>
            <w:hideMark/>
          </w:tcPr>
          <w:p w14:paraId="724E256D"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3.9</w:t>
            </w:r>
          </w:p>
        </w:tc>
        <w:tc>
          <w:tcPr>
            <w:tcW w:w="992" w:type="dxa"/>
            <w:hideMark/>
          </w:tcPr>
          <w:p w14:paraId="3AFECBE5"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3.8</w:t>
            </w:r>
          </w:p>
        </w:tc>
        <w:tc>
          <w:tcPr>
            <w:tcW w:w="1134" w:type="dxa"/>
            <w:hideMark/>
          </w:tcPr>
          <w:p w14:paraId="5BE0EF6D"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3.9</w:t>
            </w:r>
          </w:p>
        </w:tc>
        <w:tc>
          <w:tcPr>
            <w:tcW w:w="1134" w:type="dxa"/>
            <w:hideMark/>
          </w:tcPr>
          <w:p w14:paraId="5F4DFD44"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4.8</w:t>
            </w:r>
          </w:p>
        </w:tc>
        <w:tc>
          <w:tcPr>
            <w:tcW w:w="1963" w:type="dxa"/>
            <w:hideMark/>
          </w:tcPr>
          <w:p w14:paraId="4DF9FD48"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3.5 - 5.2 mmol/L</w:t>
            </w:r>
          </w:p>
        </w:tc>
      </w:tr>
      <w:tr w:rsidR="006C2B5B" w:rsidRPr="00477BC0" w14:paraId="719B9D59" w14:textId="77777777" w:rsidTr="006C2B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hideMark/>
          </w:tcPr>
          <w:p w14:paraId="035929CD" w14:textId="77777777" w:rsidR="006C2B5B" w:rsidRPr="006C2B5B" w:rsidRDefault="006C2B5B" w:rsidP="000954B0">
            <w:pPr>
              <w:rPr>
                <w:b w:val="0"/>
                <w:bCs w:val="0"/>
                <w:color w:val="222222"/>
                <w:sz w:val="18"/>
                <w:szCs w:val="18"/>
                <w:lang w:eastAsia="en-AU"/>
              </w:rPr>
            </w:pPr>
            <w:r w:rsidRPr="006C2B5B">
              <w:rPr>
                <w:b w:val="0"/>
                <w:bCs w:val="0"/>
                <w:color w:val="222222"/>
                <w:sz w:val="18"/>
                <w:szCs w:val="18"/>
                <w:lang w:eastAsia="en-AU"/>
              </w:rPr>
              <w:t>Corrected Calcium</w:t>
            </w:r>
          </w:p>
        </w:tc>
        <w:tc>
          <w:tcPr>
            <w:tcW w:w="993" w:type="dxa"/>
            <w:hideMark/>
          </w:tcPr>
          <w:p w14:paraId="0EA54FAE"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2.25</w:t>
            </w:r>
          </w:p>
        </w:tc>
        <w:tc>
          <w:tcPr>
            <w:tcW w:w="992" w:type="dxa"/>
            <w:hideMark/>
          </w:tcPr>
          <w:p w14:paraId="76EE6E25"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2.25</w:t>
            </w:r>
          </w:p>
        </w:tc>
        <w:tc>
          <w:tcPr>
            <w:tcW w:w="992" w:type="dxa"/>
            <w:hideMark/>
          </w:tcPr>
          <w:p w14:paraId="34047A87"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2.24</w:t>
            </w:r>
          </w:p>
        </w:tc>
        <w:tc>
          <w:tcPr>
            <w:tcW w:w="1134" w:type="dxa"/>
            <w:hideMark/>
          </w:tcPr>
          <w:p w14:paraId="2ADD54E7"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2.27</w:t>
            </w:r>
          </w:p>
        </w:tc>
        <w:tc>
          <w:tcPr>
            <w:tcW w:w="1134" w:type="dxa"/>
            <w:hideMark/>
          </w:tcPr>
          <w:p w14:paraId="080EDCD1"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2.30</w:t>
            </w:r>
          </w:p>
        </w:tc>
        <w:tc>
          <w:tcPr>
            <w:tcW w:w="1963" w:type="dxa"/>
            <w:hideMark/>
          </w:tcPr>
          <w:p w14:paraId="3D39E88F"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2.10 - 2.60 mmol/L</w:t>
            </w:r>
          </w:p>
        </w:tc>
      </w:tr>
      <w:tr w:rsidR="006C2B5B" w:rsidRPr="00477BC0" w14:paraId="12961EEF" w14:textId="77777777" w:rsidTr="006C2B5B">
        <w:tc>
          <w:tcPr>
            <w:cnfStyle w:val="001000000000" w:firstRow="0" w:lastRow="0" w:firstColumn="1" w:lastColumn="0" w:oddVBand="0" w:evenVBand="0" w:oddHBand="0" w:evenHBand="0" w:firstRowFirstColumn="0" w:firstRowLastColumn="0" w:lastRowFirstColumn="0" w:lastRowLastColumn="0"/>
            <w:tcW w:w="1592" w:type="dxa"/>
            <w:hideMark/>
          </w:tcPr>
          <w:p w14:paraId="79F052A5" w14:textId="77777777" w:rsidR="006C2B5B" w:rsidRPr="006C2B5B" w:rsidRDefault="006C2B5B" w:rsidP="000954B0">
            <w:pPr>
              <w:rPr>
                <w:b w:val="0"/>
                <w:bCs w:val="0"/>
                <w:color w:val="222222"/>
                <w:sz w:val="18"/>
                <w:szCs w:val="18"/>
                <w:lang w:eastAsia="en-AU"/>
              </w:rPr>
            </w:pPr>
            <w:r w:rsidRPr="006C2B5B">
              <w:rPr>
                <w:b w:val="0"/>
                <w:bCs w:val="0"/>
                <w:color w:val="222222"/>
                <w:sz w:val="18"/>
                <w:szCs w:val="18"/>
                <w:lang w:eastAsia="en-AU"/>
              </w:rPr>
              <w:t>Magnesium</w:t>
            </w:r>
          </w:p>
        </w:tc>
        <w:tc>
          <w:tcPr>
            <w:tcW w:w="993" w:type="dxa"/>
            <w:hideMark/>
          </w:tcPr>
          <w:p w14:paraId="139F72C3"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0.67 ↓</w:t>
            </w:r>
          </w:p>
        </w:tc>
        <w:tc>
          <w:tcPr>
            <w:tcW w:w="992" w:type="dxa"/>
            <w:hideMark/>
          </w:tcPr>
          <w:p w14:paraId="67026F31"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0.65 ↓</w:t>
            </w:r>
          </w:p>
        </w:tc>
        <w:tc>
          <w:tcPr>
            <w:tcW w:w="992" w:type="dxa"/>
            <w:hideMark/>
          </w:tcPr>
          <w:p w14:paraId="63708829"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0.70</w:t>
            </w:r>
          </w:p>
        </w:tc>
        <w:tc>
          <w:tcPr>
            <w:tcW w:w="1134" w:type="dxa"/>
            <w:hideMark/>
          </w:tcPr>
          <w:p w14:paraId="6F24732B"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0.70</w:t>
            </w:r>
          </w:p>
        </w:tc>
        <w:tc>
          <w:tcPr>
            <w:tcW w:w="1134" w:type="dxa"/>
            <w:hideMark/>
          </w:tcPr>
          <w:p w14:paraId="64633680"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0.80</w:t>
            </w:r>
          </w:p>
        </w:tc>
        <w:tc>
          <w:tcPr>
            <w:tcW w:w="1963" w:type="dxa"/>
            <w:hideMark/>
          </w:tcPr>
          <w:p w14:paraId="4D2EAC55" w14:textId="77777777" w:rsidR="006C2B5B" w:rsidRPr="00477BC0" w:rsidRDefault="006C2B5B" w:rsidP="000954B0">
            <w:pPr>
              <w:cnfStyle w:val="000000000000" w:firstRow="0" w:lastRow="0" w:firstColumn="0" w:lastColumn="0" w:oddVBand="0" w:evenVBand="0" w:oddHBand="0" w:evenHBand="0" w:firstRowFirstColumn="0" w:firstRowLastColumn="0" w:lastRowFirstColumn="0" w:lastRowLastColumn="0"/>
              <w:rPr>
                <w:color w:val="222222"/>
                <w:sz w:val="18"/>
                <w:szCs w:val="18"/>
                <w:lang w:eastAsia="en-AU"/>
              </w:rPr>
            </w:pPr>
            <w:r w:rsidRPr="00477BC0">
              <w:rPr>
                <w:color w:val="222222"/>
                <w:sz w:val="18"/>
                <w:szCs w:val="18"/>
                <w:lang w:eastAsia="en-AU"/>
              </w:rPr>
              <w:t>0.70 - 1.10 mmol/L</w:t>
            </w:r>
          </w:p>
        </w:tc>
      </w:tr>
      <w:tr w:rsidR="006C2B5B" w:rsidRPr="00477BC0" w14:paraId="11F6F290" w14:textId="77777777" w:rsidTr="006C2B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hideMark/>
          </w:tcPr>
          <w:p w14:paraId="242D7970" w14:textId="77777777" w:rsidR="006C2B5B" w:rsidRPr="006C2B5B" w:rsidRDefault="006C2B5B" w:rsidP="000954B0">
            <w:pPr>
              <w:rPr>
                <w:b w:val="0"/>
                <w:bCs w:val="0"/>
                <w:color w:val="222222"/>
                <w:sz w:val="18"/>
                <w:szCs w:val="18"/>
                <w:lang w:eastAsia="en-AU"/>
              </w:rPr>
            </w:pPr>
            <w:r w:rsidRPr="006C2B5B">
              <w:rPr>
                <w:b w:val="0"/>
                <w:bCs w:val="0"/>
                <w:color w:val="222222"/>
                <w:sz w:val="18"/>
                <w:szCs w:val="18"/>
                <w:lang w:eastAsia="en-AU"/>
              </w:rPr>
              <w:t>Phosphate</w:t>
            </w:r>
          </w:p>
        </w:tc>
        <w:tc>
          <w:tcPr>
            <w:tcW w:w="993" w:type="dxa"/>
            <w:hideMark/>
          </w:tcPr>
          <w:p w14:paraId="7F988384"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1.05</w:t>
            </w:r>
          </w:p>
        </w:tc>
        <w:tc>
          <w:tcPr>
            <w:tcW w:w="992" w:type="dxa"/>
            <w:hideMark/>
          </w:tcPr>
          <w:p w14:paraId="18FA6A3F"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0.94</w:t>
            </w:r>
          </w:p>
        </w:tc>
        <w:tc>
          <w:tcPr>
            <w:tcW w:w="992" w:type="dxa"/>
            <w:hideMark/>
          </w:tcPr>
          <w:p w14:paraId="59CAC023"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0.80</w:t>
            </w:r>
          </w:p>
        </w:tc>
        <w:tc>
          <w:tcPr>
            <w:tcW w:w="1134" w:type="dxa"/>
            <w:hideMark/>
          </w:tcPr>
          <w:p w14:paraId="5239E2F8"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0.91</w:t>
            </w:r>
          </w:p>
        </w:tc>
        <w:tc>
          <w:tcPr>
            <w:tcW w:w="1134" w:type="dxa"/>
            <w:hideMark/>
          </w:tcPr>
          <w:p w14:paraId="11C51F49"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1.12</w:t>
            </w:r>
          </w:p>
        </w:tc>
        <w:tc>
          <w:tcPr>
            <w:tcW w:w="1963" w:type="dxa"/>
            <w:hideMark/>
          </w:tcPr>
          <w:p w14:paraId="524DE92B" w14:textId="77777777" w:rsidR="006C2B5B" w:rsidRPr="00477BC0" w:rsidRDefault="006C2B5B" w:rsidP="000954B0">
            <w:pPr>
              <w:cnfStyle w:val="000000100000" w:firstRow="0" w:lastRow="0" w:firstColumn="0" w:lastColumn="0" w:oddVBand="0" w:evenVBand="0" w:oddHBand="1" w:evenHBand="0" w:firstRowFirstColumn="0" w:firstRowLastColumn="0" w:lastRowFirstColumn="0" w:lastRowLastColumn="0"/>
              <w:rPr>
                <w:color w:val="222222"/>
                <w:sz w:val="18"/>
                <w:szCs w:val="18"/>
                <w:lang w:eastAsia="en-AU"/>
              </w:rPr>
            </w:pPr>
            <w:r w:rsidRPr="00477BC0">
              <w:rPr>
                <w:color w:val="222222"/>
                <w:sz w:val="18"/>
                <w:szCs w:val="18"/>
                <w:lang w:eastAsia="en-AU"/>
              </w:rPr>
              <w:t>0.75 - 1.50 mmol/L</w:t>
            </w:r>
          </w:p>
        </w:tc>
      </w:tr>
    </w:tbl>
    <w:p w14:paraId="5F403F29" w14:textId="48EB5E3A" w:rsidR="006537E9" w:rsidRPr="00477BC0" w:rsidRDefault="006537E9" w:rsidP="006537E9">
      <w:pPr>
        <w:rPr>
          <w:b/>
          <w:bCs/>
          <w:sz w:val="18"/>
          <w:szCs w:val="18"/>
        </w:rPr>
      </w:pPr>
      <w:r w:rsidRPr="00477BC0">
        <w:rPr>
          <w:b/>
          <w:bCs/>
          <w:sz w:val="18"/>
          <w:szCs w:val="18"/>
        </w:rPr>
        <w:t xml:space="preserve">Table </w:t>
      </w:r>
      <w:r w:rsidR="00EA46BC">
        <w:rPr>
          <w:b/>
          <w:bCs/>
          <w:sz w:val="18"/>
          <w:szCs w:val="18"/>
        </w:rPr>
        <w:t>3</w:t>
      </w:r>
      <w:r w:rsidRPr="00477BC0">
        <w:rPr>
          <w:b/>
          <w:bCs/>
          <w:sz w:val="18"/>
          <w:szCs w:val="18"/>
        </w:rPr>
        <w:t xml:space="preserve">: progression </w:t>
      </w:r>
      <w:r w:rsidR="008E2E65">
        <w:rPr>
          <w:b/>
          <w:bCs/>
          <w:sz w:val="18"/>
          <w:szCs w:val="18"/>
        </w:rPr>
        <w:t>of</w:t>
      </w:r>
      <w:r w:rsidRPr="00477BC0">
        <w:rPr>
          <w:b/>
          <w:bCs/>
          <w:sz w:val="18"/>
          <w:szCs w:val="18"/>
        </w:rPr>
        <w:t xml:space="preserve"> the patient's haemoglobin levels, inflammatory markers, and other biochemical parameters </w:t>
      </w:r>
      <w:r w:rsidR="008E2E65">
        <w:rPr>
          <w:b/>
          <w:bCs/>
          <w:sz w:val="18"/>
          <w:szCs w:val="18"/>
        </w:rPr>
        <w:t>after</w:t>
      </w:r>
      <w:r w:rsidRPr="00477BC0">
        <w:rPr>
          <w:b/>
          <w:bCs/>
          <w:sz w:val="18"/>
          <w:szCs w:val="18"/>
        </w:rPr>
        <w:t xml:space="preserve"> the second </w:t>
      </w:r>
      <w:r w:rsidR="008E2E65">
        <w:rPr>
          <w:b/>
          <w:bCs/>
          <w:sz w:val="18"/>
          <w:szCs w:val="18"/>
        </w:rPr>
        <w:t>procedure</w:t>
      </w:r>
      <w:r w:rsidRPr="00477BC0">
        <w:rPr>
          <w:b/>
          <w:bCs/>
          <w:sz w:val="18"/>
          <w:szCs w:val="18"/>
        </w:rPr>
        <w:t>.</w:t>
      </w:r>
    </w:p>
    <w:p w14:paraId="35A54945" w14:textId="77777777" w:rsidR="008E2E65" w:rsidRPr="008E2E65" w:rsidRDefault="008E2E65" w:rsidP="008E2E65">
      <w:pPr>
        <w:rPr>
          <w:sz w:val="20"/>
          <w:szCs w:val="20"/>
        </w:rPr>
      </w:pPr>
    </w:p>
    <w:p w14:paraId="5E7F8B33" w14:textId="2A591942" w:rsidR="008E2E65" w:rsidRDefault="008E2E65" w:rsidP="00DE5902">
      <w:pPr>
        <w:jc w:val="both"/>
        <w:rPr>
          <w:sz w:val="20"/>
          <w:szCs w:val="20"/>
        </w:rPr>
      </w:pPr>
      <w:bookmarkStart w:id="11" w:name="_Hlk143090038"/>
      <w:r w:rsidRPr="008E2E65">
        <w:rPr>
          <w:sz w:val="20"/>
          <w:szCs w:val="20"/>
        </w:rPr>
        <w:t>A comprehensive post-discharge care plan was implemented, involving a</w:t>
      </w:r>
      <w:r w:rsidR="00FC47A6">
        <w:rPr>
          <w:sz w:val="20"/>
          <w:szCs w:val="20"/>
        </w:rPr>
        <w:t xml:space="preserve"> </w:t>
      </w:r>
      <w:r w:rsidR="00FC47A6" w:rsidRPr="00477BC0">
        <w:rPr>
          <w:sz w:val="20"/>
          <w:szCs w:val="20"/>
        </w:rPr>
        <w:t>coordinated</w:t>
      </w:r>
      <w:r w:rsidRPr="008E2E65">
        <w:rPr>
          <w:sz w:val="20"/>
          <w:szCs w:val="20"/>
        </w:rPr>
        <w:t xml:space="preserve"> multidisciplinary team. The patient’s GP was tasked with overseeing wound care and monitoring blood pressure. Four weeks post-</w:t>
      </w:r>
      <w:r w:rsidR="00FC47A6">
        <w:rPr>
          <w:sz w:val="20"/>
          <w:szCs w:val="20"/>
        </w:rPr>
        <w:t>discharge</w:t>
      </w:r>
      <w:r w:rsidRPr="008E2E65">
        <w:rPr>
          <w:sz w:val="20"/>
          <w:szCs w:val="20"/>
        </w:rPr>
        <w:t xml:space="preserve">, a re-evaluation of plasma metanephrines was planned, the results of which would be discussed during an outpatient endocrinology clinic visit at six weeks. Given the </w:t>
      </w:r>
      <w:r w:rsidR="00FC47A6" w:rsidRPr="00477BC0">
        <w:rPr>
          <w:sz w:val="20"/>
          <w:szCs w:val="20"/>
        </w:rPr>
        <w:t xml:space="preserve">potential hereditary predisposition </w:t>
      </w:r>
      <w:r w:rsidR="00FC47A6">
        <w:rPr>
          <w:sz w:val="20"/>
          <w:szCs w:val="20"/>
        </w:rPr>
        <w:t>for</w:t>
      </w:r>
      <w:r w:rsidRPr="008E2E65">
        <w:rPr>
          <w:sz w:val="20"/>
          <w:szCs w:val="20"/>
        </w:rPr>
        <w:t xml:space="preserve"> paraganglioma syndromes, consideration for genetic screening </w:t>
      </w:r>
      <w:r w:rsidR="00FC47A6">
        <w:rPr>
          <w:sz w:val="20"/>
          <w:szCs w:val="20"/>
        </w:rPr>
        <w:t>was</w:t>
      </w:r>
      <w:r w:rsidRPr="008E2E65">
        <w:rPr>
          <w:sz w:val="20"/>
          <w:szCs w:val="20"/>
        </w:rPr>
        <w:t xml:space="preserve"> </w:t>
      </w:r>
      <w:r w:rsidR="00FC47A6" w:rsidRPr="00477BC0">
        <w:rPr>
          <w:sz w:val="20"/>
          <w:szCs w:val="20"/>
        </w:rPr>
        <w:t>warranted</w:t>
      </w:r>
      <w:r w:rsidRPr="008E2E65">
        <w:rPr>
          <w:sz w:val="20"/>
          <w:szCs w:val="20"/>
        </w:rPr>
        <w:t>.</w:t>
      </w:r>
      <w:r w:rsidR="00DE5902">
        <w:rPr>
          <w:sz w:val="20"/>
          <w:szCs w:val="20"/>
        </w:rPr>
        <w:t xml:space="preserve"> </w:t>
      </w:r>
      <w:r w:rsidRPr="008E2E65">
        <w:rPr>
          <w:sz w:val="20"/>
          <w:szCs w:val="20"/>
        </w:rPr>
        <w:t>Six weeks post-</w:t>
      </w:r>
      <w:r w:rsidR="00FC47A6">
        <w:rPr>
          <w:sz w:val="20"/>
          <w:szCs w:val="20"/>
        </w:rPr>
        <w:t>discharge</w:t>
      </w:r>
      <w:r w:rsidRPr="008E2E65">
        <w:rPr>
          <w:sz w:val="20"/>
          <w:szCs w:val="20"/>
        </w:rPr>
        <w:t xml:space="preserve">, a triple-phase abdominal CT scan was </w:t>
      </w:r>
      <w:r w:rsidR="00DD1FDA">
        <w:rPr>
          <w:sz w:val="20"/>
          <w:szCs w:val="20"/>
        </w:rPr>
        <w:t>organised</w:t>
      </w:r>
      <w:r w:rsidRPr="008E2E65">
        <w:rPr>
          <w:sz w:val="20"/>
          <w:szCs w:val="20"/>
        </w:rPr>
        <w:t xml:space="preserve"> to gauge postoperative progress and identify complications. A follow-up vascular surgery </w:t>
      </w:r>
      <w:r w:rsidR="00FC47A6">
        <w:rPr>
          <w:sz w:val="20"/>
          <w:szCs w:val="20"/>
        </w:rPr>
        <w:t>clinic appointment</w:t>
      </w:r>
      <w:r w:rsidRPr="008E2E65">
        <w:rPr>
          <w:sz w:val="20"/>
          <w:szCs w:val="20"/>
        </w:rPr>
        <w:t xml:space="preserve"> was scheduled post</w:t>
      </w:r>
      <w:r w:rsidR="00FC47A6">
        <w:rPr>
          <w:sz w:val="20"/>
          <w:szCs w:val="20"/>
        </w:rPr>
        <w:t>-</w:t>
      </w:r>
      <w:r w:rsidRPr="008E2E65">
        <w:rPr>
          <w:sz w:val="20"/>
          <w:szCs w:val="20"/>
        </w:rPr>
        <w:t>scan to discuss the imaging findings and review the condition of the repaired left common iliac vein.</w:t>
      </w:r>
    </w:p>
    <w:p w14:paraId="29C60485" w14:textId="77777777" w:rsidR="008E2E65" w:rsidRPr="00477BC0" w:rsidRDefault="008E2E65" w:rsidP="006537E9">
      <w:pPr>
        <w:rPr>
          <w:sz w:val="20"/>
          <w:szCs w:val="20"/>
        </w:rPr>
      </w:pPr>
    </w:p>
    <w:p w14:paraId="2FF8F5E0" w14:textId="54175BCC" w:rsidR="006537E9" w:rsidRDefault="00477BC0" w:rsidP="00F75C30">
      <w:pPr>
        <w:pStyle w:val="Heading1"/>
        <w:rPr>
          <w:rFonts w:ascii="Times New Roman" w:hAnsi="Times New Roman" w:cs="Times New Roman"/>
          <w:b/>
          <w:bCs/>
          <w:color w:val="000000" w:themeColor="text1"/>
          <w:sz w:val="24"/>
          <w:szCs w:val="24"/>
        </w:rPr>
      </w:pPr>
      <w:r w:rsidRPr="00477BC0">
        <w:rPr>
          <w:rFonts w:ascii="Times New Roman" w:hAnsi="Times New Roman" w:cs="Times New Roman"/>
          <w:b/>
          <w:bCs/>
          <w:color w:val="000000" w:themeColor="text1"/>
          <w:sz w:val="24"/>
          <w:szCs w:val="24"/>
        </w:rPr>
        <w:t>DISCUSSION</w:t>
      </w:r>
    </w:p>
    <w:p w14:paraId="7CFD5C07" w14:textId="77777777" w:rsidR="006537E9" w:rsidRPr="00106587" w:rsidRDefault="006537E9" w:rsidP="00106587">
      <w:pPr>
        <w:rPr>
          <w:rFonts w:eastAsiaTheme="majorEastAsia"/>
          <w:b/>
          <w:bCs/>
          <w:i/>
          <w:iCs/>
          <w:color w:val="000000" w:themeColor="text1"/>
          <w:sz w:val="22"/>
          <w:szCs w:val="22"/>
          <w:lang w:eastAsia="en-US"/>
        </w:rPr>
      </w:pPr>
      <w:r w:rsidRPr="00106587">
        <w:rPr>
          <w:rFonts w:eastAsiaTheme="majorEastAsia"/>
          <w:b/>
          <w:bCs/>
          <w:i/>
          <w:iCs/>
          <w:color w:val="000000" w:themeColor="text1"/>
          <w:sz w:val="22"/>
          <w:szCs w:val="22"/>
          <w:lang w:eastAsia="en-US"/>
        </w:rPr>
        <w:t>Understanding Paragangliomas</w:t>
      </w:r>
    </w:p>
    <w:p w14:paraId="5652C6D3" w14:textId="6DFE70A0" w:rsidR="006537E9" w:rsidRDefault="006537E9" w:rsidP="00F06E23">
      <w:pPr>
        <w:jc w:val="both"/>
        <w:rPr>
          <w:sz w:val="20"/>
          <w:szCs w:val="20"/>
        </w:rPr>
      </w:pPr>
      <w:r w:rsidRPr="00477BC0">
        <w:rPr>
          <w:sz w:val="20"/>
          <w:szCs w:val="20"/>
        </w:rPr>
        <w:t>Paragangliomas</w:t>
      </w:r>
      <w:r w:rsidR="00106587">
        <w:rPr>
          <w:sz w:val="20"/>
          <w:szCs w:val="20"/>
        </w:rPr>
        <w:t xml:space="preserve">, </w:t>
      </w:r>
      <w:r w:rsidRPr="00477BC0">
        <w:rPr>
          <w:sz w:val="20"/>
          <w:szCs w:val="20"/>
        </w:rPr>
        <w:t xml:space="preserve">rare neuroendocrine tumours </w:t>
      </w:r>
      <w:r w:rsidR="00FC47A6">
        <w:rPr>
          <w:sz w:val="20"/>
          <w:szCs w:val="20"/>
        </w:rPr>
        <w:t>arising</w:t>
      </w:r>
      <w:r w:rsidRPr="00477BC0">
        <w:rPr>
          <w:sz w:val="20"/>
          <w:szCs w:val="20"/>
        </w:rPr>
        <w:t xml:space="preserve"> from extra-adrenal autonomic paraganglia</w:t>
      </w:r>
      <w:r w:rsidR="00106587">
        <w:rPr>
          <w:sz w:val="20"/>
          <w:szCs w:val="20"/>
        </w:rPr>
        <w:t xml:space="preserve">, </w:t>
      </w:r>
      <w:r w:rsidR="00FC47A6">
        <w:rPr>
          <w:sz w:val="20"/>
          <w:szCs w:val="20"/>
        </w:rPr>
        <w:t>secrete catecholamines,</w:t>
      </w:r>
      <w:r w:rsidR="00106587">
        <w:rPr>
          <w:sz w:val="20"/>
          <w:szCs w:val="20"/>
        </w:rPr>
        <w:t xml:space="preserve"> commonly</w:t>
      </w:r>
      <w:r w:rsidRPr="00477BC0">
        <w:rPr>
          <w:sz w:val="20"/>
          <w:szCs w:val="20"/>
        </w:rPr>
        <w:t xml:space="preserve"> </w:t>
      </w:r>
      <w:r w:rsidR="00106587">
        <w:rPr>
          <w:sz w:val="20"/>
          <w:szCs w:val="20"/>
        </w:rPr>
        <w:t>leading to</w:t>
      </w:r>
      <w:r w:rsidRPr="00477BC0">
        <w:rPr>
          <w:sz w:val="20"/>
          <w:szCs w:val="20"/>
        </w:rPr>
        <w:t xml:space="preserve"> hypertension, episodic headaches, and tachycardia [1]. </w:t>
      </w:r>
      <w:r w:rsidR="00AF2F38" w:rsidRPr="00AF2F38">
        <w:rPr>
          <w:sz w:val="20"/>
          <w:szCs w:val="20"/>
        </w:rPr>
        <w:t>While paragangliomas share similarities with pheochromocytomas, their differentiation lies in their location and co-occurrence patterns</w:t>
      </w:r>
      <w:r w:rsidR="00106587">
        <w:rPr>
          <w:sz w:val="20"/>
          <w:szCs w:val="20"/>
        </w:rPr>
        <w:t xml:space="preserve">, </w:t>
      </w:r>
      <w:r w:rsidR="00106587" w:rsidRPr="00106587">
        <w:rPr>
          <w:sz w:val="20"/>
          <w:szCs w:val="20"/>
        </w:rPr>
        <w:t xml:space="preserve">predominantly </w:t>
      </w:r>
      <w:r w:rsidR="00AF2F38">
        <w:rPr>
          <w:sz w:val="20"/>
          <w:szCs w:val="20"/>
        </w:rPr>
        <w:t>develop</w:t>
      </w:r>
      <w:r w:rsidR="00106587">
        <w:rPr>
          <w:sz w:val="20"/>
          <w:szCs w:val="20"/>
        </w:rPr>
        <w:t>ing</w:t>
      </w:r>
      <w:r w:rsidRPr="00477BC0">
        <w:rPr>
          <w:sz w:val="20"/>
          <w:szCs w:val="20"/>
        </w:rPr>
        <w:t xml:space="preserve"> in paravertebral ganglia </w:t>
      </w:r>
      <w:r w:rsidR="00106587" w:rsidRPr="00106587">
        <w:rPr>
          <w:sz w:val="20"/>
          <w:szCs w:val="20"/>
        </w:rPr>
        <w:t xml:space="preserve">across </w:t>
      </w:r>
      <w:r w:rsidRPr="00477BC0">
        <w:rPr>
          <w:sz w:val="20"/>
          <w:szCs w:val="20"/>
        </w:rPr>
        <w:t>the thorax, abdomen, and pelvis [2].</w:t>
      </w:r>
    </w:p>
    <w:p w14:paraId="75A97D20" w14:textId="77777777" w:rsidR="00AF2F38" w:rsidRPr="00477BC0" w:rsidRDefault="00AF2F38" w:rsidP="006537E9">
      <w:pPr>
        <w:rPr>
          <w:sz w:val="20"/>
          <w:szCs w:val="20"/>
        </w:rPr>
      </w:pPr>
    </w:p>
    <w:p w14:paraId="08D1D6FF" w14:textId="442BE8BE" w:rsidR="006537E9" w:rsidRDefault="00AF2F38" w:rsidP="00F06E23">
      <w:pPr>
        <w:jc w:val="both"/>
        <w:rPr>
          <w:sz w:val="20"/>
          <w:szCs w:val="20"/>
        </w:rPr>
      </w:pPr>
      <w:r>
        <w:rPr>
          <w:sz w:val="20"/>
          <w:szCs w:val="20"/>
        </w:rPr>
        <w:t xml:space="preserve">Up to </w:t>
      </w:r>
      <w:r w:rsidR="006537E9" w:rsidRPr="00477BC0">
        <w:rPr>
          <w:sz w:val="20"/>
          <w:szCs w:val="20"/>
        </w:rPr>
        <w:t>50% of paragangliomas are associated with inherited syndromes,</w:t>
      </w:r>
      <w:r>
        <w:rPr>
          <w:sz w:val="20"/>
          <w:szCs w:val="20"/>
        </w:rPr>
        <w:t xml:space="preserve"> including</w:t>
      </w:r>
      <w:r w:rsidRPr="00477BC0">
        <w:rPr>
          <w:sz w:val="20"/>
          <w:szCs w:val="20"/>
        </w:rPr>
        <w:t xml:space="preserve"> multiple endocrine neoplasia types 2A and 2B, neurofibromatosis type 1, </w:t>
      </w:r>
      <w:r>
        <w:rPr>
          <w:sz w:val="20"/>
          <w:szCs w:val="20"/>
        </w:rPr>
        <w:t xml:space="preserve">and </w:t>
      </w:r>
      <w:r w:rsidRPr="00477BC0">
        <w:rPr>
          <w:sz w:val="20"/>
          <w:szCs w:val="20"/>
        </w:rPr>
        <w:t>von Hippel Lindau</w:t>
      </w:r>
      <w:r>
        <w:rPr>
          <w:sz w:val="20"/>
          <w:szCs w:val="20"/>
        </w:rPr>
        <w:t>,</w:t>
      </w:r>
      <w:r w:rsidR="006537E9" w:rsidRPr="00477BC0">
        <w:rPr>
          <w:sz w:val="20"/>
          <w:szCs w:val="20"/>
        </w:rPr>
        <w:t xml:space="preserve"> implicating various genes encoding the succinate dehydrogenase (SDH) enzyme complex </w:t>
      </w:r>
      <w:r>
        <w:rPr>
          <w:sz w:val="20"/>
          <w:szCs w:val="20"/>
        </w:rPr>
        <w:t>[3,</w:t>
      </w:r>
      <w:r w:rsidR="006537E9" w:rsidRPr="00477BC0">
        <w:rPr>
          <w:sz w:val="20"/>
          <w:szCs w:val="20"/>
        </w:rPr>
        <w:t>4].</w:t>
      </w:r>
      <w:r w:rsidR="00F06E23">
        <w:rPr>
          <w:sz w:val="20"/>
          <w:szCs w:val="20"/>
        </w:rPr>
        <w:t xml:space="preserve"> </w:t>
      </w:r>
      <w:r w:rsidR="006537E9" w:rsidRPr="00477BC0">
        <w:rPr>
          <w:sz w:val="20"/>
          <w:szCs w:val="20"/>
        </w:rPr>
        <w:t>The</w:t>
      </w:r>
      <w:r>
        <w:rPr>
          <w:sz w:val="20"/>
          <w:szCs w:val="20"/>
        </w:rPr>
        <w:t>ir</w:t>
      </w:r>
      <w:r w:rsidR="006537E9" w:rsidRPr="00477BC0">
        <w:rPr>
          <w:sz w:val="20"/>
          <w:szCs w:val="20"/>
        </w:rPr>
        <w:t xml:space="preserve"> epidemiology is </w:t>
      </w:r>
      <w:r>
        <w:rPr>
          <w:sz w:val="20"/>
          <w:szCs w:val="20"/>
        </w:rPr>
        <w:t>nebulous</w:t>
      </w:r>
      <w:r w:rsidR="006537E9" w:rsidRPr="00477BC0">
        <w:rPr>
          <w:sz w:val="20"/>
          <w:szCs w:val="20"/>
        </w:rPr>
        <w:t xml:space="preserve"> due to their rarity, </w:t>
      </w:r>
      <w:r>
        <w:rPr>
          <w:sz w:val="20"/>
          <w:szCs w:val="20"/>
        </w:rPr>
        <w:t>but</w:t>
      </w:r>
      <w:r w:rsidR="006537E9" w:rsidRPr="00477BC0">
        <w:rPr>
          <w:sz w:val="20"/>
          <w:szCs w:val="20"/>
        </w:rPr>
        <w:t xml:space="preserve"> the combined incidence</w:t>
      </w:r>
      <w:r>
        <w:rPr>
          <w:sz w:val="20"/>
          <w:szCs w:val="20"/>
        </w:rPr>
        <w:t xml:space="preserve"> </w:t>
      </w:r>
      <w:r w:rsidRPr="00AF2F38">
        <w:rPr>
          <w:sz w:val="20"/>
          <w:szCs w:val="20"/>
        </w:rPr>
        <w:t>with pheochromocytomas</w:t>
      </w:r>
      <w:r w:rsidR="006537E9" w:rsidRPr="00477BC0">
        <w:rPr>
          <w:sz w:val="20"/>
          <w:szCs w:val="20"/>
        </w:rPr>
        <w:t xml:space="preserve"> is </w:t>
      </w:r>
      <w:r>
        <w:rPr>
          <w:sz w:val="20"/>
          <w:szCs w:val="20"/>
        </w:rPr>
        <w:t>roughly</w:t>
      </w:r>
      <w:r w:rsidR="006537E9" w:rsidRPr="00477BC0">
        <w:rPr>
          <w:sz w:val="20"/>
          <w:szCs w:val="20"/>
        </w:rPr>
        <w:t xml:space="preserve"> 0.8 per 100,000 </w:t>
      </w:r>
      <w:r>
        <w:rPr>
          <w:sz w:val="20"/>
          <w:szCs w:val="20"/>
        </w:rPr>
        <w:t>person-years</w:t>
      </w:r>
      <w:r w:rsidR="006537E9" w:rsidRPr="00477BC0">
        <w:rPr>
          <w:sz w:val="20"/>
          <w:szCs w:val="20"/>
        </w:rPr>
        <w:t xml:space="preserve"> [5]. While the median age of diagnosis is in the late </w:t>
      </w:r>
      <w:r>
        <w:rPr>
          <w:sz w:val="20"/>
          <w:szCs w:val="20"/>
        </w:rPr>
        <w:t>40s</w:t>
      </w:r>
      <w:r w:rsidR="006537E9" w:rsidRPr="00477BC0">
        <w:rPr>
          <w:sz w:val="20"/>
          <w:szCs w:val="20"/>
        </w:rPr>
        <w:t xml:space="preserve">, hereditary paragangliomas </w:t>
      </w:r>
      <w:r>
        <w:rPr>
          <w:sz w:val="20"/>
          <w:szCs w:val="20"/>
        </w:rPr>
        <w:t>typically</w:t>
      </w:r>
      <w:r w:rsidR="006537E9" w:rsidRPr="00477BC0">
        <w:rPr>
          <w:sz w:val="20"/>
          <w:szCs w:val="20"/>
        </w:rPr>
        <w:t xml:space="preserve"> </w:t>
      </w:r>
      <w:r>
        <w:rPr>
          <w:sz w:val="20"/>
          <w:szCs w:val="20"/>
        </w:rPr>
        <w:t>manifest</w:t>
      </w:r>
      <w:r w:rsidR="006537E9" w:rsidRPr="00477BC0">
        <w:rPr>
          <w:sz w:val="20"/>
          <w:szCs w:val="20"/>
        </w:rPr>
        <w:t xml:space="preserve"> earlier, often by </w:t>
      </w:r>
      <w:r>
        <w:rPr>
          <w:sz w:val="20"/>
          <w:szCs w:val="20"/>
        </w:rPr>
        <w:t>the</w:t>
      </w:r>
      <w:r w:rsidR="006537E9" w:rsidRPr="00477BC0">
        <w:rPr>
          <w:sz w:val="20"/>
          <w:szCs w:val="20"/>
        </w:rPr>
        <w:t xml:space="preserve"> early </w:t>
      </w:r>
      <w:r>
        <w:rPr>
          <w:sz w:val="20"/>
          <w:szCs w:val="20"/>
        </w:rPr>
        <w:t>30s</w:t>
      </w:r>
      <w:r w:rsidR="006537E9" w:rsidRPr="00477BC0">
        <w:rPr>
          <w:sz w:val="20"/>
          <w:szCs w:val="20"/>
        </w:rPr>
        <w:t xml:space="preserve"> [6].</w:t>
      </w:r>
    </w:p>
    <w:p w14:paraId="2225F420" w14:textId="77777777" w:rsidR="00AF2F38" w:rsidRPr="00477BC0" w:rsidRDefault="00AF2F38" w:rsidP="006537E9">
      <w:pPr>
        <w:rPr>
          <w:sz w:val="20"/>
          <w:szCs w:val="20"/>
        </w:rPr>
      </w:pPr>
    </w:p>
    <w:p w14:paraId="0CA0D6FF" w14:textId="37FBA6B5" w:rsidR="006537E9" w:rsidRDefault="00106587" w:rsidP="00F06E23">
      <w:pPr>
        <w:jc w:val="both"/>
        <w:rPr>
          <w:sz w:val="20"/>
          <w:szCs w:val="20"/>
        </w:rPr>
      </w:pPr>
      <w:r w:rsidRPr="00106587">
        <w:rPr>
          <w:sz w:val="20"/>
          <w:szCs w:val="20"/>
        </w:rPr>
        <w:t>Paragangliomas are sub-classified based on origin</w:t>
      </w:r>
      <w:r>
        <w:rPr>
          <w:sz w:val="20"/>
          <w:szCs w:val="20"/>
        </w:rPr>
        <w:t>:</w:t>
      </w:r>
      <w:r w:rsidR="006537E9" w:rsidRPr="00477BC0">
        <w:rPr>
          <w:sz w:val="20"/>
          <w:szCs w:val="20"/>
        </w:rPr>
        <w:t xml:space="preserve"> </w:t>
      </w:r>
      <w:r w:rsidRPr="00106587">
        <w:rPr>
          <w:sz w:val="20"/>
          <w:szCs w:val="20"/>
        </w:rPr>
        <w:t xml:space="preserve">parasympathetic </w:t>
      </w:r>
      <w:r w:rsidR="006537E9" w:rsidRPr="00477BC0">
        <w:rPr>
          <w:sz w:val="20"/>
          <w:szCs w:val="20"/>
        </w:rPr>
        <w:t>paragangliomas</w:t>
      </w:r>
      <w:r>
        <w:rPr>
          <w:sz w:val="20"/>
          <w:szCs w:val="20"/>
        </w:rPr>
        <w:t>,</w:t>
      </w:r>
      <w:r w:rsidRPr="00106587">
        <w:t xml:space="preserve"> </w:t>
      </w:r>
      <w:r w:rsidRPr="00106587">
        <w:rPr>
          <w:sz w:val="20"/>
          <w:szCs w:val="20"/>
        </w:rPr>
        <w:t>primarily non-secretory</w:t>
      </w:r>
      <w:r>
        <w:rPr>
          <w:sz w:val="20"/>
          <w:szCs w:val="20"/>
        </w:rPr>
        <w:t xml:space="preserve">, </w:t>
      </w:r>
      <w:r w:rsidR="006537E9" w:rsidRPr="00477BC0">
        <w:rPr>
          <w:sz w:val="20"/>
          <w:szCs w:val="20"/>
        </w:rPr>
        <w:t xml:space="preserve">are </w:t>
      </w:r>
      <w:r>
        <w:rPr>
          <w:sz w:val="20"/>
          <w:szCs w:val="20"/>
        </w:rPr>
        <w:t>found</w:t>
      </w:r>
      <w:r w:rsidR="006537E9" w:rsidRPr="00477BC0">
        <w:rPr>
          <w:sz w:val="20"/>
          <w:szCs w:val="20"/>
        </w:rPr>
        <w:t xml:space="preserve"> in the neck and skull base along the glossopharyngeal and vagus nerves,</w:t>
      </w:r>
      <w:r>
        <w:rPr>
          <w:sz w:val="20"/>
          <w:szCs w:val="20"/>
        </w:rPr>
        <w:t xml:space="preserve"> </w:t>
      </w:r>
      <w:r w:rsidRPr="00106587">
        <w:rPr>
          <w:sz w:val="20"/>
          <w:szCs w:val="20"/>
        </w:rPr>
        <w:t>while sympathetic variants</w:t>
      </w:r>
      <w:r>
        <w:rPr>
          <w:sz w:val="20"/>
          <w:szCs w:val="20"/>
        </w:rPr>
        <w:t xml:space="preserve">, </w:t>
      </w:r>
      <w:r w:rsidRPr="00106587">
        <w:rPr>
          <w:sz w:val="20"/>
          <w:szCs w:val="20"/>
        </w:rPr>
        <w:t xml:space="preserve">often catecholamine-secreting, arise </w:t>
      </w:r>
      <w:r>
        <w:rPr>
          <w:sz w:val="20"/>
          <w:szCs w:val="20"/>
        </w:rPr>
        <w:t xml:space="preserve">anywhere </w:t>
      </w:r>
      <w:r w:rsidRPr="00106587">
        <w:rPr>
          <w:sz w:val="20"/>
          <w:szCs w:val="20"/>
        </w:rPr>
        <w:t>along the sympathetic chain</w:t>
      </w:r>
      <w:r>
        <w:rPr>
          <w:sz w:val="20"/>
          <w:szCs w:val="20"/>
        </w:rPr>
        <w:t xml:space="preserve"> </w:t>
      </w:r>
      <w:r w:rsidR="006537E9" w:rsidRPr="00477BC0">
        <w:rPr>
          <w:sz w:val="20"/>
          <w:szCs w:val="20"/>
        </w:rPr>
        <w:t xml:space="preserve">[7]. </w:t>
      </w:r>
      <w:r w:rsidRPr="00106587">
        <w:rPr>
          <w:sz w:val="20"/>
          <w:szCs w:val="20"/>
        </w:rPr>
        <w:t xml:space="preserve">Notably, about 75% of sympathetic paragangliomas </w:t>
      </w:r>
      <w:r>
        <w:rPr>
          <w:sz w:val="20"/>
          <w:szCs w:val="20"/>
        </w:rPr>
        <w:t>originate</w:t>
      </w:r>
      <w:r w:rsidRPr="00106587">
        <w:rPr>
          <w:sz w:val="20"/>
          <w:szCs w:val="20"/>
        </w:rPr>
        <w:t xml:space="preserve"> at the Organ of Zuckerkandl,</w:t>
      </w:r>
      <w:r>
        <w:rPr>
          <w:sz w:val="20"/>
          <w:szCs w:val="20"/>
        </w:rPr>
        <w:t xml:space="preserve"> </w:t>
      </w:r>
      <w:r w:rsidRPr="00106587">
        <w:rPr>
          <w:sz w:val="20"/>
          <w:szCs w:val="20"/>
        </w:rPr>
        <w:t xml:space="preserve">a chromaffin cell-rich structure near the aortic bifurcation and an embryological remnant of neural crest cells in some individuals </w:t>
      </w:r>
      <w:r w:rsidR="00F87D62">
        <w:rPr>
          <w:sz w:val="20"/>
          <w:szCs w:val="20"/>
        </w:rPr>
        <w:t xml:space="preserve">[8]. </w:t>
      </w:r>
      <w:r w:rsidR="006537E9" w:rsidRPr="00477BC0">
        <w:rPr>
          <w:sz w:val="20"/>
          <w:szCs w:val="20"/>
        </w:rPr>
        <w:t xml:space="preserve">These frequently secrete catecholamines, producing symptoms mirroring adrenal pheochromocytomas, </w:t>
      </w:r>
      <w:r w:rsidR="003840CE">
        <w:rPr>
          <w:sz w:val="20"/>
          <w:szCs w:val="20"/>
        </w:rPr>
        <w:t>with</w:t>
      </w:r>
      <w:r w:rsidR="006537E9" w:rsidRPr="00477BC0">
        <w:rPr>
          <w:sz w:val="20"/>
          <w:szCs w:val="20"/>
        </w:rPr>
        <w:t xml:space="preserve"> approximately one-fourth </w:t>
      </w:r>
      <w:r w:rsidR="003840CE">
        <w:rPr>
          <w:sz w:val="20"/>
          <w:szCs w:val="20"/>
        </w:rPr>
        <w:t>linked</w:t>
      </w:r>
      <w:r w:rsidR="006537E9" w:rsidRPr="00477BC0">
        <w:rPr>
          <w:sz w:val="20"/>
          <w:szCs w:val="20"/>
        </w:rPr>
        <w:t xml:space="preserve"> </w:t>
      </w:r>
      <w:r w:rsidR="003840CE">
        <w:rPr>
          <w:sz w:val="20"/>
          <w:szCs w:val="20"/>
        </w:rPr>
        <w:t xml:space="preserve">to </w:t>
      </w:r>
      <w:r w:rsidR="006537E9" w:rsidRPr="00477BC0">
        <w:rPr>
          <w:sz w:val="20"/>
          <w:szCs w:val="20"/>
        </w:rPr>
        <w:t>a genetic syndrome [9].</w:t>
      </w:r>
    </w:p>
    <w:p w14:paraId="3037771D" w14:textId="77777777" w:rsidR="003840CE" w:rsidRPr="00477BC0" w:rsidRDefault="003840CE" w:rsidP="006537E9">
      <w:pPr>
        <w:rPr>
          <w:sz w:val="20"/>
          <w:szCs w:val="20"/>
        </w:rPr>
      </w:pPr>
    </w:p>
    <w:p w14:paraId="5D5E7489" w14:textId="18A61EE3" w:rsidR="006537E9" w:rsidRDefault="003840CE" w:rsidP="00F06E23">
      <w:pPr>
        <w:jc w:val="both"/>
        <w:rPr>
          <w:sz w:val="20"/>
          <w:szCs w:val="20"/>
        </w:rPr>
      </w:pPr>
      <w:r>
        <w:rPr>
          <w:sz w:val="20"/>
          <w:szCs w:val="20"/>
        </w:rPr>
        <w:t>D</w:t>
      </w:r>
      <w:r w:rsidR="006537E9" w:rsidRPr="00477BC0">
        <w:rPr>
          <w:sz w:val="20"/>
          <w:szCs w:val="20"/>
        </w:rPr>
        <w:t xml:space="preserve">iagnosis is a two-step process that involves biochemical </w:t>
      </w:r>
      <w:r w:rsidR="00F87D62" w:rsidRPr="00F87D62">
        <w:rPr>
          <w:sz w:val="20"/>
          <w:szCs w:val="20"/>
        </w:rPr>
        <w:t>analysis</w:t>
      </w:r>
      <w:r w:rsidR="00F87D62">
        <w:rPr>
          <w:sz w:val="20"/>
          <w:szCs w:val="20"/>
        </w:rPr>
        <w:t xml:space="preserve"> </w:t>
      </w:r>
      <w:r w:rsidR="006537E9" w:rsidRPr="00477BC0">
        <w:rPr>
          <w:sz w:val="20"/>
          <w:szCs w:val="20"/>
        </w:rPr>
        <w:t xml:space="preserve">of urinary and plasma fractionated metanephrines and catecholamines, followed by radiological </w:t>
      </w:r>
      <w:r w:rsidR="00F87D62">
        <w:rPr>
          <w:sz w:val="20"/>
          <w:szCs w:val="20"/>
        </w:rPr>
        <w:t>imaging</w:t>
      </w:r>
      <w:r w:rsidR="006537E9" w:rsidRPr="00477BC0">
        <w:rPr>
          <w:sz w:val="20"/>
          <w:szCs w:val="20"/>
        </w:rPr>
        <w:t xml:space="preserve"> through CT, angiography, MRI, and PET [10, 11]. The </w:t>
      </w:r>
      <w:r w:rsidRPr="00AF2F38">
        <w:rPr>
          <w:sz w:val="20"/>
          <w:szCs w:val="20"/>
        </w:rPr>
        <w:t xml:space="preserve">choice of PET </w:t>
      </w:r>
      <w:r w:rsidR="006537E9" w:rsidRPr="00477BC0">
        <w:rPr>
          <w:sz w:val="20"/>
          <w:szCs w:val="20"/>
        </w:rPr>
        <w:t xml:space="preserve">radiopharmaceutical is contingent upon the specific pathogenic variants, as these directly influence the expression of receptors and metabolites in different paragangliomas. In </w:t>
      </w:r>
      <w:r w:rsidR="00F87D62">
        <w:rPr>
          <w:sz w:val="20"/>
          <w:szCs w:val="20"/>
        </w:rPr>
        <w:t>this</w:t>
      </w:r>
      <w:r w:rsidR="006537E9" w:rsidRPr="00477BC0">
        <w:rPr>
          <w:sz w:val="20"/>
          <w:szCs w:val="20"/>
        </w:rPr>
        <w:t xml:space="preserve"> case, Gallium Ga-68 DOTATATE was utilised - a compound selectively absorbed by cells overexpressing the somatostatin receptor</w:t>
      </w:r>
      <w:r>
        <w:rPr>
          <w:sz w:val="20"/>
          <w:szCs w:val="20"/>
        </w:rPr>
        <w:t xml:space="preserve"> </w:t>
      </w:r>
      <w:r w:rsidR="006537E9" w:rsidRPr="00477BC0">
        <w:rPr>
          <w:sz w:val="20"/>
          <w:szCs w:val="20"/>
        </w:rPr>
        <w:t>[12, 13].</w:t>
      </w:r>
    </w:p>
    <w:p w14:paraId="70738371" w14:textId="77777777" w:rsidR="00FC47A6" w:rsidRPr="00477BC0" w:rsidRDefault="00FC47A6" w:rsidP="006537E9">
      <w:pPr>
        <w:rPr>
          <w:sz w:val="20"/>
          <w:szCs w:val="20"/>
        </w:rPr>
      </w:pPr>
    </w:p>
    <w:p w14:paraId="0BA9829D" w14:textId="77777777" w:rsidR="006537E9" w:rsidRPr="00106587" w:rsidRDefault="006537E9" w:rsidP="00106587">
      <w:pPr>
        <w:rPr>
          <w:rFonts w:eastAsiaTheme="majorEastAsia"/>
          <w:b/>
          <w:bCs/>
          <w:i/>
          <w:iCs/>
          <w:color w:val="000000" w:themeColor="text1"/>
          <w:sz w:val="22"/>
          <w:szCs w:val="22"/>
          <w:lang w:eastAsia="en-US"/>
        </w:rPr>
      </w:pPr>
      <w:r w:rsidRPr="00106587">
        <w:rPr>
          <w:rFonts w:eastAsiaTheme="majorEastAsia"/>
          <w:b/>
          <w:bCs/>
          <w:i/>
          <w:iCs/>
          <w:color w:val="000000" w:themeColor="text1"/>
          <w:sz w:val="22"/>
          <w:szCs w:val="22"/>
          <w:lang w:eastAsia="en-US"/>
        </w:rPr>
        <w:t>Diagnostic Challenges</w:t>
      </w:r>
    </w:p>
    <w:p w14:paraId="62E8AC51" w14:textId="638C9790" w:rsidR="004F1EF6" w:rsidRDefault="006537E9" w:rsidP="006537E9">
      <w:pPr>
        <w:rPr>
          <w:sz w:val="20"/>
          <w:szCs w:val="20"/>
        </w:rPr>
      </w:pPr>
      <w:r w:rsidRPr="00477BC0">
        <w:rPr>
          <w:sz w:val="20"/>
          <w:szCs w:val="20"/>
        </w:rPr>
        <w:t xml:space="preserve">Paragangliomas, </w:t>
      </w:r>
      <w:r w:rsidR="003840CE">
        <w:rPr>
          <w:sz w:val="20"/>
          <w:szCs w:val="20"/>
        </w:rPr>
        <w:t>particularly</w:t>
      </w:r>
      <w:r w:rsidRPr="00477BC0">
        <w:rPr>
          <w:sz w:val="20"/>
          <w:szCs w:val="20"/>
        </w:rPr>
        <w:t xml:space="preserve"> those in the </w:t>
      </w:r>
      <w:r w:rsidR="003840CE">
        <w:rPr>
          <w:sz w:val="20"/>
          <w:szCs w:val="20"/>
        </w:rPr>
        <w:t>O</w:t>
      </w:r>
      <w:r w:rsidRPr="00477BC0">
        <w:rPr>
          <w:sz w:val="20"/>
          <w:szCs w:val="20"/>
        </w:rPr>
        <w:t xml:space="preserve">rgan of Zuckerkandl, </w:t>
      </w:r>
      <w:r w:rsidR="003840CE">
        <w:rPr>
          <w:sz w:val="20"/>
          <w:szCs w:val="20"/>
        </w:rPr>
        <w:t>present</w:t>
      </w:r>
      <w:r w:rsidRPr="00477BC0">
        <w:rPr>
          <w:sz w:val="20"/>
          <w:szCs w:val="20"/>
        </w:rPr>
        <w:t xml:space="preserve"> a formidable diagnostic challenge due to their rarity and often </w:t>
      </w:r>
      <w:r w:rsidR="003840CE">
        <w:rPr>
          <w:sz w:val="20"/>
          <w:szCs w:val="20"/>
        </w:rPr>
        <w:t>subtle</w:t>
      </w:r>
      <w:r w:rsidRPr="00477BC0">
        <w:rPr>
          <w:sz w:val="20"/>
          <w:szCs w:val="20"/>
        </w:rPr>
        <w:t xml:space="preserve"> </w:t>
      </w:r>
      <w:r w:rsidR="003840CE">
        <w:rPr>
          <w:sz w:val="20"/>
          <w:szCs w:val="20"/>
        </w:rPr>
        <w:t>manifestations</w:t>
      </w:r>
      <w:r w:rsidRPr="00477BC0">
        <w:rPr>
          <w:sz w:val="20"/>
          <w:szCs w:val="20"/>
        </w:rPr>
        <w:t xml:space="preserve">. </w:t>
      </w:r>
      <w:r w:rsidR="004F1EF6" w:rsidRPr="009F33A5">
        <w:rPr>
          <w:sz w:val="20"/>
          <w:szCs w:val="20"/>
        </w:rPr>
        <w:t>In younger patients without risk factors</w:t>
      </w:r>
      <w:r w:rsidR="004F1EF6">
        <w:rPr>
          <w:sz w:val="20"/>
          <w:szCs w:val="20"/>
        </w:rPr>
        <w:t>, treatment-resistant</w:t>
      </w:r>
      <w:r w:rsidRPr="00477BC0">
        <w:rPr>
          <w:sz w:val="20"/>
          <w:szCs w:val="20"/>
        </w:rPr>
        <w:t xml:space="preserve"> hypertension</w:t>
      </w:r>
      <w:r w:rsidR="004F1EF6">
        <w:rPr>
          <w:sz w:val="20"/>
          <w:szCs w:val="20"/>
        </w:rPr>
        <w:t xml:space="preserve"> </w:t>
      </w:r>
      <w:r w:rsidR="004F1EF6" w:rsidRPr="009F33A5">
        <w:rPr>
          <w:sz w:val="20"/>
          <w:szCs w:val="20"/>
        </w:rPr>
        <w:t>can point towards atypical causes like paragangliomas, reinforcing</w:t>
      </w:r>
      <w:r w:rsidR="004F1EF6">
        <w:rPr>
          <w:sz w:val="20"/>
          <w:szCs w:val="20"/>
        </w:rPr>
        <w:t xml:space="preserve"> </w:t>
      </w:r>
      <w:r w:rsidR="004F1EF6" w:rsidRPr="009F33A5">
        <w:rPr>
          <w:sz w:val="20"/>
          <w:szCs w:val="20"/>
        </w:rPr>
        <w:t xml:space="preserve">the </w:t>
      </w:r>
      <w:r w:rsidR="004F1EF6" w:rsidRPr="00477BC0">
        <w:rPr>
          <w:sz w:val="20"/>
          <w:szCs w:val="20"/>
        </w:rPr>
        <w:t xml:space="preserve">need </w:t>
      </w:r>
      <w:r w:rsidR="004F1EF6">
        <w:rPr>
          <w:sz w:val="20"/>
          <w:szCs w:val="20"/>
        </w:rPr>
        <w:t>for</w:t>
      </w:r>
      <w:r w:rsidR="004F1EF6" w:rsidRPr="009F33A5">
        <w:rPr>
          <w:sz w:val="20"/>
          <w:szCs w:val="20"/>
        </w:rPr>
        <w:t xml:space="preserve"> </w:t>
      </w:r>
      <w:r w:rsidR="004F1EF6" w:rsidRPr="00477BC0">
        <w:rPr>
          <w:sz w:val="20"/>
          <w:szCs w:val="20"/>
        </w:rPr>
        <w:t xml:space="preserve">an exhaustive </w:t>
      </w:r>
      <w:r w:rsidR="004F1EF6" w:rsidRPr="009F33A5">
        <w:rPr>
          <w:sz w:val="20"/>
          <w:szCs w:val="20"/>
        </w:rPr>
        <w:t xml:space="preserve">diagnostic </w:t>
      </w:r>
      <w:r w:rsidR="004F1EF6" w:rsidRPr="00477BC0">
        <w:rPr>
          <w:sz w:val="20"/>
          <w:szCs w:val="20"/>
        </w:rPr>
        <w:t>workup.</w:t>
      </w:r>
    </w:p>
    <w:p w14:paraId="6F3A9645" w14:textId="77777777" w:rsidR="003840CE" w:rsidRPr="00477BC0" w:rsidRDefault="003840CE" w:rsidP="006537E9">
      <w:pPr>
        <w:rPr>
          <w:sz w:val="20"/>
          <w:szCs w:val="20"/>
        </w:rPr>
      </w:pPr>
    </w:p>
    <w:p w14:paraId="29FA9C67" w14:textId="7B9522B9" w:rsidR="006537E9" w:rsidRDefault="009F33A5" w:rsidP="006537E9">
      <w:pPr>
        <w:rPr>
          <w:sz w:val="20"/>
          <w:szCs w:val="20"/>
        </w:rPr>
      </w:pPr>
      <w:r>
        <w:rPr>
          <w:sz w:val="20"/>
          <w:szCs w:val="20"/>
        </w:rPr>
        <w:lastRenderedPageBreak/>
        <w:t>The diagnosis employed a</w:t>
      </w:r>
      <w:r w:rsidR="006537E9" w:rsidRPr="00477BC0">
        <w:rPr>
          <w:sz w:val="20"/>
          <w:szCs w:val="20"/>
        </w:rPr>
        <w:t xml:space="preserve"> multi-</w:t>
      </w:r>
      <w:r w:rsidR="004F1EF6">
        <w:rPr>
          <w:sz w:val="20"/>
          <w:szCs w:val="20"/>
        </w:rPr>
        <w:t>modal</w:t>
      </w:r>
      <w:r w:rsidR="006537E9" w:rsidRPr="00477BC0">
        <w:rPr>
          <w:sz w:val="20"/>
          <w:szCs w:val="20"/>
        </w:rPr>
        <w:t xml:space="preserve"> approach, leveraging serum normetanephrine </w:t>
      </w:r>
      <w:r w:rsidRPr="00477BC0">
        <w:rPr>
          <w:sz w:val="20"/>
          <w:szCs w:val="20"/>
        </w:rPr>
        <w:t xml:space="preserve">biochemical testing </w:t>
      </w:r>
      <w:r w:rsidR="006537E9" w:rsidRPr="00477BC0">
        <w:rPr>
          <w:sz w:val="20"/>
          <w:szCs w:val="20"/>
        </w:rPr>
        <w:t xml:space="preserve">and </w:t>
      </w:r>
      <w:r w:rsidRPr="009F33A5">
        <w:rPr>
          <w:sz w:val="20"/>
          <w:szCs w:val="20"/>
        </w:rPr>
        <w:t>various</w:t>
      </w:r>
      <w:r w:rsidR="004F1EF6" w:rsidRPr="009F33A5">
        <w:rPr>
          <w:sz w:val="20"/>
          <w:szCs w:val="20"/>
        </w:rPr>
        <w:t xml:space="preserve"> </w:t>
      </w:r>
      <w:r w:rsidR="006537E9" w:rsidRPr="00477BC0">
        <w:rPr>
          <w:sz w:val="20"/>
          <w:szCs w:val="20"/>
        </w:rPr>
        <w:t>imaging techniques</w:t>
      </w:r>
      <w:r>
        <w:rPr>
          <w:sz w:val="20"/>
          <w:szCs w:val="20"/>
        </w:rPr>
        <w:t xml:space="preserve"> essential</w:t>
      </w:r>
      <w:r w:rsidR="006537E9" w:rsidRPr="00477BC0">
        <w:rPr>
          <w:sz w:val="20"/>
          <w:szCs w:val="20"/>
        </w:rPr>
        <w:t xml:space="preserve"> </w:t>
      </w:r>
      <w:r w:rsidRPr="009F33A5">
        <w:rPr>
          <w:sz w:val="20"/>
          <w:szCs w:val="20"/>
        </w:rPr>
        <w:t>for differentiating conditions</w:t>
      </w:r>
      <w:r>
        <w:rPr>
          <w:sz w:val="20"/>
          <w:szCs w:val="20"/>
        </w:rPr>
        <w:t xml:space="preserve"> like</w:t>
      </w:r>
      <w:r w:rsidR="006537E9" w:rsidRPr="00477BC0">
        <w:rPr>
          <w:sz w:val="20"/>
          <w:szCs w:val="20"/>
        </w:rPr>
        <w:t xml:space="preserve"> lymphadenopathy, adrenal masses, or other abdominal neoplasms. </w:t>
      </w:r>
      <w:r w:rsidR="004F1EF6">
        <w:rPr>
          <w:sz w:val="20"/>
          <w:szCs w:val="20"/>
        </w:rPr>
        <w:t>While</w:t>
      </w:r>
      <w:r w:rsidR="006537E9" w:rsidRPr="00477BC0">
        <w:rPr>
          <w:sz w:val="20"/>
          <w:szCs w:val="20"/>
        </w:rPr>
        <w:t xml:space="preserve"> contrast-enhanced CT and 68Ga DOTATATE PET</w:t>
      </w:r>
      <w:r>
        <w:rPr>
          <w:sz w:val="20"/>
          <w:szCs w:val="20"/>
        </w:rPr>
        <w:t xml:space="preserve"> findings</w:t>
      </w:r>
      <w:r w:rsidR="006537E9" w:rsidRPr="00477BC0">
        <w:rPr>
          <w:sz w:val="20"/>
          <w:szCs w:val="20"/>
        </w:rPr>
        <w:t xml:space="preserve"> </w:t>
      </w:r>
      <w:r w:rsidR="004F1EF6" w:rsidRPr="009F33A5">
        <w:rPr>
          <w:sz w:val="20"/>
          <w:szCs w:val="20"/>
        </w:rPr>
        <w:t xml:space="preserve">suggested a paraganglioma in the Organ of Zuckerkandl, </w:t>
      </w:r>
      <w:r>
        <w:rPr>
          <w:sz w:val="20"/>
          <w:szCs w:val="20"/>
        </w:rPr>
        <w:t>the</w:t>
      </w:r>
      <w:r w:rsidR="004F1EF6" w:rsidRPr="009F33A5">
        <w:rPr>
          <w:sz w:val="20"/>
          <w:szCs w:val="20"/>
        </w:rPr>
        <w:t xml:space="preserve"> </w:t>
      </w:r>
      <w:r w:rsidR="006537E9" w:rsidRPr="00477BC0">
        <w:rPr>
          <w:sz w:val="20"/>
          <w:szCs w:val="20"/>
        </w:rPr>
        <w:t xml:space="preserve">subsequent MRI </w:t>
      </w:r>
      <w:r w:rsidR="004F1EF6">
        <w:rPr>
          <w:sz w:val="20"/>
          <w:szCs w:val="20"/>
        </w:rPr>
        <w:t>was</w:t>
      </w:r>
      <w:r>
        <w:rPr>
          <w:sz w:val="20"/>
          <w:szCs w:val="20"/>
        </w:rPr>
        <w:t xml:space="preserve"> initially</w:t>
      </w:r>
      <w:r w:rsidR="006537E9" w:rsidRPr="00477BC0">
        <w:rPr>
          <w:sz w:val="20"/>
          <w:szCs w:val="20"/>
        </w:rPr>
        <w:t xml:space="preserve"> misinterpreted</w:t>
      </w:r>
      <w:r>
        <w:rPr>
          <w:sz w:val="20"/>
          <w:szCs w:val="20"/>
        </w:rPr>
        <w:t>.</w:t>
      </w:r>
      <w:r w:rsidR="006537E9" w:rsidRPr="00477BC0">
        <w:rPr>
          <w:sz w:val="20"/>
          <w:szCs w:val="20"/>
        </w:rPr>
        <w:t xml:space="preserve"> </w:t>
      </w:r>
      <w:r>
        <w:rPr>
          <w:sz w:val="20"/>
          <w:szCs w:val="20"/>
        </w:rPr>
        <w:t>This</w:t>
      </w:r>
      <w:r w:rsidR="006537E9" w:rsidRPr="00477BC0">
        <w:rPr>
          <w:sz w:val="20"/>
          <w:szCs w:val="20"/>
        </w:rPr>
        <w:t xml:space="preserve"> </w:t>
      </w:r>
      <w:r>
        <w:rPr>
          <w:sz w:val="20"/>
          <w:szCs w:val="20"/>
        </w:rPr>
        <w:t>exemplifies</w:t>
      </w:r>
      <w:r w:rsidR="006537E9" w:rsidRPr="00477BC0">
        <w:rPr>
          <w:sz w:val="20"/>
          <w:szCs w:val="20"/>
        </w:rPr>
        <w:t xml:space="preserve"> the </w:t>
      </w:r>
      <w:r>
        <w:rPr>
          <w:sz w:val="20"/>
          <w:szCs w:val="20"/>
        </w:rPr>
        <w:t>diagnostic complexities of</w:t>
      </w:r>
      <w:r w:rsidRPr="009F33A5">
        <w:rPr>
          <w:sz w:val="20"/>
          <w:szCs w:val="20"/>
        </w:rPr>
        <w:t xml:space="preserve"> </w:t>
      </w:r>
      <w:r w:rsidR="006537E9" w:rsidRPr="00477BC0">
        <w:rPr>
          <w:sz w:val="20"/>
          <w:szCs w:val="20"/>
        </w:rPr>
        <w:t xml:space="preserve">paragangliomas and the </w:t>
      </w:r>
      <w:r w:rsidR="00EF2526">
        <w:rPr>
          <w:sz w:val="20"/>
          <w:szCs w:val="20"/>
        </w:rPr>
        <w:t>imperative for</w:t>
      </w:r>
      <w:r>
        <w:rPr>
          <w:sz w:val="20"/>
          <w:szCs w:val="20"/>
        </w:rPr>
        <w:t xml:space="preserve"> vigilant radiological evaluation</w:t>
      </w:r>
      <w:r w:rsidR="006537E9" w:rsidRPr="00477BC0">
        <w:rPr>
          <w:sz w:val="20"/>
          <w:szCs w:val="20"/>
        </w:rPr>
        <w:t xml:space="preserve"> to </w:t>
      </w:r>
      <w:r>
        <w:rPr>
          <w:sz w:val="20"/>
          <w:szCs w:val="20"/>
        </w:rPr>
        <w:t xml:space="preserve">avoid </w:t>
      </w:r>
      <w:r w:rsidR="006537E9" w:rsidRPr="00477BC0">
        <w:rPr>
          <w:sz w:val="20"/>
          <w:szCs w:val="20"/>
        </w:rPr>
        <w:t xml:space="preserve">misdiagnosis. </w:t>
      </w:r>
    </w:p>
    <w:p w14:paraId="03B13A55" w14:textId="77777777" w:rsidR="004F1EF6" w:rsidRPr="00477BC0" w:rsidRDefault="004F1EF6" w:rsidP="006537E9">
      <w:pPr>
        <w:rPr>
          <w:sz w:val="20"/>
          <w:szCs w:val="20"/>
        </w:rPr>
      </w:pPr>
    </w:p>
    <w:p w14:paraId="29436A3F" w14:textId="1A074ED8" w:rsidR="003840CE" w:rsidRDefault="006537E9" w:rsidP="006537E9">
      <w:pPr>
        <w:rPr>
          <w:sz w:val="20"/>
          <w:szCs w:val="20"/>
        </w:rPr>
      </w:pPr>
      <w:r w:rsidRPr="00477BC0">
        <w:rPr>
          <w:sz w:val="20"/>
          <w:szCs w:val="20"/>
        </w:rPr>
        <w:t>The</w:t>
      </w:r>
      <w:r w:rsidR="00EF2526">
        <w:rPr>
          <w:sz w:val="20"/>
          <w:szCs w:val="20"/>
        </w:rPr>
        <w:t xml:space="preserve"> </w:t>
      </w:r>
      <w:r w:rsidR="00EF2526" w:rsidRPr="00477BC0">
        <w:rPr>
          <w:sz w:val="20"/>
          <w:szCs w:val="20"/>
        </w:rPr>
        <w:t>potential</w:t>
      </w:r>
      <w:r w:rsidRPr="00477BC0">
        <w:rPr>
          <w:sz w:val="20"/>
          <w:szCs w:val="20"/>
        </w:rPr>
        <w:t xml:space="preserve"> </w:t>
      </w:r>
      <w:r w:rsidR="00EF2526">
        <w:rPr>
          <w:sz w:val="20"/>
          <w:szCs w:val="20"/>
        </w:rPr>
        <w:t xml:space="preserve">genetic </w:t>
      </w:r>
      <w:r w:rsidR="00EF2526" w:rsidRPr="00477BC0">
        <w:rPr>
          <w:sz w:val="20"/>
          <w:szCs w:val="20"/>
        </w:rPr>
        <w:t xml:space="preserve">implications </w:t>
      </w:r>
      <w:r w:rsidR="00EF2526">
        <w:rPr>
          <w:sz w:val="20"/>
          <w:szCs w:val="20"/>
        </w:rPr>
        <w:t>of</w:t>
      </w:r>
      <w:r w:rsidRPr="00477BC0">
        <w:rPr>
          <w:sz w:val="20"/>
          <w:szCs w:val="20"/>
        </w:rPr>
        <w:t xml:space="preserve"> paragangliomas </w:t>
      </w:r>
      <w:r w:rsidR="00EF2526">
        <w:rPr>
          <w:sz w:val="20"/>
          <w:szCs w:val="20"/>
        </w:rPr>
        <w:t>with</w:t>
      </w:r>
      <w:r w:rsidRPr="00477BC0">
        <w:rPr>
          <w:sz w:val="20"/>
          <w:szCs w:val="20"/>
        </w:rPr>
        <w:t xml:space="preserve"> inherited syndromes </w:t>
      </w:r>
      <w:r w:rsidR="00EF2526">
        <w:rPr>
          <w:sz w:val="20"/>
          <w:szCs w:val="20"/>
        </w:rPr>
        <w:t>add</w:t>
      </w:r>
      <w:r w:rsidRPr="00477BC0">
        <w:rPr>
          <w:sz w:val="20"/>
          <w:szCs w:val="20"/>
        </w:rPr>
        <w:t xml:space="preserve"> another layer of complexity</w:t>
      </w:r>
      <w:r w:rsidR="00EF2526">
        <w:rPr>
          <w:sz w:val="20"/>
          <w:szCs w:val="20"/>
        </w:rPr>
        <w:t xml:space="preserve">, even in the absence of </w:t>
      </w:r>
      <w:r w:rsidR="009F33A5">
        <w:rPr>
          <w:lang w:eastAsia="en-US"/>
        </w:rPr>
        <w:t xml:space="preserve">a </w:t>
      </w:r>
      <w:r w:rsidR="009F33A5" w:rsidRPr="00EF2526">
        <w:rPr>
          <w:sz w:val="20"/>
          <w:szCs w:val="20"/>
        </w:rPr>
        <w:t>familial history.</w:t>
      </w:r>
      <w:r w:rsidRPr="00477BC0">
        <w:rPr>
          <w:sz w:val="20"/>
          <w:szCs w:val="20"/>
        </w:rPr>
        <w:t xml:space="preserve"> </w:t>
      </w:r>
      <w:r w:rsidR="00EF2526" w:rsidRPr="00EF2526">
        <w:rPr>
          <w:sz w:val="20"/>
          <w:szCs w:val="20"/>
        </w:rPr>
        <w:t>T</w:t>
      </w:r>
      <w:r w:rsidR="008E2E65" w:rsidRPr="00EF2526">
        <w:rPr>
          <w:sz w:val="20"/>
          <w:szCs w:val="20"/>
        </w:rPr>
        <w:t xml:space="preserve">he immunohistochemical evidence of retained </w:t>
      </w:r>
      <w:r w:rsidR="00EF2526" w:rsidRPr="00EF2526">
        <w:rPr>
          <w:sz w:val="20"/>
          <w:szCs w:val="20"/>
        </w:rPr>
        <w:t>SDH</w:t>
      </w:r>
      <w:r w:rsidR="008E2E65" w:rsidRPr="00EF2526">
        <w:rPr>
          <w:sz w:val="20"/>
          <w:szCs w:val="20"/>
        </w:rPr>
        <w:t xml:space="preserve"> B expression </w:t>
      </w:r>
      <w:r w:rsidR="00EF2526" w:rsidRPr="00EF2526">
        <w:rPr>
          <w:sz w:val="20"/>
          <w:szCs w:val="20"/>
        </w:rPr>
        <w:t>suggest that</w:t>
      </w:r>
      <w:r w:rsidR="008E2E65" w:rsidRPr="00EF2526">
        <w:rPr>
          <w:sz w:val="20"/>
          <w:szCs w:val="20"/>
        </w:rPr>
        <w:t xml:space="preserve"> germline </w:t>
      </w:r>
      <w:r w:rsidR="00EF2526" w:rsidRPr="00EF2526">
        <w:rPr>
          <w:sz w:val="20"/>
          <w:szCs w:val="20"/>
        </w:rPr>
        <w:t>SDH</w:t>
      </w:r>
      <w:r w:rsidR="008E2E65" w:rsidRPr="00EF2526">
        <w:rPr>
          <w:sz w:val="20"/>
          <w:szCs w:val="20"/>
        </w:rPr>
        <w:t xml:space="preserve"> mutations </w:t>
      </w:r>
      <w:r w:rsidR="00EF2526" w:rsidRPr="00EF2526">
        <w:rPr>
          <w:sz w:val="20"/>
          <w:szCs w:val="20"/>
        </w:rPr>
        <w:t xml:space="preserve">are not </w:t>
      </w:r>
      <w:r w:rsidR="008E2E65" w:rsidRPr="00EF2526">
        <w:rPr>
          <w:sz w:val="20"/>
          <w:szCs w:val="20"/>
        </w:rPr>
        <w:t xml:space="preserve">an aetiological risk factor in this case. </w:t>
      </w:r>
    </w:p>
    <w:p w14:paraId="00C0A389" w14:textId="77777777" w:rsidR="004F1EF6" w:rsidRDefault="004F1EF6" w:rsidP="004F1EF6">
      <w:pPr>
        <w:rPr>
          <w:lang w:eastAsia="en-US"/>
        </w:rPr>
      </w:pPr>
    </w:p>
    <w:p w14:paraId="63559C57" w14:textId="25686CF7" w:rsidR="00E5665D" w:rsidRPr="00E5665D" w:rsidRDefault="006537E9" w:rsidP="002904F1">
      <w:pPr>
        <w:rPr>
          <w:rFonts w:eastAsiaTheme="majorEastAsia"/>
          <w:b/>
          <w:bCs/>
          <w:i/>
          <w:iCs/>
          <w:color w:val="000000" w:themeColor="text1"/>
          <w:sz w:val="22"/>
          <w:szCs w:val="22"/>
          <w:lang w:eastAsia="en-US"/>
        </w:rPr>
      </w:pPr>
      <w:r w:rsidRPr="00E5665D">
        <w:rPr>
          <w:rFonts w:eastAsiaTheme="majorEastAsia"/>
          <w:b/>
          <w:bCs/>
          <w:i/>
          <w:iCs/>
          <w:color w:val="000000" w:themeColor="text1"/>
          <w:sz w:val="22"/>
          <w:szCs w:val="22"/>
          <w:lang w:eastAsia="en-US"/>
        </w:rPr>
        <w:t>Multidisciplinary Management</w:t>
      </w:r>
    </w:p>
    <w:p w14:paraId="2699FDAC" w14:textId="77777777" w:rsidR="002904F1" w:rsidRPr="002904F1" w:rsidRDefault="002904F1" w:rsidP="002904F1">
      <w:pPr>
        <w:rPr>
          <w:sz w:val="20"/>
          <w:szCs w:val="20"/>
        </w:rPr>
      </w:pPr>
      <w:r w:rsidRPr="002904F1">
        <w:rPr>
          <w:sz w:val="20"/>
          <w:szCs w:val="20"/>
        </w:rPr>
        <w:t xml:space="preserve">Emphasising the significance of a multidisciplinary approach, this case involved collaboration among general practitioners, radiologists, endocrinologists, and vascular surgeons. Presented initially with blurred vision and discomfort without notable ocular anomalies, the patient was unexpectedly diagnosed with labile hypertension. Despite initial antihypertensive interventions, the underlying catecholamine-producing tumour rendered them ineffective. Diagnostic clarity was achieved through a combination of radiological tools, including contrast-enhanced CT, 68Ga DOTATATE PET/CT scan, and MRI. </w:t>
      </w:r>
    </w:p>
    <w:p w14:paraId="7CA56475" w14:textId="77777777" w:rsidR="002904F1" w:rsidRPr="002904F1" w:rsidRDefault="002904F1" w:rsidP="002904F1">
      <w:pPr>
        <w:rPr>
          <w:sz w:val="20"/>
          <w:szCs w:val="20"/>
        </w:rPr>
      </w:pPr>
    </w:p>
    <w:p w14:paraId="59AAB295" w14:textId="6924F515" w:rsidR="004F1EF6" w:rsidRDefault="002904F1" w:rsidP="002904F1">
      <w:pPr>
        <w:rPr>
          <w:sz w:val="20"/>
          <w:szCs w:val="20"/>
        </w:rPr>
      </w:pPr>
      <w:r w:rsidRPr="6B9B7D4D">
        <w:rPr>
          <w:sz w:val="20"/>
          <w:szCs w:val="20"/>
        </w:rPr>
        <w:t xml:space="preserve">Upon biochemical and radiological validation, the focus shifted to surgical management. The tumour's </w:t>
      </w:r>
      <w:r w:rsidR="00E5665D" w:rsidRPr="6B9B7D4D">
        <w:rPr>
          <w:sz w:val="20"/>
          <w:szCs w:val="20"/>
        </w:rPr>
        <w:t xml:space="preserve">size and </w:t>
      </w:r>
      <w:r w:rsidRPr="6B9B7D4D">
        <w:rPr>
          <w:sz w:val="20"/>
          <w:szCs w:val="20"/>
        </w:rPr>
        <w:t xml:space="preserve">strategic location at the aortic bifurcation necessitated meticulous preoperative planning. Moreover, the potential catecholamine surge during surgery posed a risk of hypertensive crisis. Although abdominal paragangliomas can be addressed through open or endoscopic methods, factors such as tumour size, surgical anatomy, and indicators of local invasion </w:t>
      </w:r>
      <w:r w:rsidR="00E5665D" w:rsidRPr="6B9B7D4D">
        <w:rPr>
          <w:sz w:val="20"/>
          <w:szCs w:val="20"/>
        </w:rPr>
        <w:t>often dictate</w:t>
      </w:r>
      <w:r w:rsidRPr="6B9B7D4D">
        <w:rPr>
          <w:sz w:val="20"/>
          <w:szCs w:val="20"/>
        </w:rPr>
        <w:t xml:space="preserve"> the choice</w:t>
      </w:r>
      <w:r w:rsidR="00E5665D" w:rsidRPr="6B9B7D4D">
        <w:rPr>
          <w:sz w:val="20"/>
          <w:szCs w:val="20"/>
        </w:rPr>
        <w:t xml:space="preserve"> [14-17]</w:t>
      </w:r>
      <w:r w:rsidRPr="6B9B7D4D">
        <w:rPr>
          <w:sz w:val="20"/>
          <w:szCs w:val="20"/>
        </w:rPr>
        <w:t xml:space="preserve">. </w:t>
      </w:r>
      <w:r w:rsidR="498C05EB" w:rsidRPr="6B9B7D4D">
        <w:rPr>
          <w:sz w:val="20"/>
          <w:szCs w:val="20"/>
        </w:rPr>
        <w:t>Endoscopic</w:t>
      </w:r>
      <w:r w:rsidRPr="6B9B7D4D">
        <w:rPr>
          <w:sz w:val="20"/>
          <w:szCs w:val="20"/>
        </w:rPr>
        <w:t xml:space="preserve"> approaches are favoured for extra-adrenal paragangliomas due to reduced postoperative morbidity and shorter hospitali</w:t>
      </w:r>
      <w:r w:rsidR="00E5665D" w:rsidRPr="6B9B7D4D">
        <w:rPr>
          <w:sz w:val="20"/>
          <w:szCs w:val="20"/>
        </w:rPr>
        <w:t>s</w:t>
      </w:r>
      <w:r w:rsidRPr="6B9B7D4D">
        <w:rPr>
          <w:sz w:val="20"/>
          <w:szCs w:val="20"/>
        </w:rPr>
        <w:t>ation</w:t>
      </w:r>
      <w:r w:rsidR="00E5665D" w:rsidRPr="6B9B7D4D">
        <w:rPr>
          <w:sz w:val="20"/>
          <w:szCs w:val="20"/>
        </w:rPr>
        <w:t xml:space="preserve"> [15,16]</w:t>
      </w:r>
      <w:r w:rsidRPr="6B9B7D4D">
        <w:rPr>
          <w:sz w:val="20"/>
          <w:szCs w:val="20"/>
        </w:rPr>
        <w:t xml:space="preserve">. </w:t>
      </w:r>
      <w:r w:rsidR="00E5665D" w:rsidRPr="6B9B7D4D">
        <w:rPr>
          <w:sz w:val="20"/>
          <w:szCs w:val="20"/>
        </w:rPr>
        <w:t>However, large tumour size, challenging surgical anatomy, or radiographic and clinical indicators of local invasion may render an endoscopic approach impractical [17]. T</w:t>
      </w:r>
      <w:r w:rsidRPr="6B9B7D4D">
        <w:rPr>
          <w:sz w:val="20"/>
          <w:szCs w:val="20"/>
        </w:rPr>
        <w:t>he tumour's proximity to the aortic bifurcation in this case mandated an open procedure, acknowledging the potential for postoperative complications like retroperitoneal hematoma.</w:t>
      </w:r>
    </w:p>
    <w:p w14:paraId="2D96DE81" w14:textId="77777777" w:rsidR="002904F1" w:rsidRPr="00477BC0" w:rsidRDefault="002904F1" w:rsidP="006537E9">
      <w:pPr>
        <w:rPr>
          <w:sz w:val="20"/>
          <w:szCs w:val="20"/>
        </w:rPr>
      </w:pPr>
    </w:p>
    <w:p w14:paraId="01439E38" w14:textId="77777777" w:rsidR="006537E9" w:rsidRPr="00106587" w:rsidRDefault="006537E9" w:rsidP="00106587">
      <w:pPr>
        <w:rPr>
          <w:rFonts w:eastAsiaTheme="majorEastAsia"/>
          <w:b/>
          <w:bCs/>
          <w:i/>
          <w:iCs/>
          <w:color w:val="000000" w:themeColor="text1"/>
          <w:sz w:val="22"/>
          <w:szCs w:val="22"/>
          <w:lang w:eastAsia="en-US"/>
        </w:rPr>
      </w:pPr>
      <w:r w:rsidRPr="00106587">
        <w:rPr>
          <w:rFonts w:eastAsiaTheme="majorEastAsia"/>
          <w:b/>
          <w:bCs/>
          <w:i/>
          <w:iCs/>
          <w:color w:val="000000" w:themeColor="text1"/>
          <w:sz w:val="22"/>
          <w:szCs w:val="22"/>
          <w:lang w:eastAsia="en-US"/>
        </w:rPr>
        <w:t>Recurrence and Surveillance</w:t>
      </w:r>
    </w:p>
    <w:p w14:paraId="615B37AC" w14:textId="4290B08D" w:rsidR="006537E9" w:rsidRDefault="006537E9" w:rsidP="006537E9">
      <w:pPr>
        <w:rPr>
          <w:sz w:val="20"/>
          <w:szCs w:val="20"/>
        </w:rPr>
      </w:pPr>
      <w:r w:rsidRPr="00477BC0">
        <w:rPr>
          <w:sz w:val="20"/>
          <w:szCs w:val="20"/>
        </w:rPr>
        <w:t xml:space="preserve">Despite a &lt;10% </w:t>
      </w:r>
      <w:r w:rsidR="00E5665D">
        <w:rPr>
          <w:sz w:val="20"/>
          <w:szCs w:val="20"/>
        </w:rPr>
        <w:t xml:space="preserve">risk </w:t>
      </w:r>
      <w:r w:rsidRPr="00477BC0">
        <w:rPr>
          <w:sz w:val="20"/>
          <w:szCs w:val="20"/>
        </w:rPr>
        <w:t xml:space="preserve">of local recurrence </w:t>
      </w:r>
      <w:r w:rsidR="00E5665D">
        <w:rPr>
          <w:sz w:val="20"/>
          <w:szCs w:val="20"/>
        </w:rPr>
        <w:t>post-</w:t>
      </w:r>
      <w:r w:rsidRPr="00477BC0">
        <w:rPr>
          <w:sz w:val="20"/>
          <w:szCs w:val="20"/>
        </w:rPr>
        <w:t xml:space="preserve">total resection, it is crucial for healthcare practitioners to </w:t>
      </w:r>
      <w:r w:rsidR="00E5665D">
        <w:rPr>
          <w:sz w:val="20"/>
          <w:szCs w:val="20"/>
        </w:rPr>
        <w:t>remain</w:t>
      </w:r>
      <w:r w:rsidRPr="00477BC0">
        <w:rPr>
          <w:sz w:val="20"/>
          <w:szCs w:val="20"/>
        </w:rPr>
        <w:t xml:space="preserve"> vigilan</w:t>
      </w:r>
      <w:r w:rsidR="00E5665D">
        <w:rPr>
          <w:sz w:val="20"/>
          <w:szCs w:val="20"/>
        </w:rPr>
        <w:t>t</w:t>
      </w:r>
      <w:r w:rsidRPr="00477BC0">
        <w:rPr>
          <w:sz w:val="20"/>
          <w:szCs w:val="20"/>
        </w:rPr>
        <w:t xml:space="preserve">, especially </w:t>
      </w:r>
      <w:r w:rsidR="00E5665D">
        <w:rPr>
          <w:sz w:val="20"/>
          <w:szCs w:val="20"/>
        </w:rPr>
        <w:t xml:space="preserve">in cases </w:t>
      </w:r>
      <w:r w:rsidRPr="00477BC0">
        <w:rPr>
          <w:sz w:val="20"/>
          <w:szCs w:val="20"/>
        </w:rPr>
        <w:t xml:space="preserve">with multiple tumours, metastatic disease, familial paraganglioma, or extra-adrenal tumours [18]. </w:t>
      </w:r>
      <w:r w:rsidR="008E6878" w:rsidRPr="008E6878">
        <w:rPr>
          <w:sz w:val="20"/>
          <w:szCs w:val="20"/>
        </w:rPr>
        <w:t>Even ostensibly benign paragangliomas</w:t>
      </w:r>
      <w:r w:rsidRPr="00477BC0">
        <w:rPr>
          <w:sz w:val="20"/>
          <w:szCs w:val="20"/>
        </w:rPr>
        <w:t xml:space="preserve"> should not deter the implementation of annual life-long follow-ups</w:t>
      </w:r>
      <w:r w:rsidR="008E6878">
        <w:rPr>
          <w:sz w:val="20"/>
          <w:szCs w:val="20"/>
        </w:rPr>
        <w:t>,</w:t>
      </w:r>
      <w:r w:rsidRPr="00477BC0">
        <w:rPr>
          <w:sz w:val="20"/>
          <w:szCs w:val="20"/>
        </w:rPr>
        <w:t xml:space="preserve"> </w:t>
      </w:r>
      <w:r w:rsidR="008E6878">
        <w:rPr>
          <w:sz w:val="20"/>
          <w:szCs w:val="20"/>
        </w:rPr>
        <w:t>as</w:t>
      </w:r>
      <w:r w:rsidRPr="00477BC0">
        <w:rPr>
          <w:sz w:val="20"/>
          <w:szCs w:val="20"/>
        </w:rPr>
        <w:t xml:space="preserve"> 31% of patients </w:t>
      </w:r>
      <w:r w:rsidR="008E6878" w:rsidRPr="008E6878">
        <w:rPr>
          <w:sz w:val="20"/>
          <w:szCs w:val="20"/>
        </w:rPr>
        <w:t xml:space="preserve">in a series study spanning various regions showed </w:t>
      </w:r>
      <w:r w:rsidRPr="00477BC0">
        <w:rPr>
          <w:sz w:val="20"/>
          <w:szCs w:val="20"/>
        </w:rPr>
        <w:t>persistent or recurrent disease, or the development of metachronous primary tumours [19].</w:t>
      </w:r>
      <w:r w:rsidR="008E2E65">
        <w:rPr>
          <w:sz w:val="20"/>
          <w:szCs w:val="20"/>
        </w:rPr>
        <w:t xml:space="preserve"> </w:t>
      </w:r>
    </w:p>
    <w:p w14:paraId="43D1F33B" w14:textId="77777777" w:rsidR="008E6878" w:rsidRPr="00477BC0" w:rsidRDefault="008E6878" w:rsidP="006537E9">
      <w:pPr>
        <w:rPr>
          <w:sz w:val="20"/>
          <w:szCs w:val="20"/>
        </w:rPr>
      </w:pPr>
    </w:p>
    <w:p w14:paraId="68B3A6A8" w14:textId="0C41F6FA" w:rsidR="00E5665D" w:rsidRDefault="008E6878" w:rsidP="006537E9">
      <w:pPr>
        <w:rPr>
          <w:sz w:val="20"/>
          <w:szCs w:val="20"/>
        </w:rPr>
      </w:pPr>
      <w:r w:rsidRPr="008E6878">
        <w:rPr>
          <w:sz w:val="20"/>
          <w:szCs w:val="20"/>
        </w:rPr>
        <w:t xml:space="preserve">Following </w:t>
      </w:r>
      <w:r>
        <w:rPr>
          <w:sz w:val="20"/>
          <w:szCs w:val="20"/>
        </w:rPr>
        <w:t xml:space="preserve">resection of </w:t>
      </w:r>
      <w:r w:rsidRPr="008E6878">
        <w:rPr>
          <w:sz w:val="20"/>
          <w:szCs w:val="20"/>
        </w:rPr>
        <w:t>catecholamine-secreting paragangliomas</w:t>
      </w:r>
      <w:r w:rsidR="006537E9" w:rsidRPr="00477BC0">
        <w:rPr>
          <w:sz w:val="20"/>
          <w:szCs w:val="20"/>
        </w:rPr>
        <w:t xml:space="preserve">, the National Comprehensive Cancer Network </w:t>
      </w:r>
      <w:r>
        <w:rPr>
          <w:sz w:val="20"/>
          <w:szCs w:val="20"/>
        </w:rPr>
        <w:t xml:space="preserve">suggests repeat </w:t>
      </w:r>
      <w:r w:rsidRPr="008E6878">
        <w:rPr>
          <w:sz w:val="20"/>
          <w:szCs w:val="20"/>
        </w:rPr>
        <w:t>biochemical evaluation and imaging within three months</w:t>
      </w:r>
      <w:r>
        <w:rPr>
          <w:sz w:val="20"/>
          <w:szCs w:val="20"/>
        </w:rPr>
        <w:t xml:space="preserve"> </w:t>
      </w:r>
      <w:r w:rsidR="006537E9" w:rsidRPr="00477BC0">
        <w:rPr>
          <w:sz w:val="20"/>
          <w:szCs w:val="20"/>
        </w:rPr>
        <w:t xml:space="preserve">[20]. The benchmarks for successful operative treatment </w:t>
      </w:r>
      <w:r>
        <w:rPr>
          <w:sz w:val="20"/>
          <w:szCs w:val="20"/>
        </w:rPr>
        <w:t>are</w:t>
      </w:r>
      <w:r w:rsidR="006537E9" w:rsidRPr="00477BC0">
        <w:rPr>
          <w:sz w:val="20"/>
          <w:szCs w:val="20"/>
        </w:rPr>
        <w:t xml:space="preserve"> normalised </w:t>
      </w:r>
      <w:r w:rsidRPr="008E6878">
        <w:rPr>
          <w:sz w:val="20"/>
          <w:szCs w:val="20"/>
        </w:rPr>
        <w:t>plasma or urinary levels of fractionated metanephrines and catecholamines</w:t>
      </w:r>
      <w:r w:rsidR="006537E9" w:rsidRPr="00477BC0">
        <w:rPr>
          <w:sz w:val="20"/>
          <w:szCs w:val="20"/>
        </w:rPr>
        <w:t>, along with negative imaging results.</w:t>
      </w:r>
      <w:r>
        <w:rPr>
          <w:sz w:val="20"/>
          <w:szCs w:val="20"/>
        </w:rPr>
        <w:t xml:space="preserve"> Additionally, p</w:t>
      </w:r>
      <w:r w:rsidR="00E5665D" w:rsidRPr="00E5665D">
        <w:rPr>
          <w:sz w:val="20"/>
          <w:szCs w:val="20"/>
        </w:rPr>
        <w:t>ost-operative guidelines recommend monitoring blood pressure and biochemical markers semi-annually for the first three years, then annually for the next decade, tailoring imaging studies to specific clinical indications</w:t>
      </w:r>
      <w:r w:rsidRPr="008E6878">
        <w:rPr>
          <w:sz w:val="20"/>
          <w:szCs w:val="20"/>
        </w:rPr>
        <w:t xml:space="preserve"> [20].</w:t>
      </w:r>
    </w:p>
    <w:p w14:paraId="56B11EC3" w14:textId="77777777" w:rsidR="008E2E65" w:rsidRPr="00477BC0" w:rsidRDefault="008E2E65" w:rsidP="006537E9">
      <w:pPr>
        <w:rPr>
          <w:sz w:val="20"/>
          <w:szCs w:val="20"/>
        </w:rPr>
      </w:pPr>
    </w:p>
    <w:p w14:paraId="7D0013EB" w14:textId="54C931A5" w:rsidR="003E301A" w:rsidRPr="00477BC0" w:rsidRDefault="00477BC0" w:rsidP="00477BC0">
      <w:pPr>
        <w:pStyle w:val="Heading1"/>
        <w:rPr>
          <w:rFonts w:ascii="Times New Roman" w:hAnsi="Times New Roman" w:cs="Times New Roman"/>
          <w:b/>
          <w:bCs/>
          <w:color w:val="000000" w:themeColor="text1"/>
          <w:sz w:val="24"/>
          <w:szCs w:val="24"/>
        </w:rPr>
      </w:pPr>
      <w:r w:rsidRPr="00477BC0">
        <w:rPr>
          <w:rFonts w:ascii="Times New Roman" w:hAnsi="Times New Roman" w:cs="Times New Roman"/>
          <w:b/>
          <w:bCs/>
          <w:color w:val="000000" w:themeColor="text1"/>
          <w:sz w:val="24"/>
          <w:szCs w:val="24"/>
        </w:rPr>
        <w:t>CONCLUSION</w:t>
      </w:r>
    </w:p>
    <w:p w14:paraId="3F8B8574" w14:textId="06D4DC5A" w:rsidR="006537E9" w:rsidRPr="00477BC0" w:rsidRDefault="003E301A" w:rsidP="006537E9">
      <w:pPr>
        <w:rPr>
          <w:sz w:val="20"/>
          <w:szCs w:val="20"/>
        </w:rPr>
      </w:pPr>
      <w:r w:rsidRPr="00477BC0">
        <w:rPr>
          <w:sz w:val="20"/>
          <w:szCs w:val="20"/>
        </w:rPr>
        <w:t xml:space="preserve">In reporting a young male with resistant hypertension and a subsequently diagnosed Organ of Zuckerkandl paraganglioma, this intricate case illuminates the diagnostic complexities and challenges inherent in managing such rare conditions. Emphasising the crucial role of multi-disciplinary collaboration, from GPs to vascular surgeons, </w:t>
      </w:r>
      <w:r w:rsidR="00477BC0">
        <w:rPr>
          <w:sz w:val="20"/>
          <w:szCs w:val="20"/>
        </w:rPr>
        <w:t>the case report</w:t>
      </w:r>
      <w:r w:rsidRPr="00477BC0">
        <w:rPr>
          <w:sz w:val="20"/>
          <w:szCs w:val="20"/>
        </w:rPr>
        <w:t xml:space="preserve"> underscores the importance of comprehensive diagnostic evaluation, particularly when secondary hypertension arises in younger patients. Despite the successful intervention, post-operative complications highlighted areas for enhanced clinical decision-making and the need for genetic considerations within paraganglioma management. Moving forward, refining diagnostic criteria, advancing surgical practices, and delving deeper into genetic predispositions are paramount in optimising patient outcomes. Encouraging dedicated research on these fronts will not only bolster evidence-based practices but also elevate the comprehensive care and management of paragangliomas.</w:t>
      </w:r>
    </w:p>
    <w:bookmarkEnd w:id="11"/>
    <w:p w14:paraId="7C84E468" w14:textId="113B718E" w:rsidR="00477BC0" w:rsidRDefault="00D3112F" w:rsidP="00477BC0">
      <w:pPr>
        <w:pStyle w:val="Heading1"/>
        <w:rPr>
          <w:rFonts w:ascii="Times New Roman" w:hAnsi="Times New Roman" w:cs="Times New Roman"/>
          <w:b/>
          <w:bCs/>
          <w:color w:val="000000" w:themeColor="text1"/>
          <w:sz w:val="24"/>
          <w:szCs w:val="24"/>
        </w:rPr>
      </w:pPr>
      <w:r w:rsidRPr="00477BC0">
        <w:rPr>
          <w:rFonts w:ascii="Times New Roman" w:hAnsi="Times New Roman" w:cs="Times New Roman"/>
          <w:b/>
          <w:bCs/>
          <w:color w:val="000000" w:themeColor="text1"/>
          <w:sz w:val="24"/>
          <w:szCs w:val="24"/>
        </w:rPr>
        <w:lastRenderedPageBreak/>
        <w:t>AUTHOR CONTRIBUTIONS</w:t>
      </w:r>
    </w:p>
    <w:p w14:paraId="092CD883" w14:textId="10A1534A" w:rsidR="003B243F" w:rsidRDefault="003B243F" w:rsidP="003B243F">
      <w:pPr>
        <w:pStyle w:val="Heading1"/>
        <w:shd w:val="clear" w:color="auto" w:fill="FFFFFF"/>
        <w:spacing w:before="0" w:after="150" w:line="264" w:lineRule="atLeast"/>
        <w:textAlignment w:val="baseline"/>
        <w:rPr>
          <w:rFonts w:ascii="Times New Roman" w:eastAsiaTheme="minorHAnsi" w:hAnsi="Times New Roman" w:cs="Times New Roman"/>
          <w:color w:val="auto"/>
          <w:sz w:val="20"/>
          <w:szCs w:val="20"/>
        </w:rPr>
      </w:pPr>
      <w:r w:rsidRPr="00477BC0">
        <w:rPr>
          <w:rFonts w:ascii="Times New Roman" w:eastAsiaTheme="minorHAnsi" w:hAnsi="Times New Roman" w:cs="Times New Roman"/>
          <w:color w:val="auto"/>
          <w:sz w:val="20"/>
          <w:szCs w:val="20"/>
        </w:rPr>
        <w:t>Reabal Najjar</w:t>
      </w:r>
      <w:r>
        <w:rPr>
          <w:rFonts w:ascii="Times New Roman" w:eastAsiaTheme="minorHAnsi" w:hAnsi="Times New Roman" w:cs="Times New Roman"/>
          <w:color w:val="auto"/>
          <w:sz w:val="20"/>
          <w:szCs w:val="20"/>
        </w:rPr>
        <w:t>:</w:t>
      </w:r>
      <w:r w:rsidRPr="00477BC0">
        <w:rPr>
          <w:rFonts w:ascii="Times New Roman" w:eastAsiaTheme="minorHAnsi" w:hAnsi="Times New Roman" w:cs="Times New Roman"/>
          <w:color w:val="auto"/>
          <w:sz w:val="20"/>
          <w:szCs w:val="20"/>
        </w:rPr>
        <w:t xml:space="preserve"> </w:t>
      </w:r>
      <w:r w:rsidR="00E2660C" w:rsidRPr="00E2660C">
        <w:rPr>
          <w:rFonts w:ascii="Times New Roman" w:eastAsiaTheme="minorHAnsi" w:hAnsi="Times New Roman" w:cs="Times New Roman"/>
          <w:color w:val="auto"/>
          <w:sz w:val="20"/>
          <w:szCs w:val="20"/>
        </w:rPr>
        <w:t>Conceptualization</w:t>
      </w:r>
      <w:r w:rsidR="00E2660C">
        <w:rPr>
          <w:rFonts w:ascii="Times New Roman" w:eastAsiaTheme="minorHAnsi" w:hAnsi="Times New Roman" w:cs="Times New Roman"/>
          <w:color w:val="auto"/>
          <w:sz w:val="20"/>
          <w:szCs w:val="20"/>
        </w:rPr>
        <w:t xml:space="preserve">; </w:t>
      </w:r>
      <w:r w:rsidR="00E2660C" w:rsidRPr="00E2660C">
        <w:rPr>
          <w:rFonts w:ascii="Times New Roman" w:eastAsiaTheme="minorHAnsi" w:hAnsi="Times New Roman" w:cs="Times New Roman"/>
          <w:color w:val="auto"/>
          <w:sz w:val="20"/>
          <w:szCs w:val="20"/>
        </w:rPr>
        <w:t>Data Curation</w:t>
      </w:r>
      <w:r w:rsidR="00E2660C">
        <w:rPr>
          <w:rFonts w:ascii="Times New Roman" w:eastAsiaTheme="minorHAnsi" w:hAnsi="Times New Roman" w:cs="Times New Roman"/>
          <w:color w:val="auto"/>
          <w:sz w:val="20"/>
          <w:szCs w:val="20"/>
        </w:rPr>
        <w:t xml:space="preserve">; Formal Analysis; Investigation; </w:t>
      </w:r>
      <w:r w:rsidR="003F477E">
        <w:rPr>
          <w:rFonts w:ascii="Times New Roman" w:eastAsiaTheme="minorHAnsi" w:hAnsi="Times New Roman" w:cs="Times New Roman"/>
          <w:color w:val="auto"/>
          <w:sz w:val="20"/>
          <w:szCs w:val="20"/>
        </w:rPr>
        <w:t xml:space="preserve">Methodology; </w:t>
      </w:r>
      <w:r w:rsidR="00E2660C" w:rsidRPr="00E2660C">
        <w:rPr>
          <w:rFonts w:ascii="Times New Roman" w:eastAsiaTheme="minorHAnsi" w:hAnsi="Times New Roman" w:cs="Times New Roman"/>
          <w:color w:val="auto"/>
          <w:sz w:val="20"/>
          <w:szCs w:val="20"/>
        </w:rPr>
        <w:t>Visualization</w:t>
      </w:r>
      <w:r w:rsidR="00E2660C">
        <w:rPr>
          <w:rFonts w:ascii="Times New Roman" w:eastAsiaTheme="minorHAnsi" w:hAnsi="Times New Roman" w:cs="Times New Roman"/>
          <w:color w:val="auto"/>
          <w:sz w:val="20"/>
          <w:szCs w:val="20"/>
        </w:rPr>
        <w:t xml:space="preserve">; </w:t>
      </w:r>
      <w:r w:rsidR="00E2660C" w:rsidRPr="00E2660C">
        <w:rPr>
          <w:rFonts w:ascii="Times New Roman" w:eastAsiaTheme="minorHAnsi" w:hAnsi="Times New Roman" w:cs="Times New Roman"/>
          <w:color w:val="auto"/>
          <w:sz w:val="20"/>
          <w:szCs w:val="20"/>
        </w:rPr>
        <w:t>writing – original draft; writing – review and editing</w:t>
      </w:r>
      <w:r w:rsidR="003F477E">
        <w:rPr>
          <w:rFonts w:ascii="Times New Roman" w:eastAsiaTheme="minorHAnsi" w:hAnsi="Times New Roman" w:cs="Times New Roman"/>
          <w:color w:val="auto"/>
          <w:sz w:val="20"/>
          <w:szCs w:val="20"/>
        </w:rPr>
        <w:t>.</w:t>
      </w:r>
    </w:p>
    <w:p w14:paraId="48D3BC9B" w14:textId="69A8ED37" w:rsidR="003B243F" w:rsidRPr="00E2660C" w:rsidRDefault="003B243F" w:rsidP="003B243F">
      <w:pPr>
        <w:pStyle w:val="Heading1"/>
        <w:shd w:val="clear" w:color="auto" w:fill="FFFFFF"/>
        <w:spacing w:before="0" w:after="150" w:line="264" w:lineRule="atLeast"/>
        <w:textAlignment w:val="baseline"/>
        <w:rPr>
          <w:rFonts w:ascii="Times New Roman" w:eastAsiaTheme="minorHAnsi" w:hAnsi="Times New Roman" w:cs="Times New Roman"/>
          <w:color w:val="auto"/>
          <w:sz w:val="20"/>
          <w:szCs w:val="20"/>
        </w:rPr>
      </w:pPr>
      <w:r w:rsidRPr="00477BC0">
        <w:rPr>
          <w:rFonts w:ascii="Times New Roman" w:eastAsiaTheme="minorHAnsi" w:hAnsi="Times New Roman" w:cs="Times New Roman"/>
          <w:color w:val="auto"/>
          <w:sz w:val="20"/>
          <w:szCs w:val="20"/>
        </w:rPr>
        <w:t>Elizabeth Paver</w:t>
      </w:r>
      <w:r>
        <w:rPr>
          <w:rFonts w:ascii="Times New Roman" w:eastAsiaTheme="minorHAnsi" w:hAnsi="Times New Roman" w:cs="Times New Roman"/>
          <w:color w:val="auto"/>
          <w:sz w:val="20"/>
          <w:szCs w:val="20"/>
        </w:rPr>
        <w:t>:</w:t>
      </w:r>
      <w:r w:rsidR="00E2660C">
        <w:rPr>
          <w:rFonts w:ascii="Times New Roman" w:eastAsiaTheme="minorHAnsi" w:hAnsi="Times New Roman" w:cs="Times New Roman"/>
          <w:color w:val="auto"/>
          <w:sz w:val="20"/>
          <w:szCs w:val="20"/>
        </w:rPr>
        <w:t xml:space="preserve"> </w:t>
      </w:r>
      <w:r w:rsidR="003F477E">
        <w:rPr>
          <w:rFonts w:ascii="Times New Roman" w:eastAsiaTheme="minorHAnsi" w:hAnsi="Times New Roman" w:cs="Times New Roman"/>
          <w:color w:val="auto"/>
          <w:sz w:val="20"/>
          <w:szCs w:val="20"/>
        </w:rPr>
        <w:t xml:space="preserve">Resources; </w:t>
      </w:r>
      <w:r w:rsidR="00E2660C">
        <w:rPr>
          <w:rFonts w:ascii="Times New Roman" w:eastAsiaTheme="minorHAnsi" w:hAnsi="Times New Roman" w:cs="Times New Roman"/>
          <w:color w:val="auto"/>
          <w:sz w:val="20"/>
          <w:szCs w:val="20"/>
        </w:rPr>
        <w:t xml:space="preserve">Supervision; </w:t>
      </w:r>
      <w:r w:rsidR="00E2660C" w:rsidRPr="00E2660C">
        <w:rPr>
          <w:rFonts w:ascii="Times New Roman" w:eastAsiaTheme="minorHAnsi" w:hAnsi="Times New Roman" w:cs="Times New Roman"/>
          <w:color w:val="auto"/>
          <w:sz w:val="20"/>
          <w:szCs w:val="20"/>
        </w:rPr>
        <w:t>Visualization</w:t>
      </w:r>
      <w:r w:rsidR="00E2660C">
        <w:rPr>
          <w:rFonts w:ascii="Times New Roman" w:eastAsiaTheme="minorHAnsi" w:hAnsi="Times New Roman" w:cs="Times New Roman"/>
          <w:color w:val="auto"/>
          <w:sz w:val="20"/>
          <w:szCs w:val="20"/>
        </w:rPr>
        <w:t xml:space="preserve">; </w:t>
      </w:r>
      <w:r w:rsidR="00E2660C" w:rsidRPr="00E2660C">
        <w:rPr>
          <w:rFonts w:ascii="Times New Roman" w:eastAsiaTheme="minorHAnsi" w:hAnsi="Times New Roman" w:cs="Times New Roman"/>
          <w:color w:val="auto"/>
          <w:sz w:val="20"/>
          <w:szCs w:val="20"/>
        </w:rPr>
        <w:t>writing – review and editing</w:t>
      </w:r>
      <w:r w:rsidR="003F477E">
        <w:rPr>
          <w:rFonts w:ascii="Times New Roman" w:eastAsiaTheme="minorHAnsi" w:hAnsi="Times New Roman" w:cs="Times New Roman"/>
          <w:color w:val="auto"/>
          <w:sz w:val="20"/>
          <w:szCs w:val="20"/>
        </w:rPr>
        <w:t>.</w:t>
      </w:r>
    </w:p>
    <w:p w14:paraId="5D168E6B" w14:textId="47B0EE0B" w:rsidR="003B243F" w:rsidRPr="00E2660C" w:rsidRDefault="003B243F" w:rsidP="003B243F">
      <w:pPr>
        <w:pStyle w:val="Heading1"/>
        <w:shd w:val="clear" w:color="auto" w:fill="FFFFFF"/>
        <w:spacing w:before="0" w:after="150" w:line="264" w:lineRule="atLeast"/>
        <w:textAlignment w:val="baseline"/>
        <w:rPr>
          <w:rFonts w:ascii="Times New Roman" w:eastAsiaTheme="minorHAnsi" w:hAnsi="Times New Roman" w:cs="Times New Roman"/>
          <w:color w:val="auto"/>
          <w:sz w:val="20"/>
          <w:szCs w:val="20"/>
        </w:rPr>
      </w:pPr>
      <w:r w:rsidRPr="00477BC0">
        <w:rPr>
          <w:rFonts w:ascii="Times New Roman" w:eastAsiaTheme="minorHAnsi" w:hAnsi="Times New Roman" w:cs="Times New Roman"/>
          <w:color w:val="auto"/>
          <w:sz w:val="20"/>
          <w:szCs w:val="20"/>
        </w:rPr>
        <w:t xml:space="preserve">Jonathan </w:t>
      </w:r>
      <w:proofErr w:type="spellStart"/>
      <w:r w:rsidRPr="00477BC0">
        <w:rPr>
          <w:rFonts w:ascii="Times New Roman" w:eastAsiaTheme="minorHAnsi" w:hAnsi="Times New Roman" w:cs="Times New Roman"/>
          <w:color w:val="auto"/>
          <w:sz w:val="20"/>
          <w:szCs w:val="20"/>
        </w:rPr>
        <w:t>McGuane</w:t>
      </w:r>
      <w:proofErr w:type="spellEnd"/>
      <w:r>
        <w:rPr>
          <w:rFonts w:ascii="Times New Roman" w:eastAsiaTheme="minorHAnsi" w:hAnsi="Times New Roman" w:cs="Times New Roman"/>
          <w:color w:val="auto"/>
          <w:sz w:val="20"/>
          <w:szCs w:val="20"/>
        </w:rPr>
        <w:t>:</w:t>
      </w:r>
      <w:r w:rsidR="00E2660C">
        <w:rPr>
          <w:rFonts w:ascii="Times New Roman" w:eastAsiaTheme="minorHAnsi" w:hAnsi="Times New Roman" w:cs="Times New Roman"/>
          <w:color w:val="auto"/>
          <w:sz w:val="20"/>
          <w:szCs w:val="20"/>
        </w:rPr>
        <w:t xml:space="preserve"> </w:t>
      </w:r>
      <w:r w:rsidR="003F477E">
        <w:rPr>
          <w:rFonts w:ascii="Times New Roman" w:eastAsiaTheme="minorHAnsi" w:hAnsi="Times New Roman" w:cs="Times New Roman"/>
          <w:color w:val="auto"/>
          <w:sz w:val="20"/>
          <w:szCs w:val="20"/>
        </w:rPr>
        <w:t xml:space="preserve">Resources; </w:t>
      </w:r>
      <w:r w:rsidR="00E2660C" w:rsidRPr="00E2660C">
        <w:rPr>
          <w:rFonts w:ascii="Times New Roman" w:eastAsiaTheme="minorHAnsi" w:hAnsi="Times New Roman" w:cs="Times New Roman"/>
          <w:color w:val="auto"/>
          <w:sz w:val="20"/>
          <w:szCs w:val="20"/>
        </w:rPr>
        <w:t>Visualization</w:t>
      </w:r>
      <w:r w:rsidR="00E2660C">
        <w:rPr>
          <w:rFonts w:ascii="Times New Roman" w:eastAsiaTheme="minorHAnsi" w:hAnsi="Times New Roman" w:cs="Times New Roman"/>
          <w:color w:val="auto"/>
          <w:sz w:val="20"/>
          <w:szCs w:val="20"/>
        </w:rPr>
        <w:t xml:space="preserve">; </w:t>
      </w:r>
      <w:r w:rsidR="00E2660C" w:rsidRPr="00E2660C">
        <w:rPr>
          <w:rFonts w:ascii="Times New Roman" w:eastAsiaTheme="minorHAnsi" w:hAnsi="Times New Roman" w:cs="Times New Roman"/>
          <w:color w:val="auto"/>
          <w:sz w:val="20"/>
          <w:szCs w:val="20"/>
        </w:rPr>
        <w:t>writing – review and editing</w:t>
      </w:r>
      <w:r w:rsidR="003F477E">
        <w:rPr>
          <w:rFonts w:ascii="Times New Roman" w:eastAsiaTheme="minorHAnsi" w:hAnsi="Times New Roman" w:cs="Times New Roman"/>
          <w:color w:val="auto"/>
          <w:sz w:val="20"/>
          <w:szCs w:val="20"/>
        </w:rPr>
        <w:t>.</w:t>
      </w:r>
    </w:p>
    <w:p w14:paraId="2C007291" w14:textId="68AB186C" w:rsidR="003B243F" w:rsidRPr="00EF2526" w:rsidRDefault="003B243F" w:rsidP="00EF2526">
      <w:pPr>
        <w:pStyle w:val="Heading1"/>
        <w:shd w:val="clear" w:color="auto" w:fill="FFFFFF"/>
        <w:spacing w:before="0" w:after="150" w:line="264" w:lineRule="atLeast"/>
        <w:textAlignment w:val="baseline"/>
        <w:rPr>
          <w:rFonts w:ascii="Times New Roman" w:eastAsiaTheme="minorHAnsi" w:hAnsi="Times New Roman" w:cs="Times New Roman"/>
          <w:color w:val="auto"/>
          <w:sz w:val="20"/>
          <w:szCs w:val="20"/>
        </w:rPr>
      </w:pPr>
      <w:r w:rsidRPr="00477BC0">
        <w:rPr>
          <w:rFonts w:ascii="Times New Roman" w:eastAsiaTheme="minorHAnsi" w:hAnsi="Times New Roman" w:cs="Times New Roman"/>
          <w:color w:val="auto"/>
          <w:sz w:val="20"/>
          <w:szCs w:val="20"/>
        </w:rPr>
        <w:t>Gert Frahm-Jense</w:t>
      </w:r>
      <w:r>
        <w:rPr>
          <w:rFonts w:ascii="Times New Roman" w:eastAsiaTheme="minorHAnsi" w:hAnsi="Times New Roman" w:cs="Times New Roman"/>
          <w:color w:val="auto"/>
          <w:sz w:val="20"/>
          <w:szCs w:val="20"/>
        </w:rPr>
        <w:t>n:</w:t>
      </w:r>
      <w:r w:rsidR="00E2660C" w:rsidRPr="00E2660C">
        <w:rPr>
          <w:rFonts w:ascii="Times New Roman" w:eastAsiaTheme="minorHAnsi" w:hAnsi="Times New Roman" w:cs="Times New Roman"/>
          <w:color w:val="auto"/>
          <w:sz w:val="20"/>
          <w:szCs w:val="20"/>
        </w:rPr>
        <w:t xml:space="preserve"> Conceptualization</w:t>
      </w:r>
      <w:r w:rsidR="00E2660C">
        <w:rPr>
          <w:rFonts w:ascii="Times New Roman" w:eastAsiaTheme="minorHAnsi" w:hAnsi="Times New Roman" w:cs="Times New Roman"/>
          <w:color w:val="auto"/>
          <w:sz w:val="20"/>
          <w:szCs w:val="20"/>
        </w:rPr>
        <w:t xml:space="preserve">; Investigation; Project Administration; Supervision; </w:t>
      </w:r>
      <w:r w:rsidR="00E2660C" w:rsidRPr="00E2660C">
        <w:rPr>
          <w:rFonts w:ascii="Times New Roman" w:eastAsiaTheme="minorHAnsi" w:hAnsi="Times New Roman" w:cs="Times New Roman"/>
          <w:color w:val="auto"/>
          <w:sz w:val="20"/>
          <w:szCs w:val="20"/>
        </w:rPr>
        <w:t>writing – review and editing</w:t>
      </w:r>
      <w:r w:rsidR="003F477E">
        <w:rPr>
          <w:rFonts w:ascii="Times New Roman" w:eastAsiaTheme="minorHAnsi" w:hAnsi="Times New Roman" w:cs="Times New Roman"/>
          <w:color w:val="auto"/>
          <w:sz w:val="20"/>
          <w:szCs w:val="20"/>
        </w:rPr>
        <w:t>.</w:t>
      </w:r>
    </w:p>
    <w:p w14:paraId="668B8E1A" w14:textId="11B4A9CA" w:rsidR="006537E9" w:rsidRPr="00477BC0" w:rsidRDefault="00477BC0" w:rsidP="00F75C30">
      <w:pPr>
        <w:pStyle w:val="Heading1"/>
        <w:rPr>
          <w:rFonts w:ascii="Times New Roman" w:hAnsi="Times New Roman" w:cs="Times New Roman"/>
          <w:b/>
          <w:bCs/>
          <w:color w:val="000000" w:themeColor="text1"/>
          <w:sz w:val="24"/>
          <w:szCs w:val="24"/>
        </w:rPr>
      </w:pPr>
      <w:r w:rsidRPr="00477BC0">
        <w:rPr>
          <w:rFonts w:ascii="Times New Roman" w:hAnsi="Times New Roman" w:cs="Times New Roman"/>
          <w:b/>
          <w:bCs/>
          <w:color w:val="000000" w:themeColor="text1"/>
          <w:sz w:val="24"/>
          <w:szCs w:val="24"/>
        </w:rPr>
        <w:t>REFERENCES</w:t>
      </w:r>
    </w:p>
    <w:p w14:paraId="12D768EB" w14:textId="6D5CD423" w:rsidR="006537E9" w:rsidRPr="00477BC0" w:rsidRDefault="006537E9" w:rsidP="00F75C30">
      <w:pPr>
        <w:pStyle w:val="ListParagraph"/>
        <w:numPr>
          <w:ilvl w:val="0"/>
          <w:numId w:val="1"/>
        </w:numPr>
        <w:rPr>
          <w:rFonts w:ascii="Times New Roman" w:hAnsi="Times New Roman" w:cs="Times New Roman"/>
          <w:sz w:val="20"/>
          <w:szCs w:val="20"/>
        </w:rPr>
      </w:pPr>
      <w:proofErr w:type="spellStart"/>
      <w:r w:rsidRPr="00477BC0">
        <w:rPr>
          <w:rFonts w:ascii="Times New Roman" w:hAnsi="Times New Roman" w:cs="Times New Roman"/>
          <w:sz w:val="20"/>
          <w:szCs w:val="20"/>
        </w:rPr>
        <w:t>Figarella-Branger</w:t>
      </w:r>
      <w:proofErr w:type="spellEnd"/>
      <w:r w:rsidRPr="00477BC0">
        <w:rPr>
          <w:rFonts w:ascii="Times New Roman" w:hAnsi="Times New Roman" w:cs="Times New Roman"/>
          <w:sz w:val="20"/>
          <w:szCs w:val="20"/>
        </w:rPr>
        <w:t xml:space="preserve"> D, </w:t>
      </w:r>
      <w:proofErr w:type="spellStart"/>
      <w:r w:rsidRPr="00477BC0">
        <w:rPr>
          <w:rFonts w:ascii="Times New Roman" w:hAnsi="Times New Roman" w:cs="Times New Roman"/>
          <w:sz w:val="20"/>
          <w:szCs w:val="20"/>
        </w:rPr>
        <w:t>Trouillas</w:t>
      </w:r>
      <w:proofErr w:type="spellEnd"/>
      <w:r w:rsidRPr="00477BC0">
        <w:rPr>
          <w:rFonts w:ascii="Times New Roman" w:hAnsi="Times New Roman" w:cs="Times New Roman"/>
          <w:sz w:val="20"/>
          <w:szCs w:val="20"/>
        </w:rPr>
        <w:t xml:space="preserve"> J</w:t>
      </w:r>
      <w:r w:rsidR="003F477E">
        <w:rPr>
          <w:rFonts w:ascii="Times New Roman" w:hAnsi="Times New Roman" w:cs="Times New Roman"/>
          <w:sz w:val="20"/>
          <w:szCs w:val="20"/>
        </w:rPr>
        <w:t>.</w:t>
      </w:r>
      <w:r w:rsidRPr="00477BC0">
        <w:rPr>
          <w:rFonts w:ascii="Times New Roman" w:hAnsi="Times New Roman" w:cs="Times New Roman"/>
          <w:sz w:val="20"/>
          <w:szCs w:val="20"/>
        </w:rPr>
        <w:t xml:space="preserve"> The new WHO classification of human pituitary </w:t>
      </w:r>
      <w:proofErr w:type="spellStart"/>
      <w:r w:rsidRPr="00477BC0">
        <w:rPr>
          <w:rFonts w:ascii="Times New Roman" w:hAnsi="Times New Roman" w:cs="Times New Roman"/>
          <w:sz w:val="20"/>
          <w:szCs w:val="20"/>
        </w:rPr>
        <w:t>tumors</w:t>
      </w:r>
      <w:proofErr w:type="spellEnd"/>
      <w:r w:rsidRPr="00477BC0">
        <w:rPr>
          <w:rFonts w:ascii="Times New Roman" w:hAnsi="Times New Roman" w:cs="Times New Roman"/>
          <w:sz w:val="20"/>
          <w:szCs w:val="20"/>
        </w:rPr>
        <w:t xml:space="preserve">: comments. </w:t>
      </w:r>
      <w:r w:rsidRPr="003F477E">
        <w:rPr>
          <w:rFonts w:ascii="Times New Roman" w:hAnsi="Times New Roman" w:cs="Times New Roman"/>
          <w:i/>
          <w:iCs/>
          <w:sz w:val="20"/>
          <w:szCs w:val="20"/>
        </w:rPr>
        <w:t xml:space="preserve">Acta </w:t>
      </w:r>
      <w:proofErr w:type="spellStart"/>
      <w:r w:rsidRPr="003F477E">
        <w:rPr>
          <w:rFonts w:ascii="Times New Roman" w:hAnsi="Times New Roman" w:cs="Times New Roman"/>
          <w:i/>
          <w:iCs/>
          <w:sz w:val="20"/>
          <w:szCs w:val="20"/>
        </w:rPr>
        <w:t>Neuropathol</w:t>
      </w:r>
      <w:proofErr w:type="spellEnd"/>
      <w:r w:rsidRPr="00477BC0">
        <w:rPr>
          <w:rFonts w:ascii="Times New Roman" w:hAnsi="Times New Roman" w:cs="Times New Roman"/>
          <w:sz w:val="20"/>
          <w:szCs w:val="20"/>
        </w:rPr>
        <w:t xml:space="preserve">. </w:t>
      </w:r>
      <w:proofErr w:type="gramStart"/>
      <w:r w:rsidRPr="00477BC0">
        <w:rPr>
          <w:rFonts w:ascii="Times New Roman" w:hAnsi="Times New Roman" w:cs="Times New Roman"/>
          <w:sz w:val="20"/>
          <w:szCs w:val="20"/>
        </w:rPr>
        <w:t>2006</w:t>
      </w:r>
      <w:r w:rsidR="003F477E">
        <w:rPr>
          <w:rFonts w:ascii="Times New Roman" w:hAnsi="Times New Roman" w:cs="Times New Roman"/>
          <w:sz w:val="20"/>
          <w:szCs w:val="20"/>
        </w:rPr>
        <w:t>;</w:t>
      </w:r>
      <w:r w:rsidRPr="00477BC0">
        <w:rPr>
          <w:rFonts w:ascii="Times New Roman" w:hAnsi="Times New Roman" w:cs="Times New Roman"/>
          <w:sz w:val="20"/>
          <w:szCs w:val="20"/>
        </w:rPr>
        <w:t>111:71</w:t>
      </w:r>
      <w:proofErr w:type="gramEnd"/>
      <w:r w:rsidRPr="00477BC0">
        <w:rPr>
          <w:rFonts w:ascii="Times New Roman" w:hAnsi="Times New Roman" w:cs="Times New Roman"/>
          <w:sz w:val="20"/>
          <w:szCs w:val="20"/>
        </w:rPr>
        <w:t xml:space="preserve">-72. </w:t>
      </w:r>
      <w:r w:rsidR="003F477E">
        <w:rPr>
          <w:rFonts w:ascii="Times New Roman" w:hAnsi="Times New Roman" w:cs="Times New Roman"/>
          <w:sz w:val="20"/>
          <w:szCs w:val="20"/>
        </w:rPr>
        <w:t>doi:</w:t>
      </w:r>
      <w:r w:rsidRPr="00477BC0">
        <w:rPr>
          <w:rFonts w:ascii="Times New Roman" w:hAnsi="Times New Roman" w:cs="Times New Roman"/>
          <w:sz w:val="20"/>
          <w:szCs w:val="20"/>
        </w:rPr>
        <w:t>10.1007/s00401-005-1099-0</w:t>
      </w:r>
    </w:p>
    <w:p w14:paraId="6CE0C14E" w14:textId="48B6F339" w:rsidR="006537E9" w:rsidRPr="00477BC0" w:rsidRDefault="006537E9" w:rsidP="00F75C30">
      <w:pPr>
        <w:pStyle w:val="ListParagraph"/>
        <w:numPr>
          <w:ilvl w:val="0"/>
          <w:numId w:val="1"/>
        </w:numPr>
        <w:rPr>
          <w:rFonts w:ascii="Times New Roman" w:hAnsi="Times New Roman" w:cs="Times New Roman"/>
          <w:sz w:val="20"/>
          <w:szCs w:val="20"/>
        </w:rPr>
      </w:pPr>
      <w:r w:rsidRPr="00477BC0">
        <w:rPr>
          <w:rFonts w:ascii="Times New Roman" w:hAnsi="Times New Roman" w:cs="Times New Roman"/>
          <w:sz w:val="20"/>
          <w:szCs w:val="20"/>
        </w:rPr>
        <w:t>Neumann HPH, Young WF Jr, Eng C</w:t>
      </w:r>
      <w:r w:rsidR="003F477E">
        <w:rPr>
          <w:rFonts w:ascii="Times New Roman" w:hAnsi="Times New Roman" w:cs="Times New Roman"/>
          <w:sz w:val="20"/>
          <w:szCs w:val="20"/>
        </w:rPr>
        <w:t>.</w:t>
      </w:r>
      <w:r w:rsidRPr="00477BC0">
        <w:rPr>
          <w:rFonts w:ascii="Times New Roman" w:hAnsi="Times New Roman" w:cs="Times New Roman"/>
          <w:sz w:val="20"/>
          <w:szCs w:val="20"/>
        </w:rPr>
        <w:t xml:space="preserve"> Pheochromocytoma and Paraganglioma. </w:t>
      </w:r>
      <w:r w:rsidRPr="003F477E">
        <w:rPr>
          <w:rFonts w:ascii="Times New Roman" w:hAnsi="Times New Roman" w:cs="Times New Roman"/>
          <w:i/>
          <w:iCs/>
          <w:sz w:val="20"/>
          <w:szCs w:val="20"/>
        </w:rPr>
        <w:t xml:space="preserve">N </w:t>
      </w:r>
      <w:proofErr w:type="spellStart"/>
      <w:r w:rsidRPr="003F477E">
        <w:rPr>
          <w:rFonts w:ascii="Times New Roman" w:hAnsi="Times New Roman" w:cs="Times New Roman"/>
          <w:i/>
          <w:iCs/>
          <w:sz w:val="20"/>
          <w:szCs w:val="20"/>
        </w:rPr>
        <w:t>Engl</w:t>
      </w:r>
      <w:proofErr w:type="spellEnd"/>
      <w:r w:rsidRPr="003F477E">
        <w:rPr>
          <w:rFonts w:ascii="Times New Roman" w:hAnsi="Times New Roman" w:cs="Times New Roman"/>
          <w:i/>
          <w:iCs/>
          <w:sz w:val="20"/>
          <w:szCs w:val="20"/>
        </w:rPr>
        <w:t xml:space="preserve"> J Med</w:t>
      </w:r>
      <w:r w:rsidRPr="00477BC0">
        <w:rPr>
          <w:rFonts w:ascii="Times New Roman" w:hAnsi="Times New Roman" w:cs="Times New Roman"/>
          <w:sz w:val="20"/>
          <w:szCs w:val="20"/>
        </w:rPr>
        <w:t xml:space="preserve">. </w:t>
      </w:r>
      <w:proofErr w:type="gramStart"/>
      <w:r w:rsidRPr="00477BC0">
        <w:rPr>
          <w:rFonts w:ascii="Times New Roman" w:hAnsi="Times New Roman" w:cs="Times New Roman"/>
          <w:sz w:val="20"/>
          <w:szCs w:val="20"/>
        </w:rPr>
        <w:t>2019</w:t>
      </w:r>
      <w:r w:rsidR="003F477E">
        <w:rPr>
          <w:rFonts w:ascii="Times New Roman" w:hAnsi="Times New Roman" w:cs="Times New Roman"/>
          <w:sz w:val="20"/>
          <w:szCs w:val="20"/>
        </w:rPr>
        <w:t>;</w:t>
      </w:r>
      <w:r w:rsidRPr="00477BC0">
        <w:rPr>
          <w:rFonts w:ascii="Times New Roman" w:hAnsi="Times New Roman" w:cs="Times New Roman"/>
          <w:sz w:val="20"/>
          <w:szCs w:val="20"/>
        </w:rPr>
        <w:t>381:552</w:t>
      </w:r>
      <w:proofErr w:type="gramEnd"/>
      <w:r w:rsidRPr="00477BC0">
        <w:rPr>
          <w:rFonts w:ascii="Times New Roman" w:hAnsi="Times New Roman" w:cs="Times New Roman"/>
          <w:sz w:val="20"/>
          <w:szCs w:val="20"/>
        </w:rPr>
        <w:t xml:space="preserve">-565. </w:t>
      </w:r>
      <w:r w:rsidR="003F477E">
        <w:rPr>
          <w:rFonts w:ascii="Times New Roman" w:hAnsi="Times New Roman" w:cs="Times New Roman"/>
          <w:sz w:val="20"/>
          <w:szCs w:val="20"/>
        </w:rPr>
        <w:t>doi:</w:t>
      </w:r>
      <w:r w:rsidRPr="00477BC0">
        <w:rPr>
          <w:rFonts w:ascii="Times New Roman" w:hAnsi="Times New Roman" w:cs="Times New Roman"/>
          <w:sz w:val="20"/>
          <w:szCs w:val="20"/>
        </w:rPr>
        <w:t>10.1056/NEJMra1806651</w:t>
      </w:r>
    </w:p>
    <w:p w14:paraId="0564C78C" w14:textId="61081388" w:rsidR="006537E9" w:rsidRPr="00477BC0" w:rsidRDefault="00071C3F" w:rsidP="00F75C30">
      <w:pPr>
        <w:pStyle w:val="ListParagraph"/>
        <w:numPr>
          <w:ilvl w:val="0"/>
          <w:numId w:val="1"/>
        </w:numPr>
        <w:rPr>
          <w:rFonts w:ascii="Times New Roman" w:hAnsi="Times New Roman" w:cs="Times New Roman"/>
          <w:sz w:val="20"/>
          <w:szCs w:val="20"/>
        </w:rPr>
      </w:pPr>
      <w:proofErr w:type="spellStart"/>
      <w:r w:rsidRPr="00071C3F">
        <w:rPr>
          <w:rFonts w:ascii="Times New Roman" w:hAnsi="Times New Roman" w:cs="Times New Roman"/>
          <w:sz w:val="20"/>
          <w:szCs w:val="20"/>
        </w:rPr>
        <w:t>Burnichon</w:t>
      </w:r>
      <w:proofErr w:type="spellEnd"/>
      <w:r w:rsidRPr="00071C3F">
        <w:rPr>
          <w:rFonts w:ascii="Times New Roman" w:hAnsi="Times New Roman" w:cs="Times New Roman"/>
          <w:sz w:val="20"/>
          <w:szCs w:val="20"/>
        </w:rPr>
        <w:t xml:space="preserve"> N, </w:t>
      </w:r>
      <w:proofErr w:type="spellStart"/>
      <w:r w:rsidRPr="00071C3F">
        <w:rPr>
          <w:rFonts w:ascii="Times New Roman" w:hAnsi="Times New Roman" w:cs="Times New Roman"/>
          <w:sz w:val="20"/>
          <w:szCs w:val="20"/>
        </w:rPr>
        <w:t>Brière</w:t>
      </w:r>
      <w:proofErr w:type="spellEnd"/>
      <w:r w:rsidRPr="00071C3F">
        <w:rPr>
          <w:rFonts w:ascii="Times New Roman" w:hAnsi="Times New Roman" w:cs="Times New Roman"/>
          <w:sz w:val="20"/>
          <w:szCs w:val="20"/>
        </w:rPr>
        <w:t xml:space="preserve"> JJ, </w:t>
      </w:r>
      <w:proofErr w:type="spellStart"/>
      <w:r w:rsidRPr="00071C3F">
        <w:rPr>
          <w:rFonts w:ascii="Times New Roman" w:hAnsi="Times New Roman" w:cs="Times New Roman"/>
          <w:sz w:val="20"/>
          <w:szCs w:val="20"/>
        </w:rPr>
        <w:t>Libé</w:t>
      </w:r>
      <w:proofErr w:type="spellEnd"/>
      <w:r w:rsidRPr="00071C3F">
        <w:rPr>
          <w:rFonts w:ascii="Times New Roman" w:hAnsi="Times New Roman" w:cs="Times New Roman"/>
          <w:sz w:val="20"/>
          <w:szCs w:val="20"/>
        </w:rPr>
        <w:t xml:space="preserve"> R, </w:t>
      </w:r>
      <w:proofErr w:type="spellStart"/>
      <w:r w:rsidRPr="00071C3F">
        <w:rPr>
          <w:rFonts w:ascii="Times New Roman" w:hAnsi="Times New Roman" w:cs="Times New Roman"/>
          <w:sz w:val="20"/>
          <w:szCs w:val="20"/>
        </w:rPr>
        <w:t>Vescovo</w:t>
      </w:r>
      <w:proofErr w:type="spellEnd"/>
      <w:r w:rsidRPr="00071C3F">
        <w:rPr>
          <w:rFonts w:ascii="Times New Roman" w:hAnsi="Times New Roman" w:cs="Times New Roman"/>
          <w:sz w:val="20"/>
          <w:szCs w:val="20"/>
        </w:rPr>
        <w:t xml:space="preserve"> L, Rivière J, Tissier F, </w:t>
      </w:r>
      <w:proofErr w:type="spellStart"/>
      <w:r w:rsidRPr="00071C3F">
        <w:rPr>
          <w:rFonts w:ascii="Times New Roman" w:hAnsi="Times New Roman" w:cs="Times New Roman"/>
          <w:sz w:val="20"/>
          <w:szCs w:val="20"/>
        </w:rPr>
        <w:t>Jouanno</w:t>
      </w:r>
      <w:proofErr w:type="spellEnd"/>
      <w:r w:rsidRPr="00071C3F">
        <w:rPr>
          <w:rFonts w:ascii="Times New Roman" w:hAnsi="Times New Roman" w:cs="Times New Roman"/>
          <w:sz w:val="20"/>
          <w:szCs w:val="20"/>
        </w:rPr>
        <w:t xml:space="preserve"> E, </w:t>
      </w:r>
      <w:proofErr w:type="spellStart"/>
      <w:r w:rsidRPr="00071C3F">
        <w:rPr>
          <w:rFonts w:ascii="Times New Roman" w:hAnsi="Times New Roman" w:cs="Times New Roman"/>
          <w:sz w:val="20"/>
          <w:szCs w:val="20"/>
        </w:rPr>
        <w:t>Jeunemaitre</w:t>
      </w:r>
      <w:proofErr w:type="spellEnd"/>
      <w:r w:rsidRPr="00071C3F">
        <w:rPr>
          <w:rFonts w:ascii="Times New Roman" w:hAnsi="Times New Roman" w:cs="Times New Roman"/>
          <w:sz w:val="20"/>
          <w:szCs w:val="20"/>
        </w:rPr>
        <w:t xml:space="preserve"> X, </w:t>
      </w:r>
      <w:proofErr w:type="spellStart"/>
      <w:r w:rsidRPr="00071C3F">
        <w:rPr>
          <w:rFonts w:ascii="Times New Roman" w:hAnsi="Times New Roman" w:cs="Times New Roman"/>
          <w:sz w:val="20"/>
          <w:szCs w:val="20"/>
        </w:rPr>
        <w:t>Bénit</w:t>
      </w:r>
      <w:proofErr w:type="spellEnd"/>
      <w:r w:rsidRPr="00071C3F">
        <w:rPr>
          <w:rFonts w:ascii="Times New Roman" w:hAnsi="Times New Roman" w:cs="Times New Roman"/>
          <w:sz w:val="20"/>
          <w:szCs w:val="20"/>
        </w:rPr>
        <w:t xml:space="preserve"> P, </w:t>
      </w:r>
      <w:proofErr w:type="spellStart"/>
      <w:r w:rsidRPr="00071C3F">
        <w:rPr>
          <w:rFonts w:ascii="Times New Roman" w:hAnsi="Times New Roman" w:cs="Times New Roman"/>
          <w:sz w:val="20"/>
          <w:szCs w:val="20"/>
        </w:rPr>
        <w:t>Tzagoloff</w:t>
      </w:r>
      <w:proofErr w:type="spellEnd"/>
      <w:r w:rsidRPr="00071C3F">
        <w:rPr>
          <w:rFonts w:ascii="Times New Roman" w:hAnsi="Times New Roman" w:cs="Times New Roman"/>
          <w:sz w:val="20"/>
          <w:szCs w:val="20"/>
        </w:rPr>
        <w:t xml:space="preserve"> A, Rustin P, </w:t>
      </w:r>
      <w:proofErr w:type="spellStart"/>
      <w:r w:rsidRPr="00071C3F">
        <w:rPr>
          <w:rFonts w:ascii="Times New Roman" w:hAnsi="Times New Roman" w:cs="Times New Roman"/>
          <w:sz w:val="20"/>
          <w:szCs w:val="20"/>
        </w:rPr>
        <w:t>Bertherat</w:t>
      </w:r>
      <w:proofErr w:type="spellEnd"/>
      <w:r w:rsidRPr="00071C3F">
        <w:rPr>
          <w:rFonts w:ascii="Times New Roman" w:hAnsi="Times New Roman" w:cs="Times New Roman"/>
          <w:sz w:val="20"/>
          <w:szCs w:val="20"/>
        </w:rPr>
        <w:t xml:space="preserve"> J, Favier J, Gimenez-</w:t>
      </w:r>
      <w:proofErr w:type="spellStart"/>
      <w:r w:rsidRPr="00071C3F">
        <w:rPr>
          <w:rFonts w:ascii="Times New Roman" w:hAnsi="Times New Roman" w:cs="Times New Roman"/>
          <w:sz w:val="20"/>
          <w:szCs w:val="20"/>
        </w:rPr>
        <w:t>Roqueplo</w:t>
      </w:r>
      <w:proofErr w:type="spellEnd"/>
      <w:r w:rsidRPr="00071C3F">
        <w:rPr>
          <w:rFonts w:ascii="Times New Roman" w:hAnsi="Times New Roman" w:cs="Times New Roman"/>
          <w:sz w:val="20"/>
          <w:szCs w:val="20"/>
        </w:rPr>
        <w:t xml:space="preserve"> AP. </w:t>
      </w:r>
      <w:r w:rsidR="006537E9" w:rsidRPr="00477BC0">
        <w:rPr>
          <w:rFonts w:ascii="Times New Roman" w:hAnsi="Times New Roman" w:cs="Times New Roman"/>
          <w:sz w:val="20"/>
          <w:szCs w:val="20"/>
        </w:rPr>
        <w:t xml:space="preserve">SDHA is a </w:t>
      </w:r>
      <w:proofErr w:type="spellStart"/>
      <w:r w:rsidR="006537E9" w:rsidRPr="00477BC0">
        <w:rPr>
          <w:rFonts w:ascii="Times New Roman" w:hAnsi="Times New Roman" w:cs="Times New Roman"/>
          <w:sz w:val="20"/>
          <w:szCs w:val="20"/>
        </w:rPr>
        <w:t>tumor</w:t>
      </w:r>
      <w:proofErr w:type="spellEnd"/>
      <w:r w:rsidR="006537E9" w:rsidRPr="00477BC0">
        <w:rPr>
          <w:rFonts w:ascii="Times New Roman" w:hAnsi="Times New Roman" w:cs="Times New Roman"/>
          <w:sz w:val="20"/>
          <w:szCs w:val="20"/>
        </w:rPr>
        <w:t xml:space="preserve"> suppressor gene causing paraganglioma. </w:t>
      </w:r>
      <w:r w:rsidR="006537E9" w:rsidRPr="00071C3F">
        <w:rPr>
          <w:rFonts w:ascii="Times New Roman" w:hAnsi="Times New Roman" w:cs="Times New Roman"/>
          <w:i/>
          <w:iCs/>
          <w:sz w:val="20"/>
          <w:szCs w:val="20"/>
        </w:rPr>
        <w:t>Hum Mol Genet</w:t>
      </w:r>
      <w:r w:rsidR="006537E9" w:rsidRPr="00477BC0">
        <w:rPr>
          <w:rFonts w:ascii="Times New Roman" w:hAnsi="Times New Roman" w:cs="Times New Roman"/>
          <w:sz w:val="20"/>
          <w:szCs w:val="20"/>
        </w:rPr>
        <w:t xml:space="preserve">. </w:t>
      </w:r>
      <w:proofErr w:type="gramStart"/>
      <w:r w:rsidR="006537E9" w:rsidRPr="00477BC0">
        <w:rPr>
          <w:rFonts w:ascii="Times New Roman" w:hAnsi="Times New Roman" w:cs="Times New Roman"/>
          <w:sz w:val="20"/>
          <w:szCs w:val="20"/>
        </w:rPr>
        <w:t>2010</w:t>
      </w:r>
      <w:r>
        <w:rPr>
          <w:rFonts w:ascii="Times New Roman" w:hAnsi="Times New Roman" w:cs="Times New Roman"/>
          <w:sz w:val="20"/>
          <w:szCs w:val="20"/>
        </w:rPr>
        <w:t>;</w:t>
      </w:r>
      <w:r w:rsidR="006537E9" w:rsidRPr="00477BC0">
        <w:rPr>
          <w:rFonts w:ascii="Times New Roman" w:hAnsi="Times New Roman" w:cs="Times New Roman"/>
          <w:sz w:val="20"/>
          <w:szCs w:val="20"/>
        </w:rPr>
        <w:t>19:3011</w:t>
      </w:r>
      <w:proofErr w:type="gramEnd"/>
      <w:r w:rsidR="006537E9" w:rsidRPr="00477BC0">
        <w:rPr>
          <w:rFonts w:ascii="Times New Roman" w:hAnsi="Times New Roman" w:cs="Times New Roman"/>
          <w:sz w:val="20"/>
          <w:szCs w:val="20"/>
        </w:rPr>
        <w:t xml:space="preserve">-20. </w:t>
      </w:r>
      <w:r w:rsidR="003F477E">
        <w:rPr>
          <w:rFonts w:ascii="Times New Roman" w:hAnsi="Times New Roman" w:cs="Times New Roman"/>
          <w:sz w:val="20"/>
          <w:szCs w:val="20"/>
        </w:rPr>
        <w:t>doi:</w:t>
      </w:r>
      <w:r w:rsidR="006537E9" w:rsidRPr="00477BC0">
        <w:rPr>
          <w:rFonts w:ascii="Times New Roman" w:hAnsi="Times New Roman" w:cs="Times New Roman"/>
          <w:sz w:val="20"/>
          <w:szCs w:val="20"/>
        </w:rPr>
        <w:t>10.1093/</w:t>
      </w:r>
      <w:proofErr w:type="spellStart"/>
      <w:r w:rsidR="006537E9" w:rsidRPr="00477BC0">
        <w:rPr>
          <w:rFonts w:ascii="Times New Roman" w:hAnsi="Times New Roman" w:cs="Times New Roman"/>
          <w:sz w:val="20"/>
          <w:szCs w:val="20"/>
        </w:rPr>
        <w:t>hmg</w:t>
      </w:r>
      <w:proofErr w:type="spellEnd"/>
      <w:r w:rsidR="006537E9" w:rsidRPr="00477BC0">
        <w:rPr>
          <w:rFonts w:ascii="Times New Roman" w:hAnsi="Times New Roman" w:cs="Times New Roman"/>
          <w:sz w:val="20"/>
          <w:szCs w:val="20"/>
        </w:rPr>
        <w:t>/ddq206</w:t>
      </w:r>
    </w:p>
    <w:p w14:paraId="0648033B" w14:textId="00D09C37" w:rsidR="006537E9" w:rsidRPr="00477BC0" w:rsidRDefault="00071C3F" w:rsidP="00F75C30">
      <w:pPr>
        <w:pStyle w:val="ListParagraph"/>
        <w:numPr>
          <w:ilvl w:val="0"/>
          <w:numId w:val="1"/>
        </w:numPr>
        <w:rPr>
          <w:rFonts w:ascii="Times New Roman" w:hAnsi="Times New Roman" w:cs="Times New Roman"/>
          <w:sz w:val="20"/>
          <w:szCs w:val="20"/>
        </w:rPr>
      </w:pPr>
      <w:r w:rsidRPr="00071C3F">
        <w:rPr>
          <w:rFonts w:ascii="Times New Roman" w:hAnsi="Times New Roman" w:cs="Times New Roman"/>
          <w:sz w:val="20"/>
          <w:szCs w:val="20"/>
        </w:rPr>
        <w:t xml:space="preserve">Fishbein L, Merrill S, </w:t>
      </w:r>
      <w:proofErr w:type="spellStart"/>
      <w:r w:rsidRPr="00071C3F">
        <w:rPr>
          <w:rFonts w:ascii="Times New Roman" w:hAnsi="Times New Roman" w:cs="Times New Roman"/>
          <w:sz w:val="20"/>
          <w:szCs w:val="20"/>
        </w:rPr>
        <w:t>Fraker</w:t>
      </w:r>
      <w:proofErr w:type="spellEnd"/>
      <w:r w:rsidRPr="00071C3F">
        <w:rPr>
          <w:rFonts w:ascii="Times New Roman" w:hAnsi="Times New Roman" w:cs="Times New Roman"/>
          <w:sz w:val="20"/>
          <w:szCs w:val="20"/>
        </w:rPr>
        <w:t xml:space="preserve"> DL, Cohen DL, Nathanson KL.</w:t>
      </w:r>
      <w:r>
        <w:rPr>
          <w:rFonts w:ascii="Times New Roman" w:hAnsi="Times New Roman" w:cs="Times New Roman"/>
          <w:sz w:val="20"/>
          <w:szCs w:val="20"/>
        </w:rPr>
        <w:t xml:space="preserve"> </w:t>
      </w:r>
      <w:r w:rsidR="006537E9" w:rsidRPr="00477BC0">
        <w:rPr>
          <w:rFonts w:ascii="Times New Roman" w:hAnsi="Times New Roman" w:cs="Times New Roman"/>
          <w:sz w:val="20"/>
          <w:szCs w:val="20"/>
        </w:rPr>
        <w:t xml:space="preserve">Inherited Mutations in Pheochromocytoma and Paraganglioma: Why All Patients Should Be Offered Genetic Testing. Ann </w:t>
      </w:r>
      <w:r w:rsidR="006537E9" w:rsidRPr="00071C3F">
        <w:rPr>
          <w:rFonts w:ascii="Times New Roman" w:hAnsi="Times New Roman" w:cs="Times New Roman"/>
          <w:i/>
          <w:iCs/>
          <w:sz w:val="20"/>
          <w:szCs w:val="20"/>
        </w:rPr>
        <w:t>Surg Oncol</w:t>
      </w:r>
      <w:r w:rsidR="006537E9" w:rsidRPr="00477BC0">
        <w:rPr>
          <w:rFonts w:ascii="Times New Roman" w:hAnsi="Times New Roman" w:cs="Times New Roman"/>
          <w:sz w:val="20"/>
          <w:szCs w:val="20"/>
        </w:rPr>
        <w:t>. 2013</w:t>
      </w:r>
      <w:r w:rsidRPr="00071C3F">
        <w:rPr>
          <w:rFonts w:ascii="Times New Roman" w:hAnsi="Times New Roman" w:cs="Times New Roman"/>
          <w:sz w:val="20"/>
          <w:szCs w:val="20"/>
        </w:rPr>
        <w:t>;20(5):1444-50.</w:t>
      </w:r>
      <w:r>
        <w:rPr>
          <w:rFonts w:ascii="Times New Roman" w:hAnsi="Times New Roman" w:cs="Times New Roman"/>
          <w:sz w:val="20"/>
          <w:szCs w:val="20"/>
        </w:rPr>
        <w:t xml:space="preserve"> doi:</w:t>
      </w:r>
      <w:r w:rsidR="006537E9" w:rsidRPr="00477BC0">
        <w:rPr>
          <w:rFonts w:ascii="Times New Roman" w:hAnsi="Times New Roman" w:cs="Times New Roman"/>
          <w:sz w:val="20"/>
          <w:szCs w:val="20"/>
        </w:rPr>
        <w:t>10.1245/s10434-013-2942-5</w:t>
      </w:r>
    </w:p>
    <w:p w14:paraId="6B2E5C31" w14:textId="6A1B5E8F" w:rsidR="00071C3F" w:rsidRPr="00071C3F" w:rsidRDefault="00071C3F" w:rsidP="00F75C30">
      <w:pPr>
        <w:pStyle w:val="ListParagraph"/>
        <w:numPr>
          <w:ilvl w:val="0"/>
          <w:numId w:val="1"/>
        </w:numPr>
        <w:rPr>
          <w:rFonts w:ascii="Times New Roman" w:hAnsi="Times New Roman" w:cs="Times New Roman"/>
          <w:sz w:val="20"/>
          <w:szCs w:val="20"/>
        </w:rPr>
      </w:pPr>
      <w:proofErr w:type="spellStart"/>
      <w:r w:rsidRPr="00071C3F">
        <w:rPr>
          <w:rFonts w:ascii="Times New Roman" w:hAnsi="Times New Roman" w:cs="Times New Roman"/>
          <w:sz w:val="20"/>
          <w:szCs w:val="20"/>
        </w:rPr>
        <w:t>Grozinsky</w:t>
      </w:r>
      <w:proofErr w:type="spellEnd"/>
      <w:r w:rsidRPr="00071C3F">
        <w:rPr>
          <w:rFonts w:ascii="Times New Roman" w:hAnsi="Times New Roman" w:cs="Times New Roman"/>
          <w:sz w:val="20"/>
          <w:szCs w:val="20"/>
        </w:rPr>
        <w:t xml:space="preserve">-Glasberg S, </w:t>
      </w:r>
      <w:proofErr w:type="spellStart"/>
      <w:r w:rsidRPr="00071C3F">
        <w:rPr>
          <w:rFonts w:ascii="Times New Roman" w:hAnsi="Times New Roman" w:cs="Times New Roman"/>
          <w:sz w:val="20"/>
          <w:szCs w:val="20"/>
        </w:rPr>
        <w:t>Szalat</w:t>
      </w:r>
      <w:proofErr w:type="spellEnd"/>
      <w:r w:rsidRPr="00071C3F">
        <w:rPr>
          <w:rFonts w:ascii="Times New Roman" w:hAnsi="Times New Roman" w:cs="Times New Roman"/>
          <w:sz w:val="20"/>
          <w:szCs w:val="20"/>
        </w:rPr>
        <w:t xml:space="preserve"> A, </w:t>
      </w:r>
      <w:proofErr w:type="spellStart"/>
      <w:r w:rsidRPr="00071C3F">
        <w:rPr>
          <w:rFonts w:ascii="Times New Roman" w:hAnsi="Times New Roman" w:cs="Times New Roman"/>
          <w:sz w:val="20"/>
          <w:szCs w:val="20"/>
        </w:rPr>
        <w:t>Benbassat</w:t>
      </w:r>
      <w:proofErr w:type="spellEnd"/>
      <w:r w:rsidRPr="00071C3F">
        <w:rPr>
          <w:rFonts w:ascii="Times New Roman" w:hAnsi="Times New Roman" w:cs="Times New Roman"/>
          <w:sz w:val="20"/>
          <w:szCs w:val="20"/>
        </w:rPr>
        <w:t xml:space="preserve"> CA. </w:t>
      </w:r>
      <w:proofErr w:type="spellStart"/>
      <w:r w:rsidRPr="00071C3F">
        <w:rPr>
          <w:rFonts w:ascii="Times New Roman" w:hAnsi="Times New Roman" w:cs="Times New Roman"/>
          <w:sz w:val="20"/>
          <w:szCs w:val="20"/>
        </w:rPr>
        <w:t>Gorshtein</w:t>
      </w:r>
      <w:proofErr w:type="spellEnd"/>
      <w:r w:rsidRPr="00071C3F">
        <w:rPr>
          <w:rFonts w:ascii="Times New Roman" w:hAnsi="Times New Roman" w:cs="Times New Roman"/>
          <w:sz w:val="20"/>
          <w:szCs w:val="20"/>
        </w:rPr>
        <w:t xml:space="preserve"> A, Weinstein R, Hirsch D, Shraga-Slutzky</w:t>
      </w:r>
      <w:r>
        <w:rPr>
          <w:rFonts w:ascii="Times New Roman" w:hAnsi="Times New Roman" w:cs="Times New Roman"/>
          <w:sz w:val="20"/>
          <w:szCs w:val="20"/>
        </w:rPr>
        <w:t xml:space="preserve"> I,</w:t>
      </w:r>
      <w:r w:rsidRPr="00071C3F">
        <w:rPr>
          <w:rFonts w:ascii="Times New Roman" w:hAnsi="Times New Roman" w:cs="Times New Roman"/>
          <w:sz w:val="20"/>
          <w:szCs w:val="20"/>
        </w:rPr>
        <w:t xml:space="preserve"> </w:t>
      </w:r>
      <w:proofErr w:type="spellStart"/>
      <w:r w:rsidRPr="00071C3F">
        <w:rPr>
          <w:rFonts w:ascii="Times New Roman" w:hAnsi="Times New Roman" w:cs="Times New Roman"/>
          <w:sz w:val="20"/>
          <w:szCs w:val="20"/>
        </w:rPr>
        <w:t>Tsvetov</w:t>
      </w:r>
      <w:proofErr w:type="spellEnd"/>
      <w:r>
        <w:rPr>
          <w:rFonts w:ascii="Times New Roman" w:hAnsi="Times New Roman" w:cs="Times New Roman"/>
          <w:sz w:val="20"/>
          <w:szCs w:val="20"/>
        </w:rPr>
        <w:t xml:space="preserve"> G,</w:t>
      </w:r>
      <w:r w:rsidRPr="00071C3F">
        <w:rPr>
          <w:rFonts w:ascii="Times New Roman" w:hAnsi="Times New Roman" w:cs="Times New Roman"/>
          <w:sz w:val="20"/>
          <w:szCs w:val="20"/>
        </w:rPr>
        <w:t xml:space="preserve"> Gross </w:t>
      </w:r>
      <w:r>
        <w:rPr>
          <w:rFonts w:ascii="Times New Roman" w:hAnsi="Times New Roman" w:cs="Times New Roman"/>
          <w:sz w:val="20"/>
          <w:szCs w:val="20"/>
        </w:rPr>
        <w:t xml:space="preserve">DJ, </w:t>
      </w:r>
      <w:r w:rsidRPr="00071C3F">
        <w:rPr>
          <w:rFonts w:ascii="Times New Roman" w:hAnsi="Times New Roman" w:cs="Times New Roman"/>
          <w:sz w:val="20"/>
          <w:szCs w:val="20"/>
        </w:rPr>
        <w:t>Shimon</w:t>
      </w:r>
      <w:r>
        <w:rPr>
          <w:rFonts w:ascii="Times New Roman" w:hAnsi="Times New Roman" w:cs="Times New Roman"/>
          <w:sz w:val="20"/>
          <w:szCs w:val="20"/>
        </w:rPr>
        <w:t xml:space="preserve"> I</w:t>
      </w:r>
      <w:r w:rsidRPr="00071C3F">
        <w:rPr>
          <w:rFonts w:ascii="Times New Roman" w:hAnsi="Times New Roman" w:cs="Times New Roman"/>
          <w:sz w:val="20"/>
          <w:szCs w:val="20"/>
        </w:rPr>
        <w:t xml:space="preserve">. Clinically silent chromaffin-cell </w:t>
      </w:r>
      <w:proofErr w:type="spellStart"/>
      <w:r w:rsidRPr="00071C3F">
        <w:rPr>
          <w:rFonts w:ascii="Times New Roman" w:hAnsi="Times New Roman" w:cs="Times New Roman"/>
          <w:sz w:val="20"/>
          <w:szCs w:val="20"/>
        </w:rPr>
        <w:t>tumors</w:t>
      </w:r>
      <w:proofErr w:type="spellEnd"/>
      <w:r w:rsidRPr="00071C3F">
        <w:rPr>
          <w:rFonts w:ascii="Times New Roman" w:hAnsi="Times New Roman" w:cs="Times New Roman"/>
          <w:sz w:val="20"/>
          <w:szCs w:val="20"/>
        </w:rPr>
        <w:t xml:space="preserve">: </w:t>
      </w:r>
      <w:proofErr w:type="spellStart"/>
      <w:r w:rsidRPr="00071C3F">
        <w:rPr>
          <w:rFonts w:ascii="Times New Roman" w:hAnsi="Times New Roman" w:cs="Times New Roman"/>
          <w:sz w:val="20"/>
          <w:szCs w:val="20"/>
        </w:rPr>
        <w:t>Tumor</w:t>
      </w:r>
      <w:proofErr w:type="spellEnd"/>
      <w:r w:rsidRPr="00071C3F">
        <w:rPr>
          <w:rFonts w:ascii="Times New Roman" w:hAnsi="Times New Roman" w:cs="Times New Roman"/>
          <w:sz w:val="20"/>
          <w:szCs w:val="20"/>
        </w:rPr>
        <w:t xml:space="preserve"> characteristics and long-term prognosis in patients with incidentally discovered pheochromocytomas. </w:t>
      </w:r>
      <w:r w:rsidRPr="00071C3F">
        <w:rPr>
          <w:rFonts w:ascii="Times New Roman" w:hAnsi="Times New Roman" w:cs="Times New Roman"/>
          <w:i/>
          <w:iCs/>
          <w:sz w:val="20"/>
          <w:szCs w:val="20"/>
        </w:rPr>
        <w:t>J Endocrinol Invest</w:t>
      </w:r>
      <w:r>
        <w:rPr>
          <w:rFonts w:ascii="Times New Roman" w:hAnsi="Times New Roman" w:cs="Times New Roman"/>
          <w:sz w:val="20"/>
          <w:szCs w:val="20"/>
        </w:rPr>
        <w:t>.</w:t>
      </w:r>
      <w:r w:rsidRPr="00071C3F">
        <w:rPr>
          <w:rFonts w:ascii="Times New Roman" w:hAnsi="Times New Roman" w:cs="Times New Roman"/>
          <w:sz w:val="20"/>
          <w:szCs w:val="20"/>
        </w:rPr>
        <w:t> </w:t>
      </w:r>
      <w:r>
        <w:rPr>
          <w:rFonts w:ascii="Times New Roman" w:hAnsi="Times New Roman" w:cs="Times New Roman"/>
          <w:sz w:val="20"/>
          <w:szCs w:val="20"/>
        </w:rPr>
        <w:t>2010;</w:t>
      </w:r>
      <w:r w:rsidRPr="00071C3F">
        <w:rPr>
          <w:rFonts w:ascii="Times New Roman" w:hAnsi="Times New Roman" w:cs="Times New Roman"/>
          <w:sz w:val="20"/>
          <w:szCs w:val="20"/>
        </w:rPr>
        <w:t>33, 739–744</w:t>
      </w:r>
      <w:r>
        <w:rPr>
          <w:rFonts w:ascii="Times New Roman" w:hAnsi="Times New Roman" w:cs="Times New Roman"/>
          <w:sz w:val="20"/>
          <w:szCs w:val="20"/>
        </w:rPr>
        <w:t xml:space="preserve">. </w:t>
      </w:r>
      <w:hyperlink r:id="rId17" w:history="1">
        <w:r w:rsidRPr="00071C3F">
          <w:rPr>
            <w:rFonts w:ascii="Times New Roman" w:hAnsi="Times New Roman" w:cs="Times New Roman"/>
            <w:sz w:val="20"/>
            <w:szCs w:val="20"/>
          </w:rPr>
          <w:t>doi</w:t>
        </w:r>
        <w:r>
          <w:rPr>
            <w:rFonts w:ascii="Times New Roman" w:hAnsi="Times New Roman" w:cs="Times New Roman"/>
            <w:sz w:val="20"/>
            <w:szCs w:val="20"/>
          </w:rPr>
          <w:t>:</w:t>
        </w:r>
        <w:r w:rsidRPr="00071C3F">
          <w:rPr>
            <w:rFonts w:ascii="Times New Roman" w:hAnsi="Times New Roman" w:cs="Times New Roman"/>
            <w:sz w:val="20"/>
            <w:szCs w:val="20"/>
          </w:rPr>
          <w:t>10.1007/BF03346680</w:t>
        </w:r>
      </w:hyperlink>
    </w:p>
    <w:p w14:paraId="78E468F6" w14:textId="4BCE7E47" w:rsidR="006537E9" w:rsidRPr="00477BC0" w:rsidRDefault="006537E9" w:rsidP="00F75C30">
      <w:pPr>
        <w:pStyle w:val="ListParagraph"/>
        <w:numPr>
          <w:ilvl w:val="0"/>
          <w:numId w:val="1"/>
        </w:numPr>
        <w:rPr>
          <w:rFonts w:ascii="Times New Roman" w:hAnsi="Times New Roman" w:cs="Times New Roman"/>
          <w:sz w:val="20"/>
          <w:szCs w:val="20"/>
        </w:rPr>
      </w:pPr>
      <w:r w:rsidRPr="6B9B7D4D">
        <w:rPr>
          <w:rFonts w:ascii="Times New Roman" w:hAnsi="Times New Roman" w:cs="Times New Roman"/>
          <w:sz w:val="20"/>
          <w:szCs w:val="20"/>
        </w:rPr>
        <w:t>Al-Harthy M, Al-Harthy S, Al-</w:t>
      </w:r>
      <w:proofErr w:type="spellStart"/>
      <w:r w:rsidRPr="6B9B7D4D">
        <w:rPr>
          <w:rFonts w:ascii="Times New Roman" w:hAnsi="Times New Roman" w:cs="Times New Roman"/>
          <w:sz w:val="20"/>
          <w:szCs w:val="20"/>
        </w:rPr>
        <w:t>Otieschan</w:t>
      </w:r>
      <w:proofErr w:type="spellEnd"/>
      <w:r w:rsidRPr="6B9B7D4D">
        <w:rPr>
          <w:rFonts w:ascii="Times New Roman" w:hAnsi="Times New Roman" w:cs="Times New Roman"/>
          <w:sz w:val="20"/>
          <w:szCs w:val="20"/>
        </w:rPr>
        <w:t xml:space="preserve"> A, </w:t>
      </w:r>
      <w:proofErr w:type="spellStart"/>
      <w:r w:rsidRPr="6B9B7D4D">
        <w:rPr>
          <w:rFonts w:ascii="Times New Roman" w:hAnsi="Times New Roman" w:cs="Times New Roman"/>
          <w:sz w:val="20"/>
          <w:szCs w:val="20"/>
        </w:rPr>
        <w:t>Velagapudi</w:t>
      </w:r>
      <w:proofErr w:type="spellEnd"/>
      <w:r w:rsidRPr="6B9B7D4D">
        <w:rPr>
          <w:rFonts w:ascii="Times New Roman" w:hAnsi="Times New Roman" w:cs="Times New Roman"/>
          <w:sz w:val="20"/>
          <w:szCs w:val="20"/>
        </w:rPr>
        <w:t xml:space="preserve"> S, </w:t>
      </w:r>
      <w:proofErr w:type="spellStart"/>
      <w:r w:rsidRPr="6B9B7D4D">
        <w:rPr>
          <w:rFonts w:ascii="Times New Roman" w:hAnsi="Times New Roman" w:cs="Times New Roman"/>
          <w:sz w:val="20"/>
          <w:szCs w:val="20"/>
        </w:rPr>
        <w:t>Alzahrani</w:t>
      </w:r>
      <w:proofErr w:type="spellEnd"/>
      <w:r w:rsidRPr="6B9B7D4D">
        <w:rPr>
          <w:rFonts w:ascii="Times New Roman" w:hAnsi="Times New Roman" w:cs="Times New Roman"/>
          <w:sz w:val="20"/>
          <w:szCs w:val="20"/>
        </w:rPr>
        <w:t xml:space="preserve"> AS</w:t>
      </w:r>
      <w:r w:rsidR="003F477E" w:rsidRPr="6B9B7D4D">
        <w:rPr>
          <w:rFonts w:ascii="Times New Roman" w:hAnsi="Times New Roman" w:cs="Times New Roman"/>
          <w:sz w:val="20"/>
          <w:szCs w:val="20"/>
        </w:rPr>
        <w:t>.</w:t>
      </w:r>
      <w:r w:rsidRPr="6B9B7D4D">
        <w:rPr>
          <w:rFonts w:ascii="Times New Roman" w:hAnsi="Times New Roman" w:cs="Times New Roman"/>
          <w:sz w:val="20"/>
          <w:szCs w:val="20"/>
        </w:rPr>
        <w:t xml:space="preserve"> Comparison of pheochromocytomas and abdominal and pelvic paragangliomas with head and neck paragangliomas. </w:t>
      </w:r>
      <w:proofErr w:type="spellStart"/>
      <w:r w:rsidRPr="6B9B7D4D">
        <w:rPr>
          <w:rFonts w:ascii="Times New Roman" w:hAnsi="Times New Roman" w:cs="Times New Roman"/>
          <w:i/>
          <w:iCs/>
          <w:sz w:val="20"/>
          <w:szCs w:val="20"/>
        </w:rPr>
        <w:t>Endocr</w:t>
      </w:r>
      <w:proofErr w:type="spellEnd"/>
      <w:r w:rsidRPr="6B9B7D4D">
        <w:rPr>
          <w:rFonts w:ascii="Times New Roman" w:hAnsi="Times New Roman" w:cs="Times New Roman"/>
          <w:i/>
          <w:iCs/>
          <w:sz w:val="20"/>
          <w:szCs w:val="20"/>
        </w:rPr>
        <w:t xml:space="preserve"> </w:t>
      </w:r>
      <w:proofErr w:type="spellStart"/>
      <w:r w:rsidRPr="6B9B7D4D">
        <w:rPr>
          <w:rFonts w:ascii="Times New Roman" w:hAnsi="Times New Roman" w:cs="Times New Roman"/>
          <w:i/>
          <w:iCs/>
          <w:sz w:val="20"/>
          <w:szCs w:val="20"/>
        </w:rPr>
        <w:t>Pract</w:t>
      </w:r>
      <w:proofErr w:type="spellEnd"/>
      <w:r w:rsidRPr="6B9B7D4D">
        <w:rPr>
          <w:rFonts w:ascii="Times New Roman" w:hAnsi="Times New Roman" w:cs="Times New Roman"/>
          <w:sz w:val="20"/>
          <w:szCs w:val="20"/>
        </w:rPr>
        <w:t xml:space="preserve">. </w:t>
      </w:r>
      <w:bookmarkStart w:id="12" w:name="_Int_gXcCO2XZ"/>
      <w:proofErr w:type="gramStart"/>
      <w:r w:rsidRPr="6B9B7D4D">
        <w:rPr>
          <w:rFonts w:ascii="Times New Roman" w:hAnsi="Times New Roman" w:cs="Times New Roman"/>
          <w:sz w:val="20"/>
          <w:szCs w:val="20"/>
        </w:rPr>
        <w:t>2009</w:t>
      </w:r>
      <w:r w:rsidR="00071C3F" w:rsidRPr="6B9B7D4D">
        <w:rPr>
          <w:rFonts w:ascii="Times New Roman" w:hAnsi="Times New Roman" w:cs="Times New Roman"/>
          <w:sz w:val="20"/>
          <w:szCs w:val="20"/>
        </w:rPr>
        <w:t>;</w:t>
      </w:r>
      <w:r w:rsidRPr="6B9B7D4D">
        <w:rPr>
          <w:rFonts w:ascii="Times New Roman" w:hAnsi="Times New Roman" w:cs="Times New Roman"/>
          <w:sz w:val="20"/>
          <w:szCs w:val="20"/>
        </w:rPr>
        <w:t>15:194</w:t>
      </w:r>
      <w:bookmarkEnd w:id="12"/>
      <w:proofErr w:type="gramEnd"/>
      <w:r w:rsidRPr="6B9B7D4D">
        <w:rPr>
          <w:rFonts w:ascii="Times New Roman" w:hAnsi="Times New Roman" w:cs="Times New Roman"/>
          <w:sz w:val="20"/>
          <w:szCs w:val="20"/>
        </w:rPr>
        <w:t xml:space="preserve">-202. </w:t>
      </w:r>
      <w:r w:rsidR="003F477E" w:rsidRPr="6B9B7D4D">
        <w:rPr>
          <w:rFonts w:ascii="Times New Roman" w:hAnsi="Times New Roman" w:cs="Times New Roman"/>
          <w:sz w:val="20"/>
          <w:szCs w:val="20"/>
        </w:rPr>
        <w:t>doi:</w:t>
      </w:r>
      <w:r w:rsidRPr="6B9B7D4D">
        <w:rPr>
          <w:rFonts w:ascii="Times New Roman" w:hAnsi="Times New Roman" w:cs="Times New Roman"/>
          <w:sz w:val="20"/>
          <w:szCs w:val="20"/>
        </w:rPr>
        <w:t>10.4158/EP.15.3.194</w:t>
      </w:r>
    </w:p>
    <w:p w14:paraId="6D9BA50B" w14:textId="0A7B46ED" w:rsidR="006537E9" w:rsidRPr="00477BC0" w:rsidRDefault="006537E9" w:rsidP="00F75C30">
      <w:pPr>
        <w:pStyle w:val="ListParagraph"/>
        <w:numPr>
          <w:ilvl w:val="0"/>
          <w:numId w:val="1"/>
        </w:numPr>
        <w:rPr>
          <w:rFonts w:ascii="Times New Roman" w:hAnsi="Times New Roman" w:cs="Times New Roman"/>
          <w:sz w:val="20"/>
          <w:szCs w:val="20"/>
        </w:rPr>
      </w:pPr>
      <w:r w:rsidRPr="00477BC0">
        <w:rPr>
          <w:rFonts w:ascii="Times New Roman" w:hAnsi="Times New Roman" w:cs="Times New Roman"/>
          <w:sz w:val="20"/>
          <w:szCs w:val="20"/>
        </w:rPr>
        <w:t>Barnes L, Taylor SR</w:t>
      </w:r>
      <w:r w:rsidR="003F477E">
        <w:rPr>
          <w:rFonts w:ascii="Times New Roman" w:hAnsi="Times New Roman" w:cs="Times New Roman"/>
          <w:sz w:val="20"/>
          <w:szCs w:val="20"/>
        </w:rPr>
        <w:t>.</w:t>
      </w:r>
      <w:r w:rsidRPr="00477BC0">
        <w:rPr>
          <w:rFonts w:ascii="Times New Roman" w:hAnsi="Times New Roman" w:cs="Times New Roman"/>
          <w:sz w:val="20"/>
          <w:szCs w:val="20"/>
        </w:rPr>
        <w:t xml:space="preserve"> Vagal paragangliomas: a clinical, pathological, and DNA assessment. </w:t>
      </w:r>
      <w:r w:rsidRPr="00071C3F">
        <w:rPr>
          <w:rFonts w:ascii="Times New Roman" w:hAnsi="Times New Roman" w:cs="Times New Roman"/>
          <w:i/>
          <w:iCs/>
          <w:sz w:val="20"/>
          <w:szCs w:val="20"/>
        </w:rPr>
        <w:t xml:space="preserve">Clin </w:t>
      </w:r>
      <w:proofErr w:type="spellStart"/>
      <w:r w:rsidRPr="00071C3F">
        <w:rPr>
          <w:rFonts w:ascii="Times New Roman" w:hAnsi="Times New Roman" w:cs="Times New Roman"/>
          <w:i/>
          <w:iCs/>
          <w:sz w:val="20"/>
          <w:szCs w:val="20"/>
        </w:rPr>
        <w:t>Otolaryngol</w:t>
      </w:r>
      <w:proofErr w:type="spellEnd"/>
      <w:r w:rsidRPr="00071C3F">
        <w:rPr>
          <w:rFonts w:ascii="Times New Roman" w:hAnsi="Times New Roman" w:cs="Times New Roman"/>
          <w:i/>
          <w:iCs/>
          <w:sz w:val="20"/>
          <w:szCs w:val="20"/>
        </w:rPr>
        <w:t xml:space="preserve"> Allied Sci</w:t>
      </w:r>
      <w:r w:rsidRPr="00477BC0">
        <w:rPr>
          <w:rFonts w:ascii="Times New Roman" w:hAnsi="Times New Roman" w:cs="Times New Roman"/>
          <w:sz w:val="20"/>
          <w:szCs w:val="20"/>
        </w:rPr>
        <w:t xml:space="preserve">. </w:t>
      </w:r>
      <w:proofErr w:type="gramStart"/>
      <w:r w:rsidRPr="00477BC0">
        <w:rPr>
          <w:rFonts w:ascii="Times New Roman" w:hAnsi="Times New Roman" w:cs="Times New Roman"/>
          <w:sz w:val="20"/>
          <w:szCs w:val="20"/>
        </w:rPr>
        <w:t>1991</w:t>
      </w:r>
      <w:r w:rsidR="00071C3F">
        <w:rPr>
          <w:rFonts w:ascii="Times New Roman" w:hAnsi="Times New Roman" w:cs="Times New Roman"/>
          <w:sz w:val="20"/>
          <w:szCs w:val="20"/>
        </w:rPr>
        <w:t>;</w:t>
      </w:r>
      <w:r w:rsidRPr="00477BC0">
        <w:rPr>
          <w:rFonts w:ascii="Times New Roman" w:hAnsi="Times New Roman" w:cs="Times New Roman"/>
          <w:sz w:val="20"/>
          <w:szCs w:val="20"/>
        </w:rPr>
        <w:t>16:376</w:t>
      </w:r>
      <w:proofErr w:type="gramEnd"/>
      <w:r w:rsidRPr="00477BC0">
        <w:rPr>
          <w:rFonts w:ascii="Times New Roman" w:hAnsi="Times New Roman" w:cs="Times New Roman"/>
          <w:sz w:val="20"/>
          <w:szCs w:val="20"/>
        </w:rPr>
        <w:t xml:space="preserve">-82. </w:t>
      </w:r>
      <w:r w:rsidR="003F477E">
        <w:rPr>
          <w:rFonts w:ascii="Times New Roman" w:hAnsi="Times New Roman" w:cs="Times New Roman"/>
          <w:sz w:val="20"/>
          <w:szCs w:val="20"/>
        </w:rPr>
        <w:t>doi:</w:t>
      </w:r>
      <w:r w:rsidRPr="00477BC0">
        <w:rPr>
          <w:rFonts w:ascii="Times New Roman" w:hAnsi="Times New Roman" w:cs="Times New Roman"/>
          <w:sz w:val="20"/>
          <w:szCs w:val="20"/>
        </w:rPr>
        <w:t>10.1111/j.1365-</w:t>
      </w:r>
      <w:proofErr w:type="gramStart"/>
      <w:r w:rsidRPr="00477BC0">
        <w:rPr>
          <w:rFonts w:ascii="Times New Roman" w:hAnsi="Times New Roman" w:cs="Times New Roman"/>
          <w:sz w:val="20"/>
          <w:szCs w:val="20"/>
        </w:rPr>
        <w:t>2273.1991.tb</w:t>
      </w:r>
      <w:proofErr w:type="gramEnd"/>
      <w:r w:rsidRPr="00477BC0">
        <w:rPr>
          <w:rFonts w:ascii="Times New Roman" w:hAnsi="Times New Roman" w:cs="Times New Roman"/>
          <w:sz w:val="20"/>
          <w:szCs w:val="20"/>
        </w:rPr>
        <w:t>00953.x.</w:t>
      </w:r>
    </w:p>
    <w:p w14:paraId="0717849F" w14:textId="5A18A48C" w:rsidR="006537E9" w:rsidRPr="00477BC0" w:rsidRDefault="006537E9" w:rsidP="00F75C30">
      <w:pPr>
        <w:pStyle w:val="ListParagraph"/>
        <w:numPr>
          <w:ilvl w:val="0"/>
          <w:numId w:val="1"/>
        </w:numPr>
        <w:rPr>
          <w:rFonts w:ascii="Times New Roman" w:hAnsi="Times New Roman" w:cs="Times New Roman"/>
          <w:sz w:val="20"/>
          <w:szCs w:val="20"/>
        </w:rPr>
      </w:pPr>
      <w:r w:rsidRPr="00477BC0">
        <w:rPr>
          <w:rFonts w:ascii="Times New Roman" w:hAnsi="Times New Roman" w:cs="Times New Roman"/>
          <w:sz w:val="20"/>
          <w:szCs w:val="20"/>
        </w:rPr>
        <w:t xml:space="preserve">Dossett LA, </w:t>
      </w:r>
      <w:proofErr w:type="spellStart"/>
      <w:r w:rsidRPr="00477BC0">
        <w:rPr>
          <w:rFonts w:ascii="Times New Roman" w:hAnsi="Times New Roman" w:cs="Times New Roman"/>
          <w:sz w:val="20"/>
          <w:szCs w:val="20"/>
        </w:rPr>
        <w:t>Rudzinski</w:t>
      </w:r>
      <w:proofErr w:type="spellEnd"/>
      <w:r w:rsidRPr="00477BC0">
        <w:rPr>
          <w:rFonts w:ascii="Times New Roman" w:hAnsi="Times New Roman" w:cs="Times New Roman"/>
          <w:sz w:val="20"/>
          <w:szCs w:val="20"/>
        </w:rPr>
        <w:t xml:space="preserve"> ER, Blevins LS, Chambers EP Jr</w:t>
      </w:r>
      <w:r w:rsidR="003F477E">
        <w:rPr>
          <w:rFonts w:ascii="Times New Roman" w:hAnsi="Times New Roman" w:cs="Times New Roman"/>
          <w:sz w:val="20"/>
          <w:szCs w:val="20"/>
        </w:rPr>
        <w:t>.</w:t>
      </w:r>
      <w:r w:rsidRPr="00477BC0">
        <w:rPr>
          <w:rFonts w:ascii="Times New Roman" w:hAnsi="Times New Roman" w:cs="Times New Roman"/>
          <w:sz w:val="20"/>
          <w:szCs w:val="20"/>
        </w:rPr>
        <w:t xml:space="preserve"> Malignant pheochromocytoma of the organ of Zuckerkandl requiring aortic and vena </w:t>
      </w:r>
      <w:proofErr w:type="spellStart"/>
      <w:r w:rsidRPr="00477BC0">
        <w:rPr>
          <w:rFonts w:ascii="Times New Roman" w:hAnsi="Times New Roman" w:cs="Times New Roman"/>
          <w:sz w:val="20"/>
          <w:szCs w:val="20"/>
        </w:rPr>
        <w:t>caval</w:t>
      </w:r>
      <w:proofErr w:type="spellEnd"/>
      <w:r w:rsidRPr="00477BC0">
        <w:rPr>
          <w:rFonts w:ascii="Times New Roman" w:hAnsi="Times New Roman" w:cs="Times New Roman"/>
          <w:sz w:val="20"/>
          <w:szCs w:val="20"/>
        </w:rPr>
        <w:t xml:space="preserve"> reconstruction. </w:t>
      </w:r>
      <w:proofErr w:type="spellStart"/>
      <w:r w:rsidRPr="00071C3F">
        <w:rPr>
          <w:rFonts w:ascii="Times New Roman" w:hAnsi="Times New Roman" w:cs="Times New Roman"/>
          <w:i/>
          <w:iCs/>
          <w:sz w:val="20"/>
          <w:szCs w:val="20"/>
        </w:rPr>
        <w:t>Endocr</w:t>
      </w:r>
      <w:proofErr w:type="spellEnd"/>
      <w:r w:rsidRPr="00071C3F">
        <w:rPr>
          <w:rFonts w:ascii="Times New Roman" w:hAnsi="Times New Roman" w:cs="Times New Roman"/>
          <w:i/>
          <w:iCs/>
          <w:sz w:val="20"/>
          <w:szCs w:val="20"/>
        </w:rPr>
        <w:t xml:space="preserve"> </w:t>
      </w:r>
      <w:proofErr w:type="spellStart"/>
      <w:r w:rsidRPr="00071C3F">
        <w:rPr>
          <w:rFonts w:ascii="Times New Roman" w:hAnsi="Times New Roman" w:cs="Times New Roman"/>
          <w:i/>
          <w:iCs/>
          <w:sz w:val="20"/>
          <w:szCs w:val="20"/>
        </w:rPr>
        <w:t>Pract</w:t>
      </w:r>
      <w:proofErr w:type="spellEnd"/>
      <w:r w:rsidRPr="00477BC0">
        <w:rPr>
          <w:rFonts w:ascii="Times New Roman" w:hAnsi="Times New Roman" w:cs="Times New Roman"/>
          <w:sz w:val="20"/>
          <w:szCs w:val="20"/>
        </w:rPr>
        <w:t xml:space="preserve">. </w:t>
      </w:r>
      <w:proofErr w:type="gramStart"/>
      <w:r w:rsidRPr="00477BC0">
        <w:rPr>
          <w:rFonts w:ascii="Times New Roman" w:hAnsi="Times New Roman" w:cs="Times New Roman"/>
          <w:sz w:val="20"/>
          <w:szCs w:val="20"/>
        </w:rPr>
        <w:t>2007</w:t>
      </w:r>
      <w:r w:rsidR="00071C3F">
        <w:rPr>
          <w:rFonts w:ascii="Times New Roman" w:hAnsi="Times New Roman" w:cs="Times New Roman"/>
          <w:sz w:val="20"/>
          <w:szCs w:val="20"/>
        </w:rPr>
        <w:t>;</w:t>
      </w:r>
      <w:r w:rsidRPr="00477BC0">
        <w:rPr>
          <w:rFonts w:ascii="Times New Roman" w:hAnsi="Times New Roman" w:cs="Times New Roman"/>
          <w:sz w:val="20"/>
          <w:szCs w:val="20"/>
        </w:rPr>
        <w:t>13:493</w:t>
      </w:r>
      <w:proofErr w:type="gramEnd"/>
      <w:r w:rsidRPr="00477BC0">
        <w:rPr>
          <w:rFonts w:ascii="Times New Roman" w:hAnsi="Times New Roman" w:cs="Times New Roman"/>
          <w:sz w:val="20"/>
          <w:szCs w:val="20"/>
        </w:rPr>
        <w:t xml:space="preserve">-7. </w:t>
      </w:r>
      <w:r w:rsidR="003F477E">
        <w:rPr>
          <w:rFonts w:ascii="Times New Roman" w:hAnsi="Times New Roman" w:cs="Times New Roman"/>
          <w:sz w:val="20"/>
          <w:szCs w:val="20"/>
        </w:rPr>
        <w:t>doi:</w:t>
      </w:r>
      <w:r w:rsidRPr="00477BC0">
        <w:rPr>
          <w:rFonts w:ascii="Times New Roman" w:hAnsi="Times New Roman" w:cs="Times New Roman"/>
          <w:sz w:val="20"/>
          <w:szCs w:val="20"/>
        </w:rPr>
        <w:t>10.4158/EP.13.5.493</w:t>
      </w:r>
    </w:p>
    <w:p w14:paraId="2C477159" w14:textId="2A584EF0" w:rsidR="006537E9" w:rsidRPr="00477BC0" w:rsidRDefault="00071C3F" w:rsidP="00F75C30">
      <w:pPr>
        <w:pStyle w:val="ListParagraph"/>
        <w:numPr>
          <w:ilvl w:val="0"/>
          <w:numId w:val="1"/>
        </w:numPr>
        <w:rPr>
          <w:rFonts w:ascii="Times New Roman" w:hAnsi="Times New Roman" w:cs="Times New Roman"/>
          <w:sz w:val="20"/>
          <w:szCs w:val="20"/>
        </w:rPr>
      </w:pPr>
      <w:r w:rsidRPr="00071C3F">
        <w:rPr>
          <w:rFonts w:ascii="Times New Roman" w:hAnsi="Times New Roman" w:cs="Times New Roman"/>
          <w:sz w:val="20"/>
          <w:szCs w:val="20"/>
        </w:rPr>
        <w:t xml:space="preserve">Parenti G, </w:t>
      </w:r>
      <w:proofErr w:type="spellStart"/>
      <w:r w:rsidRPr="00071C3F">
        <w:rPr>
          <w:rFonts w:ascii="Times New Roman" w:hAnsi="Times New Roman" w:cs="Times New Roman"/>
          <w:sz w:val="20"/>
          <w:szCs w:val="20"/>
        </w:rPr>
        <w:t>Zampetti</w:t>
      </w:r>
      <w:proofErr w:type="spellEnd"/>
      <w:r w:rsidRPr="00071C3F">
        <w:rPr>
          <w:rFonts w:ascii="Times New Roman" w:hAnsi="Times New Roman" w:cs="Times New Roman"/>
          <w:sz w:val="20"/>
          <w:szCs w:val="20"/>
        </w:rPr>
        <w:t xml:space="preserve"> B, </w:t>
      </w:r>
      <w:proofErr w:type="spellStart"/>
      <w:r w:rsidRPr="00071C3F">
        <w:rPr>
          <w:rFonts w:ascii="Times New Roman" w:hAnsi="Times New Roman" w:cs="Times New Roman"/>
          <w:sz w:val="20"/>
          <w:szCs w:val="20"/>
        </w:rPr>
        <w:t>Rapizzi</w:t>
      </w:r>
      <w:proofErr w:type="spellEnd"/>
      <w:r w:rsidRPr="00071C3F">
        <w:rPr>
          <w:rFonts w:ascii="Times New Roman" w:hAnsi="Times New Roman" w:cs="Times New Roman"/>
          <w:sz w:val="20"/>
          <w:szCs w:val="20"/>
        </w:rPr>
        <w:t xml:space="preserve"> E, Ercolino T, </w:t>
      </w:r>
      <w:proofErr w:type="spellStart"/>
      <w:r w:rsidRPr="00071C3F">
        <w:rPr>
          <w:rFonts w:ascii="Times New Roman" w:hAnsi="Times New Roman" w:cs="Times New Roman"/>
          <w:sz w:val="20"/>
          <w:szCs w:val="20"/>
        </w:rPr>
        <w:t>Giachè</w:t>
      </w:r>
      <w:proofErr w:type="spellEnd"/>
      <w:r w:rsidRPr="00071C3F">
        <w:rPr>
          <w:rFonts w:ascii="Times New Roman" w:hAnsi="Times New Roman" w:cs="Times New Roman"/>
          <w:sz w:val="20"/>
          <w:szCs w:val="20"/>
        </w:rPr>
        <w:t xml:space="preserve"> V, </w:t>
      </w:r>
      <w:proofErr w:type="spellStart"/>
      <w:r w:rsidRPr="00071C3F">
        <w:rPr>
          <w:rFonts w:ascii="Times New Roman" w:hAnsi="Times New Roman" w:cs="Times New Roman"/>
          <w:sz w:val="20"/>
          <w:szCs w:val="20"/>
        </w:rPr>
        <w:t>Mannelli</w:t>
      </w:r>
      <w:proofErr w:type="spellEnd"/>
      <w:r w:rsidRPr="00071C3F">
        <w:rPr>
          <w:rFonts w:ascii="Times New Roman" w:hAnsi="Times New Roman" w:cs="Times New Roman"/>
          <w:sz w:val="20"/>
          <w:szCs w:val="20"/>
        </w:rPr>
        <w:t xml:space="preserve"> M</w:t>
      </w:r>
      <w:r w:rsidR="003F477E">
        <w:rPr>
          <w:rFonts w:ascii="Times New Roman" w:hAnsi="Times New Roman" w:cs="Times New Roman"/>
          <w:sz w:val="20"/>
          <w:szCs w:val="20"/>
        </w:rPr>
        <w:t>.</w:t>
      </w:r>
      <w:r w:rsidR="006537E9" w:rsidRPr="00477BC0">
        <w:rPr>
          <w:rFonts w:ascii="Times New Roman" w:hAnsi="Times New Roman" w:cs="Times New Roman"/>
          <w:sz w:val="20"/>
          <w:szCs w:val="20"/>
        </w:rPr>
        <w:t xml:space="preserve"> Updated and new perspectives on diagnosis, prognosis, and therapy of malignant pheochromocytoma/paraganglioma. </w:t>
      </w:r>
      <w:r w:rsidR="006537E9" w:rsidRPr="00071C3F">
        <w:rPr>
          <w:rFonts w:ascii="Times New Roman" w:hAnsi="Times New Roman" w:cs="Times New Roman"/>
          <w:i/>
          <w:iCs/>
          <w:sz w:val="20"/>
          <w:szCs w:val="20"/>
        </w:rPr>
        <w:t>J Oncol</w:t>
      </w:r>
      <w:r w:rsidR="006537E9" w:rsidRPr="00477BC0">
        <w:rPr>
          <w:rFonts w:ascii="Times New Roman" w:hAnsi="Times New Roman" w:cs="Times New Roman"/>
          <w:sz w:val="20"/>
          <w:szCs w:val="20"/>
        </w:rPr>
        <w:t>.</w:t>
      </w:r>
      <w:r>
        <w:rPr>
          <w:rFonts w:ascii="Times New Roman" w:hAnsi="Times New Roman" w:cs="Times New Roman"/>
          <w:sz w:val="20"/>
          <w:szCs w:val="20"/>
        </w:rPr>
        <w:t xml:space="preserve"> </w:t>
      </w:r>
      <w:proofErr w:type="gramStart"/>
      <w:r w:rsidR="006537E9" w:rsidRPr="00477BC0">
        <w:rPr>
          <w:rFonts w:ascii="Times New Roman" w:hAnsi="Times New Roman" w:cs="Times New Roman"/>
          <w:sz w:val="20"/>
          <w:szCs w:val="20"/>
        </w:rPr>
        <w:t>2012</w:t>
      </w:r>
      <w:r>
        <w:rPr>
          <w:rFonts w:ascii="Times New Roman" w:hAnsi="Times New Roman" w:cs="Times New Roman"/>
          <w:sz w:val="20"/>
          <w:szCs w:val="20"/>
        </w:rPr>
        <w:t>;2012:</w:t>
      </w:r>
      <w:r w:rsidR="006537E9" w:rsidRPr="00477BC0">
        <w:rPr>
          <w:rFonts w:ascii="Times New Roman" w:hAnsi="Times New Roman" w:cs="Times New Roman"/>
          <w:sz w:val="20"/>
          <w:szCs w:val="20"/>
        </w:rPr>
        <w:t>872713</w:t>
      </w:r>
      <w:proofErr w:type="gramEnd"/>
      <w:r w:rsidR="006537E9" w:rsidRPr="00477BC0">
        <w:rPr>
          <w:rFonts w:ascii="Times New Roman" w:hAnsi="Times New Roman" w:cs="Times New Roman"/>
          <w:sz w:val="20"/>
          <w:szCs w:val="20"/>
        </w:rPr>
        <w:t xml:space="preserve">-10. </w:t>
      </w:r>
      <w:r w:rsidR="003F477E">
        <w:rPr>
          <w:rFonts w:ascii="Times New Roman" w:hAnsi="Times New Roman" w:cs="Times New Roman"/>
          <w:sz w:val="20"/>
          <w:szCs w:val="20"/>
        </w:rPr>
        <w:t>doi:</w:t>
      </w:r>
      <w:r w:rsidR="006537E9" w:rsidRPr="00477BC0">
        <w:rPr>
          <w:rFonts w:ascii="Times New Roman" w:hAnsi="Times New Roman" w:cs="Times New Roman"/>
          <w:sz w:val="20"/>
          <w:szCs w:val="20"/>
        </w:rPr>
        <w:t>10.1155/2012/872713.</w:t>
      </w:r>
    </w:p>
    <w:p w14:paraId="4BD435E7" w14:textId="496A65AA" w:rsidR="006537E9" w:rsidRPr="00477BC0" w:rsidRDefault="006537E9" w:rsidP="00F75C30">
      <w:pPr>
        <w:pStyle w:val="ListParagraph"/>
        <w:numPr>
          <w:ilvl w:val="0"/>
          <w:numId w:val="1"/>
        </w:numPr>
        <w:rPr>
          <w:rFonts w:ascii="Times New Roman" w:hAnsi="Times New Roman" w:cs="Times New Roman"/>
          <w:sz w:val="20"/>
          <w:szCs w:val="20"/>
        </w:rPr>
      </w:pPr>
      <w:r w:rsidRPr="00477BC0">
        <w:rPr>
          <w:rFonts w:ascii="Times New Roman" w:hAnsi="Times New Roman" w:cs="Times New Roman"/>
          <w:sz w:val="20"/>
          <w:szCs w:val="20"/>
        </w:rPr>
        <w:t>Stein PP, Black HR</w:t>
      </w:r>
      <w:r w:rsidR="003F477E">
        <w:rPr>
          <w:rFonts w:ascii="Times New Roman" w:hAnsi="Times New Roman" w:cs="Times New Roman"/>
          <w:sz w:val="20"/>
          <w:szCs w:val="20"/>
        </w:rPr>
        <w:t>.</w:t>
      </w:r>
      <w:r w:rsidRPr="00477BC0">
        <w:rPr>
          <w:rFonts w:ascii="Times New Roman" w:hAnsi="Times New Roman" w:cs="Times New Roman"/>
          <w:sz w:val="20"/>
          <w:szCs w:val="20"/>
        </w:rPr>
        <w:t xml:space="preserve"> A simplified diagnostic approach to pheochromocytoma. A review of the literature and report of one institution's experience. </w:t>
      </w:r>
      <w:r w:rsidRPr="00071C3F">
        <w:rPr>
          <w:rFonts w:ascii="Times New Roman" w:hAnsi="Times New Roman" w:cs="Times New Roman"/>
          <w:i/>
          <w:iCs/>
          <w:sz w:val="20"/>
          <w:szCs w:val="20"/>
        </w:rPr>
        <w:t>Medicine (Baltimore</w:t>
      </w:r>
      <w:r w:rsidR="00071C3F" w:rsidRPr="00071C3F">
        <w:rPr>
          <w:rFonts w:ascii="Times New Roman" w:hAnsi="Times New Roman" w:cs="Times New Roman"/>
          <w:i/>
          <w:iCs/>
          <w:sz w:val="20"/>
          <w:szCs w:val="20"/>
        </w:rPr>
        <w:t>)</w:t>
      </w:r>
      <w:r w:rsidR="00071C3F">
        <w:rPr>
          <w:rFonts w:ascii="Times New Roman" w:hAnsi="Times New Roman" w:cs="Times New Roman"/>
          <w:sz w:val="20"/>
          <w:szCs w:val="20"/>
        </w:rPr>
        <w:t>.</w:t>
      </w:r>
      <w:r w:rsidRPr="00477BC0">
        <w:rPr>
          <w:rFonts w:ascii="Times New Roman" w:hAnsi="Times New Roman" w:cs="Times New Roman"/>
          <w:sz w:val="20"/>
          <w:szCs w:val="20"/>
        </w:rPr>
        <w:t xml:space="preserve"> </w:t>
      </w:r>
      <w:proofErr w:type="gramStart"/>
      <w:r w:rsidRPr="00477BC0">
        <w:rPr>
          <w:rFonts w:ascii="Times New Roman" w:hAnsi="Times New Roman" w:cs="Times New Roman"/>
          <w:sz w:val="20"/>
          <w:szCs w:val="20"/>
        </w:rPr>
        <w:t>1991</w:t>
      </w:r>
      <w:r w:rsidR="00071C3F">
        <w:rPr>
          <w:rFonts w:ascii="Times New Roman" w:hAnsi="Times New Roman" w:cs="Times New Roman"/>
          <w:sz w:val="20"/>
          <w:szCs w:val="20"/>
        </w:rPr>
        <w:t>;</w:t>
      </w:r>
      <w:r w:rsidRPr="00477BC0">
        <w:rPr>
          <w:rFonts w:ascii="Times New Roman" w:hAnsi="Times New Roman" w:cs="Times New Roman"/>
          <w:sz w:val="20"/>
          <w:szCs w:val="20"/>
        </w:rPr>
        <w:t>70:46</w:t>
      </w:r>
      <w:proofErr w:type="gramEnd"/>
      <w:r w:rsidRPr="00477BC0">
        <w:rPr>
          <w:rFonts w:ascii="Times New Roman" w:hAnsi="Times New Roman" w:cs="Times New Roman"/>
          <w:sz w:val="20"/>
          <w:szCs w:val="20"/>
        </w:rPr>
        <w:t xml:space="preserve">-66. </w:t>
      </w:r>
      <w:r w:rsidR="003F477E">
        <w:rPr>
          <w:rFonts w:ascii="Times New Roman" w:hAnsi="Times New Roman" w:cs="Times New Roman"/>
          <w:sz w:val="20"/>
          <w:szCs w:val="20"/>
        </w:rPr>
        <w:t>doi:</w:t>
      </w:r>
      <w:r w:rsidRPr="00477BC0">
        <w:rPr>
          <w:rFonts w:ascii="Times New Roman" w:hAnsi="Times New Roman" w:cs="Times New Roman"/>
          <w:sz w:val="20"/>
          <w:szCs w:val="20"/>
        </w:rPr>
        <w:t>10.1097/00005792-199101000-00004</w:t>
      </w:r>
    </w:p>
    <w:p w14:paraId="2724BF34" w14:textId="252A7538" w:rsidR="006537E9" w:rsidRPr="00477BC0" w:rsidRDefault="006537E9" w:rsidP="00F75C30">
      <w:pPr>
        <w:pStyle w:val="ListParagraph"/>
        <w:numPr>
          <w:ilvl w:val="0"/>
          <w:numId w:val="1"/>
        </w:numPr>
        <w:rPr>
          <w:rFonts w:ascii="Times New Roman" w:hAnsi="Times New Roman" w:cs="Times New Roman"/>
          <w:sz w:val="20"/>
          <w:szCs w:val="20"/>
        </w:rPr>
      </w:pPr>
      <w:r w:rsidRPr="00477BC0">
        <w:rPr>
          <w:rFonts w:ascii="Times New Roman" w:hAnsi="Times New Roman" w:cs="Times New Roman"/>
          <w:sz w:val="20"/>
          <w:szCs w:val="20"/>
        </w:rPr>
        <w:t>Bravo EL</w:t>
      </w:r>
      <w:r w:rsidR="003F477E">
        <w:rPr>
          <w:rFonts w:ascii="Times New Roman" w:hAnsi="Times New Roman" w:cs="Times New Roman"/>
          <w:sz w:val="20"/>
          <w:szCs w:val="20"/>
        </w:rPr>
        <w:t>.</w:t>
      </w:r>
      <w:r w:rsidRPr="00477BC0">
        <w:rPr>
          <w:rFonts w:ascii="Times New Roman" w:hAnsi="Times New Roman" w:cs="Times New Roman"/>
          <w:sz w:val="20"/>
          <w:szCs w:val="20"/>
        </w:rPr>
        <w:t xml:space="preserve"> Pheochromocytoma: new concepts and future trends. </w:t>
      </w:r>
      <w:r w:rsidRPr="00071C3F">
        <w:rPr>
          <w:rFonts w:ascii="Times New Roman" w:hAnsi="Times New Roman" w:cs="Times New Roman"/>
          <w:i/>
          <w:iCs/>
          <w:sz w:val="20"/>
          <w:szCs w:val="20"/>
        </w:rPr>
        <w:t>Kidney Int</w:t>
      </w:r>
      <w:r w:rsidRPr="00477BC0">
        <w:rPr>
          <w:rFonts w:ascii="Times New Roman" w:hAnsi="Times New Roman" w:cs="Times New Roman"/>
          <w:sz w:val="20"/>
          <w:szCs w:val="20"/>
        </w:rPr>
        <w:t xml:space="preserve">. </w:t>
      </w:r>
      <w:proofErr w:type="gramStart"/>
      <w:r w:rsidRPr="00477BC0">
        <w:rPr>
          <w:rFonts w:ascii="Times New Roman" w:hAnsi="Times New Roman" w:cs="Times New Roman"/>
          <w:sz w:val="20"/>
          <w:szCs w:val="20"/>
        </w:rPr>
        <w:t>1991</w:t>
      </w:r>
      <w:r w:rsidR="00071C3F">
        <w:rPr>
          <w:rFonts w:ascii="Times New Roman" w:hAnsi="Times New Roman" w:cs="Times New Roman"/>
          <w:sz w:val="20"/>
          <w:szCs w:val="20"/>
        </w:rPr>
        <w:t>;</w:t>
      </w:r>
      <w:r w:rsidRPr="00477BC0">
        <w:rPr>
          <w:rFonts w:ascii="Times New Roman" w:hAnsi="Times New Roman" w:cs="Times New Roman"/>
          <w:sz w:val="20"/>
          <w:szCs w:val="20"/>
        </w:rPr>
        <w:t>40:544</w:t>
      </w:r>
      <w:proofErr w:type="gramEnd"/>
      <w:r w:rsidRPr="00477BC0">
        <w:rPr>
          <w:rFonts w:ascii="Times New Roman" w:hAnsi="Times New Roman" w:cs="Times New Roman"/>
          <w:sz w:val="20"/>
          <w:szCs w:val="20"/>
        </w:rPr>
        <w:t xml:space="preserve">-56. </w:t>
      </w:r>
      <w:r w:rsidR="003F477E">
        <w:rPr>
          <w:rFonts w:ascii="Times New Roman" w:hAnsi="Times New Roman" w:cs="Times New Roman"/>
          <w:sz w:val="20"/>
          <w:szCs w:val="20"/>
        </w:rPr>
        <w:t>doi:</w:t>
      </w:r>
      <w:r w:rsidRPr="00477BC0">
        <w:rPr>
          <w:rFonts w:ascii="Times New Roman" w:hAnsi="Times New Roman" w:cs="Times New Roman"/>
          <w:sz w:val="20"/>
          <w:szCs w:val="20"/>
        </w:rPr>
        <w:t>10.1038/ki.1991.244</w:t>
      </w:r>
    </w:p>
    <w:p w14:paraId="47C7F107" w14:textId="4AB49151" w:rsidR="006537E9" w:rsidRPr="00477BC0" w:rsidRDefault="00071C3F" w:rsidP="00F75C30">
      <w:pPr>
        <w:pStyle w:val="ListParagraph"/>
        <w:numPr>
          <w:ilvl w:val="0"/>
          <w:numId w:val="1"/>
        </w:numPr>
        <w:rPr>
          <w:rFonts w:ascii="Times New Roman" w:hAnsi="Times New Roman" w:cs="Times New Roman"/>
          <w:sz w:val="20"/>
          <w:szCs w:val="20"/>
        </w:rPr>
      </w:pPr>
      <w:r w:rsidRPr="00071C3F">
        <w:rPr>
          <w:rFonts w:ascii="Times New Roman" w:hAnsi="Times New Roman" w:cs="Times New Roman"/>
          <w:sz w:val="20"/>
          <w:szCs w:val="20"/>
        </w:rPr>
        <w:t>Jing H, Li F, Wang L, Wang Z, Li W, Huo L, Zhang J.</w:t>
      </w:r>
      <w:r>
        <w:rPr>
          <w:rFonts w:ascii="Times New Roman" w:hAnsi="Times New Roman" w:cs="Times New Roman"/>
          <w:sz w:val="20"/>
          <w:szCs w:val="20"/>
        </w:rPr>
        <w:t xml:space="preserve"> </w:t>
      </w:r>
      <w:r w:rsidR="006537E9" w:rsidRPr="00477BC0">
        <w:rPr>
          <w:rFonts w:ascii="Times New Roman" w:hAnsi="Times New Roman" w:cs="Times New Roman"/>
          <w:sz w:val="20"/>
          <w:szCs w:val="20"/>
        </w:rPr>
        <w:t xml:space="preserve">Comparison of the 68Ga-DOTATATA PET/CT, FDG PET/CT, and MIBG SPECT/CT in the Evaluation of Suspected Primary Pheochromocytomas and Paragangliomas. </w:t>
      </w:r>
      <w:r w:rsidR="006537E9" w:rsidRPr="00071C3F">
        <w:rPr>
          <w:rFonts w:ascii="Times New Roman" w:hAnsi="Times New Roman" w:cs="Times New Roman"/>
          <w:i/>
          <w:iCs/>
          <w:sz w:val="20"/>
          <w:szCs w:val="20"/>
        </w:rPr>
        <w:t xml:space="preserve">Clin </w:t>
      </w:r>
      <w:proofErr w:type="spellStart"/>
      <w:r w:rsidR="006537E9" w:rsidRPr="00071C3F">
        <w:rPr>
          <w:rFonts w:ascii="Times New Roman" w:hAnsi="Times New Roman" w:cs="Times New Roman"/>
          <w:i/>
          <w:iCs/>
          <w:sz w:val="20"/>
          <w:szCs w:val="20"/>
        </w:rPr>
        <w:t>Nucl</w:t>
      </w:r>
      <w:proofErr w:type="spellEnd"/>
      <w:r w:rsidR="006537E9" w:rsidRPr="00071C3F">
        <w:rPr>
          <w:rFonts w:ascii="Times New Roman" w:hAnsi="Times New Roman" w:cs="Times New Roman"/>
          <w:i/>
          <w:iCs/>
          <w:sz w:val="20"/>
          <w:szCs w:val="20"/>
        </w:rPr>
        <w:t xml:space="preserve"> Med</w:t>
      </w:r>
      <w:r w:rsidR="006537E9" w:rsidRPr="00477BC0">
        <w:rPr>
          <w:rFonts w:ascii="Times New Roman" w:hAnsi="Times New Roman" w:cs="Times New Roman"/>
          <w:sz w:val="20"/>
          <w:szCs w:val="20"/>
        </w:rPr>
        <w:t xml:space="preserve">. </w:t>
      </w:r>
      <w:proofErr w:type="gramStart"/>
      <w:r w:rsidR="006537E9" w:rsidRPr="00477BC0">
        <w:rPr>
          <w:rFonts w:ascii="Times New Roman" w:hAnsi="Times New Roman" w:cs="Times New Roman"/>
          <w:sz w:val="20"/>
          <w:szCs w:val="20"/>
        </w:rPr>
        <w:t>2017</w:t>
      </w:r>
      <w:r>
        <w:rPr>
          <w:rFonts w:ascii="Times New Roman" w:hAnsi="Times New Roman" w:cs="Times New Roman"/>
          <w:sz w:val="20"/>
          <w:szCs w:val="20"/>
        </w:rPr>
        <w:t>;</w:t>
      </w:r>
      <w:r w:rsidR="006537E9" w:rsidRPr="00477BC0">
        <w:rPr>
          <w:rFonts w:ascii="Times New Roman" w:hAnsi="Times New Roman" w:cs="Times New Roman"/>
          <w:sz w:val="20"/>
          <w:szCs w:val="20"/>
        </w:rPr>
        <w:t>42:525</w:t>
      </w:r>
      <w:proofErr w:type="gramEnd"/>
      <w:r w:rsidR="006537E9" w:rsidRPr="00477BC0">
        <w:rPr>
          <w:rFonts w:ascii="Times New Roman" w:hAnsi="Times New Roman" w:cs="Times New Roman"/>
          <w:sz w:val="20"/>
          <w:szCs w:val="20"/>
        </w:rPr>
        <w:t xml:space="preserve">-529. </w:t>
      </w:r>
      <w:r w:rsidR="003F477E">
        <w:rPr>
          <w:rFonts w:ascii="Times New Roman" w:hAnsi="Times New Roman" w:cs="Times New Roman"/>
          <w:sz w:val="20"/>
          <w:szCs w:val="20"/>
        </w:rPr>
        <w:t>doi:</w:t>
      </w:r>
      <w:r w:rsidR="006537E9" w:rsidRPr="00477BC0">
        <w:rPr>
          <w:rFonts w:ascii="Times New Roman" w:hAnsi="Times New Roman" w:cs="Times New Roman"/>
          <w:sz w:val="20"/>
          <w:szCs w:val="20"/>
        </w:rPr>
        <w:t>10.1097/RLU.0000000000001674</w:t>
      </w:r>
    </w:p>
    <w:p w14:paraId="5C7669CA" w14:textId="5938C1BB" w:rsidR="006537E9" w:rsidRPr="00477BC0" w:rsidRDefault="006537E9" w:rsidP="00F75C30">
      <w:pPr>
        <w:pStyle w:val="ListParagraph"/>
        <w:numPr>
          <w:ilvl w:val="0"/>
          <w:numId w:val="1"/>
        </w:numPr>
        <w:rPr>
          <w:rFonts w:ascii="Times New Roman" w:hAnsi="Times New Roman" w:cs="Times New Roman"/>
          <w:sz w:val="20"/>
          <w:szCs w:val="20"/>
        </w:rPr>
      </w:pPr>
      <w:r w:rsidRPr="00477BC0">
        <w:rPr>
          <w:rFonts w:ascii="Times New Roman" w:hAnsi="Times New Roman" w:cs="Times New Roman"/>
          <w:sz w:val="20"/>
          <w:szCs w:val="20"/>
        </w:rPr>
        <w:t>Han S, Suh CH, Woo S, Kim YJ, Lee JJ</w:t>
      </w:r>
      <w:r w:rsidR="003F477E">
        <w:rPr>
          <w:rFonts w:ascii="Times New Roman" w:hAnsi="Times New Roman" w:cs="Times New Roman"/>
          <w:sz w:val="20"/>
          <w:szCs w:val="20"/>
        </w:rPr>
        <w:t>.</w:t>
      </w:r>
      <w:r w:rsidRPr="00477BC0">
        <w:rPr>
          <w:rFonts w:ascii="Times New Roman" w:hAnsi="Times New Roman" w:cs="Times New Roman"/>
          <w:sz w:val="20"/>
          <w:szCs w:val="20"/>
        </w:rPr>
        <w:t xml:space="preserve"> Performance of 68Ga-DOTA-Conjugated Somatostatin Receptor-Targeting Peptide PET in Detection of Pheochromocytoma and Paraganglioma: A Systematic Review and </w:t>
      </w:r>
      <w:proofErr w:type="spellStart"/>
      <w:r w:rsidRPr="00477BC0">
        <w:rPr>
          <w:rFonts w:ascii="Times New Roman" w:hAnsi="Times New Roman" w:cs="Times New Roman"/>
          <w:sz w:val="20"/>
          <w:szCs w:val="20"/>
        </w:rPr>
        <w:t>Metaanalysis</w:t>
      </w:r>
      <w:proofErr w:type="spellEnd"/>
      <w:r w:rsidRPr="00477BC0">
        <w:rPr>
          <w:rFonts w:ascii="Times New Roman" w:hAnsi="Times New Roman" w:cs="Times New Roman"/>
          <w:sz w:val="20"/>
          <w:szCs w:val="20"/>
        </w:rPr>
        <w:t xml:space="preserve">. </w:t>
      </w:r>
      <w:r w:rsidRPr="00071C3F">
        <w:rPr>
          <w:rFonts w:ascii="Times New Roman" w:hAnsi="Times New Roman" w:cs="Times New Roman"/>
          <w:i/>
          <w:iCs/>
          <w:sz w:val="20"/>
          <w:szCs w:val="20"/>
        </w:rPr>
        <w:t xml:space="preserve">J </w:t>
      </w:r>
      <w:proofErr w:type="spellStart"/>
      <w:r w:rsidRPr="00071C3F">
        <w:rPr>
          <w:rFonts w:ascii="Times New Roman" w:hAnsi="Times New Roman" w:cs="Times New Roman"/>
          <w:i/>
          <w:iCs/>
          <w:sz w:val="20"/>
          <w:szCs w:val="20"/>
        </w:rPr>
        <w:t>Nucl</w:t>
      </w:r>
      <w:proofErr w:type="spellEnd"/>
      <w:r w:rsidRPr="00071C3F">
        <w:rPr>
          <w:rFonts w:ascii="Times New Roman" w:hAnsi="Times New Roman" w:cs="Times New Roman"/>
          <w:i/>
          <w:iCs/>
          <w:sz w:val="20"/>
          <w:szCs w:val="20"/>
        </w:rPr>
        <w:t xml:space="preserve"> Med</w:t>
      </w:r>
      <w:r w:rsidRPr="00477BC0">
        <w:rPr>
          <w:rFonts w:ascii="Times New Roman" w:hAnsi="Times New Roman" w:cs="Times New Roman"/>
          <w:sz w:val="20"/>
          <w:szCs w:val="20"/>
        </w:rPr>
        <w:t xml:space="preserve">. </w:t>
      </w:r>
      <w:proofErr w:type="gramStart"/>
      <w:r w:rsidRPr="00477BC0">
        <w:rPr>
          <w:rFonts w:ascii="Times New Roman" w:hAnsi="Times New Roman" w:cs="Times New Roman"/>
          <w:sz w:val="20"/>
          <w:szCs w:val="20"/>
        </w:rPr>
        <w:t>2019</w:t>
      </w:r>
      <w:r w:rsidR="00071C3F">
        <w:rPr>
          <w:rFonts w:ascii="Times New Roman" w:hAnsi="Times New Roman" w:cs="Times New Roman"/>
          <w:sz w:val="20"/>
          <w:szCs w:val="20"/>
        </w:rPr>
        <w:t>;</w:t>
      </w:r>
      <w:r w:rsidRPr="00477BC0">
        <w:rPr>
          <w:rFonts w:ascii="Times New Roman" w:hAnsi="Times New Roman" w:cs="Times New Roman"/>
          <w:sz w:val="20"/>
          <w:szCs w:val="20"/>
        </w:rPr>
        <w:t>60:369</w:t>
      </w:r>
      <w:proofErr w:type="gramEnd"/>
      <w:r w:rsidRPr="00477BC0">
        <w:rPr>
          <w:rFonts w:ascii="Times New Roman" w:hAnsi="Times New Roman" w:cs="Times New Roman"/>
          <w:sz w:val="20"/>
          <w:szCs w:val="20"/>
        </w:rPr>
        <w:t xml:space="preserve">-376. </w:t>
      </w:r>
      <w:r w:rsidR="003F477E">
        <w:rPr>
          <w:rFonts w:ascii="Times New Roman" w:hAnsi="Times New Roman" w:cs="Times New Roman"/>
          <w:sz w:val="20"/>
          <w:szCs w:val="20"/>
        </w:rPr>
        <w:t>doi:</w:t>
      </w:r>
      <w:r w:rsidRPr="00477BC0">
        <w:rPr>
          <w:rFonts w:ascii="Times New Roman" w:hAnsi="Times New Roman" w:cs="Times New Roman"/>
          <w:sz w:val="20"/>
          <w:szCs w:val="20"/>
        </w:rPr>
        <w:t>10.2967/jnumed.118.211706</w:t>
      </w:r>
    </w:p>
    <w:p w14:paraId="45C558D4" w14:textId="682D74B5" w:rsidR="006537E9" w:rsidRPr="00477BC0" w:rsidRDefault="006537E9" w:rsidP="00F75C30">
      <w:pPr>
        <w:pStyle w:val="ListParagraph"/>
        <w:numPr>
          <w:ilvl w:val="0"/>
          <w:numId w:val="1"/>
        </w:numPr>
        <w:rPr>
          <w:rFonts w:ascii="Times New Roman" w:hAnsi="Times New Roman" w:cs="Times New Roman"/>
          <w:sz w:val="20"/>
          <w:szCs w:val="20"/>
        </w:rPr>
      </w:pPr>
      <w:r w:rsidRPr="00477BC0">
        <w:rPr>
          <w:rFonts w:ascii="Times New Roman" w:hAnsi="Times New Roman" w:cs="Times New Roman"/>
          <w:sz w:val="20"/>
          <w:szCs w:val="20"/>
        </w:rPr>
        <w:t xml:space="preserve">Mitchell J, Siperstein A, </w:t>
      </w:r>
      <w:proofErr w:type="spellStart"/>
      <w:r w:rsidRPr="00477BC0">
        <w:rPr>
          <w:rFonts w:ascii="Times New Roman" w:hAnsi="Times New Roman" w:cs="Times New Roman"/>
          <w:sz w:val="20"/>
          <w:szCs w:val="20"/>
        </w:rPr>
        <w:t>Milas</w:t>
      </w:r>
      <w:proofErr w:type="spellEnd"/>
      <w:r w:rsidRPr="00477BC0">
        <w:rPr>
          <w:rFonts w:ascii="Times New Roman" w:hAnsi="Times New Roman" w:cs="Times New Roman"/>
          <w:sz w:val="20"/>
          <w:szCs w:val="20"/>
        </w:rPr>
        <w:t xml:space="preserve"> M, Berber E</w:t>
      </w:r>
      <w:r w:rsidR="003F477E">
        <w:rPr>
          <w:rFonts w:ascii="Times New Roman" w:hAnsi="Times New Roman" w:cs="Times New Roman"/>
          <w:sz w:val="20"/>
          <w:szCs w:val="20"/>
        </w:rPr>
        <w:t>.</w:t>
      </w:r>
      <w:r w:rsidRPr="00477BC0">
        <w:rPr>
          <w:rFonts w:ascii="Times New Roman" w:hAnsi="Times New Roman" w:cs="Times New Roman"/>
          <w:sz w:val="20"/>
          <w:szCs w:val="20"/>
        </w:rPr>
        <w:t xml:space="preserve"> Laparoscopic resection of abdominal paragangliomas. </w:t>
      </w:r>
      <w:r w:rsidRPr="00071C3F">
        <w:rPr>
          <w:rFonts w:ascii="Times New Roman" w:hAnsi="Times New Roman" w:cs="Times New Roman"/>
          <w:i/>
          <w:iCs/>
          <w:sz w:val="20"/>
          <w:szCs w:val="20"/>
        </w:rPr>
        <w:t xml:space="preserve">Surg </w:t>
      </w:r>
      <w:proofErr w:type="spellStart"/>
      <w:r w:rsidRPr="00071C3F">
        <w:rPr>
          <w:rFonts w:ascii="Times New Roman" w:hAnsi="Times New Roman" w:cs="Times New Roman"/>
          <w:i/>
          <w:iCs/>
          <w:sz w:val="20"/>
          <w:szCs w:val="20"/>
        </w:rPr>
        <w:t>Laparosc</w:t>
      </w:r>
      <w:proofErr w:type="spellEnd"/>
      <w:r w:rsidRPr="00071C3F">
        <w:rPr>
          <w:rFonts w:ascii="Times New Roman" w:hAnsi="Times New Roman" w:cs="Times New Roman"/>
          <w:i/>
          <w:iCs/>
          <w:sz w:val="20"/>
          <w:szCs w:val="20"/>
        </w:rPr>
        <w:t xml:space="preserve"> </w:t>
      </w:r>
      <w:proofErr w:type="spellStart"/>
      <w:r w:rsidRPr="00071C3F">
        <w:rPr>
          <w:rFonts w:ascii="Times New Roman" w:hAnsi="Times New Roman" w:cs="Times New Roman"/>
          <w:i/>
          <w:iCs/>
          <w:sz w:val="20"/>
          <w:szCs w:val="20"/>
        </w:rPr>
        <w:t>Endosc</w:t>
      </w:r>
      <w:proofErr w:type="spellEnd"/>
      <w:r w:rsidRPr="00071C3F">
        <w:rPr>
          <w:rFonts w:ascii="Times New Roman" w:hAnsi="Times New Roman" w:cs="Times New Roman"/>
          <w:i/>
          <w:iCs/>
          <w:sz w:val="20"/>
          <w:szCs w:val="20"/>
        </w:rPr>
        <w:t xml:space="preserve"> </w:t>
      </w:r>
      <w:proofErr w:type="spellStart"/>
      <w:r w:rsidRPr="00071C3F">
        <w:rPr>
          <w:rFonts w:ascii="Times New Roman" w:hAnsi="Times New Roman" w:cs="Times New Roman"/>
          <w:i/>
          <w:iCs/>
          <w:sz w:val="20"/>
          <w:szCs w:val="20"/>
        </w:rPr>
        <w:t>Percutan</w:t>
      </w:r>
      <w:proofErr w:type="spellEnd"/>
      <w:r w:rsidRPr="00071C3F">
        <w:rPr>
          <w:rFonts w:ascii="Times New Roman" w:hAnsi="Times New Roman" w:cs="Times New Roman"/>
          <w:i/>
          <w:iCs/>
          <w:sz w:val="20"/>
          <w:szCs w:val="20"/>
        </w:rPr>
        <w:t xml:space="preserve"> Tech</w:t>
      </w:r>
      <w:r w:rsidRPr="00477BC0">
        <w:rPr>
          <w:rFonts w:ascii="Times New Roman" w:hAnsi="Times New Roman" w:cs="Times New Roman"/>
          <w:sz w:val="20"/>
          <w:szCs w:val="20"/>
        </w:rPr>
        <w:t xml:space="preserve">. </w:t>
      </w:r>
      <w:proofErr w:type="gramStart"/>
      <w:r w:rsidRPr="00477BC0">
        <w:rPr>
          <w:rFonts w:ascii="Times New Roman" w:hAnsi="Times New Roman" w:cs="Times New Roman"/>
          <w:sz w:val="20"/>
          <w:szCs w:val="20"/>
        </w:rPr>
        <w:t>2011</w:t>
      </w:r>
      <w:r w:rsidR="00071C3F">
        <w:rPr>
          <w:rFonts w:ascii="Times New Roman" w:hAnsi="Times New Roman" w:cs="Times New Roman"/>
          <w:sz w:val="20"/>
          <w:szCs w:val="20"/>
        </w:rPr>
        <w:t>;</w:t>
      </w:r>
      <w:r w:rsidRPr="00477BC0">
        <w:rPr>
          <w:rFonts w:ascii="Times New Roman" w:hAnsi="Times New Roman" w:cs="Times New Roman"/>
          <w:sz w:val="20"/>
          <w:szCs w:val="20"/>
        </w:rPr>
        <w:t>21:48</w:t>
      </w:r>
      <w:proofErr w:type="gramEnd"/>
      <w:r w:rsidRPr="00477BC0">
        <w:rPr>
          <w:rFonts w:ascii="Times New Roman" w:hAnsi="Times New Roman" w:cs="Times New Roman"/>
          <w:sz w:val="20"/>
          <w:szCs w:val="20"/>
        </w:rPr>
        <w:t xml:space="preserve">-53. </w:t>
      </w:r>
      <w:r w:rsidR="003F477E">
        <w:rPr>
          <w:rFonts w:ascii="Times New Roman" w:hAnsi="Times New Roman" w:cs="Times New Roman"/>
          <w:sz w:val="20"/>
          <w:szCs w:val="20"/>
        </w:rPr>
        <w:t>doi:</w:t>
      </w:r>
      <w:r w:rsidRPr="00477BC0">
        <w:rPr>
          <w:rFonts w:ascii="Times New Roman" w:hAnsi="Times New Roman" w:cs="Times New Roman"/>
          <w:sz w:val="20"/>
          <w:szCs w:val="20"/>
        </w:rPr>
        <w:t>10.1097/SLE.0b013e31820ad532</w:t>
      </w:r>
    </w:p>
    <w:p w14:paraId="3EED8CD1" w14:textId="2EC0ECD5" w:rsidR="006537E9" w:rsidRPr="00477BC0" w:rsidRDefault="008C3C7C" w:rsidP="00F75C30">
      <w:pPr>
        <w:pStyle w:val="ListParagraph"/>
        <w:numPr>
          <w:ilvl w:val="0"/>
          <w:numId w:val="1"/>
        </w:numPr>
        <w:rPr>
          <w:rFonts w:ascii="Times New Roman" w:hAnsi="Times New Roman" w:cs="Times New Roman"/>
          <w:sz w:val="20"/>
          <w:szCs w:val="20"/>
        </w:rPr>
      </w:pPr>
      <w:proofErr w:type="spellStart"/>
      <w:r w:rsidRPr="008C3C7C">
        <w:rPr>
          <w:rFonts w:ascii="Times New Roman" w:hAnsi="Times New Roman" w:cs="Times New Roman"/>
          <w:sz w:val="20"/>
          <w:szCs w:val="20"/>
        </w:rPr>
        <w:t>Janetschek</w:t>
      </w:r>
      <w:proofErr w:type="spellEnd"/>
      <w:r w:rsidRPr="008C3C7C">
        <w:rPr>
          <w:rFonts w:ascii="Times New Roman" w:hAnsi="Times New Roman" w:cs="Times New Roman"/>
          <w:sz w:val="20"/>
          <w:szCs w:val="20"/>
        </w:rPr>
        <w:t xml:space="preserve"> G, </w:t>
      </w:r>
      <w:proofErr w:type="spellStart"/>
      <w:r w:rsidRPr="008C3C7C">
        <w:rPr>
          <w:rFonts w:ascii="Times New Roman" w:hAnsi="Times New Roman" w:cs="Times New Roman"/>
          <w:sz w:val="20"/>
          <w:szCs w:val="20"/>
        </w:rPr>
        <w:t>Finkenstedt</w:t>
      </w:r>
      <w:proofErr w:type="spellEnd"/>
      <w:r w:rsidRPr="008C3C7C">
        <w:rPr>
          <w:rFonts w:ascii="Times New Roman" w:hAnsi="Times New Roman" w:cs="Times New Roman"/>
          <w:sz w:val="20"/>
          <w:szCs w:val="20"/>
        </w:rPr>
        <w:t xml:space="preserve"> G, Gasser R, Waibel UG, </w:t>
      </w:r>
      <w:proofErr w:type="spellStart"/>
      <w:r w:rsidRPr="008C3C7C">
        <w:rPr>
          <w:rFonts w:ascii="Times New Roman" w:hAnsi="Times New Roman" w:cs="Times New Roman"/>
          <w:sz w:val="20"/>
          <w:szCs w:val="20"/>
        </w:rPr>
        <w:t>Peschel</w:t>
      </w:r>
      <w:proofErr w:type="spellEnd"/>
      <w:r w:rsidRPr="008C3C7C">
        <w:rPr>
          <w:rFonts w:ascii="Times New Roman" w:hAnsi="Times New Roman" w:cs="Times New Roman"/>
          <w:sz w:val="20"/>
          <w:szCs w:val="20"/>
        </w:rPr>
        <w:t xml:space="preserve"> R, Bartsch G, Neumann HP</w:t>
      </w:r>
      <w:r w:rsidR="003F477E">
        <w:rPr>
          <w:rFonts w:ascii="Times New Roman" w:hAnsi="Times New Roman" w:cs="Times New Roman"/>
          <w:sz w:val="20"/>
          <w:szCs w:val="20"/>
        </w:rPr>
        <w:t>.</w:t>
      </w:r>
      <w:r w:rsidR="006537E9" w:rsidRPr="00477BC0">
        <w:rPr>
          <w:rFonts w:ascii="Times New Roman" w:hAnsi="Times New Roman" w:cs="Times New Roman"/>
          <w:sz w:val="20"/>
          <w:szCs w:val="20"/>
        </w:rPr>
        <w:t xml:space="preserve"> Laparoscopic surgery for pheochromocytoma: adrenalectomy, partial resection, excision of paragangliomas. </w:t>
      </w:r>
      <w:r w:rsidR="006537E9" w:rsidRPr="008C3C7C">
        <w:rPr>
          <w:rFonts w:ascii="Times New Roman" w:hAnsi="Times New Roman" w:cs="Times New Roman"/>
          <w:i/>
          <w:iCs/>
          <w:sz w:val="20"/>
          <w:szCs w:val="20"/>
        </w:rPr>
        <w:t>J Urol</w:t>
      </w:r>
      <w:r w:rsidR="006537E9" w:rsidRPr="00477BC0">
        <w:rPr>
          <w:rFonts w:ascii="Times New Roman" w:hAnsi="Times New Roman" w:cs="Times New Roman"/>
          <w:sz w:val="20"/>
          <w:szCs w:val="20"/>
        </w:rPr>
        <w:t xml:space="preserve">. </w:t>
      </w:r>
      <w:proofErr w:type="gramStart"/>
      <w:r w:rsidR="006537E9" w:rsidRPr="00477BC0">
        <w:rPr>
          <w:rFonts w:ascii="Times New Roman" w:hAnsi="Times New Roman" w:cs="Times New Roman"/>
          <w:sz w:val="20"/>
          <w:szCs w:val="20"/>
        </w:rPr>
        <w:t>1998</w:t>
      </w:r>
      <w:r>
        <w:rPr>
          <w:rFonts w:ascii="Times New Roman" w:hAnsi="Times New Roman" w:cs="Times New Roman"/>
          <w:sz w:val="20"/>
          <w:szCs w:val="20"/>
        </w:rPr>
        <w:t>;</w:t>
      </w:r>
      <w:r w:rsidR="006537E9" w:rsidRPr="00477BC0">
        <w:rPr>
          <w:rFonts w:ascii="Times New Roman" w:hAnsi="Times New Roman" w:cs="Times New Roman"/>
          <w:sz w:val="20"/>
          <w:szCs w:val="20"/>
        </w:rPr>
        <w:t>160:330</w:t>
      </w:r>
      <w:proofErr w:type="gramEnd"/>
      <w:r w:rsidR="006537E9" w:rsidRPr="00477BC0">
        <w:rPr>
          <w:rFonts w:ascii="Times New Roman" w:hAnsi="Times New Roman" w:cs="Times New Roman"/>
          <w:sz w:val="20"/>
          <w:szCs w:val="20"/>
        </w:rPr>
        <w:t xml:space="preserve">-4. </w:t>
      </w:r>
      <w:r w:rsidR="003F477E">
        <w:rPr>
          <w:rFonts w:ascii="Times New Roman" w:hAnsi="Times New Roman" w:cs="Times New Roman"/>
          <w:sz w:val="20"/>
          <w:szCs w:val="20"/>
        </w:rPr>
        <w:t>doi:</w:t>
      </w:r>
      <w:r w:rsidR="006537E9" w:rsidRPr="00477BC0">
        <w:rPr>
          <w:rFonts w:ascii="Times New Roman" w:hAnsi="Times New Roman" w:cs="Times New Roman"/>
          <w:sz w:val="20"/>
          <w:szCs w:val="20"/>
        </w:rPr>
        <w:t>10.1016/s0022-5347(01)62886-6</w:t>
      </w:r>
    </w:p>
    <w:p w14:paraId="3A3FF290" w14:textId="45E86C77" w:rsidR="006537E9" w:rsidRPr="00477BC0" w:rsidRDefault="006537E9" w:rsidP="00F75C30">
      <w:pPr>
        <w:pStyle w:val="ListParagraph"/>
        <w:numPr>
          <w:ilvl w:val="0"/>
          <w:numId w:val="1"/>
        </w:numPr>
        <w:rPr>
          <w:rFonts w:ascii="Times New Roman" w:hAnsi="Times New Roman" w:cs="Times New Roman"/>
          <w:sz w:val="20"/>
          <w:szCs w:val="20"/>
        </w:rPr>
      </w:pPr>
      <w:proofErr w:type="spellStart"/>
      <w:r w:rsidRPr="00477BC0">
        <w:rPr>
          <w:rFonts w:ascii="Times New Roman" w:hAnsi="Times New Roman" w:cs="Times New Roman"/>
          <w:sz w:val="20"/>
          <w:szCs w:val="20"/>
        </w:rPr>
        <w:lastRenderedPageBreak/>
        <w:t>Plouin</w:t>
      </w:r>
      <w:proofErr w:type="spellEnd"/>
      <w:r w:rsidRPr="00477BC0">
        <w:rPr>
          <w:rFonts w:ascii="Times New Roman" w:hAnsi="Times New Roman" w:cs="Times New Roman"/>
          <w:sz w:val="20"/>
          <w:szCs w:val="20"/>
        </w:rPr>
        <w:t xml:space="preserve"> PF, Duclos JM, </w:t>
      </w:r>
      <w:proofErr w:type="spellStart"/>
      <w:r w:rsidRPr="00477BC0">
        <w:rPr>
          <w:rFonts w:ascii="Times New Roman" w:hAnsi="Times New Roman" w:cs="Times New Roman"/>
          <w:sz w:val="20"/>
          <w:szCs w:val="20"/>
        </w:rPr>
        <w:t>Soppelsa</w:t>
      </w:r>
      <w:proofErr w:type="spellEnd"/>
      <w:r w:rsidRPr="00477BC0">
        <w:rPr>
          <w:rFonts w:ascii="Times New Roman" w:hAnsi="Times New Roman" w:cs="Times New Roman"/>
          <w:sz w:val="20"/>
          <w:szCs w:val="20"/>
        </w:rPr>
        <w:t xml:space="preserve"> F, </w:t>
      </w:r>
      <w:proofErr w:type="spellStart"/>
      <w:r w:rsidRPr="00477BC0">
        <w:rPr>
          <w:rFonts w:ascii="Times New Roman" w:hAnsi="Times New Roman" w:cs="Times New Roman"/>
          <w:sz w:val="20"/>
          <w:szCs w:val="20"/>
        </w:rPr>
        <w:t>Boublil</w:t>
      </w:r>
      <w:proofErr w:type="spellEnd"/>
      <w:r w:rsidRPr="00477BC0">
        <w:rPr>
          <w:rFonts w:ascii="Times New Roman" w:hAnsi="Times New Roman" w:cs="Times New Roman"/>
          <w:sz w:val="20"/>
          <w:szCs w:val="20"/>
        </w:rPr>
        <w:t xml:space="preserve"> G, </w:t>
      </w:r>
      <w:proofErr w:type="spellStart"/>
      <w:r w:rsidRPr="00477BC0">
        <w:rPr>
          <w:rFonts w:ascii="Times New Roman" w:hAnsi="Times New Roman" w:cs="Times New Roman"/>
          <w:sz w:val="20"/>
          <w:szCs w:val="20"/>
        </w:rPr>
        <w:t>Chatellier</w:t>
      </w:r>
      <w:proofErr w:type="spellEnd"/>
      <w:r w:rsidRPr="00477BC0">
        <w:rPr>
          <w:rFonts w:ascii="Times New Roman" w:hAnsi="Times New Roman" w:cs="Times New Roman"/>
          <w:sz w:val="20"/>
          <w:szCs w:val="20"/>
        </w:rPr>
        <w:t xml:space="preserve"> G</w:t>
      </w:r>
      <w:r w:rsidR="003F477E">
        <w:rPr>
          <w:rFonts w:ascii="Times New Roman" w:hAnsi="Times New Roman" w:cs="Times New Roman"/>
          <w:sz w:val="20"/>
          <w:szCs w:val="20"/>
        </w:rPr>
        <w:t>.</w:t>
      </w:r>
      <w:r w:rsidRPr="00477BC0">
        <w:rPr>
          <w:rFonts w:ascii="Times New Roman" w:hAnsi="Times New Roman" w:cs="Times New Roman"/>
          <w:sz w:val="20"/>
          <w:szCs w:val="20"/>
        </w:rPr>
        <w:t xml:space="preserve"> Factors associated with perioperative morbidity and mortality in patients with pheochromocytoma: analysis of 165 operations at a single </w:t>
      </w:r>
      <w:proofErr w:type="spellStart"/>
      <w:r w:rsidRPr="00477BC0">
        <w:rPr>
          <w:rFonts w:ascii="Times New Roman" w:hAnsi="Times New Roman" w:cs="Times New Roman"/>
          <w:sz w:val="20"/>
          <w:szCs w:val="20"/>
        </w:rPr>
        <w:t>center</w:t>
      </w:r>
      <w:proofErr w:type="spellEnd"/>
      <w:r w:rsidRPr="00477BC0">
        <w:rPr>
          <w:rFonts w:ascii="Times New Roman" w:hAnsi="Times New Roman" w:cs="Times New Roman"/>
          <w:sz w:val="20"/>
          <w:szCs w:val="20"/>
        </w:rPr>
        <w:t xml:space="preserve">. </w:t>
      </w:r>
      <w:r w:rsidRPr="008C3C7C">
        <w:rPr>
          <w:rFonts w:ascii="Times New Roman" w:hAnsi="Times New Roman" w:cs="Times New Roman"/>
          <w:i/>
          <w:iCs/>
          <w:sz w:val="20"/>
          <w:szCs w:val="20"/>
        </w:rPr>
        <w:t xml:space="preserve">J Clin Endocrinol </w:t>
      </w:r>
      <w:proofErr w:type="spellStart"/>
      <w:r w:rsidRPr="008C3C7C">
        <w:rPr>
          <w:rFonts w:ascii="Times New Roman" w:hAnsi="Times New Roman" w:cs="Times New Roman"/>
          <w:i/>
          <w:iCs/>
          <w:sz w:val="20"/>
          <w:szCs w:val="20"/>
        </w:rPr>
        <w:t>Metab</w:t>
      </w:r>
      <w:proofErr w:type="spellEnd"/>
      <w:r w:rsidRPr="00477BC0">
        <w:rPr>
          <w:rFonts w:ascii="Times New Roman" w:hAnsi="Times New Roman" w:cs="Times New Roman"/>
          <w:sz w:val="20"/>
          <w:szCs w:val="20"/>
        </w:rPr>
        <w:t xml:space="preserve">. </w:t>
      </w:r>
      <w:proofErr w:type="gramStart"/>
      <w:r w:rsidRPr="00477BC0">
        <w:rPr>
          <w:rFonts w:ascii="Times New Roman" w:hAnsi="Times New Roman" w:cs="Times New Roman"/>
          <w:sz w:val="20"/>
          <w:szCs w:val="20"/>
        </w:rPr>
        <w:t>2001</w:t>
      </w:r>
      <w:r w:rsidR="008C3C7C">
        <w:rPr>
          <w:rFonts w:ascii="Times New Roman" w:hAnsi="Times New Roman" w:cs="Times New Roman"/>
          <w:sz w:val="20"/>
          <w:szCs w:val="20"/>
        </w:rPr>
        <w:t>;</w:t>
      </w:r>
      <w:r w:rsidRPr="00477BC0">
        <w:rPr>
          <w:rFonts w:ascii="Times New Roman" w:hAnsi="Times New Roman" w:cs="Times New Roman"/>
          <w:sz w:val="20"/>
          <w:szCs w:val="20"/>
        </w:rPr>
        <w:t>86:1480</w:t>
      </w:r>
      <w:proofErr w:type="gramEnd"/>
      <w:r w:rsidRPr="00477BC0">
        <w:rPr>
          <w:rFonts w:ascii="Times New Roman" w:hAnsi="Times New Roman" w:cs="Times New Roman"/>
          <w:sz w:val="20"/>
          <w:szCs w:val="20"/>
        </w:rPr>
        <w:t xml:space="preserve">-6. </w:t>
      </w:r>
      <w:r w:rsidR="003F477E">
        <w:rPr>
          <w:rFonts w:ascii="Times New Roman" w:hAnsi="Times New Roman" w:cs="Times New Roman"/>
          <w:sz w:val="20"/>
          <w:szCs w:val="20"/>
        </w:rPr>
        <w:t>doi:</w:t>
      </w:r>
      <w:r w:rsidRPr="00477BC0">
        <w:rPr>
          <w:rFonts w:ascii="Times New Roman" w:hAnsi="Times New Roman" w:cs="Times New Roman"/>
          <w:sz w:val="20"/>
          <w:szCs w:val="20"/>
        </w:rPr>
        <w:t>10.1210/jcem.86.4.7392</w:t>
      </w:r>
    </w:p>
    <w:p w14:paraId="42494079" w14:textId="2C2E1508" w:rsidR="006537E9" w:rsidRPr="00477BC0" w:rsidRDefault="006537E9" w:rsidP="00F75C30">
      <w:pPr>
        <w:pStyle w:val="ListParagraph"/>
        <w:numPr>
          <w:ilvl w:val="0"/>
          <w:numId w:val="1"/>
        </w:numPr>
        <w:rPr>
          <w:rFonts w:ascii="Times New Roman" w:hAnsi="Times New Roman" w:cs="Times New Roman"/>
          <w:sz w:val="20"/>
          <w:szCs w:val="20"/>
        </w:rPr>
      </w:pPr>
      <w:proofErr w:type="spellStart"/>
      <w:r w:rsidRPr="00477BC0">
        <w:rPr>
          <w:rFonts w:ascii="Times New Roman" w:hAnsi="Times New Roman" w:cs="Times New Roman"/>
          <w:sz w:val="20"/>
          <w:szCs w:val="20"/>
        </w:rPr>
        <w:t>Tagaya</w:t>
      </w:r>
      <w:proofErr w:type="spellEnd"/>
      <w:r w:rsidRPr="00477BC0">
        <w:rPr>
          <w:rFonts w:ascii="Times New Roman" w:hAnsi="Times New Roman" w:cs="Times New Roman"/>
          <w:sz w:val="20"/>
          <w:szCs w:val="20"/>
        </w:rPr>
        <w:t xml:space="preserve"> N, Suzuki N, </w:t>
      </w:r>
      <w:proofErr w:type="spellStart"/>
      <w:r w:rsidRPr="00477BC0">
        <w:rPr>
          <w:rFonts w:ascii="Times New Roman" w:hAnsi="Times New Roman" w:cs="Times New Roman"/>
          <w:sz w:val="20"/>
          <w:szCs w:val="20"/>
        </w:rPr>
        <w:t>Furihata</w:t>
      </w:r>
      <w:proofErr w:type="spellEnd"/>
      <w:r w:rsidRPr="00477BC0">
        <w:rPr>
          <w:rFonts w:ascii="Times New Roman" w:hAnsi="Times New Roman" w:cs="Times New Roman"/>
          <w:sz w:val="20"/>
          <w:szCs w:val="20"/>
        </w:rPr>
        <w:t xml:space="preserve"> T, Kubota K</w:t>
      </w:r>
      <w:r w:rsidR="003F477E">
        <w:rPr>
          <w:rFonts w:ascii="Times New Roman" w:hAnsi="Times New Roman" w:cs="Times New Roman"/>
          <w:sz w:val="20"/>
          <w:szCs w:val="20"/>
        </w:rPr>
        <w:t>.</w:t>
      </w:r>
      <w:r w:rsidRPr="00477BC0">
        <w:rPr>
          <w:rFonts w:ascii="Times New Roman" w:hAnsi="Times New Roman" w:cs="Times New Roman"/>
          <w:sz w:val="20"/>
          <w:szCs w:val="20"/>
        </w:rPr>
        <w:t xml:space="preserve"> Laparoscopic resection of a functional paraganglioma in the organ of Zuckerkandl. </w:t>
      </w:r>
      <w:r w:rsidRPr="008C3C7C">
        <w:rPr>
          <w:rFonts w:ascii="Times New Roman" w:hAnsi="Times New Roman" w:cs="Times New Roman"/>
          <w:i/>
          <w:iCs/>
          <w:sz w:val="20"/>
          <w:szCs w:val="20"/>
        </w:rPr>
        <w:t xml:space="preserve">Surg </w:t>
      </w:r>
      <w:proofErr w:type="spellStart"/>
      <w:r w:rsidRPr="008C3C7C">
        <w:rPr>
          <w:rFonts w:ascii="Times New Roman" w:hAnsi="Times New Roman" w:cs="Times New Roman"/>
          <w:i/>
          <w:iCs/>
          <w:sz w:val="20"/>
          <w:szCs w:val="20"/>
        </w:rPr>
        <w:t>Endosc</w:t>
      </w:r>
      <w:proofErr w:type="spellEnd"/>
      <w:r w:rsidRPr="00477BC0">
        <w:rPr>
          <w:rFonts w:ascii="Times New Roman" w:hAnsi="Times New Roman" w:cs="Times New Roman"/>
          <w:sz w:val="20"/>
          <w:szCs w:val="20"/>
        </w:rPr>
        <w:t xml:space="preserve">. </w:t>
      </w:r>
      <w:proofErr w:type="gramStart"/>
      <w:r w:rsidRPr="00477BC0">
        <w:rPr>
          <w:rFonts w:ascii="Times New Roman" w:hAnsi="Times New Roman" w:cs="Times New Roman"/>
          <w:sz w:val="20"/>
          <w:szCs w:val="20"/>
        </w:rPr>
        <w:t>2002</w:t>
      </w:r>
      <w:r w:rsidR="008C3C7C">
        <w:rPr>
          <w:rFonts w:ascii="Times New Roman" w:hAnsi="Times New Roman" w:cs="Times New Roman"/>
          <w:sz w:val="20"/>
          <w:szCs w:val="20"/>
        </w:rPr>
        <w:t>;</w:t>
      </w:r>
      <w:r w:rsidRPr="00477BC0">
        <w:rPr>
          <w:rFonts w:ascii="Times New Roman" w:hAnsi="Times New Roman" w:cs="Times New Roman"/>
          <w:sz w:val="20"/>
          <w:szCs w:val="20"/>
        </w:rPr>
        <w:t>16:219</w:t>
      </w:r>
      <w:proofErr w:type="gramEnd"/>
      <w:r w:rsidRPr="00477BC0">
        <w:rPr>
          <w:rFonts w:ascii="Times New Roman" w:hAnsi="Times New Roman" w:cs="Times New Roman"/>
          <w:sz w:val="20"/>
          <w:szCs w:val="20"/>
        </w:rPr>
        <w:t xml:space="preserve">-10. </w:t>
      </w:r>
      <w:r w:rsidR="003F477E">
        <w:rPr>
          <w:rFonts w:ascii="Times New Roman" w:hAnsi="Times New Roman" w:cs="Times New Roman"/>
          <w:sz w:val="20"/>
          <w:szCs w:val="20"/>
        </w:rPr>
        <w:t>doi:</w:t>
      </w:r>
      <w:r w:rsidRPr="00477BC0">
        <w:rPr>
          <w:rFonts w:ascii="Times New Roman" w:hAnsi="Times New Roman" w:cs="Times New Roman"/>
          <w:sz w:val="20"/>
          <w:szCs w:val="20"/>
        </w:rPr>
        <w:t>10.1007/s00464-001-4108-y.</w:t>
      </w:r>
    </w:p>
    <w:p w14:paraId="0F3B4AB6" w14:textId="4D6165E6" w:rsidR="006537E9" w:rsidRPr="00477BC0" w:rsidRDefault="006537E9" w:rsidP="00F75C30">
      <w:pPr>
        <w:pStyle w:val="ListParagraph"/>
        <w:numPr>
          <w:ilvl w:val="0"/>
          <w:numId w:val="1"/>
        </w:numPr>
        <w:rPr>
          <w:rFonts w:ascii="Times New Roman" w:hAnsi="Times New Roman" w:cs="Times New Roman"/>
          <w:sz w:val="20"/>
          <w:szCs w:val="20"/>
        </w:rPr>
      </w:pPr>
      <w:r w:rsidRPr="00477BC0">
        <w:rPr>
          <w:rFonts w:ascii="Times New Roman" w:hAnsi="Times New Roman" w:cs="Times New Roman"/>
          <w:sz w:val="20"/>
          <w:szCs w:val="20"/>
        </w:rPr>
        <w:t xml:space="preserve">van Heerden JA, Roland CF, Carney JA, </w:t>
      </w:r>
      <w:proofErr w:type="spellStart"/>
      <w:r w:rsidRPr="00477BC0">
        <w:rPr>
          <w:rFonts w:ascii="Times New Roman" w:hAnsi="Times New Roman" w:cs="Times New Roman"/>
          <w:sz w:val="20"/>
          <w:szCs w:val="20"/>
        </w:rPr>
        <w:t>Sheps</w:t>
      </w:r>
      <w:proofErr w:type="spellEnd"/>
      <w:r w:rsidRPr="00477BC0">
        <w:rPr>
          <w:rFonts w:ascii="Times New Roman" w:hAnsi="Times New Roman" w:cs="Times New Roman"/>
          <w:sz w:val="20"/>
          <w:szCs w:val="20"/>
        </w:rPr>
        <w:t xml:space="preserve"> SG, Grant CS</w:t>
      </w:r>
      <w:r w:rsidR="003F477E">
        <w:rPr>
          <w:rFonts w:ascii="Times New Roman" w:hAnsi="Times New Roman" w:cs="Times New Roman"/>
          <w:sz w:val="20"/>
          <w:szCs w:val="20"/>
        </w:rPr>
        <w:t>.</w:t>
      </w:r>
      <w:r w:rsidRPr="00477BC0">
        <w:rPr>
          <w:rFonts w:ascii="Times New Roman" w:hAnsi="Times New Roman" w:cs="Times New Roman"/>
          <w:sz w:val="20"/>
          <w:szCs w:val="20"/>
        </w:rPr>
        <w:t xml:space="preserve"> Long-term evaluation following resection of apparently benign pheochromocytoma(s)/paraganglioma(s). </w:t>
      </w:r>
      <w:r w:rsidRPr="008C3C7C">
        <w:rPr>
          <w:rFonts w:ascii="Times New Roman" w:hAnsi="Times New Roman" w:cs="Times New Roman"/>
          <w:i/>
          <w:iCs/>
          <w:sz w:val="20"/>
          <w:szCs w:val="20"/>
        </w:rPr>
        <w:t>World J Surg</w:t>
      </w:r>
      <w:r w:rsidRPr="00477BC0">
        <w:rPr>
          <w:rFonts w:ascii="Times New Roman" w:hAnsi="Times New Roman" w:cs="Times New Roman"/>
          <w:sz w:val="20"/>
          <w:szCs w:val="20"/>
        </w:rPr>
        <w:t xml:space="preserve">. </w:t>
      </w:r>
      <w:proofErr w:type="gramStart"/>
      <w:r w:rsidRPr="00477BC0">
        <w:rPr>
          <w:rFonts w:ascii="Times New Roman" w:hAnsi="Times New Roman" w:cs="Times New Roman"/>
          <w:sz w:val="20"/>
          <w:szCs w:val="20"/>
        </w:rPr>
        <w:t>1990</w:t>
      </w:r>
      <w:r w:rsidR="008C3C7C">
        <w:rPr>
          <w:rFonts w:ascii="Times New Roman" w:hAnsi="Times New Roman" w:cs="Times New Roman"/>
          <w:sz w:val="20"/>
          <w:szCs w:val="20"/>
        </w:rPr>
        <w:t>;</w:t>
      </w:r>
      <w:r w:rsidRPr="00477BC0">
        <w:rPr>
          <w:rFonts w:ascii="Times New Roman" w:hAnsi="Times New Roman" w:cs="Times New Roman"/>
          <w:sz w:val="20"/>
          <w:szCs w:val="20"/>
        </w:rPr>
        <w:t>14:325</w:t>
      </w:r>
      <w:proofErr w:type="gramEnd"/>
      <w:r w:rsidRPr="00477BC0">
        <w:rPr>
          <w:rFonts w:ascii="Times New Roman" w:hAnsi="Times New Roman" w:cs="Times New Roman"/>
          <w:sz w:val="20"/>
          <w:szCs w:val="20"/>
        </w:rPr>
        <w:t xml:space="preserve">-9. </w:t>
      </w:r>
      <w:r w:rsidR="003F477E">
        <w:rPr>
          <w:rFonts w:ascii="Times New Roman" w:hAnsi="Times New Roman" w:cs="Times New Roman"/>
          <w:sz w:val="20"/>
          <w:szCs w:val="20"/>
        </w:rPr>
        <w:t>doi:</w:t>
      </w:r>
      <w:r w:rsidRPr="00477BC0">
        <w:rPr>
          <w:rFonts w:ascii="Times New Roman" w:hAnsi="Times New Roman" w:cs="Times New Roman"/>
          <w:sz w:val="20"/>
          <w:szCs w:val="20"/>
        </w:rPr>
        <w:t>10.1007/BF01658516</w:t>
      </w:r>
    </w:p>
    <w:p w14:paraId="70ADD90B" w14:textId="251D3155" w:rsidR="006537E9" w:rsidRPr="00477BC0" w:rsidRDefault="008C3C7C" w:rsidP="00F75C30">
      <w:pPr>
        <w:pStyle w:val="ListParagraph"/>
        <w:numPr>
          <w:ilvl w:val="0"/>
          <w:numId w:val="1"/>
        </w:numPr>
        <w:rPr>
          <w:rFonts w:ascii="Times New Roman" w:hAnsi="Times New Roman" w:cs="Times New Roman"/>
          <w:sz w:val="20"/>
          <w:szCs w:val="20"/>
        </w:rPr>
      </w:pPr>
      <w:r w:rsidRPr="008C3C7C">
        <w:rPr>
          <w:rFonts w:ascii="Times New Roman" w:hAnsi="Times New Roman" w:cs="Times New Roman"/>
          <w:sz w:val="20"/>
          <w:szCs w:val="20"/>
        </w:rPr>
        <w:t xml:space="preserve">Hamidi O, Young WF Jr, </w:t>
      </w:r>
      <w:proofErr w:type="spellStart"/>
      <w:r w:rsidRPr="008C3C7C">
        <w:rPr>
          <w:rFonts w:ascii="Times New Roman" w:hAnsi="Times New Roman" w:cs="Times New Roman"/>
          <w:sz w:val="20"/>
          <w:szCs w:val="20"/>
        </w:rPr>
        <w:t>Iñiguez</w:t>
      </w:r>
      <w:proofErr w:type="spellEnd"/>
      <w:r w:rsidRPr="008C3C7C">
        <w:rPr>
          <w:rFonts w:ascii="Times New Roman" w:hAnsi="Times New Roman" w:cs="Times New Roman"/>
          <w:sz w:val="20"/>
          <w:szCs w:val="20"/>
        </w:rPr>
        <w:t xml:space="preserve">-Ariza NM, </w:t>
      </w:r>
      <w:proofErr w:type="spellStart"/>
      <w:r w:rsidRPr="008C3C7C">
        <w:rPr>
          <w:rFonts w:ascii="Times New Roman" w:hAnsi="Times New Roman" w:cs="Times New Roman"/>
          <w:sz w:val="20"/>
          <w:szCs w:val="20"/>
        </w:rPr>
        <w:t>Kittah</w:t>
      </w:r>
      <w:proofErr w:type="spellEnd"/>
      <w:r w:rsidRPr="008C3C7C">
        <w:rPr>
          <w:rFonts w:ascii="Times New Roman" w:hAnsi="Times New Roman" w:cs="Times New Roman"/>
          <w:sz w:val="20"/>
          <w:szCs w:val="20"/>
        </w:rPr>
        <w:t xml:space="preserve"> NE, Gruber L, </w:t>
      </w:r>
      <w:proofErr w:type="spellStart"/>
      <w:r w:rsidRPr="008C3C7C">
        <w:rPr>
          <w:rFonts w:ascii="Times New Roman" w:hAnsi="Times New Roman" w:cs="Times New Roman"/>
          <w:sz w:val="20"/>
          <w:szCs w:val="20"/>
        </w:rPr>
        <w:t>Bancos</w:t>
      </w:r>
      <w:proofErr w:type="spellEnd"/>
      <w:r w:rsidRPr="008C3C7C">
        <w:rPr>
          <w:rFonts w:ascii="Times New Roman" w:hAnsi="Times New Roman" w:cs="Times New Roman"/>
          <w:sz w:val="20"/>
          <w:szCs w:val="20"/>
        </w:rPr>
        <w:t xml:space="preserve"> C, Tamhane S, </w:t>
      </w:r>
      <w:proofErr w:type="spellStart"/>
      <w:r w:rsidRPr="008C3C7C">
        <w:rPr>
          <w:rFonts w:ascii="Times New Roman" w:hAnsi="Times New Roman" w:cs="Times New Roman"/>
          <w:sz w:val="20"/>
          <w:szCs w:val="20"/>
        </w:rPr>
        <w:t>Bancos</w:t>
      </w:r>
      <w:proofErr w:type="spellEnd"/>
      <w:r w:rsidRPr="008C3C7C">
        <w:rPr>
          <w:rFonts w:ascii="Times New Roman" w:hAnsi="Times New Roman" w:cs="Times New Roman"/>
          <w:sz w:val="20"/>
          <w:szCs w:val="20"/>
        </w:rPr>
        <w:t xml:space="preserve"> I. </w:t>
      </w:r>
      <w:r w:rsidR="006537E9" w:rsidRPr="00477BC0">
        <w:rPr>
          <w:rFonts w:ascii="Times New Roman" w:hAnsi="Times New Roman" w:cs="Times New Roman"/>
          <w:sz w:val="20"/>
          <w:szCs w:val="20"/>
        </w:rPr>
        <w:t xml:space="preserve">Malignant Pheochromocytoma and Paraganglioma: 272 Patients Over 55 Years. </w:t>
      </w:r>
      <w:r w:rsidR="006537E9" w:rsidRPr="008C3C7C">
        <w:rPr>
          <w:rFonts w:ascii="Times New Roman" w:hAnsi="Times New Roman" w:cs="Times New Roman"/>
          <w:i/>
          <w:iCs/>
          <w:sz w:val="20"/>
          <w:szCs w:val="20"/>
        </w:rPr>
        <w:t xml:space="preserve">J Clin Endocrinol </w:t>
      </w:r>
      <w:proofErr w:type="spellStart"/>
      <w:r w:rsidR="006537E9" w:rsidRPr="008C3C7C">
        <w:rPr>
          <w:rFonts w:ascii="Times New Roman" w:hAnsi="Times New Roman" w:cs="Times New Roman"/>
          <w:i/>
          <w:iCs/>
          <w:sz w:val="20"/>
          <w:szCs w:val="20"/>
        </w:rPr>
        <w:t>Metab</w:t>
      </w:r>
      <w:proofErr w:type="spellEnd"/>
      <w:r w:rsidR="006537E9" w:rsidRPr="00477BC0">
        <w:rPr>
          <w:rFonts w:ascii="Times New Roman" w:hAnsi="Times New Roman" w:cs="Times New Roman"/>
          <w:sz w:val="20"/>
          <w:szCs w:val="20"/>
        </w:rPr>
        <w:t xml:space="preserve">. </w:t>
      </w:r>
      <w:proofErr w:type="gramStart"/>
      <w:r w:rsidR="006537E9" w:rsidRPr="00477BC0">
        <w:rPr>
          <w:rFonts w:ascii="Times New Roman" w:hAnsi="Times New Roman" w:cs="Times New Roman"/>
          <w:sz w:val="20"/>
          <w:szCs w:val="20"/>
        </w:rPr>
        <w:t>2017</w:t>
      </w:r>
      <w:r>
        <w:rPr>
          <w:rFonts w:ascii="Times New Roman" w:hAnsi="Times New Roman" w:cs="Times New Roman"/>
          <w:sz w:val="20"/>
          <w:szCs w:val="20"/>
        </w:rPr>
        <w:t>;</w:t>
      </w:r>
      <w:r w:rsidR="006537E9" w:rsidRPr="00477BC0">
        <w:rPr>
          <w:rFonts w:ascii="Times New Roman" w:hAnsi="Times New Roman" w:cs="Times New Roman"/>
          <w:sz w:val="20"/>
          <w:szCs w:val="20"/>
        </w:rPr>
        <w:t>102:3296</w:t>
      </w:r>
      <w:proofErr w:type="gramEnd"/>
      <w:r w:rsidR="006537E9" w:rsidRPr="00477BC0">
        <w:rPr>
          <w:rFonts w:ascii="Times New Roman" w:hAnsi="Times New Roman" w:cs="Times New Roman"/>
          <w:sz w:val="20"/>
          <w:szCs w:val="20"/>
        </w:rPr>
        <w:t xml:space="preserve">-3305. </w:t>
      </w:r>
      <w:r w:rsidR="003F477E">
        <w:rPr>
          <w:rFonts w:ascii="Times New Roman" w:hAnsi="Times New Roman" w:cs="Times New Roman"/>
          <w:sz w:val="20"/>
          <w:szCs w:val="20"/>
        </w:rPr>
        <w:t>doi:</w:t>
      </w:r>
      <w:r w:rsidR="006537E9" w:rsidRPr="00477BC0">
        <w:rPr>
          <w:rFonts w:ascii="Times New Roman" w:hAnsi="Times New Roman" w:cs="Times New Roman"/>
          <w:sz w:val="20"/>
          <w:szCs w:val="20"/>
        </w:rPr>
        <w:t>10.1210/jc.2017-00992</w:t>
      </w:r>
    </w:p>
    <w:p w14:paraId="1661E5D9" w14:textId="0DD82710" w:rsidR="006537E9" w:rsidRPr="00477BC0" w:rsidRDefault="006537E9" w:rsidP="00F75C30">
      <w:pPr>
        <w:pStyle w:val="ListParagraph"/>
        <w:numPr>
          <w:ilvl w:val="0"/>
          <w:numId w:val="1"/>
        </w:numPr>
        <w:rPr>
          <w:rFonts w:ascii="Times New Roman" w:hAnsi="Times New Roman" w:cs="Times New Roman"/>
          <w:sz w:val="20"/>
          <w:szCs w:val="20"/>
        </w:rPr>
      </w:pPr>
      <w:r w:rsidRPr="00477BC0">
        <w:rPr>
          <w:rFonts w:ascii="Times New Roman" w:hAnsi="Times New Roman" w:cs="Times New Roman"/>
          <w:sz w:val="20"/>
          <w:szCs w:val="20"/>
        </w:rPr>
        <w:t>National Comprehensive Cancer Network (NCCN)</w:t>
      </w:r>
      <w:r w:rsidR="003F477E">
        <w:rPr>
          <w:rFonts w:ascii="Times New Roman" w:hAnsi="Times New Roman" w:cs="Times New Roman"/>
          <w:sz w:val="20"/>
          <w:szCs w:val="20"/>
        </w:rPr>
        <w:t>.</w:t>
      </w:r>
      <w:r w:rsidRPr="00477BC0">
        <w:rPr>
          <w:rFonts w:ascii="Times New Roman" w:hAnsi="Times New Roman" w:cs="Times New Roman"/>
          <w:sz w:val="20"/>
          <w:szCs w:val="20"/>
        </w:rPr>
        <w:t xml:space="preserve"> NCCN clinical practice guidelines in oncology.</w:t>
      </w:r>
      <w:r w:rsidR="00071C3F">
        <w:rPr>
          <w:rFonts w:ascii="Times New Roman" w:hAnsi="Times New Roman" w:cs="Times New Roman"/>
          <w:sz w:val="20"/>
          <w:szCs w:val="20"/>
        </w:rPr>
        <w:t xml:space="preserve"> </w:t>
      </w:r>
      <w:r w:rsidR="00071C3F" w:rsidRPr="00071C3F">
        <w:rPr>
          <w:rFonts w:ascii="Times New Roman" w:hAnsi="Times New Roman" w:cs="Times New Roman"/>
          <w:sz w:val="20"/>
          <w:szCs w:val="20"/>
        </w:rPr>
        <w:t xml:space="preserve">Neuroendocrine and Adrenal </w:t>
      </w:r>
      <w:proofErr w:type="spellStart"/>
      <w:r w:rsidR="00071C3F" w:rsidRPr="00071C3F">
        <w:rPr>
          <w:rFonts w:ascii="Times New Roman" w:hAnsi="Times New Roman" w:cs="Times New Roman"/>
          <w:sz w:val="20"/>
          <w:szCs w:val="20"/>
        </w:rPr>
        <w:t>Tumors</w:t>
      </w:r>
      <w:proofErr w:type="spellEnd"/>
      <w:r w:rsidR="00071C3F">
        <w:rPr>
          <w:rFonts w:ascii="Times New Roman" w:hAnsi="Times New Roman" w:cs="Times New Roman"/>
          <w:sz w:val="20"/>
          <w:szCs w:val="20"/>
        </w:rPr>
        <w:t>.</w:t>
      </w:r>
      <w:r w:rsidR="003F477E">
        <w:rPr>
          <w:rFonts w:ascii="Times New Roman" w:hAnsi="Times New Roman" w:cs="Times New Roman"/>
          <w:sz w:val="20"/>
          <w:szCs w:val="20"/>
        </w:rPr>
        <w:t xml:space="preserve"> 2023. </w:t>
      </w:r>
      <w:r w:rsidRPr="00477BC0">
        <w:rPr>
          <w:rFonts w:ascii="Times New Roman" w:hAnsi="Times New Roman" w:cs="Times New Roman"/>
          <w:sz w:val="20"/>
          <w:szCs w:val="20"/>
        </w:rPr>
        <w:t>Accessed July 27, 2023.</w:t>
      </w:r>
      <w:r w:rsidR="003F477E">
        <w:rPr>
          <w:rFonts w:ascii="Times New Roman" w:hAnsi="Times New Roman" w:cs="Times New Roman"/>
          <w:sz w:val="20"/>
          <w:szCs w:val="20"/>
        </w:rPr>
        <w:t xml:space="preserve"> </w:t>
      </w:r>
      <w:r w:rsidR="003F477E" w:rsidRPr="003F477E">
        <w:rPr>
          <w:rFonts w:ascii="Times New Roman" w:hAnsi="Times New Roman" w:cs="Times New Roman"/>
          <w:sz w:val="20"/>
          <w:szCs w:val="20"/>
        </w:rPr>
        <w:t>https://www.nccn.org/guidelines/guidelines-detail?category=1&amp;id=1448</w:t>
      </w:r>
    </w:p>
    <w:sectPr w:rsidR="006537E9" w:rsidRPr="00477BC0">
      <w:headerReference w:type="even" r:id="rId18"/>
      <w:headerReference w:type="default" r:id="rId19"/>
      <w:headerReference w:type="first" r:id="rId2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E58D4F" w14:textId="77777777" w:rsidR="00C54A04" w:rsidRDefault="00C54A04" w:rsidP="00E770CE">
      <w:r>
        <w:separator/>
      </w:r>
    </w:p>
  </w:endnote>
  <w:endnote w:type="continuationSeparator" w:id="0">
    <w:p w14:paraId="737620DA" w14:textId="77777777" w:rsidR="00C54A04" w:rsidRDefault="00C54A04" w:rsidP="00E770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0A73AF" w14:textId="77777777" w:rsidR="00C54A04" w:rsidRDefault="00C54A04" w:rsidP="00E770CE">
      <w:r>
        <w:separator/>
      </w:r>
    </w:p>
  </w:footnote>
  <w:footnote w:type="continuationSeparator" w:id="0">
    <w:p w14:paraId="00A5BEDE" w14:textId="77777777" w:rsidR="00C54A04" w:rsidRDefault="00C54A04" w:rsidP="00E770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333754" w14:textId="3AE9ED83" w:rsidR="00E770CE" w:rsidRDefault="00E770CE">
    <w:pPr>
      <w:pStyle w:val="Header"/>
    </w:pPr>
    <w:r>
      <w:rPr>
        <w:noProof/>
      </w:rPr>
      <mc:AlternateContent>
        <mc:Choice Requires="wps">
          <w:drawing>
            <wp:anchor distT="0" distB="0" distL="0" distR="0" simplePos="0" relativeHeight="251659264" behindDoc="0" locked="0" layoutInCell="1" allowOverlap="1" wp14:anchorId="3B499CF9" wp14:editId="06497B90">
              <wp:simplePos x="635" y="635"/>
              <wp:positionH relativeFrom="page">
                <wp:align>center</wp:align>
              </wp:positionH>
              <wp:positionV relativeFrom="page">
                <wp:align>top</wp:align>
              </wp:positionV>
              <wp:extent cx="443865" cy="443865"/>
              <wp:effectExtent l="0" t="0" r="1270" b="2540"/>
              <wp:wrapNone/>
              <wp:docPr id="317793991" name="Text Box 2" descr="UN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138C8DC" w14:textId="2A7EA692" w:rsidR="00E770CE" w:rsidRPr="00E770CE" w:rsidRDefault="00E770CE" w:rsidP="00E770CE">
                          <w:pPr>
                            <w:rPr>
                              <w:rFonts w:ascii="Calibri" w:eastAsia="Calibri" w:hAnsi="Calibri" w:cs="Calibri"/>
                              <w:noProof/>
                              <w:color w:val="A80000"/>
                            </w:rPr>
                          </w:pPr>
                          <w:r w:rsidRPr="00E770CE">
                            <w:rPr>
                              <w:rFonts w:ascii="Calibri" w:eastAsia="Calibri" w:hAnsi="Calibri" w:cs="Calibri"/>
                              <w:noProof/>
                              <w:color w:val="A80000"/>
                            </w:rPr>
                            <w:t>UNOFFICIAL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3B499CF9" id="_x0000_t202" coordsize="21600,21600" o:spt="202" path="m,l,21600r21600,l21600,xe">
              <v:stroke joinstyle="miter"/>
              <v:path gradientshapeok="t" o:connecttype="rect"/>
            </v:shapetype>
            <v:shape id="Text Box 2" o:spid="_x0000_s1026" type="#_x0000_t202" alt="UNOFFICIAL" style="position:absolute;margin-left:0;margin-top:0;width:34.95pt;height:34.9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" filled="f" stroked="f">
              <v:textbox style="mso-fit-shape-to-text:t" inset="0,15pt,0,0">
                <w:txbxContent>
                  <w:p w14:paraId="7138C8DC" w14:textId="2A7EA692" w:rsidR="00E770CE" w:rsidRPr="00E770CE" w:rsidRDefault="00E770CE" w:rsidP="00E770CE">
                    <w:pPr>
                      <w:rPr>
                        <w:rFonts w:ascii="Calibri" w:eastAsia="Calibri" w:hAnsi="Calibri" w:cs="Calibri"/>
                        <w:noProof/>
                        <w:color w:val="A80000"/>
                      </w:rPr>
                    </w:pPr>
                    <w:r w:rsidRPr="00E770CE">
                      <w:rPr>
                        <w:rFonts w:ascii="Calibri" w:eastAsia="Calibri" w:hAnsi="Calibri" w:cs="Calibri"/>
                        <w:noProof/>
                        <w:color w:val="A80000"/>
                      </w:rPr>
                      <w:t>UNOFFICIAL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631A6" w14:textId="1649B0C4" w:rsidR="00E770CE" w:rsidRDefault="00E770C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A7866E" w14:textId="7709768B" w:rsidR="00E770CE" w:rsidRDefault="00E770CE">
    <w:pPr>
      <w:pStyle w:val="Header"/>
    </w:pPr>
    <w:r>
      <w:rPr>
        <w:noProof/>
      </w:rPr>
      <mc:AlternateContent>
        <mc:Choice Requires="wps">
          <w:drawing>
            <wp:anchor distT="0" distB="0" distL="0" distR="0" simplePos="0" relativeHeight="251658240" behindDoc="0" locked="0" layoutInCell="1" allowOverlap="1" wp14:anchorId="4115B971" wp14:editId="225A9649">
              <wp:simplePos x="635" y="635"/>
              <wp:positionH relativeFrom="page">
                <wp:align>center</wp:align>
              </wp:positionH>
              <wp:positionV relativeFrom="page">
                <wp:align>top</wp:align>
              </wp:positionV>
              <wp:extent cx="443865" cy="443865"/>
              <wp:effectExtent l="0" t="0" r="1270" b="2540"/>
              <wp:wrapNone/>
              <wp:docPr id="459424167" name="Text Box 1" descr="UN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3D92D3C" w14:textId="4DA93F3F" w:rsidR="00E770CE" w:rsidRPr="00E770CE" w:rsidRDefault="00E770CE" w:rsidP="00E770CE">
                          <w:pPr>
                            <w:rPr>
                              <w:rFonts w:ascii="Calibri" w:eastAsia="Calibri" w:hAnsi="Calibri" w:cs="Calibri"/>
                              <w:noProof/>
                              <w:color w:val="A80000"/>
                            </w:rPr>
                          </w:pPr>
                          <w:r w:rsidRPr="00E770CE">
                            <w:rPr>
                              <w:rFonts w:ascii="Calibri" w:eastAsia="Calibri" w:hAnsi="Calibri" w:cs="Calibri"/>
                              <w:noProof/>
                              <w:color w:val="A80000"/>
                            </w:rPr>
                            <w:t>UNOFFICIAL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4115B971" id="_x0000_t202" coordsize="21600,21600" o:spt="202" path="m,l,21600r21600,l21600,xe">
              <v:stroke joinstyle="miter"/>
              <v:path gradientshapeok="t" o:connecttype="rect"/>
            </v:shapetype>
            <v:shape id="Text Box 1" o:spid="_x0000_s1027" type="#_x0000_t202" alt="UNOFFICIAL" style="position:absolute;margin-left:0;margin-top:0;width:34.95pt;height:34.95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" filled="f" stroked="f">
              <v:textbox style="mso-fit-shape-to-text:t" inset="0,15pt,0,0">
                <w:txbxContent>
                  <w:p w14:paraId="53D92D3C" w14:textId="4DA93F3F" w:rsidR="00E770CE" w:rsidRPr="00E770CE" w:rsidRDefault="00E770CE" w:rsidP="00E770CE">
                    <w:pPr>
                      <w:rPr>
                        <w:rFonts w:ascii="Calibri" w:eastAsia="Calibri" w:hAnsi="Calibri" w:cs="Calibri"/>
                        <w:noProof/>
                        <w:color w:val="A80000"/>
                      </w:rPr>
                    </w:pPr>
                    <w:r w:rsidRPr="00E770CE">
                      <w:rPr>
                        <w:rFonts w:ascii="Calibri" w:eastAsia="Calibri" w:hAnsi="Calibri" w:cs="Calibri"/>
                        <w:noProof/>
                        <w:color w:val="A80000"/>
                      </w:rPr>
                      <w:t>UNOFFICIAL</w:t>
                    </w:r>
                  </w:p>
                </w:txbxContent>
              </v:textbox>
              <w10:wrap anchorx="page" anchory="page"/>
            </v:shape>
          </w:pict>
        </mc:Fallback>
      </mc:AlternateContent>
    </w:r>
  </w:p>
</w:hdr>
</file>

<file path=word/intelligence2.xml><?xml version="1.0" encoding="utf-8"?>
<int2:intelligence xmlns:int2="http://schemas.microsoft.com/office/intelligence/2020/intelligence" xmlns:oel="http://schemas.microsoft.com/office/2019/extlst">
  <int2:observations>
    <int2:textHash int2:hashCode="0VaYcPEX/dSrZr" int2:id="h7LigdHV">
      <int2:state int2:value="Rejected" int2:type="AugLoop_Text_Critique"/>
    </int2:textHash>
    <int2:textHash int2:hashCode="LbvzICSwZyLkEd" int2:id="w7cNV9mO">
      <int2:state int2:value="Rejected" int2:type="AugLoop_Text_Critique"/>
    </int2:textHash>
    <int2:textHash int2:hashCode="6WuNVpvVUAi17r" int2:id="VuiQYVve">
      <int2:state int2:value="Rejected" int2:type="AugLoop_Text_Critique"/>
    </int2:textHash>
    <int2:textHash int2:hashCode="rQ/S4UD/ex2jlE" int2:id="6udRhACd">
      <int2:state int2:value="Rejected" int2:type="AugLoop_Text_Critique"/>
    </int2:textHash>
    <int2:textHash int2:hashCode="gNNdWFFCXvHHFR" int2:id="2S5GYlR0">
      <int2:state int2:value="Rejected" int2:type="AugLoop_Text_Critique"/>
    </int2:textHash>
    <int2:textHash int2:hashCode="bxyRWfsuymmYwu" int2:id="RU47jxo3">
      <int2:state int2:value="Rejected" int2:type="AugLoop_Text_Critique"/>
    </int2:textHash>
    <int2:textHash int2:hashCode="BP7KeUqwEh8R2R" int2:id="JdTZRP6S">
      <int2:state int2:value="Rejected" int2:type="AugLoop_Text_Critique"/>
    </int2:textHash>
    <int2:textHash int2:hashCode="ktLf5sFujDaemu" int2:id="E0RIgGJ4">
      <int2:state int2:value="Rejected" int2:type="AugLoop_Text_Critique"/>
    </int2:textHash>
    <int2:textHash int2:hashCode="JswyF75kDoIgES" int2:id="3etxC0RP">
      <int2:state int2:value="Rejected" int2:type="AugLoop_Text_Critique"/>
    </int2:textHash>
    <int2:textHash int2:hashCode="7yyb3kPGuqqNXD" int2:id="8QuSrl6O">
      <int2:state int2:value="Rejected" int2:type="AugLoop_Text_Critique"/>
    </int2:textHash>
    <int2:textHash int2:hashCode="EkfgJP1tZDr+LN" int2:id="ISsFbLrC">
      <int2:state int2:value="Rejected" int2:type="AugLoop_Text_Critique"/>
    </int2:textHash>
    <int2:textHash int2:hashCode="xZewV4ifdm5Tzq" int2:id="f1RZBYie">
      <int2:state int2:value="Rejected" int2:type="AugLoop_Text_Critique"/>
    </int2:textHash>
    <int2:textHash int2:hashCode="O8R5HrW4HAeTNE" int2:id="Z9kh5Dh2">
      <int2:state int2:value="Rejected" int2:type="AugLoop_Text_Critique"/>
    </int2:textHash>
    <int2:textHash int2:hashCode="9zZSifHCmQaA76" int2:id="NEkFXU38">
      <int2:state int2:value="Rejected" int2:type="AugLoop_Text_Critique"/>
    </int2:textHash>
    <int2:textHash int2:hashCode="/V33eP0a+PHoxi" int2:id="yqv9MhQO">
      <int2:state int2:value="Rejected" int2:type="AugLoop_Text_Critique"/>
    </int2:textHash>
    <int2:bookmark int2:bookmarkName="_Int_gXcCO2XZ" int2:invalidationBookmarkName="" int2:hashCode="roSkNg4UGddHHE" int2:id="qGeKifJi">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4C574D"/>
    <w:multiLevelType w:val="hybridMultilevel"/>
    <w:tmpl w:val="CC3A868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16cid:durableId="5389070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5734"/>
    <w:rsid w:val="00062A61"/>
    <w:rsid w:val="00071C3F"/>
    <w:rsid w:val="00072A94"/>
    <w:rsid w:val="00106587"/>
    <w:rsid w:val="00215734"/>
    <w:rsid w:val="00243D2F"/>
    <w:rsid w:val="00246AF3"/>
    <w:rsid w:val="002904F1"/>
    <w:rsid w:val="002C2A73"/>
    <w:rsid w:val="0032632A"/>
    <w:rsid w:val="00333009"/>
    <w:rsid w:val="0033525B"/>
    <w:rsid w:val="00337C00"/>
    <w:rsid w:val="003840CE"/>
    <w:rsid w:val="003B243F"/>
    <w:rsid w:val="003E301A"/>
    <w:rsid w:val="003F477E"/>
    <w:rsid w:val="00427461"/>
    <w:rsid w:val="00463EA6"/>
    <w:rsid w:val="00477BC0"/>
    <w:rsid w:val="0048751C"/>
    <w:rsid w:val="00491889"/>
    <w:rsid w:val="004A5D47"/>
    <w:rsid w:val="004A644B"/>
    <w:rsid w:val="004B6490"/>
    <w:rsid w:val="004F1EF6"/>
    <w:rsid w:val="004F24C3"/>
    <w:rsid w:val="00570EC3"/>
    <w:rsid w:val="005C795B"/>
    <w:rsid w:val="005E3B34"/>
    <w:rsid w:val="0062087B"/>
    <w:rsid w:val="006537E9"/>
    <w:rsid w:val="006876AF"/>
    <w:rsid w:val="006B362B"/>
    <w:rsid w:val="006C2B5B"/>
    <w:rsid w:val="006E4FC0"/>
    <w:rsid w:val="007A02EE"/>
    <w:rsid w:val="007C3F86"/>
    <w:rsid w:val="007E14D0"/>
    <w:rsid w:val="008037C7"/>
    <w:rsid w:val="008775A8"/>
    <w:rsid w:val="00880C1B"/>
    <w:rsid w:val="00894010"/>
    <w:rsid w:val="008A2864"/>
    <w:rsid w:val="008C3C7C"/>
    <w:rsid w:val="008E2E65"/>
    <w:rsid w:val="008E6878"/>
    <w:rsid w:val="008F2446"/>
    <w:rsid w:val="009411EC"/>
    <w:rsid w:val="00961FD5"/>
    <w:rsid w:val="00992AE6"/>
    <w:rsid w:val="009948AD"/>
    <w:rsid w:val="00994FED"/>
    <w:rsid w:val="009A46F7"/>
    <w:rsid w:val="009F33A5"/>
    <w:rsid w:val="00A065CC"/>
    <w:rsid w:val="00A206B5"/>
    <w:rsid w:val="00A7477F"/>
    <w:rsid w:val="00AA3FED"/>
    <w:rsid w:val="00AF2F38"/>
    <w:rsid w:val="00B35DA1"/>
    <w:rsid w:val="00B40D88"/>
    <w:rsid w:val="00B47218"/>
    <w:rsid w:val="00C304D2"/>
    <w:rsid w:val="00C4755E"/>
    <w:rsid w:val="00C54A04"/>
    <w:rsid w:val="00D3112F"/>
    <w:rsid w:val="00D409B7"/>
    <w:rsid w:val="00D76FB5"/>
    <w:rsid w:val="00D83AAE"/>
    <w:rsid w:val="00DD1FDA"/>
    <w:rsid w:val="00DE5902"/>
    <w:rsid w:val="00E2660C"/>
    <w:rsid w:val="00E5665D"/>
    <w:rsid w:val="00E6187E"/>
    <w:rsid w:val="00E6286C"/>
    <w:rsid w:val="00E63F4B"/>
    <w:rsid w:val="00E770CE"/>
    <w:rsid w:val="00E8747D"/>
    <w:rsid w:val="00EA46BC"/>
    <w:rsid w:val="00EE106E"/>
    <w:rsid w:val="00EE6CD6"/>
    <w:rsid w:val="00EF2526"/>
    <w:rsid w:val="00F006C4"/>
    <w:rsid w:val="00F00E7E"/>
    <w:rsid w:val="00F06E23"/>
    <w:rsid w:val="00F41660"/>
    <w:rsid w:val="00F75C30"/>
    <w:rsid w:val="00F87D62"/>
    <w:rsid w:val="00FA647A"/>
    <w:rsid w:val="00FC0DF8"/>
    <w:rsid w:val="00FC47A6"/>
    <w:rsid w:val="00FD5CBA"/>
    <w:rsid w:val="00FF2958"/>
    <w:rsid w:val="04041169"/>
    <w:rsid w:val="087EE949"/>
    <w:rsid w:val="0C356335"/>
    <w:rsid w:val="13651128"/>
    <w:rsid w:val="13FBBE19"/>
    <w:rsid w:val="14843D19"/>
    <w:rsid w:val="178A89FF"/>
    <w:rsid w:val="2863AA38"/>
    <w:rsid w:val="2E09C86B"/>
    <w:rsid w:val="324E547D"/>
    <w:rsid w:val="3869DF17"/>
    <w:rsid w:val="3C125A34"/>
    <w:rsid w:val="441CA2CB"/>
    <w:rsid w:val="4883E0F9"/>
    <w:rsid w:val="498C05EB"/>
    <w:rsid w:val="5BB3B370"/>
    <w:rsid w:val="688C95C9"/>
    <w:rsid w:val="6B9B7D4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F04DEC"/>
  <w15:chartTrackingRefBased/>
  <w15:docId w15:val="{B147CCDF-C2D6-481E-A351-76AF192B4F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2958"/>
    <w:pPr>
      <w:spacing w:after="0" w:line="240" w:lineRule="auto"/>
    </w:pPr>
    <w:rPr>
      <w:rFonts w:ascii="Times New Roman" w:eastAsia="Times New Roman" w:hAnsi="Times New Roman" w:cs="Times New Roman"/>
      <w:sz w:val="24"/>
      <w:szCs w:val="24"/>
      <w:lang w:eastAsia="en-GB"/>
    </w:rPr>
  </w:style>
  <w:style w:type="paragraph" w:styleId="Heading1">
    <w:name w:val="heading 1"/>
    <w:basedOn w:val="Normal"/>
    <w:next w:val="Normal"/>
    <w:link w:val="Heading1Char"/>
    <w:uiPriority w:val="9"/>
    <w:qFormat/>
    <w:rsid w:val="00215734"/>
    <w:pPr>
      <w:keepNext/>
      <w:keepLines/>
      <w:spacing w:before="240" w:line="259" w:lineRule="auto"/>
      <w:outlineLvl w:val="0"/>
    </w:pPr>
    <w:rPr>
      <w:rFonts w:asciiTheme="majorHAnsi" w:eastAsiaTheme="majorEastAsia" w:hAnsiTheme="majorHAnsi" w:cstheme="majorBidi"/>
      <w:color w:val="2F5496" w:themeColor="accent1" w:themeShade="BF"/>
      <w:sz w:val="32"/>
      <w:szCs w:val="32"/>
      <w:lang w:eastAsia="en-US"/>
    </w:rPr>
  </w:style>
  <w:style w:type="paragraph" w:styleId="Heading2">
    <w:name w:val="heading 2"/>
    <w:basedOn w:val="Normal"/>
    <w:next w:val="Normal"/>
    <w:link w:val="Heading2Char"/>
    <w:uiPriority w:val="9"/>
    <w:unhideWhenUsed/>
    <w:qFormat/>
    <w:rsid w:val="00215734"/>
    <w:pPr>
      <w:keepNext/>
      <w:keepLines/>
      <w:spacing w:before="40" w:line="259" w:lineRule="auto"/>
      <w:outlineLvl w:val="1"/>
    </w:pPr>
    <w:rPr>
      <w:rFonts w:asciiTheme="majorHAnsi" w:eastAsiaTheme="majorEastAsia" w:hAnsiTheme="majorHAnsi" w:cstheme="majorBidi"/>
      <w:color w:val="2F5496" w:themeColor="accent1" w:themeShade="BF"/>
      <w:sz w:val="26"/>
      <w:szCs w:val="26"/>
      <w:lang w:eastAsia="en-US"/>
    </w:rPr>
  </w:style>
  <w:style w:type="paragraph" w:styleId="Heading3">
    <w:name w:val="heading 3"/>
    <w:basedOn w:val="Normal"/>
    <w:next w:val="Normal"/>
    <w:link w:val="Heading3Char"/>
    <w:uiPriority w:val="9"/>
    <w:semiHidden/>
    <w:unhideWhenUsed/>
    <w:qFormat/>
    <w:rsid w:val="00215734"/>
    <w:pPr>
      <w:keepNext/>
      <w:keepLines/>
      <w:spacing w:before="40" w:line="259" w:lineRule="auto"/>
      <w:outlineLvl w:val="2"/>
    </w:pPr>
    <w:rPr>
      <w:rFonts w:asciiTheme="majorHAnsi" w:eastAsiaTheme="majorEastAsia" w:hAnsiTheme="majorHAnsi" w:cstheme="majorBidi"/>
      <w:color w:val="1F3763" w:themeColor="accent1" w:themeShade="7F"/>
      <w:lang w:eastAsia="en-US"/>
    </w:rPr>
  </w:style>
  <w:style w:type="paragraph" w:styleId="Heading4">
    <w:name w:val="heading 4"/>
    <w:basedOn w:val="Normal"/>
    <w:next w:val="Normal"/>
    <w:link w:val="Heading4Char"/>
    <w:uiPriority w:val="9"/>
    <w:unhideWhenUsed/>
    <w:qFormat/>
    <w:rsid w:val="00215734"/>
    <w:pPr>
      <w:keepNext/>
      <w:keepLines/>
      <w:spacing w:before="40" w:line="259" w:lineRule="auto"/>
      <w:outlineLvl w:val="3"/>
    </w:pPr>
    <w:rPr>
      <w:rFonts w:asciiTheme="majorHAnsi" w:eastAsiaTheme="majorEastAsia" w:hAnsiTheme="majorHAnsi" w:cstheme="majorBidi"/>
      <w:i/>
      <w:iCs/>
      <w:color w:val="2F5496" w:themeColor="accent1" w:themeShade="BF"/>
      <w:sz w:val="22"/>
      <w:szCs w:val="22"/>
      <w:lang w:eastAsia="en-US"/>
    </w:rPr>
  </w:style>
  <w:style w:type="paragraph" w:styleId="Heading6">
    <w:name w:val="heading 6"/>
    <w:basedOn w:val="Normal"/>
    <w:next w:val="Normal"/>
    <w:link w:val="Heading6Char"/>
    <w:uiPriority w:val="9"/>
    <w:semiHidden/>
    <w:unhideWhenUsed/>
    <w:qFormat/>
    <w:rsid w:val="00215734"/>
    <w:pPr>
      <w:keepNext/>
      <w:keepLines/>
      <w:spacing w:before="4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1573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215734"/>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215734"/>
    <w:rPr>
      <w:rFonts w:asciiTheme="majorHAnsi" w:eastAsiaTheme="majorEastAsia" w:hAnsiTheme="majorHAnsi" w:cstheme="majorBidi"/>
      <w:i/>
      <w:iCs/>
      <w:color w:val="2F5496" w:themeColor="accent1" w:themeShade="BF"/>
    </w:rPr>
  </w:style>
  <w:style w:type="character" w:customStyle="1" w:styleId="Heading2Char">
    <w:name w:val="Heading 2 Char"/>
    <w:basedOn w:val="DefaultParagraphFont"/>
    <w:link w:val="Heading2"/>
    <w:uiPriority w:val="9"/>
    <w:rsid w:val="00215734"/>
    <w:rPr>
      <w:rFonts w:asciiTheme="majorHAnsi" w:eastAsiaTheme="majorEastAsia" w:hAnsiTheme="majorHAnsi" w:cstheme="majorBidi"/>
      <w:color w:val="2F5496" w:themeColor="accent1" w:themeShade="BF"/>
      <w:sz w:val="26"/>
      <w:szCs w:val="26"/>
    </w:rPr>
  </w:style>
  <w:style w:type="table" w:styleId="TableGrid">
    <w:name w:val="Table Grid"/>
    <w:basedOn w:val="TableNormal"/>
    <w:uiPriority w:val="39"/>
    <w:rsid w:val="002157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basedOn w:val="DefaultParagraphFont"/>
    <w:link w:val="Heading6"/>
    <w:uiPriority w:val="9"/>
    <w:semiHidden/>
    <w:rsid w:val="00215734"/>
    <w:rPr>
      <w:rFonts w:asciiTheme="majorHAnsi" w:eastAsiaTheme="majorEastAsia" w:hAnsiTheme="majorHAnsi" w:cstheme="majorBidi"/>
      <w:color w:val="1F3763" w:themeColor="accent1" w:themeShade="7F"/>
    </w:rPr>
  </w:style>
  <w:style w:type="paragraph" w:styleId="ListParagraph">
    <w:name w:val="List Paragraph"/>
    <w:basedOn w:val="Normal"/>
    <w:uiPriority w:val="34"/>
    <w:qFormat/>
    <w:rsid w:val="00F75C30"/>
    <w:pPr>
      <w:spacing w:after="160" w:line="259" w:lineRule="auto"/>
      <w:ind w:left="720"/>
      <w:contextualSpacing/>
    </w:pPr>
    <w:rPr>
      <w:rFonts w:asciiTheme="minorHAnsi" w:eastAsiaTheme="minorHAnsi" w:hAnsiTheme="minorHAnsi" w:cstheme="minorBidi"/>
      <w:sz w:val="22"/>
      <w:szCs w:val="22"/>
      <w:lang w:eastAsia="en-US"/>
    </w:rPr>
  </w:style>
  <w:style w:type="paragraph" w:styleId="Revision">
    <w:name w:val="Revision"/>
    <w:hidden/>
    <w:uiPriority w:val="99"/>
    <w:semiHidden/>
    <w:rsid w:val="00E63F4B"/>
    <w:pPr>
      <w:spacing w:after="0" w:line="240" w:lineRule="auto"/>
    </w:pPr>
  </w:style>
  <w:style w:type="paragraph" w:styleId="Header">
    <w:name w:val="header"/>
    <w:basedOn w:val="Normal"/>
    <w:link w:val="HeaderChar"/>
    <w:uiPriority w:val="99"/>
    <w:unhideWhenUsed/>
    <w:rsid w:val="00E770CE"/>
    <w:pPr>
      <w:tabs>
        <w:tab w:val="center" w:pos="4513"/>
        <w:tab w:val="right" w:pos="9026"/>
      </w:tabs>
    </w:pPr>
    <w:rPr>
      <w:rFonts w:asciiTheme="minorHAnsi" w:eastAsiaTheme="minorHAnsi" w:hAnsiTheme="minorHAnsi" w:cstheme="minorBidi"/>
      <w:sz w:val="22"/>
      <w:szCs w:val="22"/>
      <w:lang w:eastAsia="en-US"/>
    </w:rPr>
  </w:style>
  <w:style w:type="character" w:customStyle="1" w:styleId="HeaderChar">
    <w:name w:val="Header Char"/>
    <w:basedOn w:val="DefaultParagraphFont"/>
    <w:link w:val="Header"/>
    <w:uiPriority w:val="99"/>
    <w:rsid w:val="00E770CE"/>
  </w:style>
  <w:style w:type="paragraph" w:styleId="Footer">
    <w:name w:val="footer"/>
    <w:basedOn w:val="Normal"/>
    <w:link w:val="FooterChar"/>
    <w:uiPriority w:val="99"/>
    <w:unhideWhenUsed/>
    <w:rsid w:val="00E770CE"/>
    <w:pPr>
      <w:tabs>
        <w:tab w:val="center" w:pos="4513"/>
        <w:tab w:val="right" w:pos="9026"/>
      </w:tabs>
    </w:pPr>
    <w:rPr>
      <w:rFonts w:asciiTheme="minorHAnsi" w:eastAsiaTheme="minorHAnsi" w:hAnsiTheme="minorHAnsi" w:cstheme="minorBidi"/>
      <w:sz w:val="22"/>
      <w:szCs w:val="22"/>
      <w:lang w:eastAsia="en-US"/>
    </w:rPr>
  </w:style>
  <w:style w:type="character" w:customStyle="1" w:styleId="FooterChar">
    <w:name w:val="Footer Char"/>
    <w:basedOn w:val="DefaultParagraphFont"/>
    <w:link w:val="Footer"/>
    <w:uiPriority w:val="99"/>
    <w:rsid w:val="00E770CE"/>
  </w:style>
  <w:style w:type="character" w:styleId="Strong">
    <w:name w:val="Strong"/>
    <w:basedOn w:val="DefaultParagraphFont"/>
    <w:uiPriority w:val="22"/>
    <w:qFormat/>
    <w:rsid w:val="00D3112F"/>
    <w:rPr>
      <w:b/>
      <w:bCs/>
    </w:rPr>
  </w:style>
  <w:style w:type="character" w:styleId="Hyperlink">
    <w:name w:val="Hyperlink"/>
    <w:basedOn w:val="DefaultParagraphFont"/>
    <w:uiPriority w:val="99"/>
    <w:unhideWhenUsed/>
    <w:rsid w:val="00071C3F"/>
    <w:rPr>
      <w:color w:val="0563C1" w:themeColor="hyperlink"/>
      <w:u w:val="single"/>
    </w:rPr>
  </w:style>
  <w:style w:type="character" w:styleId="UnresolvedMention">
    <w:name w:val="Unresolved Mention"/>
    <w:basedOn w:val="DefaultParagraphFont"/>
    <w:uiPriority w:val="99"/>
    <w:semiHidden/>
    <w:unhideWhenUsed/>
    <w:rsid w:val="00071C3F"/>
    <w:rPr>
      <w:color w:val="605E5C"/>
      <w:shd w:val="clear" w:color="auto" w:fill="E1DFDD"/>
    </w:rPr>
  </w:style>
  <w:style w:type="table" w:styleId="PlainTable1">
    <w:name w:val="Plain Table 1"/>
    <w:basedOn w:val="TableNormal"/>
    <w:uiPriority w:val="41"/>
    <w:rsid w:val="008C3C7C"/>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8C3C7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FollowedHyperlink">
    <w:name w:val="FollowedHyperlink"/>
    <w:basedOn w:val="DefaultParagraphFont"/>
    <w:uiPriority w:val="99"/>
    <w:semiHidden/>
    <w:unhideWhenUsed/>
    <w:rsid w:val="006C2B5B"/>
    <w:rPr>
      <w:color w:val="954F72" w:themeColor="followedHyperlink"/>
      <w:u w:val="single"/>
    </w:rPr>
  </w:style>
  <w:style w:type="paragraph" w:styleId="NormalWeb">
    <w:name w:val="Normal (Web)"/>
    <w:basedOn w:val="Normal"/>
    <w:uiPriority w:val="99"/>
    <w:semiHidden/>
    <w:unhideWhenUsed/>
    <w:rsid w:val="00EA46BC"/>
    <w:pPr>
      <w:spacing w:before="100" w:beforeAutospacing="1" w:after="100" w:afterAutospacing="1"/>
    </w:p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lang w:eastAsia="en-GB"/>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285173">
      <w:bodyDiv w:val="1"/>
      <w:marLeft w:val="0"/>
      <w:marRight w:val="0"/>
      <w:marTop w:val="0"/>
      <w:marBottom w:val="0"/>
      <w:divBdr>
        <w:top w:val="none" w:sz="0" w:space="0" w:color="auto"/>
        <w:left w:val="none" w:sz="0" w:space="0" w:color="auto"/>
        <w:bottom w:val="none" w:sz="0" w:space="0" w:color="auto"/>
        <w:right w:val="none" w:sz="0" w:space="0" w:color="auto"/>
      </w:divBdr>
    </w:div>
    <w:div w:id="21713427">
      <w:bodyDiv w:val="1"/>
      <w:marLeft w:val="0"/>
      <w:marRight w:val="0"/>
      <w:marTop w:val="0"/>
      <w:marBottom w:val="0"/>
      <w:divBdr>
        <w:top w:val="none" w:sz="0" w:space="0" w:color="auto"/>
        <w:left w:val="none" w:sz="0" w:space="0" w:color="auto"/>
        <w:bottom w:val="none" w:sz="0" w:space="0" w:color="auto"/>
        <w:right w:val="none" w:sz="0" w:space="0" w:color="auto"/>
      </w:divBdr>
    </w:div>
    <w:div w:id="27488082">
      <w:bodyDiv w:val="1"/>
      <w:marLeft w:val="0"/>
      <w:marRight w:val="0"/>
      <w:marTop w:val="0"/>
      <w:marBottom w:val="0"/>
      <w:divBdr>
        <w:top w:val="none" w:sz="0" w:space="0" w:color="auto"/>
        <w:left w:val="none" w:sz="0" w:space="0" w:color="auto"/>
        <w:bottom w:val="none" w:sz="0" w:space="0" w:color="auto"/>
        <w:right w:val="none" w:sz="0" w:space="0" w:color="auto"/>
      </w:divBdr>
    </w:div>
    <w:div w:id="32851590">
      <w:bodyDiv w:val="1"/>
      <w:marLeft w:val="0"/>
      <w:marRight w:val="0"/>
      <w:marTop w:val="0"/>
      <w:marBottom w:val="0"/>
      <w:divBdr>
        <w:top w:val="none" w:sz="0" w:space="0" w:color="auto"/>
        <w:left w:val="none" w:sz="0" w:space="0" w:color="auto"/>
        <w:bottom w:val="none" w:sz="0" w:space="0" w:color="auto"/>
        <w:right w:val="none" w:sz="0" w:space="0" w:color="auto"/>
      </w:divBdr>
    </w:div>
    <w:div w:id="95248581">
      <w:bodyDiv w:val="1"/>
      <w:marLeft w:val="0"/>
      <w:marRight w:val="0"/>
      <w:marTop w:val="0"/>
      <w:marBottom w:val="0"/>
      <w:divBdr>
        <w:top w:val="none" w:sz="0" w:space="0" w:color="auto"/>
        <w:left w:val="none" w:sz="0" w:space="0" w:color="auto"/>
        <w:bottom w:val="none" w:sz="0" w:space="0" w:color="auto"/>
        <w:right w:val="none" w:sz="0" w:space="0" w:color="auto"/>
      </w:divBdr>
    </w:div>
    <w:div w:id="164787036">
      <w:bodyDiv w:val="1"/>
      <w:marLeft w:val="0"/>
      <w:marRight w:val="0"/>
      <w:marTop w:val="0"/>
      <w:marBottom w:val="0"/>
      <w:divBdr>
        <w:top w:val="none" w:sz="0" w:space="0" w:color="auto"/>
        <w:left w:val="none" w:sz="0" w:space="0" w:color="auto"/>
        <w:bottom w:val="none" w:sz="0" w:space="0" w:color="auto"/>
        <w:right w:val="none" w:sz="0" w:space="0" w:color="auto"/>
      </w:divBdr>
    </w:div>
    <w:div w:id="190725679">
      <w:bodyDiv w:val="1"/>
      <w:marLeft w:val="0"/>
      <w:marRight w:val="0"/>
      <w:marTop w:val="0"/>
      <w:marBottom w:val="0"/>
      <w:divBdr>
        <w:top w:val="none" w:sz="0" w:space="0" w:color="auto"/>
        <w:left w:val="none" w:sz="0" w:space="0" w:color="auto"/>
        <w:bottom w:val="none" w:sz="0" w:space="0" w:color="auto"/>
        <w:right w:val="none" w:sz="0" w:space="0" w:color="auto"/>
      </w:divBdr>
    </w:div>
    <w:div w:id="326061759">
      <w:bodyDiv w:val="1"/>
      <w:marLeft w:val="0"/>
      <w:marRight w:val="0"/>
      <w:marTop w:val="0"/>
      <w:marBottom w:val="0"/>
      <w:divBdr>
        <w:top w:val="none" w:sz="0" w:space="0" w:color="auto"/>
        <w:left w:val="none" w:sz="0" w:space="0" w:color="auto"/>
        <w:bottom w:val="none" w:sz="0" w:space="0" w:color="auto"/>
        <w:right w:val="none" w:sz="0" w:space="0" w:color="auto"/>
      </w:divBdr>
    </w:div>
    <w:div w:id="353504732">
      <w:bodyDiv w:val="1"/>
      <w:marLeft w:val="0"/>
      <w:marRight w:val="0"/>
      <w:marTop w:val="0"/>
      <w:marBottom w:val="0"/>
      <w:divBdr>
        <w:top w:val="none" w:sz="0" w:space="0" w:color="auto"/>
        <w:left w:val="none" w:sz="0" w:space="0" w:color="auto"/>
        <w:bottom w:val="none" w:sz="0" w:space="0" w:color="auto"/>
        <w:right w:val="none" w:sz="0" w:space="0" w:color="auto"/>
      </w:divBdr>
    </w:div>
    <w:div w:id="417479975">
      <w:bodyDiv w:val="1"/>
      <w:marLeft w:val="0"/>
      <w:marRight w:val="0"/>
      <w:marTop w:val="0"/>
      <w:marBottom w:val="0"/>
      <w:divBdr>
        <w:top w:val="none" w:sz="0" w:space="0" w:color="auto"/>
        <w:left w:val="none" w:sz="0" w:space="0" w:color="auto"/>
        <w:bottom w:val="none" w:sz="0" w:space="0" w:color="auto"/>
        <w:right w:val="none" w:sz="0" w:space="0" w:color="auto"/>
      </w:divBdr>
    </w:div>
    <w:div w:id="477651200">
      <w:bodyDiv w:val="1"/>
      <w:marLeft w:val="0"/>
      <w:marRight w:val="0"/>
      <w:marTop w:val="0"/>
      <w:marBottom w:val="0"/>
      <w:divBdr>
        <w:top w:val="none" w:sz="0" w:space="0" w:color="auto"/>
        <w:left w:val="none" w:sz="0" w:space="0" w:color="auto"/>
        <w:bottom w:val="none" w:sz="0" w:space="0" w:color="auto"/>
        <w:right w:val="none" w:sz="0" w:space="0" w:color="auto"/>
      </w:divBdr>
    </w:div>
    <w:div w:id="606499915">
      <w:bodyDiv w:val="1"/>
      <w:marLeft w:val="0"/>
      <w:marRight w:val="0"/>
      <w:marTop w:val="0"/>
      <w:marBottom w:val="0"/>
      <w:divBdr>
        <w:top w:val="none" w:sz="0" w:space="0" w:color="auto"/>
        <w:left w:val="none" w:sz="0" w:space="0" w:color="auto"/>
        <w:bottom w:val="none" w:sz="0" w:space="0" w:color="auto"/>
        <w:right w:val="none" w:sz="0" w:space="0" w:color="auto"/>
      </w:divBdr>
    </w:div>
    <w:div w:id="611597579">
      <w:bodyDiv w:val="1"/>
      <w:marLeft w:val="0"/>
      <w:marRight w:val="0"/>
      <w:marTop w:val="0"/>
      <w:marBottom w:val="0"/>
      <w:divBdr>
        <w:top w:val="none" w:sz="0" w:space="0" w:color="auto"/>
        <w:left w:val="none" w:sz="0" w:space="0" w:color="auto"/>
        <w:bottom w:val="none" w:sz="0" w:space="0" w:color="auto"/>
        <w:right w:val="none" w:sz="0" w:space="0" w:color="auto"/>
      </w:divBdr>
    </w:div>
    <w:div w:id="622879795">
      <w:bodyDiv w:val="1"/>
      <w:marLeft w:val="0"/>
      <w:marRight w:val="0"/>
      <w:marTop w:val="0"/>
      <w:marBottom w:val="0"/>
      <w:divBdr>
        <w:top w:val="none" w:sz="0" w:space="0" w:color="auto"/>
        <w:left w:val="none" w:sz="0" w:space="0" w:color="auto"/>
        <w:bottom w:val="none" w:sz="0" w:space="0" w:color="auto"/>
        <w:right w:val="none" w:sz="0" w:space="0" w:color="auto"/>
      </w:divBdr>
    </w:div>
    <w:div w:id="670642724">
      <w:bodyDiv w:val="1"/>
      <w:marLeft w:val="0"/>
      <w:marRight w:val="0"/>
      <w:marTop w:val="0"/>
      <w:marBottom w:val="0"/>
      <w:divBdr>
        <w:top w:val="none" w:sz="0" w:space="0" w:color="auto"/>
        <w:left w:val="none" w:sz="0" w:space="0" w:color="auto"/>
        <w:bottom w:val="none" w:sz="0" w:space="0" w:color="auto"/>
        <w:right w:val="none" w:sz="0" w:space="0" w:color="auto"/>
      </w:divBdr>
    </w:div>
    <w:div w:id="717781747">
      <w:bodyDiv w:val="1"/>
      <w:marLeft w:val="0"/>
      <w:marRight w:val="0"/>
      <w:marTop w:val="0"/>
      <w:marBottom w:val="0"/>
      <w:divBdr>
        <w:top w:val="none" w:sz="0" w:space="0" w:color="auto"/>
        <w:left w:val="none" w:sz="0" w:space="0" w:color="auto"/>
        <w:bottom w:val="none" w:sz="0" w:space="0" w:color="auto"/>
        <w:right w:val="none" w:sz="0" w:space="0" w:color="auto"/>
      </w:divBdr>
      <w:divsChild>
        <w:div w:id="1520701302">
          <w:marLeft w:val="0"/>
          <w:marRight w:val="0"/>
          <w:marTop w:val="0"/>
          <w:marBottom w:val="0"/>
          <w:divBdr>
            <w:top w:val="none" w:sz="0" w:space="0" w:color="auto"/>
            <w:left w:val="none" w:sz="0" w:space="0" w:color="auto"/>
            <w:bottom w:val="none" w:sz="0" w:space="0" w:color="auto"/>
            <w:right w:val="none" w:sz="0" w:space="0" w:color="auto"/>
          </w:divBdr>
        </w:div>
      </w:divsChild>
    </w:div>
    <w:div w:id="755202659">
      <w:bodyDiv w:val="1"/>
      <w:marLeft w:val="0"/>
      <w:marRight w:val="0"/>
      <w:marTop w:val="0"/>
      <w:marBottom w:val="0"/>
      <w:divBdr>
        <w:top w:val="none" w:sz="0" w:space="0" w:color="auto"/>
        <w:left w:val="none" w:sz="0" w:space="0" w:color="auto"/>
        <w:bottom w:val="none" w:sz="0" w:space="0" w:color="auto"/>
        <w:right w:val="none" w:sz="0" w:space="0" w:color="auto"/>
      </w:divBdr>
    </w:div>
    <w:div w:id="832525089">
      <w:bodyDiv w:val="1"/>
      <w:marLeft w:val="0"/>
      <w:marRight w:val="0"/>
      <w:marTop w:val="0"/>
      <w:marBottom w:val="0"/>
      <w:divBdr>
        <w:top w:val="none" w:sz="0" w:space="0" w:color="auto"/>
        <w:left w:val="none" w:sz="0" w:space="0" w:color="auto"/>
        <w:bottom w:val="none" w:sz="0" w:space="0" w:color="auto"/>
        <w:right w:val="none" w:sz="0" w:space="0" w:color="auto"/>
      </w:divBdr>
    </w:div>
    <w:div w:id="838469470">
      <w:bodyDiv w:val="1"/>
      <w:marLeft w:val="0"/>
      <w:marRight w:val="0"/>
      <w:marTop w:val="0"/>
      <w:marBottom w:val="0"/>
      <w:divBdr>
        <w:top w:val="none" w:sz="0" w:space="0" w:color="auto"/>
        <w:left w:val="none" w:sz="0" w:space="0" w:color="auto"/>
        <w:bottom w:val="none" w:sz="0" w:space="0" w:color="auto"/>
        <w:right w:val="none" w:sz="0" w:space="0" w:color="auto"/>
      </w:divBdr>
    </w:div>
    <w:div w:id="1072972676">
      <w:bodyDiv w:val="1"/>
      <w:marLeft w:val="0"/>
      <w:marRight w:val="0"/>
      <w:marTop w:val="0"/>
      <w:marBottom w:val="0"/>
      <w:divBdr>
        <w:top w:val="none" w:sz="0" w:space="0" w:color="auto"/>
        <w:left w:val="none" w:sz="0" w:space="0" w:color="auto"/>
        <w:bottom w:val="none" w:sz="0" w:space="0" w:color="auto"/>
        <w:right w:val="none" w:sz="0" w:space="0" w:color="auto"/>
      </w:divBdr>
    </w:div>
    <w:div w:id="1198930617">
      <w:bodyDiv w:val="1"/>
      <w:marLeft w:val="0"/>
      <w:marRight w:val="0"/>
      <w:marTop w:val="0"/>
      <w:marBottom w:val="0"/>
      <w:divBdr>
        <w:top w:val="none" w:sz="0" w:space="0" w:color="auto"/>
        <w:left w:val="none" w:sz="0" w:space="0" w:color="auto"/>
        <w:bottom w:val="none" w:sz="0" w:space="0" w:color="auto"/>
        <w:right w:val="none" w:sz="0" w:space="0" w:color="auto"/>
      </w:divBdr>
      <w:divsChild>
        <w:div w:id="446393293">
          <w:marLeft w:val="0"/>
          <w:marRight w:val="0"/>
          <w:marTop w:val="0"/>
          <w:marBottom w:val="0"/>
          <w:divBdr>
            <w:top w:val="none" w:sz="0" w:space="0" w:color="auto"/>
            <w:left w:val="none" w:sz="0" w:space="0" w:color="auto"/>
            <w:bottom w:val="none" w:sz="0" w:space="0" w:color="auto"/>
            <w:right w:val="none" w:sz="0" w:space="0" w:color="auto"/>
          </w:divBdr>
        </w:div>
      </w:divsChild>
    </w:div>
    <w:div w:id="1230653208">
      <w:bodyDiv w:val="1"/>
      <w:marLeft w:val="0"/>
      <w:marRight w:val="0"/>
      <w:marTop w:val="0"/>
      <w:marBottom w:val="0"/>
      <w:divBdr>
        <w:top w:val="none" w:sz="0" w:space="0" w:color="auto"/>
        <w:left w:val="none" w:sz="0" w:space="0" w:color="auto"/>
        <w:bottom w:val="none" w:sz="0" w:space="0" w:color="auto"/>
        <w:right w:val="none" w:sz="0" w:space="0" w:color="auto"/>
      </w:divBdr>
    </w:div>
    <w:div w:id="1249388692">
      <w:bodyDiv w:val="1"/>
      <w:marLeft w:val="0"/>
      <w:marRight w:val="0"/>
      <w:marTop w:val="0"/>
      <w:marBottom w:val="0"/>
      <w:divBdr>
        <w:top w:val="none" w:sz="0" w:space="0" w:color="auto"/>
        <w:left w:val="none" w:sz="0" w:space="0" w:color="auto"/>
        <w:bottom w:val="none" w:sz="0" w:space="0" w:color="auto"/>
        <w:right w:val="none" w:sz="0" w:space="0" w:color="auto"/>
      </w:divBdr>
      <w:divsChild>
        <w:div w:id="1579558790">
          <w:marLeft w:val="0"/>
          <w:marRight w:val="0"/>
          <w:marTop w:val="0"/>
          <w:marBottom w:val="0"/>
          <w:divBdr>
            <w:top w:val="none" w:sz="0" w:space="0" w:color="auto"/>
            <w:left w:val="none" w:sz="0" w:space="0" w:color="auto"/>
            <w:bottom w:val="none" w:sz="0" w:space="0" w:color="auto"/>
            <w:right w:val="none" w:sz="0" w:space="0" w:color="auto"/>
          </w:divBdr>
        </w:div>
      </w:divsChild>
    </w:div>
    <w:div w:id="1365713912">
      <w:bodyDiv w:val="1"/>
      <w:marLeft w:val="0"/>
      <w:marRight w:val="0"/>
      <w:marTop w:val="0"/>
      <w:marBottom w:val="0"/>
      <w:divBdr>
        <w:top w:val="none" w:sz="0" w:space="0" w:color="auto"/>
        <w:left w:val="none" w:sz="0" w:space="0" w:color="auto"/>
        <w:bottom w:val="none" w:sz="0" w:space="0" w:color="auto"/>
        <w:right w:val="none" w:sz="0" w:space="0" w:color="auto"/>
      </w:divBdr>
    </w:div>
    <w:div w:id="1366053031">
      <w:bodyDiv w:val="1"/>
      <w:marLeft w:val="0"/>
      <w:marRight w:val="0"/>
      <w:marTop w:val="0"/>
      <w:marBottom w:val="0"/>
      <w:divBdr>
        <w:top w:val="none" w:sz="0" w:space="0" w:color="auto"/>
        <w:left w:val="none" w:sz="0" w:space="0" w:color="auto"/>
        <w:bottom w:val="none" w:sz="0" w:space="0" w:color="auto"/>
        <w:right w:val="none" w:sz="0" w:space="0" w:color="auto"/>
      </w:divBdr>
    </w:div>
    <w:div w:id="1385712349">
      <w:bodyDiv w:val="1"/>
      <w:marLeft w:val="0"/>
      <w:marRight w:val="0"/>
      <w:marTop w:val="0"/>
      <w:marBottom w:val="0"/>
      <w:divBdr>
        <w:top w:val="none" w:sz="0" w:space="0" w:color="auto"/>
        <w:left w:val="none" w:sz="0" w:space="0" w:color="auto"/>
        <w:bottom w:val="none" w:sz="0" w:space="0" w:color="auto"/>
        <w:right w:val="none" w:sz="0" w:space="0" w:color="auto"/>
      </w:divBdr>
      <w:divsChild>
        <w:div w:id="140779651">
          <w:marLeft w:val="0"/>
          <w:marRight w:val="0"/>
          <w:marTop w:val="0"/>
          <w:marBottom w:val="0"/>
          <w:divBdr>
            <w:top w:val="none" w:sz="0" w:space="0" w:color="auto"/>
            <w:left w:val="none" w:sz="0" w:space="0" w:color="auto"/>
            <w:bottom w:val="none" w:sz="0" w:space="0" w:color="auto"/>
            <w:right w:val="none" w:sz="0" w:space="0" w:color="auto"/>
          </w:divBdr>
        </w:div>
      </w:divsChild>
    </w:div>
    <w:div w:id="1465080916">
      <w:bodyDiv w:val="1"/>
      <w:marLeft w:val="0"/>
      <w:marRight w:val="0"/>
      <w:marTop w:val="0"/>
      <w:marBottom w:val="0"/>
      <w:divBdr>
        <w:top w:val="none" w:sz="0" w:space="0" w:color="auto"/>
        <w:left w:val="none" w:sz="0" w:space="0" w:color="auto"/>
        <w:bottom w:val="none" w:sz="0" w:space="0" w:color="auto"/>
        <w:right w:val="none" w:sz="0" w:space="0" w:color="auto"/>
      </w:divBdr>
    </w:div>
    <w:div w:id="1560437235">
      <w:bodyDiv w:val="1"/>
      <w:marLeft w:val="0"/>
      <w:marRight w:val="0"/>
      <w:marTop w:val="0"/>
      <w:marBottom w:val="0"/>
      <w:divBdr>
        <w:top w:val="none" w:sz="0" w:space="0" w:color="auto"/>
        <w:left w:val="none" w:sz="0" w:space="0" w:color="auto"/>
        <w:bottom w:val="none" w:sz="0" w:space="0" w:color="auto"/>
        <w:right w:val="none" w:sz="0" w:space="0" w:color="auto"/>
      </w:divBdr>
    </w:div>
    <w:div w:id="1578325707">
      <w:bodyDiv w:val="1"/>
      <w:marLeft w:val="0"/>
      <w:marRight w:val="0"/>
      <w:marTop w:val="0"/>
      <w:marBottom w:val="0"/>
      <w:divBdr>
        <w:top w:val="none" w:sz="0" w:space="0" w:color="auto"/>
        <w:left w:val="none" w:sz="0" w:space="0" w:color="auto"/>
        <w:bottom w:val="none" w:sz="0" w:space="0" w:color="auto"/>
        <w:right w:val="none" w:sz="0" w:space="0" w:color="auto"/>
      </w:divBdr>
      <w:divsChild>
        <w:div w:id="1916208733">
          <w:marLeft w:val="0"/>
          <w:marRight w:val="0"/>
          <w:marTop w:val="0"/>
          <w:marBottom w:val="0"/>
          <w:divBdr>
            <w:top w:val="none" w:sz="0" w:space="0" w:color="auto"/>
            <w:left w:val="none" w:sz="0" w:space="0" w:color="auto"/>
            <w:bottom w:val="none" w:sz="0" w:space="0" w:color="auto"/>
            <w:right w:val="none" w:sz="0" w:space="0" w:color="auto"/>
          </w:divBdr>
          <w:divsChild>
            <w:div w:id="291403902">
              <w:marLeft w:val="0"/>
              <w:marRight w:val="0"/>
              <w:marTop w:val="0"/>
              <w:marBottom w:val="0"/>
              <w:divBdr>
                <w:top w:val="none" w:sz="0" w:space="0" w:color="auto"/>
                <w:left w:val="none" w:sz="0" w:space="0" w:color="auto"/>
                <w:bottom w:val="none" w:sz="0" w:space="0" w:color="auto"/>
                <w:right w:val="none" w:sz="0" w:space="0" w:color="auto"/>
              </w:divBdr>
            </w:div>
            <w:div w:id="550338062">
              <w:marLeft w:val="0"/>
              <w:marRight w:val="0"/>
              <w:marTop w:val="0"/>
              <w:marBottom w:val="0"/>
              <w:divBdr>
                <w:top w:val="none" w:sz="0" w:space="0" w:color="auto"/>
                <w:left w:val="none" w:sz="0" w:space="0" w:color="auto"/>
                <w:bottom w:val="none" w:sz="0" w:space="0" w:color="auto"/>
                <w:right w:val="none" w:sz="0" w:space="0" w:color="auto"/>
              </w:divBdr>
            </w:div>
            <w:div w:id="54624191">
              <w:marLeft w:val="0"/>
              <w:marRight w:val="0"/>
              <w:marTop w:val="0"/>
              <w:marBottom w:val="0"/>
              <w:divBdr>
                <w:top w:val="none" w:sz="0" w:space="0" w:color="auto"/>
                <w:left w:val="none" w:sz="0" w:space="0" w:color="auto"/>
                <w:bottom w:val="none" w:sz="0" w:space="0" w:color="auto"/>
                <w:right w:val="none" w:sz="0" w:space="0" w:color="auto"/>
              </w:divBdr>
            </w:div>
          </w:divsChild>
        </w:div>
        <w:div w:id="765270901">
          <w:marLeft w:val="0"/>
          <w:marRight w:val="0"/>
          <w:marTop w:val="0"/>
          <w:marBottom w:val="0"/>
          <w:divBdr>
            <w:top w:val="none" w:sz="0" w:space="0" w:color="auto"/>
            <w:left w:val="none" w:sz="0" w:space="0" w:color="auto"/>
            <w:bottom w:val="none" w:sz="0" w:space="0" w:color="auto"/>
            <w:right w:val="none" w:sz="0" w:space="0" w:color="auto"/>
          </w:divBdr>
          <w:divsChild>
            <w:div w:id="264267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387545">
      <w:bodyDiv w:val="1"/>
      <w:marLeft w:val="0"/>
      <w:marRight w:val="0"/>
      <w:marTop w:val="0"/>
      <w:marBottom w:val="0"/>
      <w:divBdr>
        <w:top w:val="none" w:sz="0" w:space="0" w:color="auto"/>
        <w:left w:val="none" w:sz="0" w:space="0" w:color="auto"/>
        <w:bottom w:val="none" w:sz="0" w:space="0" w:color="auto"/>
        <w:right w:val="none" w:sz="0" w:space="0" w:color="auto"/>
      </w:divBdr>
      <w:divsChild>
        <w:div w:id="1223755923">
          <w:marLeft w:val="0"/>
          <w:marRight w:val="0"/>
          <w:marTop w:val="0"/>
          <w:marBottom w:val="0"/>
          <w:divBdr>
            <w:top w:val="none" w:sz="0" w:space="0" w:color="auto"/>
            <w:left w:val="none" w:sz="0" w:space="0" w:color="auto"/>
            <w:bottom w:val="none" w:sz="0" w:space="0" w:color="auto"/>
            <w:right w:val="none" w:sz="0" w:space="0" w:color="auto"/>
          </w:divBdr>
        </w:div>
        <w:div w:id="1730028869">
          <w:marLeft w:val="0"/>
          <w:marRight w:val="0"/>
          <w:marTop w:val="0"/>
          <w:marBottom w:val="0"/>
          <w:divBdr>
            <w:top w:val="none" w:sz="0" w:space="0" w:color="auto"/>
            <w:left w:val="none" w:sz="0" w:space="0" w:color="auto"/>
            <w:bottom w:val="none" w:sz="0" w:space="0" w:color="auto"/>
            <w:right w:val="none" w:sz="0" w:space="0" w:color="auto"/>
          </w:divBdr>
        </w:div>
      </w:divsChild>
    </w:div>
    <w:div w:id="1643383055">
      <w:bodyDiv w:val="1"/>
      <w:marLeft w:val="0"/>
      <w:marRight w:val="0"/>
      <w:marTop w:val="0"/>
      <w:marBottom w:val="0"/>
      <w:divBdr>
        <w:top w:val="none" w:sz="0" w:space="0" w:color="auto"/>
        <w:left w:val="none" w:sz="0" w:space="0" w:color="auto"/>
        <w:bottom w:val="none" w:sz="0" w:space="0" w:color="auto"/>
        <w:right w:val="none" w:sz="0" w:space="0" w:color="auto"/>
      </w:divBdr>
    </w:div>
    <w:div w:id="1742633312">
      <w:bodyDiv w:val="1"/>
      <w:marLeft w:val="0"/>
      <w:marRight w:val="0"/>
      <w:marTop w:val="0"/>
      <w:marBottom w:val="0"/>
      <w:divBdr>
        <w:top w:val="none" w:sz="0" w:space="0" w:color="auto"/>
        <w:left w:val="none" w:sz="0" w:space="0" w:color="auto"/>
        <w:bottom w:val="none" w:sz="0" w:space="0" w:color="auto"/>
        <w:right w:val="none" w:sz="0" w:space="0" w:color="auto"/>
      </w:divBdr>
      <w:divsChild>
        <w:div w:id="1672416508">
          <w:marLeft w:val="0"/>
          <w:marRight w:val="0"/>
          <w:marTop w:val="0"/>
          <w:marBottom w:val="0"/>
          <w:divBdr>
            <w:top w:val="none" w:sz="0" w:space="0" w:color="auto"/>
            <w:left w:val="none" w:sz="0" w:space="0" w:color="auto"/>
            <w:bottom w:val="none" w:sz="0" w:space="0" w:color="auto"/>
            <w:right w:val="none" w:sz="0" w:space="0" w:color="auto"/>
          </w:divBdr>
          <w:divsChild>
            <w:div w:id="571085140">
              <w:marLeft w:val="0"/>
              <w:marRight w:val="0"/>
              <w:marTop w:val="1050"/>
              <w:marBottom w:val="0"/>
              <w:divBdr>
                <w:top w:val="none" w:sz="0" w:space="0" w:color="auto"/>
                <w:left w:val="none" w:sz="0" w:space="0" w:color="auto"/>
                <w:bottom w:val="none" w:sz="0" w:space="0" w:color="auto"/>
                <w:right w:val="none" w:sz="0" w:space="0" w:color="auto"/>
              </w:divBdr>
            </w:div>
          </w:divsChild>
        </w:div>
        <w:div w:id="697316485">
          <w:marLeft w:val="0"/>
          <w:marRight w:val="0"/>
          <w:marTop w:val="450"/>
          <w:marBottom w:val="0"/>
          <w:divBdr>
            <w:top w:val="none" w:sz="0" w:space="0" w:color="auto"/>
            <w:left w:val="none" w:sz="0" w:space="0" w:color="auto"/>
            <w:bottom w:val="none" w:sz="0" w:space="0" w:color="auto"/>
            <w:right w:val="none" w:sz="0" w:space="0" w:color="auto"/>
          </w:divBdr>
        </w:div>
      </w:divsChild>
    </w:div>
    <w:div w:id="1752775052">
      <w:bodyDiv w:val="1"/>
      <w:marLeft w:val="0"/>
      <w:marRight w:val="0"/>
      <w:marTop w:val="0"/>
      <w:marBottom w:val="0"/>
      <w:divBdr>
        <w:top w:val="none" w:sz="0" w:space="0" w:color="auto"/>
        <w:left w:val="none" w:sz="0" w:space="0" w:color="auto"/>
        <w:bottom w:val="none" w:sz="0" w:space="0" w:color="auto"/>
        <w:right w:val="none" w:sz="0" w:space="0" w:color="auto"/>
      </w:divBdr>
      <w:divsChild>
        <w:div w:id="2080707621">
          <w:marLeft w:val="0"/>
          <w:marRight w:val="0"/>
          <w:marTop w:val="0"/>
          <w:marBottom w:val="0"/>
          <w:divBdr>
            <w:top w:val="none" w:sz="0" w:space="0" w:color="auto"/>
            <w:left w:val="none" w:sz="0" w:space="0" w:color="auto"/>
            <w:bottom w:val="none" w:sz="0" w:space="0" w:color="auto"/>
            <w:right w:val="none" w:sz="0" w:space="0" w:color="auto"/>
          </w:divBdr>
        </w:div>
        <w:div w:id="1276061011">
          <w:marLeft w:val="0"/>
          <w:marRight w:val="0"/>
          <w:marTop w:val="0"/>
          <w:marBottom w:val="0"/>
          <w:divBdr>
            <w:top w:val="none" w:sz="0" w:space="0" w:color="auto"/>
            <w:left w:val="none" w:sz="0" w:space="0" w:color="auto"/>
            <w:bottom w:val="none" w:sz="0" w:space="0" w:color="auto"/>
            <w:right w:val="none" w:sz="0" w:space="0" w:color="auto"/>
          </w:divBdr>
        </w:div>
      </w:divsChild>
    </w:div>
    <w:div w:id="1755979112">
      <w:bodyDiv w:val="1"/>
      <w:marLeft w:val="0"/>
      <w:marRight w:val="0"/>
      <w:marTop w:val="0"/>
      <w:marBottom w:val="0"/>
      <w:divBdr>
        <w:top w:val="none" w:sz="0" w:space="0" w:color="auto"/>
        <w:left w:val="none" w:sz="0" w:space="0" w:color="auto"/>
        <w:bottom w:val="none" w:sz="0" w:space="0" w:color="auto"/>
        <w:right w:val="none" w:sz="0" w:space="0" w:color="auto"/>
      </w:divBdr>
    </w:div>
    <w:div w:id="1796869052">
      <w:bodyDiv w:val="1"/>
      <w:marLeft w:val="0"/>
      <w:marRight w:val="0"/>
      <w:marTop w:val="0"/>
      <w:marBottom w:val="0"/>
      <w:divBdr>
        <w:top w:val="none" w:sz="0" w:space="0" w:color="auto"/>
        <w:left w:val="none" w:sz="0" w:space="0" w:color="auto"/>
        <w:bottom w:val="none" w:sz="0" w:space="0" w:color="auto"/>
        <w:right w:val="none" w:sz="0" w:space="0" w:color="auto"/>
      </w:divBdr>
    </w:div>
    <w:div w:id="1829439728">
      <w:bodyDiv w:val="1"/>
      <w:marLeft w:val="0"/>
      <w:marRight w:val="0"/>
      <w:marTop w:val="0"/>
      <w:marBottom w:val="0"/>
      <w:divBdr>
        <w:top w:val="none" w:sz="0" w:space="0" w:color="auto"/>
        <w:left w:val="none" w:sz="0" w:space="0" w:color="auto"/>
        <w:bottom w:val="none" w:sz="0" w:space="0" w:color="auto"/>
        <w:right w:val="none" w:sz="0" w:space="0" w:color="auto"/>
      </w:divBdr>
      <w:divsChild>
        <w:div w:id="117840363">
          <w:marLeft w:val="0"/>
          <w:marRight w:val="0"/>
          <w:marTop w:val="0"/>
          <w:marBottom w:val="0"/>
          <w:divBdr>
            <w:top w:val="none" w:sz="0" w:space="0" w:color="auto"/>
            <w:left w:val="none" w:sz="0" w:space="0" w:color="auto"/>
            <w:bottom w:val="none" w:sz="0" w:space="0" w:color="auto"/>
            <w:right w:val="none" w:sz="0" w:space="0" w:color="auto"/>
          </w:divBdr>
        </w:div>
      </w:divsChild>
    </w:div>
    <w:div w:id="1830363968">
      <w:bodyDiv w:val="1"/>
      <w:marLeft w:val="0"/>
      <w:marRight w:val="0"/>
      <w:marTop w:val="0"/>
      <w:marBottom w:val="0"/>
      <w:divBdr>
        <w:top w:val="none" w:sz="0" w:space="0" w:color="auto"/>
        <w:left w:val="none" w:sz="0" w:space="0" w:color="auto"/>
        <w:bottom w:val="none" w:sz="0" w:space="0" w:color="auto"/>
        <w:right w:val="none" w:sz="0" w:space="0" w:color="auto"/>
      </w:divBdr>
    </w:div>
    <w:div w:id="1862207883">
      <w:bodyDiv w:val="1"/>
      <w:marLeft w:val="0"/>
      <w:marRight w:val="0"/>
      <w:marTop w:val="0"/>
      <w:marBottom w:val="0"/>
      <w:divBdr>
        <w:top w:val="none" w:sz="0" w:space="0" w:color="auto"/>
        <w:left w:val="none" w:sz="0" w:space="0" w:color="auto"/>
        <w:bottom w:val="none" w:sz="0" w:space="0" w:color="auto"/>
        <w:right w:val="none" w:sz="0" w:space="0" w:color="auto"/>
      </w:divBdr>
    </w:div>
    <w:div w:id="1864202022">
      <w:bodyDiv w:val="1"/>
      <w:marLeft w:val="0"/>
      <w:marRight w:val="0"/>
      <w:marTop w:val="0"/>
      <w:marBottom w:val="0"/>
      <w:divBdr>
        <w:top w:val="none" w:sz="0" w:space="0" w:color="auto"/>
        <w:left w:val="none" w:sz="0" w:space="0" w:color="auto"/>
        <w:bottom w:val="none" w:sz="0" w:space="0" w:color="auto"/>
        <w:right w:val="none" w:sz="0" w:space="0" w:color="auto"/>
      </w:divBdr>
    </w:div>
    <w:div w:id="1961954207">
      <w:bodyDiv w:val="1"/>
      <w:marLeft w:val="0"/>
      <w:marRight w:val="0"/>
      <w:marTop w:val="0"/>
      <w:marBottom w:val="0"/>
      <w:divBdr>
        <w:top w:val="none" w:sz="0" w:space="0" w:color="auto"/>
        <w:left w:val="none" w:sz="0" w:space="0" w:color="auto"/>
        <w:bottom w:val="none" w:sz="0" w:space="0" w:color="auto"/>
        <w:right w:val="none" w:sz="0" w:space="0" w:color="auto"/>
      </w:divBdr>
      <w:divsChild>
        <w:div w:id="1643345448">
          <w:marLeft w:val="0"/>
          <w:marRight w:val="0"/>
          <w:marTop w:val="0"/>
          <w:marBottom w:val="0"/>
          <w:divBdr>
            <w:top w:val="none" w:sz="0" w:space="0" w:color="auto"/>
            <w:left w:val="none" w:sz="0" w:space="0" w:color="auto"/>
            <w:bottom w:val="none" w:sz="0" w:space="0" w:color="auto"/>
            <w:right w:val="none" w:sz="0" w:space="0" w:color="auto"/>
          </w:divBdr>
        </w:div>
      </w:divsChild>
    </w:div>
    <w:div w:id="1973440950">
      <w:bodyDiv w:val="1"/>
      <w:marLeft w:val="0"/>
      <w:marRight w:val="0"/>
      <w:marTop w:val="0"/>
      <w:marBottom w:val="0"/>
      <w:divBdr>
        <w:top w:val="none" w:sz="0" w:space="0" w:color="auto"/>
        <w:left w:val="none" w:sz="0" w:space="0" w:color="auto"/>
        <w:bottom w:val="none" w:sz="0" w:space="0" w:color="auto"/>
        <w:right w:val="none" w:sz="0" w:space="0" w:color="auto"/>
      </w:divBdr>
    </w:div>
    <w:div w:id="2011835260">
      <w:bodyDiv w:val="1"/>
      <w:marLeft w:val="0"/>
      <w:marRight w:val="0"/>
      <w:marTop w:val="0"/>
      <w:marBottom w:val="0"/>
      <w:divBdr>
        <w:top w:val="none" w:sz="0" w:space="0" w:color="auto"/>
        <w:left w:val="none" w:sz="0" w:space="0" w:color="auto"/>
        <w:bottom w:val="none" w:sz="0" w:space="0" w:color="auto"/>
        <w:right w:val="none" w:sz="0" w:space="0" w:color="auto"/>
      </w:divBdr>
    </w:div>
    <w:div w:id="2070835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tiff"/><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hyperlink" Target="https://doi.org/10.1007/BF03346680" TargetMode="Externa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microsoft.com/office/2020/10/relationships/intelligence" Target="intelligence2.xml"/><Relationship Id="rId10" Type="http://schemas.openxmlformats.org/officeDocument/2006/relationships/image" Target="media/image4.png"/><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11</Pages>
  <Words>3946</Words>
  <Characters>22495</Characters>
  <Application>Microsoft Office Word</Application>
  <DocSecurity>0</DocSecurity>
  <Lines>187</Lines>
  <Paragraphs>52</Paragraphs>
  <ScaleCrop>false</ScaleCrop>
  <Company/>
  <LinksUpToDate>false</LinksUpToDate>
  <CharactersWithSpaces>26389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Najjar, Reabal (Health)</dc:creator>
  <cp:keywords/>
  <dc:description/>
  <cp:lastModifiedBy>Najjar, Reabal (Health)</cp:lastModifiedBy>
  <cp:revision>6</cp:revision>
  <dcterms:created xsi:type="dcterms:W3CDTF">2023-08-16T05:58:00Z</dcterms:created>
  <dcterms:modified xsi:type="dcterms:W3CDTF">2023-08-23T02:25:00Z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1b6241a7,12f126c7,706aa151</vt:lpwstr>
  </property>
  <property fmtid="{D5CDD505-2E9C-101B-9397-08002B2CF9AE}" pid="3" name="ClassificationContentMarkingHeaderFontProps">
    <vt:lpwstr>#a80000,12,Calibri</vt:lpwstr>
  </property>
  <property fmtid="{D5CDD505-2E9C-101B-9397-08002B2CF9AE}" pid="4" name="ClassificationContentMarkingHeaderText">
    <vt:lpwstr>UNOFFICIAL</vt:lpwstr>
  </property>
  <property fmtid="{D5CDD505-2E9C-101B-9397-08002B2CF9AE}" pid="5" name="MSIP_Label_f0349623-a0c6-4136-a66a-705a611e2698_Enabled">
    <vt:lpwstr>true</vt:lpwstr>
  </property>
  <property fmtid="{D5CDD505-2E9C-101B-9397-08002B2CF9AE}" pid="6" name="MSIP_Label_f0349623-a0c6-4136-a66a-705a611e2698_SetDate">
    <vt:lpwstr>2023-08-13T06:20:52Z</vt:lpwstr>
  </property>
  <property fmtid="{D5CDD505-2E9C-101B-9397-08002B2CF9AE}" pid="7" name="MSIP_Label_f0349623-a0c6-4136-a66a-705a611e2698_Method">
    <vt:lpwstr>Privileged</vt:lpwstr>
  </property>
  <property fmtid="{D5CDD505-2E9C-101B-9397-08002B2CF9AE}" pid="8" name="MSIP_Label_f0349623-a0c6-4136-a66a-705a611e2698_Name">
    <vt:lpwstr>f0349623-a0c6-4136-a66a-705a611e2698</vt:lpwstr>
  </property>
  <property fmtid="{D5CDD505-2E9C-101B-9397-08002B2CF9AE}" pid="9" name="MSIP_Label_f0349623-a0c6-4136-a66a-705a611e2698_SiteId">
    <vt:lpwstr>b46c1908-0334-4236-b978-585ee88e4199</vt:lpwstr>
  </property>
  <property fmtid="{D5CDD505-2E9C-101B-9397-08002B2CF9AE}" pid="10" name="MSIP_Label_f0349623-a0c6-4136-a66a-705a611e2698_ActionId">
    <vt:lpwstr>17067ee0-e334-4a42-b007-61e8912a997a</vt:lpwstr>
  </property>
  <property fmtid="{D5CDD505-2E9C-101B-9397-08002B2CF9AE}" pid="11" name="MSIP_Label_f0349623-a0c6-4136-a66a-705a611e2698_ContentBits">
    <vt:lpwstr>1</vt:lpwstr>
  </property>
</Properties>
</file>