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Ex1.xml" ContentType="application/vnd.ms-office.chartex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DBA6" w14:textId="6A752C11" w:rsidR="00E23EFD" w:rsidRPr="009100B8" w:rsidRDefault="0003296E" w:rsidP="004F2FC1">
      <w:pPr>
        <w:spacing w:line="480" w:lineRule="auto"/>
        <w:jc w:val="center"/>
        <w:rPr>
          <w:rFonts w:cstheme="minorHAnsi"/>
          <w:b/>
          <w:sz w:val="32"/>
          <w:szCs w:val="32"/>
        </w:rPr>
      </w:pPr>
      <w:r w:rsidRPr="009100B8">
        <w:rPr>
          <w:rFonts w:cstheme="minorHAnsi"/>
          <w:b/>
          <w:sz w:val="32"/>
          <w:szCs w:val="32"/>
        </w:rPr>
        <w:t xml:space="preserve">Ethnicity </w:t>
      </w:r>
      <w:r w:rsidR="00890A48" w:rsidRPr="009100B8">
        <w:rPr>
          <w:rFonts w:cstheme="minorHAnsi"/>
          <w:b/>
          <w:sz w:val="32"/>
          <w:szCs w:val="32"/>
        </w:rPr>
        <w:t>i</w:t>
      </w:r>
      <w:r w:rsidRPr="009100B8">
        <w:rPr>
          <w:rFonts w:cstheme="minorHAnsi"/>
          <w:b/>
          <w:sz w:val="32"/>
          <w:szCs w:val="32"/>
        </w:rPr>
        <w:t xml:space="preserve">s a </w:t>
      </w:r>
      <w:r w:rsidR="00E23EFD" w:rsidRPr="009100B8">
        <w:rPr>
          <w:rFonts w:cstheme="minorHAnsi"/>
          <w:b/>
          <w:sz w:val="32"/>
          <w:szCs w:val="32"/>
        </w:rPr>
        <w:t xml:space="preserve">risk factor </w:t>
      </w:r>
      <w:r w:rsidRPr="009100B8">
        <w:rPr>
          <w:rFonts w:cstheme="minorHAnsi"/>
          <w:b/>
          <w:sz w:val="32"/>
          <w:szCs w:val="32"/>
        </w:rPr>
        <w:t>for</w:t>
      </w:r>
      <w:r w:rsidR="002543C9" w:rsidRPr="009100B8">
        <w:rPr>
          <w:rFonts w:cstheme="minorHAnsi"/>
          <w:b/>
          <w:sz w:val="32"/>
          <w:szCs w:val="32"/>
        </w:rPr>
        <w:t xml:space="preserve"> </w:t>
      </w:r>
      <w:r w:rsidR="00153967" w:rsidRPr="009100B8">
        <w:rPr>
          <w:rFonts w:cstheme="minorHAnsi"/>
          <w:b/>
          <w:sz w:val="32"/>
          <w:szCs w:val="32"/>
        </w:rPr>
        <w:t>permanent</w:t>
      </w:r>
      <w:r w:rsidR="00E23EFD" w:rsidRPr="009100B8">
        <w:rPr>
          <w:rFonts w:cstheme="minorHAnsi"/>
          <w:b/>
          <w:sz w:val="32"/>
          <w:szCs w:val="32"/>
        </w:rPr>
        <w:t xml:space="preserve"> brachial plexus birth injury: A population</w:t>
      </w:r>
      <w:r w:rsidR="005A75DD">
        <w:rPr>
          <w:rFonts w:cstheme="minorHAnsi"/>
          <w:b/>
          <w:sz w:val="32"/>
          <w:szCs w:val="32"/>
        </w:rPr>
        <w:t xml:space="preserve"> </w:t>
      </w:r>
      <w:r w:rsidR="0042116B" w:rsidRPr="009100B8">
        <w:rPr>
          <w:rFonts w:cstheme="minorHAnsi"/>
          <w:b/>
          <w:sz w:val="32"/>
          <w:szCs w:val="32"/>
        </w:rPr>
        <w:t>study</w:t>
      </w:r>
      <w:r w:rsidR="00E23EFD" w:rsidRPr="009100B8">
        <w:rPr>
          <w:rFonts w:cstheme="minorHAnsi"/>
          <w:b/>
          <w:sz w:val="32"/>
          <w:szCs w:val="32"/>
        </w:rPr>
        <w:t xml:space="preserve"> </w:t>
      </w:r>
      <w:r w:rsidR="007B4232" w:rsidRPr="009100B8">
        <w:rPr>
          <w:rFonts w:cstheme="minorHAnsi"/>
          <w:b/>
          <w:sz w:val="32"/>
          <w:szCs w:val="32"/>
        </w:rPr>
        <w:t>in</w:t>
      </w:r>
      <w:r w:rsidR="00E23EFD" w:rsidRPr="009100B8">
        <w:rPr>
          <w:rFonts w:cstheme="minorHAnsi"/>
          <w:b/>
          <w:sz w:val="32"/>
          <w:szCs w:val="32"/>
        </w:rPr>
        <w:t xml:space="preserve"> South</w:t>
      </w:r>
      <w:r w:rsidR="0042116B" w:rsidRPr="009100B8">
        <w:rPr>
          <w:rFonts w:cstheme="minorHAnsi"/>
          <w:b/>
          <w:sz w:val="32"/>
          <w:szCs w:val="32"/>
        </w:rPr>
        <w:t>ern</w:t>
      </w:r>
      <w:r w:rsidR="00E23EFD" w:rsidRPr="009100B8">
        <w:rPr>
          <w:rFonts w:cstheme="minorHAnsi"/>
          <w:b/>
          <w:sz w:val="32"/>
          <w:szCs w:val="32"/>
        </w:rPr>
        <w:t xml:space="preserve"> Finland </w:t>
      </w:r>
    </w:p>
    <w:p w14:paraId="1CDFB1E4" w14:textId="2121E188" w:rsidR="00697650" w:rsidRPr="009100B8" w:rsidRDefault="00697650" w:rsidP="004F2FC1">
      <w:pPr>
        <w:spacing w:line="480" w:lineRule="auto"/>
        <w:rPr>
          <w:rFonts w:cstheme="minorHAnsi"/>
          <w:sz w:val="24"/>
          <w:szCs w:val="24"/>
          <w:vertAlign w:val="superscript"/>
          <w:lang w:val="fi-FI"/>
        </w:rPr>
      </w:pPr>
      <w:r w:rsidRPr="009100B8">
        <w:rPr>
          <w:rFonts w:cstheme="minorHAnsi"/>
          <w:sz w:val="24"/>
          <w:szCs w:val="24"/>
          <w:lang w:val="fi-FI"/>
        </w:rPr>
        <w:t>Petra Grahn</w:t>
      </w:r>
      <w:r w:rsidRPr="009100B8">
        <w:rPr>
          <w:rFonts w:cstheme="minorHAnsi"/>
          <w:sz w:val="24"/>
          <w:szCs w:val="24"/>
          <w:vertAlign w:val="superscript"/>
          <w:lang w:val="fi-FI"/>
        </w:rPr>
        <w:t>1</w:t>
      </w:r>
      <w:r w:rsidRPr="009100B8">
        <w:rPr>
          <w:rFonts w:cstheme="minorHAnsi"/>
          <w:sz w:val="24"/>
          <w:szCs w:val="24"/>
          <w:lang w:val="fi-FI"/>
        </w:rPr>
        <w:t xml:space="preserve">, </w:t>
      </w:r>
      <w:r w:rsidR="007C57FB" w:rsidRPr="009100B8">
        <w:rPr>
          <w:rFonts w:cstheme="minorHAnsi"/>
          <w:sz w:val="24"/>
          <w:szCs w:val="24"/>
          <w:lang w:val="fi-FI"/>
        </w:rPr>
        <w:t>Mika Gissler</w:t>
      </w:r>
      <w:r w:rsidR="007C57FB" w:rsidRPr="009100B8">
        <w:rPr>
          <w:rFonts w:cstheme="minorHAnsi"/>
          <w:sz w:val="24"/>
          <w:szCs w:val="24"/>
          <w:vertAlign w:val="superscript"/>
          <w:lang w:val="fi-FI"/>
        </w:rPr>
        <w:t>2</w:t>
      </w:r>
      <w:r w:rsidR="004F2FC1" w:rsidRPr="009100B8">
        <w:rPr>
          <w:rFonts w:cstheme="minorHAnsi"/>
          <w:sz w:val="24"/>
          <w:szCs w:val="24"/>
          <w:vertAlign w:val="superscript"/>
          <w:lang w:val="fi-FI"/>
        </w:rPr>
        <w:t>,3,4</w:t>
      </w:r>
      <w:r w:rsidR="007C57FB" w:rsidRPr="009100B8">
        <w:rPr>
          <w:rFonts w:cstheme="minorHAnsi"/>
          <w:sz w:val="24"/>
          <w:szCs w:val="24"/>
          <w:lang w:val="fi-FI"/>
        </w:rPr>
        <w:t xml:space="preserve">, </w:t>
      </w:r>
      <w:r w:rsidRPr="009100B8">
        <w:rPr>
          <w:rFonts w:cstheme="minorHAnsi"/>
          <w:sz w:val="24"/>
          <w:szCs w:val="24"/>
          <w:lang w:val="fi-FI"/>
        </w:rPr>
        <w:t>Yrjänä Nietosvaara</w:t>
      </w:r>
      <w:r w:rsidRPr="009100B8">
        <w:rPr>
          <w:rFonts w:cstheme="minorHAnsi"/>
          <w:sz w:val="24"/>
          <w:szCs w:val="24"/>
          <w:vertAlign w:val="superscript"/>
          <w:lang w:val="fi-FI"/>
        </w:rPr>
        <w:t>1,</w:t>
      </w:r>
      <w:r w:rsidR="004F2FC1" w:rsidRPr="009100B8">
        <w:rPr>
          <w:rFonts w:cstheme="minorHAnsi"/>
          <w:sz w:val="24"/>
          <w:szCs w:val="24"/>
          <w:vertAlign w:val="superscript"/>
          <w:lang w:val="fi-FI"/>
        </w:rPr>
        <w:t>5</w:t>
      </w:r>
      <w:r w:rsidR="004F2FC1" w:rsidRPr="009100B8">
        <w:rPr>
          <w:rFonts w:cstheme="minorHAnsi"/>
          <w:sz w:val="24"/>
          <w:szCs w:val="24"/>
          <w:lang w:val="fi-FI"/>
        </w:rPr>
        <w:t xml:space="preserve">, </w:t>
      </w:r>
      <w:r w:rsidR="005148D0" w:rsidRPr="009100B8">
        <w:rPr>
          <w:rFonts w:cstheme="minorHAnsi"/>
          <w:sz w:val="24"/>
          <w:szCs w:val="24"/>
          <w:lang w:val="fi-FI"/>
        </w:rPr>
        <w:t>Marja Kaijomaa</w:t>
      </w:r>
      <w:r w:rsidR="004F2FC1" w:rsidRPr="009100B8">
        <w:rPr>
          <w:rFonts w:cstheme="minorHAnsi"/>
          <w:sz w:val="24"/>
          <w:szCs w:val="24"/>
          <w:vertAlign w:val="superscript"/>
          <w:lang w:val="fi-FI"/>
        </w:rPr>
        <w:t>6</w:t>
      </w:r>
    </w:p>
    <w:p w14:paraId="13B252E0" w14:textId="4D87544D" w:rsidR="004F2FC1" w:rsidRPr="009100B8" w:rsidRDefault="00697650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Department of Pediatric Orthopedics and Traumatology, New Children’s Hospital,</w:t>
      </w:r>
      <w:r w:rsidR="004873E8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Helsinki University Hospital, University of Helsinki, Finland </w:t>
      </w:r>
    </w:p>
    <w:p w14:paraId="7448B792" w14:textId="77777777" w:rsidR="004F2FC1" w:rsidRPr="009100B8" w:rsidRDefault="009A4F71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THL Finnish Institute for Health and Welfare, Department of Knowledge Brokers, Helsinki, Finland </w:t>
      </w:r>
    </w:p>
    <w:p w14:paraId="35E8A742" w14:textId="77777777" w:rsidR="004F2FC1" w:rsidRPr="009100B8" w:rsidRDefault="009A4F71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Region Stockholm, Academic Primary Health Care Centre, Stockholm, Sweden </w:t>
      </w:r>
    </w:p>
    <w:p w14:paraId="1CB2B86B" w14:textId="77777777" w:rsidR="004F2FC1" w:rsidRPr="009100B8" w:rsidRDefault="009A4F71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Karolinska </w:t>
      </w:r>
      <w:proofErr w:type="spellStart"/>
      <w:r w:rsidRPr="009100B8">
        <w:rPr>
          <w:rFonts w:cstheme="minorHAnsi"/>
          <w:sz w:val="24"/>
          <w:szCs w:val="24"/>
        </w:rPr>
        <w:t>Institutet</w:t>
      </w:r>
      <w:proofErr w:type="spellEnd"/>
      <w:r w:rsidRPr="009100B8">
        <w:rPr>
          <w:rFonts w:cstheme="minorHAnsi"/>
          <w:sz w:val="24"/>
          <w:szCs w:val="24"/>
        </w:rPr>
        <w:t>, Department of Molecular Medicine and Surgery, Stockholm, Sweden</w:t>
      </w:r>
    </w:p>
    <w:p w14:paraId="27F51113" w14:textId="766876E5" w:rsidR="004F2FC1" w:rsidRPr="009100B8" w:rsidRDefault="00697650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Department of Pediatric Surgery, Kuopio University Hospital</w:t>
      </w:r>
      <w:r w:rsidR="003B3A88" w:rsidRPr="009100B8">
        <w:rPr>
          <w:rFonts w:cstheme="minorHAnsi"/>
          <w:sz w:val="24"/>
          <w:szCs w:val="24"/>
        </w:rPr>
        <w:t xml:space="preserve">, </w:t>
      </w:r>
      <w:r w:rsidR="00F15F3C" w:rsidRPr="009100B8">
        <w:rPr>
          <w:rFonts w:cstheme="minorHAnsi"/>
          <w:sz w:val="24"/>
          <w:szCs w:val="24"/>
        </w:rPr>
        <w:t>University of Eastern</w:t>
      </w:r>
      <w:r w:rsidR="003B62BC" w:rsidRPr="009100B8">
        <w:rPr>
          <w:rFonts w:cstheme="minorHAnsi"/>
          <w:sz w:val="24"/>
          <w:szCs w:val="24"/>
        </w:rPr>
        <w:t xml:space="preserve"> </w:t>
      </w:r>
      <w:r w:rsidR="003B3A88" w:rsidRPr="009100B8">
        <w:rPr>
          <w:rFonts w:cstheme="minorHAnsi"/>
          <w:sz w:val="24"/>
          <w:szCs w:val="24"/>
        </w:rPr>
        <w:t>Finland</w:t>
      </w:r>
    </w:p>
    <w:p w14:paraId="2A2DC10C" w14:textId="2C287D11" w:rsidR="003B3A88" w:rsidRPr="009100B8" w:rsidRDefault="003B3A88" w:rsidP="004F2FC1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  <w:shd w:val="clear" w:color="auto" w:fill="FFFFFF"/>
        </w:rPr>
        <w:t xml:space="preserve">Department of Obstetrics and </w:t>
      </w:r>
      <w:proofErr w:type="spellStart"/>
      <w:r w:rsidRPr="009100B8">
        <w:rPr>
          <w:rFonts w:cstheme="minorHAnsi"/>
          <w:sz w:val="24"/>
          <w:szCs w:val="24"/>
          <w:shd w:val="clear" w:color="auto" w:fill="FFFFFF"/>
        </w:rPr>
        <w:t>Gynaecology</w:t>
      </w:r>
      <w:proofErr w:type="spellEnd"/>
      <w:r w:rsidRPr="009100B8">
        <w:rPr>
          <w:rFonts w:cstheme="minorHAnsi"/>
          <w:sz w:val="24"/>
          <w:szCs w:val="24"/>
          <w:shd w:val="clear" w:color="auto" w:fill="FFFFFF"/>
        </w:rPr>
        <w:t xml:space="preserve">, Women’s </w:t>
      </w:r>
      <w:r w:rsidR="007E0BBE">
        <w:rPr>
          <w:rFonts w:cstheme="minorHAnsi"/>
          <w:sz w:val="24"/>
          <w:szCs w:val="24"/>
          <w:shd w:val="clear" w:color="auto" w:fill="FFFFFF"/>
        </w:rPr>
        <w:t>H</w:t>
      </w:r>
      <w:r w:rsidRPr="009100B8">
        <w:rPr>
          <w:rFonts w:cstheme="minorHAnsi"/>
          <w:sz w:val="24"/>
          <w:szCs w:val="24"/>
          <w:shd w:val="clear" w:color="auto" w:fill="FFFFFF"/>
        </w:rPr>
        <w:t xml:space="preserve">ospital, </w:t>
      </w:r>
      <w:r w:rsidR="00443DB1" w:rsidRPr="009100B8">
        <w:rPr>
          <w:rFonts w:cstheme="minorHAnsi"/>
          <w:sz w:val="24"/>
          <w:szCs w:val="24"/>
          <w:shd w:val="clear" w:color="auto" w:fill="FFFFFF"/>
        </w:rPr>
        <w:t>Helsinki University Hospital</w:t>
      </w:r>
      <w:r w:rsidR="00563016" w:rsidRPr="009100B8">
        <w:rPr>
          <w:rFonts w:cstheme="minorHAnsi"/>
          <w:sz w:val="24"/>
          <w:szCs w:val="24"/>
          <w:shd w:val="clear" w:color="auto" w:fill="FFFFFF"/>
        </w:rPr>
        <w:t>,</w:t>
      </w:r>
      <w:r w:rsidR="00443DB1" w:rsidRPr="009100B8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9100B8">
        <w:rPr>
          <w:rFonts w:cstheme="minorHAnsi"/>
          <w:sz w:val="24"/>
          <w:szCs w:val="24"/>
          <w:shd w:val="clear" w:color="auto" w:fill="FFFFFF"/>
        </w:rPr>
        <w:t>University of Helsinki, Finland</w:t>
      </w:r>
    </w:p>
    <w:p w14:paraId="40822028" w14:textId="6277738D" w:rsidR="005148D0" w:rsidRPr="009100B8" w:rsidRDefault="005148D0" w:rsidP="00697650">
      <w:pPr>
        <w:spacing w:line="480" w:lineRule="auto"/>
        <w:rPr>
          <w:rFonts w:cstheme="minorHAnsi"/>
          <w:sz w:val="24"/>
          <w:szCs w:val="24"/>
        </w:rPr>
      </w:pPr>
    </w:p>
    <w:p w14:paraId="0067731D" w14:textId="77777777" w:rsidR="00697650" w:rsidRPr="009100B8" w:rsidRDefault="00697650" w:rsidP="00697650">
      <w:pPr>
        <w:suppressLineNumbers/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Corresponding author:</w:t>
      </w:r>
    </w:p>
    <w:p w14:paraId="1BB7D689" w14:textId="77777777" w:rsidR="00697650" w:rsidRPr="009100B8" w:rsidRDefault="00697650" w:rsidP="004F2FC1">
      <w:pPr>
        <w:suppressLineNumbers/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Petra Grahn, MD</w:t>
      </w:r>
    </w:p>
    <w:p w14:paraId="76AE05AF" w14:textId="2852B671" w:rsidR="00697650" w:rsidRPr="009100B8" w:rsidRDefault="00697650" w:rsidP="004F2FC1">
      <w:pPr>
        <w:suppressLineNumbers/>
        <w:spacing w:line="24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HUS, New Children</w:t>
      </w:r>
      <w:r w:rsidR="005A75DD">
        <w:rPr>
          <w:rFonts w:cstheme="minorHAnsi"/>
          <w:sz w:val="24"/>
          <w:szCs w:val="24"/>
        </w:rPr>
        <w:t>’</w:t>
      </w:r>
      <w:r w:rsidRPr="009100B8">
        <w:rPr>
          <w:rFonts w:cstheme="minorHAnsi"/>
          <w:sz w:val="24"/>
          <w:szCs w:val="24"/>
        </w:rPr>
        <w:t>s Hospital</w:t>
      </w:r>
    </w:p>
    <w:p w14:paraId="0D1CF07B" w14:textId="77777777" w:rsidR="00697650" w:rsidRPr="009100B8" w:rsidRDefault="00697650" w:rsidP="004F2FC1">
      <w:pPr>
        <w:suppressLineNumbers/>
        <w:spacing w:line="240" w:lineRule="auto"/>
        <w:rPr>
          <w:rFonts w:cstheme="minorHAnsi"/>
          <w:sz w:val="24"/>
          <w:szCs w:val="24"/>
        </w:rPr>
      </w:pPr>
      <w:proofErr w:type="spellStart"/>
      <w:r w:rsidRPr="009100B8">
        <w:rPr>
          <w:rFonts w:cstheme="minorHAnsi"/>
          <w:sz w:val="24"/>
          <w:szCs w:val="24"/>
        </w:rPr>
        <w:t>Stenbäckinkatu</w:t>
      </w:r>
      <w:proofErr w:type="spellEnd"/>
      <w:r w:rsidRPr="009100B8">
        <w:rPr>
          <w:rFonts w:cstheme="minorHAnsi"/>
          <w:sz w:val="24"/>
          <w:szCs w:val="24"/>
        </w:rPr>
        <w:t xml:space="preserve"> 9, 00029 HUS, Helsinki, Finland</w:t>
      </w:r>
    </w:p>
    <w:p w14:paraId="2A42535C" w14:textId="77777777" w:rsidR="00697650" w:rsidRPr="009100B8" w:rsidRDefault="00000000" w:rsidP="004F2FC1">
      <w:pPr>
        <w:suppressLineNumbers/>
        <w:spacing w:line="240" w:lineRule="auto"/>
        <w:rPr>
          <w:rStyle w:val="Hyperlink"/>
          <w:rFonts w:cstheme="minorHAnsi"/>
          <w:sz w:val="24"/>
          <w:szCs w:val="24"/>
        </w:rPr>
      </w:pPr>
      <w:hyperlink r:id="rId8" w:history="1">
        <w:r w:rsidR="00697650" w:rsidRPr="009100B8">
          <w:rPr>
            <w:rStyle w:val="Hyperlink"/>
            <w:rFonts w:cstheme="minorHAnsi"/>
            <w:sz w:val="24"/>
            <w:szCs w:val="24"/>
          </w:rPr>
          <w:t>petra.grahn@hus.fi</w:t>
        </w:r>
      </w:hyperlink>
    </w:p>
    <w:p w14:paraId="16F40957" w14:textId="77777777" w:rsidR="006402CE" w:rsidRPr="009100B8" w:rsidRDefault="006402CE" w:rsidP="004F2FC1">
      <w:pPr>
        <w:suppressLineNumbers/>
        <w:spacing w:line="240" w:lineRule="auto"/>
        <w:rPr>
          <w:rStyle w:val="Hyperlink"/>
          <w:rFonts w:cstheme="minorHAnsi"/>
          <w:sz w:val="24"/>
          <w:szCs w:val="24"/>
        </w:rPr>
      </w:pPr>
    </w:p>
    <w:p w14:paraId="2BDD3B22" w14:textId="3397208F" w:rsidR="006402CE" w:rsidRPr="009100B8" w:rsidRDefault="006402CE" w:rsidP="004F2FC1">
      <w:pPr>
        <w:suppressLineNumbers/>
        <w:spacing w:line="240" w:lineRule="auto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9100B8">
        <w:rPr>
          <w:rStyle w:val="Hyperlink"/>
          <w:rFonts w:cstheme="minorHAnsi"/>
          <w:color w:val="auto"/>
          <w:sz w:val="24"/>
          <w:szCs w:val="24"/>
          <w:u w:val="none"/>
        </w:rPr>
        <w:t xml:space="preserve">Word count manuscript </w:t>
      </w:r>
      <w:r w:rsidR="00DE3DDB"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31</w:t>
      </w:r>
      <w:r w:rsidR="00CD5A3C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67</w:t>
      </w:r>
      <w:r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/3</w:t>
      </w:r>
      <w:r w:rsidR="003A56C4"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500</w:t>
      </w:r>
    </w:p>
    <w:p w14:paraId="6ED87372" w14:textId="1BF43209" w:rsidR="006402CE" w:rsidRPr="009100B8" w:rsidRDefault="006402CE" w:rsidP="004F2FC1">
      <w:pPr>
        <w:suppressLineNumbers/>
        <w:spacing w:line="240" w:lineRule="auto"/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</w:pPr>
      <w:r w:rsidRPr="009100B8">
        <w:rPr>
          <w:rStyle w:val="Hyperlink"/>
          <w:rFonts w:cstheme="minorHAnsi"/>
          <w:color w:val="auto"/>
          <w:sz w:val="24"/>
          <w:szCs w:val="24"/>
          <w:u w:val="none"/>
        </w:rPr>
        <w:t>Word count abstract</w:t>
      </w:r>
      <w:r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 xml:space="preserve"> </w:t>
      </w:r>
      <w:r w:rsidR="00E57F1D"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2</w:t>
      </w:r>
      <w:r w:rsidR="000A56BB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44</w:t>
      </w:r>
      <w:r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/</w:t>
      </w:r>
      <w:r w:rsidR="003A56C4" w:rsidRPr="009100B8">
        <w:rPr>
          <w:rStyle w:val="Hyperlink"/>
          <w:rFonts w:cstheme="minorHAnsi"/>
          <w:b/>
          <w:bCs/>
          <w:color w:val="auto"/>
          <w:sz w:val="24"/>
          <w:szCs w:val="24"/>
          <w:u w:val="none"/>
        </w:rPr>
        <w:t>250</w:t>
      </w:r>
    </w:p>
    <w:p w14:paraId="6BABC0E3" w14:textId="77777777" w:rsidR="006402CE" w:rsidRPr="009100B8" w:rsidRDefault="006402CE" w:rsidP="004F2FC1">
      <w:pPr>
        <w:suppressLineNumbers/>
        <w:spacing w:line="240" w:lineRule="auto"/>
        <w:rPr>
          <w:rFonts w:cstheme="minorHAnsi"/>
          <w:sz w:val="24"/>
          <w:szCs w:val="24"/>
        </w:rPr>
      </w:pPr>
    </w:p>
    <w:p w14:paraId="51ABDF92" w14:textId="77777777" w:rsidR="004F2FC1" w:rsidRPr="009100B8" w:rsidRDefault="004F2FC1">
      <w:pPr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br w:type="page"/>
      </w:r>
    </w:p>
    <w:p w14:paraId="788CF250" w14:textId="1C61093B" w:rsidR="006C32D3" w:rsidRPr="009100B8" w:rsidRDefault="006C32D3" w:rsidP="00680DE1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lastRenderedPageBreak/>
        <w:t>Abstract</w:t>
      </w:r>
    </w:p>
    <w:p w14:paraId="34809799" w14:textId="082DC88C" w:rsidR="00153967" w:rsidRPr="009100B8" w:rsidRDefault="00153967" w:rsidP="00494D02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Objective</w:t>
      </w:r>
      <w:r w:rsidR="006C32D3" w:rsidRPr="009100B8">
        <w:rPr>
          <w:rFonts w:cstheme="minorHAnsi"/>
          <w:b/>
          <w:sz w:val="24"/>
          <w:szCs w:val="24"/>
        </w:rPr>
        <w:t>:</w:t>
      </w:r>
      <w:r w:rsidRPr="009100B8">
        <w:rPr>
          <w:rFonts w:cstheme="minorHAnsi"/>
          <w:b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To calculate the incidence and assess risk factors leading to permanent </w:t>
      </w:r>
      <w:r w:rsidR="00D63FB0" w:rsidRPr="009100B8">
        <w:rPr>
          <w:rFonts w:cstheme="minorHAnsi"/>
          <w:sz w:val="24"/>
          <w:szCs w:val="24"/>
        </w:rPr>
        <w:t>brachial plexus birth injury (</w:t>
      </w:r>
      <w:r w:rsidRPr="009100B8">
        <w:rPr>
          <w:rFonts w:cstheme="minorHAnsi"/>
          <w:sz w:val="24"/>
          <w:szCs w:val="24"/>
        </w:rPr>
        <w:t>BPBI</w:t>
      </w:r>
      <w:r w:rsidR="00D63FB0" w:rsidRPr="009100B8">
        <w:rPr>
          <w:rFonts w:cstheme="minorHAnsi"/>
          <w:sz w:val="24"/>
          <w:szCs w:val="24"/>
        </w:rPr>
        <w:t>)</w:t>
      </w:r>
      <w:r w:rsidRPr="009100B8">
        <w:rPr>
          <w:rFonts w:cstheme="minorHAnsi"/>
          <w:sz w:val="24"/>
          <w:szCs w:val="24"/>
        </w:rPr>
        <w:t xml:space="preserve"> in Southern Finland</w:t>
      </w:r>
    </w:p>
    <w:p w14:paraId="2496692F" w14:textId="5F735EE0" w:rsidR="00153967" w:rsidRPr="009100B8" w:rsidRDefault="00153967" w:rsidP="00494D02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>Design:</w:t>
      </w:r>
      <w:r w:rsidRPr="009100B8">
        <w:rPr>
          <w:rFonts w:cstheme="minorHAnsi"/>
          <w:sz w:val="24"/>
          <w:szCs w:val="24"/>
        </w:rPr>
        <w:t xml:space="preserve"> Retrospective population-based study</w:t>
      </w:r>
    </w:p>
    <w:p w14:paraId="77D48B3B" w14:textId="680BA42B" w:rsidR="00153967" w:rsidRPr="009100B8" w:rsidRDefault="00153967" w:rsidP="00494D02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 xml:space="preserve">Setting: </w:t>
      </w:r>
      <w:r w:rsidRPr="009100B8">
        <w:rPr>
          <w:rFonts w:cstheme="minorHAnsi"/>
          <w:sz w:val="24"/>
          <w:szCs w:val="24"/>
        </w:rPr>
        <w:t>Helsinki University Women’s Hospital and Helsinki University New Children’s Hospital, Finland</w:t>
      </w:r>
    </w:p>
    <w:p w14:paraId="000B6B19" w14:textId="77BED264" w:rsidR="00153967" w:rsidRPr="009100B8" w:rsidRDefault="00153967" w:rsidP="00494D02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 xml:space="preserve">Sample: </w:t>
      </w:r>
      <w:r w:rsidR="00DE3DDB" w:rsidRPr="009100B8">
        <w:rPr>
          <w:rFonts w:cstheme="minorHAnsi"/>
          <w:sz w:val="24"/>
          <w:szCs w:val="24"/>
        </w:rPr>
        <w:t>All c</w:t>
      </w:r>
      <w:r w:rsidRPr="009100B8">
        <w:rPr>
          <w:rFonts w:cstheme="minorHAnsi"/>
          <w:sz w:val="24"/>
          <w:szCs w:val="24"/>
        </w:rPr>
        <w:t xml:space="preserve">hildren </w:t>
      </w:r>
      <w:r w:rsidR="00BA0EA0" w:rsidRPr="009100B8">
        <w:rPr>
          <w:rFonts w:cstheme="minorHAnsi"/>
          <w:sz w:val="24"/>
          <w:szCs w:val="24"/>
        </w:rPr>
        <w:t>born</w:t>
      </w:r>
      <w:r w:rsidR="005A75DD">
        <w:rPr>
          <w:rFonts w:cstheme="minorHAnsi"/>
          <w:sz w:val="24"/>
          <w:szCs w:val="24"/>
        </w:rPr>
        <w:t xml:space="preserve"> from</w:t>
      </w:r>
      <w:r w:rsidR="00BA0EA0" w:rsidRPr="009100B8">
        <w:rPr>
          <w:rFonts w:cstheme="minorHAnsi"/>
          <w:sz w:val="24"/>
          <w:szCs w:val="24"/>
        </w:rPr>
        <w:t xml:space="preserve"> 2006</w:t>
      </w:r>
      <w:r w:rsidR="005A75DD">
        <w:rPr>
          <w:rFonts w:cstheme="minorHAnsi"/>
          <w:sz w:val="24"/>
          <w:szCs w:val="24"/>
        </w:rPr>
        <w:t xml:space="preserve"> to </w:t>
      </w:r>
      <w:r w:rsidR="00BA0EA0" w:rsidRPr="009100B8">
        <w:rPr>
          <w:rFonts w:cstheme="minorHAnsi"/>
          <w:sz w:val="24"/>
          <w:szCs w:val="24"/>
        </w:rPr>
        <w:t>2022 in South</w:t>
      </w:r>
      <w:r w:rsidR="00C03A49" w:rsidRPr="009100B8">
        <w:rPr>
          <w:rFonts w:cstheme="minorHAnsi"/>
          <w:sz w:val="24"/>
          <w:szCs w:val="24"/>
        </w:rPr>
        <w:t>ern</w:t>
      </w:r>
      <w:r w:rsidR="00BA0EA0" w:rsidRPr="009100B8">
        <w:rPr>
          <w:rFonts w:cstheme="minorHAnsi"/>
          <w:sz w:val="24"/>
          <w:szCs w:val="24"/>
        </w:rPr>
        <w:t xml:space="preserve"> Finland </w:t>
      </w:r>
      <w:r w:rsidRPr="009100B8">
        <w:rPr>
          <w:rFonts w:cstheme="minorHAnsi"/>
          <w:sz w:val="24"/>
          <w:szCs w:val="24"/>
        </w:rPr>
        <w:t xml:space="preserve">with a permanent </w:t>
      </w:r>
      <w:r w:rsidR="00D63FB0" w:rsidRPr="009100B8">
        <w:rPr>
          <w:rFonts w:cstheme="minorHAnsi"/>
          <w:sz w:val="24"/>
          <w:szCs w:val="24"/>
        </w:rPr>
        <w:t>BPBI and their mothers</w:t>
      </w:r>
    </w:p>
    <w:p w14:paraId="1D215BB3" w14:textId="2FF4C20D" w:rsidR="00D63FB0" w:rsidRPr="009100B8" w:rsidRDefault="00D63FB0" w:rsidP="00D63F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>Methods:</w:t>
      </w:r>
      <w:r w:rsidRPr="009100B8">
        <w:rPr>
          <w:rFonts w:cstheme="minorHAnsi"/>
          <w:sz w:val="24"/>
          <w:szCs w:val="24"/>
        </w:rPr>
        <w:t xml:space="preserve"> Birth information of </w:t>
      </w:r>
      <w:r w:rsidR="00A40B4A" w:rsidRPr="009100B8">
        <w:rPr>
          <w:rFonts w:cstheme="minorHAnsi"/>
          <w:sz w:val="24"/>
          <w:szCs w:val="24"/>
        </w:rPr>
        <w:t xml:space="preserve">all </w:t>
      </w:r>
      <w:r w:rsidR="00BA0EA0" w:rsidRPr="009100B8">
        <w:rPr>
          <w:rFonts w:cstheme="minorHAnsi"/>
          <w:sz w:val="24"/>
          <w:szCs w:val="24"/>
        </w:rPr>
        <w:t xml:space="preserve">mothers and their </w:t>
      </w:r>
      <w:r w:rsidRPr="009100B8">
        <w:rPr>
          <w:rFonts w:cstheme="minorHAnsi"/>
          <w:sz w:val="24"/>
          <w:szCs w:val="24"/>
        </w:rPr>
        <w:t xml:space="preserve">children born from 2006 to 2022 in Southern Finland were gathered from the national database and compared to </w:t>
      </w:r>
      <w:r w:rsidR="00BA0EA0" w:rsidRPr="009100B8">
        <w:rPr>
          <w:rFonts w:cstheme="minorHAnsi"/>
          <w:sz w:val="24"/>
          <w:szCs w:val="24"/>
        </w:rPr>
        <w:t xml:space="preserve">prospectively </w:t>
      </w:r>
      <w:r w:rsidR="007E0BBE">
        <w:rPr>
          <w:rFonts w:cstheme="minorHAnsi"/>
          <w:sz w:val="24"/>
          <w:szCs w:val="24"/>
        </w:rPr>
        <w:t>collected</w:t>
      </w:r>
      <w:r w:rsidR="00BA0EA0" w:rsidRPr="009100B8">
        <w:rPr>
          <w:rFonts w:cstheme="minorHAnsi"/>
          <w:sz w:val="24"/>
          <w:szCs w:val="24"/>
        </w:rPr>
        <w:t xml:space="preserve"> data</w:t>
      </w:r>
      <w:r w:rsidRPr="009100B8">
        <w:rPr>
          <w:rFonts w:cstheme="minorHAnsi"/>
          <w:sz w:val="24"/>
          <w:szCs w:val="24"/>
        </w:rPr>
        <w:t xml:space="preserve"> from mothers and their children with a permanent BPBI</w:t>
      </w:r>
      <w:r w:rsidR="00E57F1D" w:rsidRPr="009100B8">
        <w:rPr>
          <w:rFonts w:cstheme="minorHAnsi"/>
          <w:sz w:val="24"/>
          <w:szCs w:val="24"/>
        </w:rPr>
        <w:t xml:space="preserve"> </w:t>
      </w:r>
      <w:r w:rsidR="007E0BBE">
        <w:rPr>
          <w:rFonts w:cstheme="minorHAnsi"/>
          <w:sz w:val="24"/>
          <w:szCs w:val="24"/>
        </w:rPr>
        <w:t>delivered</w:t>
      </w:r>
      <w:r w:rsidR="00E57F1D" w:rsidRPr="009100B8">
        <w:rPr>
          <w:rFonts w:cstheme="minorHAnsi"/>
          <w:sz w:val="24"/>
          <w:szCs w:val="24"/>
        </w:rPr>
        <w:t xml:space="preserve"> within the same </w:t>
      </w:r>
      <w:r w:rsidR="009100B8" w:rsidRPr="009100B8">
        <w:rPr>
          <w:rFonts w:cstheme="minorHAnsi"/>
          <w:sz w:val="24"/>
          <w:szCs w:val="24"/>
        </w:rPr>
        <w:t>period</w:t>
      </w:r>
      <w:r w:rsidRPr="009100B8">
        <w:rPr>
          <w:rFonts w:cstheme="minorHAnsi"/>
          <w:sz w:val="24"/>
          <w:szCs w:val="24"/>
        </w:rPr>
        <w:t xml:space="preserve">. Permanent injury was defined as limited active or passive </w:t>
      </w:r>
      <w:r w:rsidR="00CF55D4">
        <w:rPr>
          <w:rFonts w:cstheme="minorHAnsi"/>
          <w:sz w:val="24"/>
          <w:szCs w:val="24"/>
        </w:rPr>
        <w:t>range of motion</w:t>
      </w:r>
      <w:r w:rsidRPr="009100B8">
        <w:rPr>
          <w:rFonts w:cstheme="minorHAnsi"/>
          <w:sz w:val="24"/>
          <w:szCs w:val="24"/>
        </w:rPr>
        <w:t xml:space="preserve"> or decreased strength </w:t>
      </w:r>
      <w:r w:rsidR="00D564BA">
        <w:rPr>
          <w:rFonts w:cstheme="minorHAnsi"/>
          <w:sz w:val="24"/>
          <w:szCs w:val="24"/>
        </w:rPr>
        <w:t>in</w:t>
      </w:r>
      <w:r w:rsidRPr="009100B8">
        <w:rPr>
          <w:rFonts w:cstheme="minorHAnsi"/>
          <w:sz w:val="24"/>
          <w:szCs w:val="24"/>
        </w:rPr>
        <w:t xml:space="preserve"> the affected limb detected at one year of age. </w:t>
      </w:r>
      <w:r w:rsidR="005A75DD">
        <w:rPr>
          <w:rFonts w:cstheme="minorHAnsi"/>
          <w:sz w:val="24"/>
          <w:szCs w:val="24"/>
        </w:rPr>
        <w:t>The s</w:t>
      </w:r>
      <w:r w:rsidR="007C7A5D" w:rsidRPr="009100B8">
        <w:rPr>
          <w:rFonts w:cstheme="minorHAnsi"/>
          <w:sz w:val="24"/>
          <w:szCs w:val="24"/>
        </w:rPr>
        <w:t xml:space="preserve">everity of the injury was assessed using the 3-month </w:t>
      </w:r>
      <w:r w:rsidR="000A56BB">
        <w:rPr>
          <w:rFonts w:cstheme="minorHAnsi"/>
          <w:sz w:val="24"/>
          <w:szCs w:val="24"/>
        </w:rPr>
        <w:t xml:space="preserve">Toronto </w:t>
      </w:r>
      <w:r w:rsidR="007C7A5D" w:rsidRPr="009100B8">
        <w:rPr>
          <w:rFonts w:cstheme="minorHAnsi"/>
          <w:sz w:val="24"/>
          <w:szCs w:val="24"/>
        </w:rPr>
        <w:t xml:space="preserve">test score. </w:t>
      </w:r>
    </w:p>
    <w:p w14:paraId="66D3E275" w14:textId="47CD09B4" w:rsidR="00D63FB0" w:rsidRPr="009100B8" w:rsidRDefault="00D63FB0" w:rsidP="00D63F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>Main outcome measures:</w:t>
      </w:r>
      <w:r w:rsidRPr="009100B8">
        <w:rPr>
          <w:rFonts w:cstheme="minorHAnsi"/>
          <w:sz w:val="24"/>
          <w:szCs w:val="24"/>
        </w:rPr>
        <w:t xml:space="preserve"> </w:t>
      </w:r>
      <w:r w:rsidR="00AA21F1" w:rsidRPr="009100B8">
        <w:rPr>
          <w:rFonts w:cstheme="minorHAnsi"/>
          <w:sz w:val="24"/>
          <w:szCs w:val="24"/>
        </w:rPr>
        <w:t>Permanent brachial plexus birth injury</w:t>
      </w:r>
    </w:p>
    <w:p w14:paraId="0B9AD251" w14:textId="77C25393" w:rsidR="00D63FB0" w:rsidRPr="009100B8" w:rsidRDefault="00D63FB0" w:rsidP="00D63F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>Results:</w:t>
      </w:r>
      <w:r w:rsidRPr="009100B8">
        <w:rPr>
          <w:rFonts w:cstheme="minorHAnsi"/>
          <w:sz w:val="24"/>
          <w:szCs w:val="24"/>
        </w:rPr>
        <w:t xml:space="preserve"> </w:t>
      </w:r>
      <w:r w:rsidR="005A75DD">
        <w:rPr>
          <w:rFonts w:cstheme="minorHAnsi"/>
          <w:sz w:val="24"/>
          <w:szCs w:val="24"/>
        </w:rPr>
        <w:t>Altogether,</w:t>
      </w:r>
      <w:r w:rsidR="00AA21F1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298 428 children </w:t>
      </w:r>
      <w:r w:rsidR="00E57F1D" w:rsidRPr="009100B8">
        <w:rPr>
          <w:rFonts w:cstheme="minorHAnsi"/>
          <w:sz w:val="24"/>
          <w:szCs w:val="24"/>
        </w:rPr>
        <w:t xml:space="preserve">were </w:t>
      </w:r>
      <w:r w:rsidRPr="009100B8">
        <w:rPr>
          <w:rFonts w:cstheme="minorHAnsi"/>
          <w:sz w:val="24"/>
          <w:szCs w:val="24"/>
        </w:rPr>
        <w:t>born</w:t>
      </w:r>
      <w:r w:rsidR="00BA0EA0" w:rsidRPr="009100B8">
        <w:rPr>
          <w:rFonts w:cstheme="minorHAnsi"/>
          <w:sz w:val="24"/>
          <w:szCs w:val="24"/>
        </w:rPr>
        <w:t xml:space="preserve"> within the study </w:t>
      </w:r>
      <w:r w:rsidR="002F7131" w:rsidRPr="009100B8">
        <w:rPr>
          <w:rFonts w:cstheme="minorHAnsi"/>
          <w:sz w:val="24"/>
          <w:szCs w:val="24"/>
        </w:rPr>
        <w:t>period</w:t>
      </w:r>
      <w:r w:rsidR="007E0BBE">
        <w:rPr>
          <w:rFonts w:cstheme="minorHAnsi"/>
          <w:sz w:val="24"/>
          <w:szCs w:val="24"/>
        </w:rPr>
        <w:t>,</w:t>
      </w:r>
      <w:r w:rsidR="00921E3D" w:rsidRPr="009100B8">
        <w:rPr>
          <w:rFonts w:cstheme="minorHAnsi"/>
          <w:sz w:val="24"/>
          <w:szCs w:val="24"/>
        </w:rPr>
        <w:t xml:space="preserve"> of which </w:t>
      </w:r>
      <w:r w:rsidRPr="009100B8">
        <w:rPr>
          <w:rFonts w:cstheme="minorHAnsi"/>
          <w:sz w:val="24"/>
          <w:szCs w:val="24"/>
        </w:rPr>
        <w:t xml:space="preserve">100 acquired a permanent BPBI. </w:t>
      </w:r>
      <w:r w:rsidR="00BA0EA0" w:rsidRPr="009100B8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 xml:space="preserve">incidence of </w:t>
      </w:r>
      <w:r w:rsidR="00D564BA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permanent BPBI was 0.4</w:t>
      </w:r>
      <w:r w:rsidR="00E57F1D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per 1000 vaginal live births</w:t>
      </w:r>
      <w:r w:rsidR="00C366F0" w:rsidRPr="009100B8">
        <w:rPr>
          <w:rFonts w:cstheme="minorHAnsi"/>
          <w:sz w:val="24"/>
          <w:szCs w:val="24"/>
        </w:rPr>
        <w:t xml:space="preserve"> (0.34 all births)</w:t>
      </w:r>
      <w:r w:rsidR="007E0BBE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with a declining trend. Children born to immigrant </w:t>
      </w:r>
      <w:r w:rsidR="007C7A5D" w:rsidRPr="009100B8">
        <w:rPr>
          <w:rFonts w:cstheme="minorHAnsi"/>
          <w:sz w:val="24"/>
          <w:szCs w:val="24"/>
        </w:rPr>
        <w:t>mothers</w:t>
      </w:r>
      <w:r w:rsidRPr="009100B8">
        <w:rPr>
          <w:rFonts w:cstheme="minorHAnsi"/>
          <w:sz w:val="24"/>
          <w:szCs w:val="24"/>
        </w:rPr>
        <w:t xml:space="preserve"> and women of Black ethnicity had a higher</w:t>
      </w:r>
      <w:r w:rsidR="00DF6C5B" w:rsidRPr="009100B8">
        <w:rPr>
          <w:rFonts w:cstheme="minorHAnsi"/>
          <w:sz w:val="24"/>
          <w:szCs w:val="24"/>
        </w:rPr>
        <w:t xml:space="preserve"> </w:t>
      </w:r>
      <w:r w:rsidR="00A23564" w:rsidRPr="009100B8">
        <w:rPr>
          <w:rFonts w:cstheme="minorHAnsi"/>
          <w:sz w:val="24"/>
          <w:szCs w:val="24"/>
        </w:rPr>
        <w:t>incidence</w:t>
      </w:r>
      <w:r w:rsidR="00DF6C5B" w:rsidRPr="009100B8">
        <w:rPr>
          <w:rFonts w:cstheme="minorHAnsi"/>
          <w:sz w:val="24"/>
          <w:szCs w:val="24"/>
        </w:rPr>
        <w:t xml:space="preserve"> of permanent</w:t>
      </w:r>
      <w:r w:rsidR="00A23564" w:rsidRPr="009100B8">
        <w:rPr>
          <w:rFonts w:cstheme="minorHAnsi"/>
          <w:sz w:val="24"/>
          <w:szCs w:val="24"/>
        </w:rPr>
        <w:t xml:space="preserve"> </w:t>
      </w:r>
      <w:r w:rsidR="00DF6C5B" w:rsidRPr="009100B8">
        <w:rPr>
          <w:rFonts w:cstheme="minorHAnsi"/>
          <w:sz w:val="24"/>
          <w:szCs w:val="24"/>
        </w:rPr>
        <w:t xml:space="preserve">injury </w:t>
      </w:r>
      <w:r w:rsidR="00A23564" w:rsidRPr="009100B8">
        <w:rPr>
          <w:rFonts w:cstheme="minorHAnsi"/>
          <w:sz w:val="24"/>
          <w:szCs w:val="24"/>
        </w:rPr>
        <w:t>(0.85</w:t>
      </w:r>
      <w:r w:rsidR="00DF6C5B" w:rsidRPr="009100B8">
        <w:rPr>
          <w:rFonts w:cstheme="minorHAnsi"/>
          <w:sz w:val="24"/>
          <w:szCs w:val="24"/>
        </w:rPr>
        <w:t xml:space="preserve"> and</w:t>
      </w:r>
      <w:r w:rsidR="00A23564" w:rsidRPr="009100B8">
        <w:rPr>
          <w:rFonts w:cstheme="minorHAnsi"/>
          <w:sz w:val="24"/>
          <w:szCs w:val="24"/>
        </w:rPr>
        <w:t xml:space="preserve"> 1.52</w:t>
      </w:r>
      <w:r w:rsidR="00DF6C5B" w:rsidRPr="009100B8">
        <w:rPr>
          <w:rFonts w:cstheme="minorHAnsi"/>
          <w:sz w:val="24"/>
          <w:szCs w:val="24"/>
        </w:rPr>
        <w:t xml:space="preserve"> per 1000</w:t>
      </w:r>
      <w:r w:rsidR="00A23564" w:rsidRPr="009100B8">
        <w:rPr>
          <w:rFonts w:cstheme="minorHAnsi"/>
          <w:sz w:val="24"/>
          <w:szCs w:val="24"/>
        </w:rPr>
        <w:t>)</w:t>
      </w:r>
      <w:r w:rsidR="00DF6C5B" w:rsidRPr="009100B8">
        <w:rPr>
          <w:rFonts w:cstheme="minorHAnsi"/>
          <w:sz w:val="24"/>
          <w:szCs w:val="24"/>
        </w:rPr>
        <w:t>.</w:t>
      </w:r>
      <w:r w:rsidR="00A23564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</w:t>
      </w:r>
      <w:r w:rsidR="00BA0EA0" w:rsidRPr="009100B8">
        <w:rPr>
          <w:rFonts w:eastAsia="Times New Roman" w:cstheme="minorHAnsi"/>
          <w:sz w:val="24"/>
          <w:szCs w:val="24"/>
          <w:lang w:eastAsia="fi-FI"/>
        </w:rPr>
        <w:t>Non</w:t>
      </w:r>
      <w:r w:rsidR="00A23564" w:rsidRPr="009100B8">
        <w:rPr>
          <w:rFonts w:eastAsia="Times New Roman" w:cstheme="minorHAnsi"/>
          <w:sz w:val="24"/>
          <w:szCs w:val="24"/>
          <w:lang w:eastAsia="fi-FI"/>
        </w:rPr>
        <w:t xml:space="preserve">-white background </w:t>
      </w:r>
      <w:r w:rsidR="00BA0EA0" w:rsidRPr="009100B8">
        <w:rPr>
          <w:rFonts w:eastAsia="Times New Roman" w:cstheme="minorHAnsi"/>
          <w:sz w:val="24"/>
          <w:szCs w:val="24"/>
          <w:lang w:eastAsia="fi-FI"/>
        </w:rPr>
        <w:t xml:space="preserve">and immigrant status </w:t>
      </w:r>
      <w:r w:rsidR="00A23564" w:rsidRPr="009100B8">
        <w:rPr>
          <w:rFonts w:eastAsia="Times New Roman" w:cstheme="minorHAnsi"/>
          <w:sz w:val="24"/>
          <w:szCs w:val="24"/>
          <w:lang w:eastAsia="fi-FI"/>
        </w:rPr>
        <w:t>correlated with a more severe injury (β=-1.12 range, -2.17 to -0.07, p=0.004</w:t>
      </w:r>
      <w:r w:rsidR="00A23564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>)</w:t>
      </w:r>
      <w:r w:rsidR="007E0BBE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, </w:t>
      </w:r>
      <w:r w:rsidR="00E57F1D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with children to </w:t>
      </w:r>
      <w:r w:rsidR="00A23564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>Black</w:t>
      </w:r>
      <w:r w:rsidR="00E57F1D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 mothers having the least favorable outcome</w:t>
      </w:r>
      <w:r w:rsidR="00A23564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 </w:t>
      </w:r>
      <w:r w:rsidR="00A23564" w:rsidRPr="009100B8">
        <w:rPr>
          <w:rFonts w:eastAsia="Times New Roman" w:cstheme="minorHAnsi"/>
          <w:sz w:val="24"/>
          <w:szCs w:val="24"/>
          <w:lang w:eastAsia="fi-FI"/>
        </w:rPr>
        <w:t>(β= -1.64 range, -2.79 to -0.49, p=0.005</w:t>
      </w:r>
      <w:r w:rsidR="00A23564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>)</w:t>
      </w:r>
      <w:r w:rsidR="00DF6C5B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. </w:t>
      </w:r>
    </w:p>
    <w:p w14:paraId="5E06B1B6" w14:textId="750D28D5" w:rsidR="00D63FB0" w:rsidRPr="009100B8" w:rsidRDefault="00D63FB0" w:rsidP="00D63FB0">
      <w:pPr>
        <w:spacing w:line="480" w:lineRule="auto"/>
        <w:rPr>
          <w:rFonts w:cstheme="minorHAnsi"/>
          <w:bCs/>
          <w:sz w:val="24"/>
          <w:szCs w:val="24"/>
        </w:rPr>
      </w:pPr>
      <w:r w:rsidRPr="009100B8">
        <w:rPr>
          <w:rFonts w:cstheme="minorHAnsi"/>
          <w:b/>
          <w:bCs/>
          <w:color w:val="000000" w:themeColor="text1"/>
          <w:sz w:val="24"/>
          <w:szCs w:val="24"/>
        </w:rPr>
        <w:t>Conclusion:</w:t>
      </w:r>
      <w:r w:rsidRPr="009100B8">
        <w:rPr>
          <w:rFonts w:cstheme="minorHAnsi"/>
          <w:color w:val="000000" w:themeColor="text1"/>
          <w:sz w:val="24"/>
          <w:szCs w:val="24"/>
        </w:rPr>
        <w:t xml:space="preserve"> </w:t>
      </w:r>
      <w:r w:rsidRPr="009100B8">
        <w:rPr>
          <w:rFonts w:cstheme="minorHAnsi"/>
          <w:bCs/>
          <w:sz w:val="24"/>
          <w:szCs w:val="24"/>
        </w:rPr>
        <w:t>The overall incidence of</w:t>
      </w:r>
      <w:r w:rsidR="00FC31F4" w:rsidRPr="009100B8">
        <w:rPr>
          <w:rFonts w:cstheme="minorHAnsi"/>
          <w:bCs/>
          <w:sz w:val="24"/>
          <w:szCs w:val="24"/>
        </w:rPr>
        <w:t xml:space="preserve"> </w:t>
      </w:r>
      <w:r w:rsidRPr="009100B8">
        <w:rPr>
          <w:rFonts w:cstheme="minorHAnsi"/>
          <w:bCs/>
          <w:sz w:val="24"/>
          <w:szCs w:val="24"/>
        </w:rPr>
        <w:t>permanent BPBI is declin</w:t>
      </w:r>
      <w:r w:rsidR="00FC31F4" w:rsidRPr="009100B8">
        <w:rPr>
          <w:rFonts w:cstheme="minorHAnsi"/>
          <w:bCs/>
          <w:sz w:val="24"/>
          <w:szCs w:val="24"/>
        </w:rPr>
        <w:t>ing</w:t>
      </w:r>
      <w:r w:rsidRPr="009100B8">
        <w:rPr>
          <w:rFonts w:cstheme="minorHAnsi"/>
          <w:bCs/>
          <w:sz w:val="24"/>
          <w:szCs w:val="24"/>
        </w:rPr>
        <w:t>.</w:t>
      </w:r>
      <w:r w:rsidR="00A40B4A" w:rsidRPr="009100B8">
        <w:rPr>
          <w:rFonts w:cstheme="minorHAnsi"/>
          <w:bCs/>
          <w:sz w:val="24"/>
          <w:szCs w:val="24"/>
        </w:rPr>
        <w:t xml:space="preserve"> </w:t>
      </w:r>
      <w:r w:rsidR="00E57F1D" w:rsidRPr="009100B8">
        <w:rPr>
          <w:rFonts w:cstheme="minorHAnsi"/>
          <w:bCs/>
          <w:sz w:val="24"/>
          <w:szCs w:val="24"/>
        </w:rPr>
        <w:t>I</w:t>
      </w:r>
      <w:r w:rsidR="00A40B4A" w:rsidRPr="009100B8">
        <w:rPr>
          <w:rFonts w:cstheme="minorHAnsi"/>
          <w:bCs/>
          <w:sz w:val="24"/>
          <w:szCs w:val="24"/>
        </w:rPr>
        <w:t xml:space="preserve">mmigrant status </w:t>
      </w:r>
      <w:r w:rsidR="00E57F1D" w:rsidRPr="009100B8">
        <w:rPr>
          <w:rFonts w:cstheme="minorHAnsi"/>
          <w:bCs/>
          <w:sz w:val="24"/>
          <w:szCs w:val="24"/>
        </w:rPr>
        <w:t xml:space="preserve">and Black ethnicity </w:t>
      </w:r>
      <w:r w:rsidR="0014562C" w:rsidRPr="009100B8">
        <w:rPr>
          <w:rFonts w:cstheme="minorHAnsi"/>
          <w:bCs/>
          <w:sz w:val="24"/>
          <w:szCs w:val="24"/>
        </w:rPr>
        <w:t>increase the risk</w:t>
      </w:r>
      <w:r w:rsidR="00A40B4A" w:rsidRPr="009100B8">
        <w:rPr>
          <w:rFonts w:cstheme="minorHAnsi"/>
          <w:bCs/>
          <w:sz w:val="24"/>
          <w:szCs w:val="24"/>
        </w:rPr>
        <w:t xml:space="preserve"> </w:t>
      </w:r>
      <w:r w:rsidR="007E0BBE">
        <w:rPr>
          <w:rFonts w:cstheme="minorHAnsi"/>
          <w:bCs/>
          <w:sz w:val="24"/>
          <w:szCs w:val="24"/>
        </w:rPr>
        <w:t xml:space="preserve">of </w:t>
      </w:r>
      <w:r w:rsidR="00A40B4A" w:rsidRPr="009100B8">
        <w:rPr>
          <w:rFonts w:cstheme="minorHAnsi"/>
          <w:bCs/>
          <w:sz w:val="24"/>
          <w:szCs w:val="24"/>
        </w:rPr>
        <w:t>a permanent BPBI.</w:t>
      </w:r>
    </w:p>
    <w:p w14:paraId="631C0473" w14:textId="14E46C17" w:rsidR="006402CE" w:rsidRPr="009100B8" w:rsidRDefault="00D63FB0" w:rsidP="00680DE1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Keywo</w:t>
      </w:r>
      <w:r w:rsidR="00BA0EA0" w:rsidRPr="009100B8">
        <w:rPr>
          <w:rFonts w:cstheme="minorHAnsi"/>
          <w:b/>
          <w:sz w:val="24"/>
          <w:szCs w:val="24"/>
        </w:rPr>
        <w:t>r</w:t>
      </w:r>
      <w:r w:rsidR="00AA21F1" w:rsidRPr="009100B8">
        <w:rPr>
          <w:rFonts w:cstheme="minorHAnsi"/>
          <w:b/>
          <w:sz w:val="24"/>
          <w:szCs w:val="24"/>
        </w:rPr>
        <w:t>d</w:t>
      </w:r>
      <w:r w:rsidR="00BA0EA0" w:rsidRPr="009100B8">
        <w:rPr>
          <w:rFonts w:cstheme="minorHAnsi"/>
          <w:b/>
          <w:sz w:val="24"/>
          <w:szCs w:val="24"/>
        </w:rPr>
        <w:t>s</w:t>
      </w:r>
      <w:r w:rsidR="00CC6492" w:rsidRPr="009100B8">
        <w:rPr>
          <w:rFonts w:cstheme="minorHAnsi"/>
          <w:b/>
          <w:sz w:val="24"/>
          <w:szCs w:val="24"/>
        </w:rPr>
        <w:t xml:space="preserve">: </w:t>
      </w:r>
      <w:r w:rsidR="00CC6492" w:rsidRPr="009100B8">
        <w:rPr>
          <w:rFonts w:cstheme="minorHAnsi"/>
          <w:bCs/>
          <w:sz w:val="24"/>
          <w:szCs w:val="24"/>
        </w:rPr>
        <w:t>birth injury; permanent brachial plexus birth injury; brachial plexus birth injury; incidence; ethnicity; immigrant mother</w:t>
      </w:r>
    </w:p>
    <w:p w14:paraId="2EDF2368" w14:textId="3AEFCDB9" w:rsidR="00BA0EA0" w:rsidRPr="009100B8" w:rsidRDefault="00BA0EA0" w:rsidP="00680DE1">
      <w:pPr>
        <w:spacing w:line="480" w:lineRule="auto"/>
        <w:rPr>
          <w:rFonts w:cstheme="minorHAnsi"/>
          <w:b/>
          <w:sz w:val="24"/>
          <w:szCs w:val="24"/>
        </w:rPr>
        <w:sectPr w:rsidR="00BA0EA0" w:rsidRPr="009100B8">
          <w:headerReference w:type="default" r:id="rId9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9100B8">
        <w:rPr>
          <w:rFonts w:cstheme="minorHAnsi"/>
          <w:b/>
          <w:sz w:val="24"/>
          <w:szCs w:val="24"/>
        </w:rPr>
        <w:t xml:space="preserve">Funding: </w:t>
      </w:r>
      <w:r w:rsidRPr="009100B8">
        <w:rPr>
          <w:rFonts w:cstheme="minorHAnsi"/>
          <w:bCs/>
          <w:sz w:val="24"/>
          <w:szCs w:val="24"/>
        </w:rPr>
        <w:t xml:space="preserve">Research grant from </w:t>
      </w:r>
      <w:proofErr w:type="spellStart"/>
      <w:r w:rsidRPr="009100B8">
        <w:rPr>
          <w:rFonts w:cstheme="minorHAnsi"/>
          <w:bCs/>
          <w:sz w:val="24"/>
          <w:szCs w:val="24"/>
        </w:rPr>
        <w:t>Finska</w:t>
      </w:r>
      <w:proofErr w:type="spellEnd"/>
      <w:r w:rsidRPr="009100B8">
        <w:rPr>
          <w:rFonts w:cstheme="minorHAnsi"/>
          <w:bCs/>
          <w:sz w:val="24"/>
          <w:szCs w:val="24"/>
        </w:rPr>
        <w:t xml:space="preserve"> </w:t>
      </w:r>
      <w:proofErr w:type="spellStart"/>
      <w:r w:rsidRPr="009100B8">
        <w:rPr>
          <w:rFonts w:cstheme="minorHAnsi"/>
          <w:bCs/>
          <w:sz w:val="24"/>
          <w:szCs w:val="24"/>
        </w:rPr>
        <w:t>Läkaresällskapet</w:t>
      </w:r>
      <w:proofErr w:type="spellEnd"/>
      <w:r w:rsidRPr="009100B8">
        <w:rPr>
          <w:rFonts w:cstheme="minorHAnsi"/>
          <w:bCs/>
          <w:sz w:val="24"/>
          <w:szCs w:val="24"/>
        </w:rPr>
        <w:t xml:space="preserve"> and Pediatric Research Center</w:t>
      </w:r>
    </w:p>
    <w:p w14:paraId="40EF77B1" w14:textId="78C41C71" w:rsidR="007D7209" w:rsidRPr="009100B8" w:rsidRDefault="007D7209" w:rsidP="00680DE1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Introduction</w:t>
      </w:r>
      <w:r w:rsidR="00D20DE1" w:rsidRPr="009100B8">
        <w:rPr>
          <w:rFonts w:cstheme="minorHAnsi"/>
          <w:b/>
          <w:sz w:val="24"/>
          <w:szCs w:val="24"/>
        </w:rPr>
        <w:t xml:space="preserve"> </w:t>
      </w:r>
    </w:p>
    <w:p w14:paraId="53B4E75E" w14:textId="7A462AA7" w:rsidR="00D677A4" w:rsidRPr="009100B8" w:rsidRDefault="002C23F6" w:rsidP="0069765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Brachial plexus birth injury</w:t>
      </w:r>
      <w:r w:rsidR="00427B0B" w:rsidRPr="009100B8">
        <w:rPr>
          <w:rFonts w:cstheme="minorHAnsi"/>
          <w:sz w:val="24"/>
          <w:szCs w:val="24"/>
        </w:rPr>
        <w:t xml:space="preserve"> (BPBI)</w:t>
      </w:r>
      <w:r w:rsidRPr="009100B8">
        <w:rPr>
          <w:rFonts w:cstheme="minorHAnsi"/>
          <w:sz w:val="24"/>
          <w:szCs w:val="24"/>
        </w:rPr>
        <w:t xml:space="preserve"> is the most common </w:t>
      </w:r>
      <w:r w:rsidR="00755933" w:rsidRPr="009100B8">
        <w:rPr>
          <w:rFonts w:cstheme="minorHAnsi"/>
          <w:sz w:val="24"/>
          <w:szCs w:val="24"/>
        </w:rPr>
        <w:t xml:space="preserve">severe </w:t>
      </w:r>
      <w:r w:rsidRPr="009100B8">
        <w:rPr>
          <w:rFonts w:cstheme="minorHAnsi"/>
          <w:sz w:val="24"/>
          <w:szCs w:val="24"/>
        </w:rPr>
        <w:t>birth injury in Finland</w:t>
      </w:r>
      <w:r w:rsidR="007E0BBE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with an overall incidence of </w:t>
      </w:r>
      <w:r w:rsidR="00066DEA" w:rsidRPr="009100B8">
        <w:rPr>
          <w:rFonts w:cstheme="minorHAnsi"/>
          <w:sz w:val="24"/>
          <w:szCs w:val="24"/>
        </w:rPr>
        <w:t>2.5 per 1000 live births</w:t>
      </w:r>
      <w:r w:rsidR="002E0210" w:rsidRPr="009100B8">
        <w:rPr>
          <w:rFonts w:cstheme="minorHAnsi"/>
          <w:sz w:val="24"/>
          <w:szCs w:val="24"/>
        </w:rPr>
        <w:t>.</w:t>
      </w:r>
      <w:r w:rsidR="008B5424" w:rsidRPr="009100B8">
        <w:rPr>
          <w:rFonts w:cstheme="minorHAnsi"/>
          <w:sz w:val="24"/>
          <w:szCs w:val="24"/>
          <w:vertAlign w:val="superscript"/>
        </w:rPr>
        <w:t>1</w:t>
      </w:r>
      <w:r w:rsidR="003F7576" w:rsidRPr="009100B8">
        <w:rPr>
          <w:rFonts w:cstheme="minorHAnsi"/>
          <w:sz w:val="24"/>
          <w:szCs w:val="24"/>
        </w:rPr>
        <w:t xml:space="preserve"> Most children who </w:t>
      </w:r>
      <w:r w:rsidR="00D564BA">
        <w:rPr>
          <w:rFonts w:cstheme="minorHAnsi"/>
          <w:sz w:val="24"/>
          <w:szCs w:val="24"/>
        </w:rPr>
        <w:t xml:space="preserve">fully </w:t>
      </w:r>
      <w:r w:rsidR="003F7576" w:rsidRPr="009100B8">
        <w:rPr>
          <w:rFonts w:cstheme="minorHAnsi"/>
          <w:sz w:val="24"/>
          <w:szCs w:val="24"/>
        </w:rPr>
        <w:t>recover</w:t>
      </w:r>
      <w:r w:rsidR="002543C9" w:rsidRPr="009100B8">
        <w:rPr>
          <w:rFonts w:cstheme="minorHAnsi"/>
          <w:sz w:val="24"/>
          <w:szCs w:val="24"/>
        </w:rPr>
        <w:t xml:space="preserve"> </w:t>
      </w:r>
      <w:r w:rsidR="003F7576" w:rsidRPr="009100B8">
        <w:rPr>
          <w:rFonts w:cstheme="minorHAnsi"/>
          <w:sz w:val="24"/>
          <w:szCs w:val="24"/>
        </w:rPr>
        <w:t xml:space="preserve">do so during the first </w:t>
      </w:r>
      <w:r w:rsidR="005A75DD">
        <w:rPr>
          <w:rFonts w:cstheme="minorHAnsi"/>
          <w:sz w:val="24"/>
          <w:szCs w:val="24"/>
        </w:rPr>
        <w:t>three</w:t>
      </w:r>
      <w:r w:rsidR="003F7576" w:rsidRPr="009100B8">
        <w:rPr>
          <w:rFonts w:cstheme="minorHAnsi"/>
          <w:sz w:val="24"/>
          <w:szCs w:val="24"/>
        </w:rPr>
        <w:t xml:space="preserve"> months</w:t>
      </w:r>
      <w:r w:rsidR="002E0210" w:rsidRPr="009100B8">
        <w:rPr>
          <w:rFonts w:cstheme="minorHAnsi"/>
          <w:sz w:val="24"/>
          <w:szCs w:val="24"/>
        </w:rPr>
        <w:t>.</w:t>
      </w:r>
      <w:r w:rsidR="002E0210" w:rsidRPr="009100B8">
        <w:rPr>
          <w:rFonts w:cstheme="minorHAnsi"/>
          <w:sz w:val="24"/>
          <w:szCs w:val="24"/>
          <w:vertAlign w:val="superscript"/>
        </w:rPr>
        <w:t>2</w:t>
      </w:r>
      <w:r w:rsidR="007E0BBE">
        <w:rPr>
          <w:rFonts w:cstheme="minorHAnsi"/>
          <w:sz w:val="24"/>
          <w:szCs w:val="24"/>
          <w:vertAlign w:val="superscript"/>
        </w:rPr>
        <w:t>–</w:t>
      </w:r>
      <w:r w:rsidR="002E0210" w:rsidRPr="009100B8">
        <w:rPr>
          <w:rFonts w:cstheme="minorHAnsi"/>
          <w:sz w:val="24"/>
          <w:szCs w:val="24"/>
          <w:vertAlign w:val="superscript"/>
        </w:rPr>
        <w:t>4</w:t>
      </w:r>
      <w:r w:rsidR="00066DEA" w:rsidRPr="009100B8">
        <w:rPr>
          <w:rFonts w:cstheme="minorHAnsi"/>
          <w:sz w:val="24"/>
          <w:szCs w:val="24"/>
        </w:rPr>
        <w:t xml:space="preserve"> </w:t>
      </w:r>
      <w:r w:rsidR="00D24971" w:rsidRPr="009100B8">
        <w:rPr>
          <w:rFonts w:cstheme="minorHAnsi"/>
          <w:sz w:val="24"/>
          <w:szCs w:val="24"/>
        </w:rPr>
        <w:t>A permanent injury causes a lifelong disability</w:t>
      </w:r>
      <w:r w:rsidR="00D564BA">
        <w:rPr>
          <w:rFonts w:cstheme="minorHAnsi"/>
          <w:sz w:val="24"/>
          <w:szCs w:val="24"/>
        </w:rPr>
        <w:t xml:space="preserve"> in</w:t>
      </w:r>
      <w:r w:rsidR="00D24971" w:rsidRPr="009100B8">
        <w:rPr>
          <w:rFonts w:cstheme="minorHAnsi"/>
          <w:sz w:val="24"/>
          <w:szCs w:val="24"/>
        </w:rPr>
        <w:t xml:space="preserve"> varying degree</w:t>
      </w:r>
      <w:r w:rsidR="00D564BA">
        <w:rPr>
          <w:rFonts w:cstheme="minorHAnsi"/>
          <w:sz w:val="24"/>
          <w:szCs w:val="24"/>
        </w:rPr>
        <w:t>s</w:t>
      </w:r>
      <w:r w:rsidR="00D24971" w:rsidRPr="009100B8">
        <w:rPr>
          <w:rFonts w:cstheme="minorHAnsi"/>
          <w:sz w:val="24"/>
          <w:szCs w:val="24"/>
        </w:rPr>
        <w:t>.</w:t>
      </w:r>
      <w:r w:rsidR="00A36FCD" w:rsidRPr="009100B8">
        <w:rPr>
          <w:rFonts w:cstheme="minorHAnsi"/>
          <w:sz w:val="24"/>
          <w:szCs w:val="24"/>
          <w:vertAlign w:val="superscript"/>
        </w:rPr>
        <w:t>5</w:t>
      </w:r>
      <w:r w:rsidR="007E0BBE">
        <w:rPr>
          <w:rFonts w:cstheme="minorHAnsi"/>
          <w:sz w:val="24"/>
          <w:szCs w:val="24"/>
          <w:vertAlign w:val="superscript"/>
        </w:rPr>
        <w:t>–</w:t>
      </w:r>
      <w:r w:rsidR="00BC7620" w:rsidRPr="009100B8">
        <w:rPr>
          <w:rFonts w:cstheme="minorHAnsi"/>
          <w:sz w:val="24"/>
          <w:szCs w:val="24"/>
          <w:vertAlign w:val="superscript"/>
        </w:rPr>
        <w:t>7</w:t>
      </w:r>
      <w:r w:rsidR="00D24971" w:rsidRPr="009100B8">
        <w:rPr>
          <w:rFonts w:cstheme="minorHAnsi"/>
          <w:sz w:val="24"/>
          <w:szCs w:val="24"/>
        </w:rPr>
        <w:t xml:space="preserve"> In the most </w:t>
      </w:r>
      <w:r w:rsidR="00D677A4" w:rsidRPr="009100B8">
        <w:rPr>
          <w:rFonts w:cstheme="minorHAnsi"/>
          <w:sz w:val="24"/>
          <w:szCs w:val="24"/>
        </w:rPr>
        <w:t xml:space="preserve">dire </w:t>
      </w:r>
      <w:r w:rsidR="00D24971" w:rsidRPr="009100B8">
        <w:rPr>
          <w:rFonts w:cstheme="minorHAnsi"/>
          <w:sz w:val="24"/>
          <w:szCs w:val="24"/>
        </w:rPr>
        <w:t>cases</w:t>
      </w:r>
      <w:r w:rsidR="005A75DD">
        <w:rPr>
          <w:rFonts w:cstheme="minorHAnsi"/>
          <w:sz w:val="24"/>
          <w:szCs w:val="24"/>
        </w:rPr>
        <w:t>,</w:t>
      </w:r>
      <w:r w:rsidR="00D24971" w:rsidRPr="009100B8">
        <w:rPr>
          <w:rFonts w:cstheme="minorHAnsi"/>
          <w:sz w:val="24"/>
          <w:szCs w:val="24"/>
        </w:rPr>
        <w:t xml:space="preserve"> the</w:t>
      </w:r>
      <w:r w:rsidR="00D677A4" w:rsidRPr="009100B8">
        <w:rPr>
          <w:rFonts w:cstheme="minorHAnsi"/>
          <w:sz w:val="24"/>
          <w:szCs w:val="24"/>
        </w:rPr>
        <w:t xml:space="preserve"> affected</w:t>
      </w:r>
      <w:r w:rsidR="00D24971" w:rsidRPr="009100B8">
        <w:rPr>
          <w:rFonts w:cstheme="minorHAnsi"/>
          <w:sz w:val="24"/>
          <w:szCs w:val="24"/>
        </w:rPr>
        <w:t xml:space="preserve"> limb is short</w:t>
      </w:r>
      <w:r w:rsidR="00BA0EA0" w:rsidRPr="009100B8">
        <w:rPr>
          <w:rFonts w:cstheme="minorHAnsi"/>
          <w:sz w:val="24"/>
          <w:szCs w:val="24"/>
        </w:rPr>
        <w:t xml:space="preserve"> and</w:t>
      </w:r>
      <w:r w:rsidR="00D677A4" w:rsidRPr="009100B8">
        <w:rPr>
          <w:rFonts w:cstheme="minorHAnsi"/>
          <w:sz w:val="24"/>
          <w:szCs w:val="24"/>
        </w:rPr>
        <w:t xml:space="preserve"> painful</w:t>
      </w:r>
      <w:r w:rsidR="007E0BBE">
        <w:rPr>
          <w:rFonts w:cstheme="minorHAnsi"/>
          <w:sz w:val="24"/>
          <w:szCs w:val="24"/>
        </w:rPr>
        <w:t>,</w:t>
      </w:r>
      <w:r w:rsidR="00D677A4" w:rsidRPr="009100B8">
        <w:rPr>
          <w:rFonts w:cstheme="minorHAnsi"/>
          <w:sz w:val="24"/>
          <w:szCs w:val="24"/>
        </w:rPr>
        <w:t xml:space="preserve"> </w:t>
      </w:r>
      <w:r w:rsidR="00BA0EA0" w:rsidRPr="009100B8">
        <w:rPr>
          <w:rFonts w:cstheme="minorHAnsi"/>
          <w:sz w:val="24"/>
          <w:szCs w:val="24"/>
        </w:rPr>
        <w:t>with</w:t>
      </w:r>
      <w:r w:rsidR="005A75DD">
        <w:rPr>
          <w:rFonts w:cstheme="minorHAnsi"/>
          <w:sz w:val="24"/>
          <w:szCs w:val="24"/>
        </w:rPr>
        <w:t xml:space="preserve"> a</w:t>
      </w:r>
      <w:r w:rsidR="00D24971" w:rsidRPr="009100B8">
        <w:rPr>
          <w:rFonts w:cstheme="minorHAnsi"/>
          <w:sz w:val="24"/>
          <w:szCs w:val="24"/>
        </w:rPr>
        <w:t xml:space="preserve"> limited range of motion </w:t>
      </w:r>
      <w:r w:rsidR="00D677A4" w:rsidRPr="009100B8">
        <w:rPr>
          <w:rFonts w:cstheme="minorHAnsi"/>
          <w:sz w:val="24"/>
          <w:szCs w:val="24"/>
        </w:rPr>
        <w:t>and diminished sensation</w:t>
      </w:r>
      <w:r w:rsidR="00A36FCD" w:rsidRPr="009100B8">
        <w:rPr>
          <w:rFonts w:cstheme="minorHAnsi"/>
          <w:sz w:val="24"/>
          <w:szCs w:val="24"/>
        </w:rPr>
        <w:t>.</w:t>
      </w:r>
      <w:r w:rsidR="00BC7620" w:rsidRPr="009100B8">
        <w:rPr>
          <w:rFonts w:cstheme="minorHAnsi"/>
          <w:sz w:val="24"/>
          <w:szCs w:val="24"/>
          <w:vertAlign w:val="superscript"/>
        </w:rPr>
        <w:t>8</w:t>
      </w:r>
      <w:r w:rsidR="00D677A4" w:rsidRPr="009100B8">
        <w:rPr>
          <w:rFonts w:cstheme="minorHAnsi"/>
          <w:sz w:val="24"/>
          <w:szCs w:val="24"/>
          <w:vertAlign w:val="superscript"/>
        </w:rPr>
        <w:t>,</w:t>
      </w:r>
      <w:r w:rsidR="00BC7620" w:rsidRPr="009100B8">
        <w:rPr>
          <w:rFonts w:cstheme="minorHAnsi"/>
          <w:sz w:val="24"/>
          <w:szCs w:val="24"/>
          <w:vertAlign w:val="superscript"/>
        </w:rPr>
        <w:t>9</w:t>
      </w:r>
      <w:r w:rsidRPr="009100B8">
        <w:rPr>
          <w:rFonts w:cstheme="minorHAnsi"/>
          <w:sz w:val="24"/>
          <w:szCs w:val="24"/>
        </w:rPr>
        <w:t xml:space="preserve"> </w:t>
      </w:r>
      <w:r w:rsidR="00D677A4" w:rsidRPr="009100B8">
        <w:rPr>
          <w:rFonts w:cstheme="minorHAnsi"/>
          <w:sz w:val="24"/>
          <w:szCs w:val="24"/>
        </w:rPr>
        <w:t xml:space="preserve">Incidence for </w:t>
      </w:r>
      <w:r w:rsidR="00D564BA">
        <w:rPr>
          <w:rFonts w:cstheme="minorHAnsi"/>
          <w:sz w:val="24"/>
          <w:szCs w:val="24"/>
        </w:rPr>
        <w:t xml:space="preserve">a </w:t>
      </w:r>
      <w:r w:rsidR="00D677A4" w:rsidRPr="009100B8">
        <w:rPr>
          <w:rFonts w:cstheme="minorHAnsi"/>
          <w:sz w:val="24"/>
          <w:szCs w:val="24"/>
        </w:rPr>
        <w:t xml:space="preserve">permanent BPBI lies between 0.1 and 1.6. </w:t>
      </w:r>
      <w:r w:rsidR="00D677A4" w:rsidRPr="009100B8">
        <w:rPr>
          <w:rFonts w:cstheme="minorHAnsi"/>
          <w:sz w:val="24"/>
          <w:szCs w:val="24"/>
          <w:vertAlign w:val="superscript"/>
        </w:rPr>
        <w:t>2,3,10</w:t>
      </w:r>
      <w:r w:rsidR="005A75DD">
        <w:rPr>
          <w:rFonts w:cstheme="minorHAnsi"/>
          <w:sz w:val="24"/>
          <w:szCs w:val="24"/>
          <w:vertAlign w:val="superscript"/>
        </w:rPr>
        <w:t>–</w:t>
      </w:r>
      <w:r w:rsidR="00D677A4" w:rsidRPr="009100B8">
        <w:rPr>
          <w:rFonts w:cstheme="minorHAnsi"/>
          <w:sz w:val="24"/>
          <w:szCs w:val="24"/>
          <w:vertAlign w:val="superscript"/>
        </w:rPr>
        <w:t>12</w:t>
      </w:r>
      <w:r w:rsidR="00D677A4" w:rsidRPr="009100B8">
        <w:rPr>
          <w:rFonts w:cstheme="minorHAnsi"/>
          <w:sz w:val="24"/>
          <w:szCs w:val="24"/>
        </w:rPr>
        <w:t xml:space="preserve"> </w:t>
      </w:r>
      <w:r w:rsidR="007C59F5">
        <w:rPr>
          <w:rFonts w:cstheme="minorHAnsi"/>
          <w:sz w:val="24"/>
          <w:szCs w:val="24"/>
        </w:rPr>
        <w:t>N</w:t>
      </w:r>
      <w:r w:rsidR="00D677A4" w:rsidRPr="009100B8">
        <w:rPr>
          <w:rFonts w:cstheme="minorHAnsi"/>
          <w:sz w:val="24"/>
          <w:szCs w:val="24"/>
        </w:rPr>
        <w:t>ational and international studies have reported declin</w:t>
      </w:r>
      <w:r w:rsidR="007C59F5">
        <w:rPr>
          <w:rFonts w:cstheme="minorHAnsi"/>
          <w:sz w:val="24"/>
          <w:szCs w:val="24"/>
        </w:rPr>
        <w:t>ing</w:t>
      </w:r>
      <w:r w:rsidR="00D677A4" w:rsidRPr="009100B8">
        <w:rPr>
          <w:rFonts w:cstheme="minorHAnsi"/>
          <w:sz w:val="24"/>
          <w:szCs w:val="24"/>
        </w:rPr>
        <w:t xml:space="preserve"> overall incidence</w:t>
      </w:r>
      <w:r w:rsidR="007C59F5">
        <w:rPr>
          <w:rFonts w:cstheme="minorHAnsi"/>
          <w:sz w:val="24"/>
          <w:szCs w:val="24"/>
        </w:rPr>
        <w:t>s,</w:t>
      </w:r>
      <w:r w:rsidR="00D677A4" w:rsidRPr="009100B8">
        <w:rPr>
          <w:rFonts w:cstheme="minorHAnsi"/>
          <w:sz w:val="24"/>
          <w:szCs w:val="24"/>
        </w:rPr>
        <w:t xml:space="preserve"> with racial and geographical variations.</w:t>
      </w:r>
      <w:r w:rsidR="00D677A4" w:rsidRPr="009100B8">
        <w:rPr>
          <w:rFonts w:cstheme="minorHAnsi"/>
          <w:sz w:val="24"/>
          <w:szCs w:val="24"/>
          <w:vertAlign w:val="superscript"/>
        </w:rPr>
        <w:t>1,13</w:t>
      </w:r>
      <w:r w:rsidR="007E0BBE">
        <w:rPr>
          <w:rFonts w:cstheme="minorHAnsi"/>
          <w:sz w:val="24"/>
          <w:szCs w:val="24"/>
          <w:vertAlign w:val="superscript"/>
        </w:rPr>
        <w:t>–</w:t>
      </w:r>
      <w:r w:rsidR="00D677A4" w:rsidRPr="009100B8">
        <w:rPr>
          <w:rFonts w:cstheme="minorHAnsi"/>
          <w:sz w:val="24"/>
          <w:szCs w:val="24"/>
          <w:vertAlign w:val="superscript"/>
        </w:rPr>
        <w:t>15</w:t>
      </w:r>
      <w:r w:rsidR="00D677A4" w:rsidRPr="009100B8">
        <w:rPr>
          <w:rFonts w:cstheme="minorHAnsi"/>
          <w:sz w:val="24"/>
          <w:szCs w:val="24"/>
        </w:rPr>
        <w:t xml:space="preserve"> Possible explanations can be the rising rate of cesarean sections and differences in</w:t>
      </w:r>
      <w:r w:rsidR="007E0BBE">
        <w:rPr>
          <w:rFonts w:cstheme="minorHAnsi"/>
          <w:sz w:val="24"/>
          <w:szCs w:val="24"/>
        </w:rPr>
        <w:t xml:space="preserve"> the</w:t>
      </w:r>
      <w:r w:rsidR="00D677A4" w:rsidRPr="009100B8">
        <w:rPr>
          <w:rFonts w:cstheme="minorHAnsi"/>
          <w:sz w:val="24"/>
          <w:szCs w:val="24"/>
        </w:rPr>
        <w:t xml:space="preserve"> availability </w:t>
      </w:r>
      <w:r w:rsidR="007E0BBE">
        <w:rPr>
          <w:rFonts w:cstheme="minorHAnsi"/>
          <w:sz w:val="24"/>
          <w:szCs w:val="24"/>
        </w:rPr>
        <w:t>of</w:t>
      </w:r>
      <w:r w:rsidR="00D677A4" w:rsidRPr="009100B8">
        <w:rPr>
          <w:rFonts w:cstheme="minorHAnsi"/>
          <w:sz w:val="24"/>
          <w:szCs w:val="24"/>
        </w:rPr>
        <w:t xml:space="preserve"> antenatal care.</w:t>
      </w:r>
      <w:r w:rsidR="00CC6492" w:rsidRPr="009100B8">
        <w:rPr>
          <w:rFonts w:cstheme="minorHAnsi"/>
          <w:sz w:val="24"/>
          <w:szCs w:val="24"/>
          <w:vertAlign w:val="superscript"/>
        </w:rPr>
        <w:t>1</w:t>
      </w:r>
      <w:r w:rsidR="00957958">
        <w:rPr>
          <w:rFonts w:cstheme="minorHAnsi"/>
          <w:sz w:val="24"/>
          <w:szCs w:val="24"/>
          <w:vertAlign w:val="superscript"/>
        </w:rPr>
        <w:t>3</w:t>
      </w:r>
      <w:r w:rsidR="007E0BBE">
        <w:rPr>
          <w:rFonts w:cstheme="minorHAnsi"/>
          <w:sz w:val="24"/>
          <w:szCs w:val="24"/>
          <w:vertAlign w:val="superscript"/>
        </w:rPr>
        <w:t>–</w:t>
      </w:r>
      <w:r w:rsidR="00CC6492" w:rsidRPr="009100B8">
        <w:rPr>
          <w:rFonts w:cstheme="minorHAnsi"/>
          <w:sz w:val="24"/>
          <w:szCs w:val="24"/>
          <w:vertAlign w:val="superscript"/>
        </w:rPr>
        <w:t>15</w:t>
      </w:r>
    </w:p>
    <w:p w14:paraId="25B720BF" w14:textId="0628B146" w:rsidR="00A10F5A" w:rsidRPr="009100B8" w:rsidRDefault="00A10F5A" w:rsidP="00A10F5A">
      <w:pPr>
        <w:spacing w:line="480" w:lineRule="auto"/>
        <w:rPr>
          <w:rFonts w:cstheme="minorHAnsi"/>
          <w:sz w:val="24"/>
          <w:szCs w:val="24"/>
          <w:vertAlign w:val="superscript"/>
        </w:rPr>
      </w:pPr>
      <w:r w:rsidRPr="009100B8">
        <w:rPr>
          <w:rFonts w:cstheme="minorHAnsi"/>
          <w:sz w:val="24"/>
          <w:szCs w:val="24"/>
        </w:rPr>
        <w:t>Shoulder dystocia is the most important risk factor for</w:t>
      </w:r>
      <w:r w:rsidR="007C59F5">
        <w:rPr>
          <w:rFonts w:cstheme="minorHAnsi"/>
          <w:sz w:val="24"/>
          <w:szCs w:val="24"/>
        </w:rPr>
        <w:t xml:space="preserve"> a</w:t>
      </w:r>
      <w:r w:rsidRPr="009100B8">
        <w:rPr>
          <w:rFonts w:cstheme="minorHAnsi"/>
          <w:sz w:val="24"/>
          <w:szCs w:val="24"/>
        </w:rPr>
        <w:t xml:space="preserve"> BPBI, followed by instrumental delivery and factors leading to fetal macrosomia</w:t>
      </w:r>
      <w:r w:rsidR="007E0BBE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such as diabetes mellitus type I (DM I).</w:t>
      </w:r>
      <w:r w:rsidRPr="009100B8">
        <w:rPr>
          <w:rFonts w:cstheme="minorHAnsi"/>
          <w:sz w:val="24"/>
          <w:szCs w:val="24"/>
          <w:vertAlign w:val="superscript"/>
        </w:rPr>
        <w:t>13,14,16</w:t>
      </w:r>
      <w:r w:rsidRPr="009100B8">
        <w:rPr>
          <w:rFonts w:cstheme="minorHAnsi"/>
          <w:sz w:val="24"/>
          <w:szCs w:val="24"/>
        </w:rPr>
        <w:t xml:space="preserve"> </w:t>
      </w:r>
      <w:r w:rsidR="005A75DD">
        <w:rPr>
          <w:rFonts w:cstheme="minorHAnsi"/>
          <w:sz w:val="24"/>
          <w:szCs w:val="24"/>
        </w:rPr>
        <w:t>Moreover</w:t>
      </w:r>
      <w:r w:rsidRPr="009100B8">
        <w:rPr>
          <w:rFonts w:cstheme="minorHAnsi"/>
          <w:sz w:val="24"/>
          <w:szCs w:val="24"/>
        </w:rPr>
        <w:t>, socioeconomic factors seem to affect the incidence</w:t>
      </w:r>
      <w:r w:rsidR="007E0BBE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with studies showing that women in poorer areas or areas with lower availability </w:t>
      </w:r>
      <w:r w:rsidR="00DF7F1C">
        <w:rPr>
          <w:rFonts w:cstheme="minorHAnsi"/>
          <w:sz w:val="24"/>
          <w:szCs w:val="24"/>
        </w:rPr>
        <w:t>of</w:t>
      </w:r>
      <w:r w:rsidRPr="009100B8">
        <w:rPr>
          <w:rFonts w:cstheme="minorHAnsi"/>
          <w:sz w:val="24"/>
          <w:szCs w:val="24"/>
        </w:rPr>
        <w:t xml:space="preserve"> health</w:t>
      </w:r>
      <w:r w:rsidR="00603299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care have an increased risk of delivering a child with</w:t>
      </w:r>
      <w:r w:rsidR="007C59F5">
        <w:rPr>
          <w:rFonts w:cstheme="minorHAnsi"/>
          <w:sz w:val="24"/>
          <w:szCs w:val="24"/>
        </w:rPr>
        <w:t xml:space="preserve"> a</w:t>
      </w:r>
      <w:r w:rsidRPr="009100B8">
        <w:rPr>
          <w:rFonts w:cstheme="minorHAnsi"/>
          <w:sz w:val="24"/>
          <w:szCs w:val="24"/>
        </w:rPr>
        <w:t xml:space="preserve"> BPBI.</w:t>
      </w:r>
      <w:r w:rsidRPr="009100B8">
        <w:rPr>
          <w:rFonts w:cstheme="minorHAnsi"/>
          <w:sz w:val="24"/>
          <w:szCs w:val="24"/>
          <w:vertAlign w:val="superscript"/>
        </w:rPr>
        <w:t>12</w:t>
      </w:r>
      <w:r w:rsidR="007C59F5">
        <w:rPr>
          <w:rFonts w:cstheme="minorHAnsi"/>
          <w:sz w:val="24"/>
          <w:szCs w:val="24"/>
          <w:vertAlign w:val="superscript"/>
        </w:rPr>
        <w:t>–</w:t>
      </w:r>
      <w:r w:rsidRPr="009100B8">
        <w:rPr>
          <w:rFonts w:cstheme="minorHAnsi"/>
          <w:sz w:val="24"/>
          <w:szCs w:val="24"/>
          <w:vertAlign w:val="superscript"/>
        </w:rPr>
        <w:t>15</w:t>
      </w:r>
      <w:r w:rsidRPr="009100B8">
        <w:rPr>
          <w:rFonts w:cstheme="minorHAnsi"/>
          <w:sz w:val="24"/>
          <w:szCs w:val="24"/>
        </w:rPr>
        <w:t xml:space="preserve"> Ethnic background has been linked to an increased risk of </w:t>
      </w:r>
      <w:r w:rsidR="007C59F5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BPBI, with children born to non-</w:t>
      </w:r>
      <w:r w:rsidR="0070672F" w:rsidRPr="009100B8">
        <w:rPr>
          <w:rFonts w:cstheme="minorHAnsi"/>
          <w:sz w:val="24"/>
          <w:szCs w:val="24"/>
        </w:rPr>
        <w:t>white</w:t>
      </w:r>
      <w:r w:rsidRPr="009100B8">
        <w:rPr>
          <w:rFonts w:cstheme="minorHAnsi"/>
          <w:sz w:val="24"/>
          <w:szCs w:val="24"/>
        </w:rPr>
        <w:t xml:space="preserve"> women reported</w:t>
      </w:r>
      <w:r w:rsidR="007C59F5">
        <w:rPr>
          <w:rFonts w:cstheme="minorHAnsi"/>
          <w:sz w:val="24"/>
          <w:szCs w:val="24"/>
        </w:rPr>
        <w:t>ly</w:t>
      </w:r>
      <w:r w:rsidRPr="009100B8">
        <w:rPr>
          <w:rFonts w:cstheme="minorHAnsi"/>
          <w:sz w:val="24"/>
          <w:szCs w:val="24"/>
        </w:rPr>
        <w:t xml:space="preserve"> hav</w:t>
      </w:r>
      <w:r w:rsidR="007C59F5">
        <w:rPr>
          <w:rFonts w:cstheme="minorHAnsi"/>
          <w:sz w:val="24"/>
          <w:szCs w:val="24"/>
        </w:rPr>
        <w:t>ing</w:t>
      </w:r>
      <w:r w:rsidRPr="009100B8">
        <w:rPr>
          <w:rFonts w:cstheme="minorHAnsi"/>
          <w:sz w:val="24"/>
          <w:szCs w:val="24"/>
        </w:rPr>
        <w:t xml:space="preserve"> a higher risk of acquiring </w:t>
      </w:r>
      <w:r w:rsidR="007C59F5">
        <w:rPr>
          <w:rFonts w:cstheme="minorHAnsi"/>
          <w:sz w:val="24"/>
          <w:szCs w:val="24"/>
        </w:rPr>
        <w:t>one</w:t>
      </w:r>
      <w:r w:rsidRPr="009100B8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  <w:vertAlign w:val="superscript"/>
        </w:rPr>
        <w:t>13</w:t>
      </w:r>
      <w:r w:rsidR="007C59F5">
        <w:rPr>
          <w:rFonts w:cstheme="minorHAnsi"/>
          <w:sz w:val="24"/>
          <w:szCs w:val="24"/>
          <w:vertAlign w:val="superscript"/>
        </w:rPr>
        <w:t>–</w:t>
      </w:r>
      <w:r w:rsidRPr="009100B8">
        <w:rPr>
          <w:rFonts w:cstheme="minorHAnsi"/>
          <w:sz w:val="24"/>
          <w:szCs w:val="24"/>
          <w:vertAlign w:val="superscript"/>
        </w:rPr>
        <w:t>15</w:t>
      </w:r>
      <w:r w:rsidRPr="009100B8">
        <w:rPr>
          <w:rFonts w:cstheme="minorHAnsi"/>
          <w:sz w:val="24"/>
          <w:szCs w:val="24"/>
        </w:rPr>
        <w:t xml:space="preserve"> However, half of BPBI</w:t>
      </w:r>
      <w:r w:rsidR="007E0BBE">
        <w:rPr>
          <w:rFonts w:cstheme="minorHAnsi"/>
          <w:sz w:val="24"/>
          <w:szCs w:val="24"/>
        </w:rPr>
        <w:t>s</w:t>
      </w:r>
      <w:r w:rsidRPr="009100B8">
        <w:rPr>
          <w:rFonts w:cstheme="minorHAnsi"/>
          <w:sz w:val="24"/>
          <w:szCs w:val="24"/>
        </w:rPr>
        <w:t xml:space="preserve"> still occur without any identified risk factor.</w:t>
      </w:r>
      <w:r w:rsidRPr="009100B8">
        <w:rPr>
          <w:rFonts w:cstheme="minorHAnsi"/>
          <w:sz w:val="24"/>
          <w:szCs w:val="24"/>
          <w:vertAlign w:val="superscript"/>
        </w:rPr>
        <w:t>13</w:t>
      </w:r>
      <w:r w:rsidRPr="009100B8">
        <w:rPr>
          <w:rFonts w:cstheme="minorHAnsi"/>
          <w:sz w:val="24"/>
          <w:szCs w:val="24"/>
        </w:rPr>
        <w:t xml:space="preserve"> </w:t>
      </w:r>
      <w:r w:rsidR="005A75DD">
        <w:rPr>
          <w:rFonts w:cstheme="minorHAnsi"/>
          <w:sz w:val="24"/>
          <w:szCs w:val="24"/>
        </w:rPr>
        <w:t>M</w:t>
      </w:r>
      <w:r w:rsidRPr="009100B8">
        <w:rPr>
          <w:rFonts w:cstheme="minorHAnsi"/>
          <w:sz w:val="24"/>
          <w:szCs w:val="24"/>
        </w:rPr>
        <w:t xml:space="preserve">any centers have </w:t>
      </w:r>
      <w:bookmarkStart w:id="0" w:name="_Hlk125733186"/>
      <w:r w:rsidR="007C59F5">
        <w:rPr>
          <w:rFonts w:cstheme="minorHAnsi"/>
          <w:sz w:val="24"/>
          <w:szCs w:val="24"/>
        </w:rPr>
        <w:t>strived to educate</w:t>
      </w:r>
      <w:r w:rsidRPr="009100B8">
        <w:rPr>
          <w:rFonts w:cstheme="minorHAnsi"/>
          <w:sz w:val="24"/>
          <w:szCs w:val="24"/>
        </w:rPr>
        <w:t xml:space="preserve"> the delivery staff on timely </w:t>
      </w:r>
      <w:r w:rsidR="007C59F5">
        <w:rPr>
          <w:rFonts w:cstheme="minorHAnsi"/>
          <w:sz w:val="24"/>
          <w:szCs w:val="24"/>
        </w:rPr>
        <w:t>identifying and managing</w:t>
      </w:r>
      <w:r w:rsidRPr="009100B8">
        <w:rPr>
          <w:rFonts w:cstheme="minorHAnsi"/>
          <w:sz w:val="24"/>
          <w:szCs w:val="24"/>
        </w:rPr>
        <w:t xml:space="preserve"> shoulder dystocia</w:t>
      </w:r>
      <w:r w:rsidR="005A75DD">
        <w:rPr>
          <w:rFonts w:cstheme="minorHAnsi"/>
          <w:sz w:val="24"/>
          <w:szCs w:val="24"/>
        </w:rPr>
        <w:t xml:space="preserve"> t</w:t>
      </w:r>
      <w:r w:rsidR="005A75DD" w:rsidRPr="009100B8">
        <w:rPr>
          <w:rFonts w:cstheme="minorHAnsi"/>
          <w:sz w:val="24"/>
          <w:szCs w:val="24"/>
        </w:rPr>
        <w:t>o minimize BPBI</w:t>
      </w:r>
      <w:r w:rsidR="007C59F5">
        <w:rPr>
          <w:rFonts w:cstheme="minorHAnsi"/>
          <w:sz w:val="24"/>
          <w:szCs w:val="24"/>
        </w:rPr>
        <w:t>s</w:t>
      </w:r>
      <w:r w:rsidR="005A75DD" w:rsidRPr="009100B8">
        <w:rPr>
          <w:rFonts w:cstheme="minorHAnsi"/>
          <w:sz w:val="24"/>
          <w:szCs w:val="24"/>
        </w:rPr>
        <w:t xml:space="preserve"> </w:t>
      </w:r>
      <w:r w:rsidR="007E0BBE">
        <w:rPr>
          <w:rFonts w:cstheme="minorHAnsi"/>
          <w:sz w:val="24"/>
          <w:szCs w:val="24"/>
        </w:rPr>
        <w:t>and</w:t>
      </w:r>
      <w:r w:rsidR="005A75DD" w:rsidRPr="009100B8">
        <w:rPr>
          <w:rFonts w:cstheme="minorHAnsi"/>
          <w:sz w:val="24"/>
          <w:szCs w:val="24"/>
        </w:rPr>
        <w:t xml:space="preserve"> other birth</w:t>
      </w:r>
      <w:r w:rsidR="007E0BBE">
        <w:rPr>
          <w:rFonts w:cstheme="minorHAnsi"/>
          <w:sz w:val="24"/>
          <w:szCs w:val="24"/>
        </w:rPr>
        <w:t>-</w:t>
      </w:r>
      <w:r w:rsidR="005A75DD" w:rsidRPr="009100B8">
        <w:rPr>
          <w:rFonts w:cstheme="minorHAnsi"/>
          <w:sz w:val="24"/>
          <w:szCs w:val="24"/>
        </w:rPr>
        <w:t>related complications</w:t>
      </w:r>
      <w:r w:rsidR="005A75DD">
        <w:rPr>
          <w:rFonts w:cstheme="minorHAnsi"/>
          <w:sz w:val="24"/>
          <w:szCs w:val="24"/>
        </w:rPr>
        <w:t>, leading</w:t>
      </w:r>
      <w:r w:rsidRPr="009100B8">
        <w:rPr>
          <w:rFonts w:cstheme="minorHAnsi"/>
          <w:sz w:val="24"/>
          <w:szCs w:val="24"/>
        </w:rPr>
        <w:t xml:space="preserve"> to a decline in the prevalence of permanent BPBI</w:t>
      </w:r>
      <w:r w:rsidR="007C59F5">
        <w:rPr>
          <w:rFonts w:cstheme="minorHAnsi"/>
          <w:sz w:val="24"/>
          <w:szCs w:val="24"/>
        </w:rPr>
        <w:t>s</w:t>
      </w:r>
      <w:r w:rsidRPr="009100B8">
        <w:rPr>
          <w:rFonts w:cstheme="minorHAnsi"/>
          <w:sz w:val="24"/>
          <w:szCs w:val="24"/>
        </w:rPr>
        <w:t xml:space="preserve"> and other delivery complic</w:t>
      </w:r>
      <w:r w:rsidR="00DF7F1C">
        <w:rPr>
          <w:rFonts w:cstheme="minorHAnsi"/>
          <w:sz w:val="24"/>
          <w:szCs w:val="24"/>
        </w:rPr>
        <w:t>a</w:t>
      </w:r>
      <w:r w:rsidRPr="009100B8">
        <w:rPr>
          <w:rFonts w:cstheme="minorHAnsi"/>
          <w:sz w:val="24"/>
          <w:szCs w:val="24"/>
        </w:rPr>
        <w:t>tions</w:t>
      </w:r>
      <w:bookmarkEnd w:id="0"/>
      <w:r w:rsidRPr="009100B8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  <w:vertAlign w:val="superscript"/>
        </w:rPr>
        <w:t>16,17</w:t>
      </w:r>
    </w:p>
    <w:p w14:paraId="7D6FF5C8" w14:textId="522052E1" w:rsidR="00A10F5A" w:rsidRPr="009100B8" w:rsidRDefault="00A10F5A" w:rsidP="00A10F5A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Th</w:t>
      </w:r>
      <w:r w:rsidR="005A75DD">
        <w:rPr>
          <w:rFonts w:cstheme="minorHAnsi"/>
          <w:sz w:val="24"/>
          <w:szCs w:val="24"/>
        </w:rPr>
        <w:t xml:space="preserve">is </w:t>
      </w:r>
      <w:r w:rsidRPr="009100B8">
        <w:rPr>
          <w:rFonts w:cstheme="minorHAnsi"/>
          <w:sz w:val="24"/>
          <w:szCs w:val="24"/>
        </w:rPr>
        <w:t xml:space="preserve">study </w:t>
      </w:r>
      <w:r w:rsidR="005A75DD">
        <w:rPr>
          <w:rFonts w:cstheme="minorHAnsi"/>
          <w:sz w:val="24"/>
          <w:szCs w:val="24"/>
        </w:rPr>
        <w:t>aimed</w:t>
      </w:r>
      <w:r w:rsidRPr="009100B8">
        <w:rPr>
          <w:rFonts w:cstheme="minorHAnsi"/>
          <w:sz w:val="24"/>
          <w:szCs w:val="24"/>
        </w:rPr>
        <w:t xml:space="preserve"> to calculate the incidence and assess risk factors leading to </w:t>
      </w:r>
      <w:r w:rsidR="00AA1040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permanent BPBI in Southern Finland.</w:t>
      </w:r>
    </w:p>
    <w:p w14:paraId="7FB7D698" w14:textId="16E225E4" w:rsidR="007D7209" w:rsidRPr="009100B8" w:rsidRDefault="00D21212" w:rsidP="003F7576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br w:type="page"/>
      </w:r>
      <w:r w:rsidR="007D7209" w:rsidRPr="009100B8">
        <w:rPr>
          <w:rFonts w:cstheme="minorHAnsi"/>
          <w:b/>
          <w:sz w:val="24"/>
          <w:szCs w:val="24"/>
        </w:rPr>
        <w:t>Patients and methods</w:t>
      </w:r>
    </w:p>
    <w:p w14:paraId="45BB6A1C" w14:textId="16610A5C" w:rsidR="000A56BB" w:rsidRPr="009100B8" w:rsidRDefault="007E0BBE" w:rsidP="003F7576">
      <w:pPr>
        <w:spacing w:line="480" w:lineRule="auto"/>
        <w:rPr>
          <w:rFonts w:cstheme="minorHAnsi"/>
          <w:sz w:val="24"/>
          <w:szCs w:val="24"/>
        </w:rPr>
      </w:pPr>
      <w:r w:rsidRPr="007E0BBE">
        <w:rPr>
          <w:rFonts w:cstheme="minorHAnsi"/>
          <w:sz w:val="24"/>
          <w:szCs w:val="24"/>
        </w:rPr>
        <w:t>This retrospective population-based study analyzes risk factors for a</w:t>
      </w:r>
      <w:r w:rsidR="00AA1040">
        <w:rPr>
          <w:rFonts w:cstheme="minorHAnsi"/>
          <w:sz w:val="24"/>
          <w:szCs w:val="24"/>
        </w:rPr>
        <w:t xml:space="preserve"> </w:t>
      </w:r>
      <w:r w:rsidRPr="007E0BBE">
        <w:rPr>
          <w:rFonts w:cstheme="minorHAnsi"/>
          <w:sz w:val="24"/>
          <w:szCs w:val="24"/>
        </w:rPr>
        <w:t>permanent BPBI by combining prospectively collected research data and registry data</w:t>
      </w:r>
      <w:r w:rsidR="0037622F" w:rsidRPr="009100B8">
        <w:rPr>
          <w:rFonts w:cstheme="minorHAnsi"/>
          <w:sz w:val="24"/>
          <w:szCs w:val="24"/>
        </w:rPr>
        <w:t xml:space="preserve">. </w:t>
      </w:r>
      <w:r w:rsidR="00DF7F1C">
        <w:rPr>
          <w:rFonts w:cstheme="minorHAnsi"/>
          <w:sz w:val="24"/>
          <w:szCs w:val="24"/>
        </w:rPr>
        <w:t xml:space="preserve">With its three satellite units, </w:t>
      </w:r>
      <w:r w:rsidR="00427B0B" w:rsidRPr="009100B8">
        <w:rPr>
          <w:rFonts w:cstheme="minorHAnsi"/>
          <w:sz w:val="24"/>
          <w:szCs w:val="24"/>
        </w:rPr>
        <w:t xml:space="preserve">Helsinki </w:t>
      </w:r>
      <w:r w:rsidR="005C605A" w:rsidRPr="009100B8">
        <w:rPr>
          <w:rFonts w:cstheme="minorHAnsi"/>
          <w:sz w:val="24"/>
          <w:szCs w:val="24"/>
        </w:rPr>
        <w:t>U</w:t>
      </w:r>
      <w:r w:rsidR="00427B0B" w:rsidRPr="009100B8">
        <w:rPr>
          <w:rFonts w:cstheme="minorHAnsi"/>
          <w:sz w:val="24"/>
          <w:szCs w:val="24"/>
        </w:rPr>
        <w:t xml:space="preserve">niversity </w:t>
      </w:r>
      <w:r w:rsidR="005C605A" w:rsidRPr="009100B8">
        <w:rPr>
          <w:rFonts w:cstheme="minorHAnsi"/>
          <w:sz w:val="24"/>
          <w:szCs w:val="24"/>
        </w:rPr>
        <w:t>H</w:t>
      </w:r>
      <w:r w:rsidR="00427B0B" w:rsidRPr="009100B8">
        <w:rPr>
          <w:rFonts w:cstheme="minorHAnsi"/>
          <w:sz w:val="24"/>
          <w:szCs w:val="24"/>
        </w:rPr>
        <w:t xml:space="preserve">ospital (HUS) </w:t>
      </w:r>
      <w:r w:rsidR="00587ADB" w:rsidRPr="009100B8">
        <w:rPr>
          <w:rFonts w:cstheme="minorHAnsi"/>
          <w:sz w:val="24"/>
          <w:szCs w:val="24"/>
        </w:rPr>
        <w:t xml:space="preserve">Women’s </w:t>
      </w:r>
      <w:r w:rsidR="00C07A4A" w:rsidRPr="009100B8">
        <w:rPr>
          <w:rFonts w:cstheme="minorHAnsi"/>
          <w:sz w:val="24"/>
          <w:szCs w:val="24"/>
        </w:rPr>
        <w:t>Hospital</w:t>
      </w:r>
      <w:r w:rsidR="00427B0B" w:rsidRPr="009100B8">
        <w:rPr>
          <w:rFonts w:cstheme="minorHAnsi"/>
          <w:sz w:val="24"/>
          <w:szCs w:val="24"/>
        </w:rPr>
        <w:t xml:space="preserve"> represent</w:t>
      </w:r>
      <w:r w:rsidR="007E30AC">
        <w:rPr>
          <w:rFonts w:cstheme="minorHAnsi"/>
          <w:sz w:val="24"/>
          <w:szCs w:val="24"/>
        </w:rPr>
        <w:t>s</w:t>
      </w:r>
      <w:r w:rsidR="00427B0B" w:rsidRPr="009100B8">
        <w:rPr>
          <w:rFonts w:cstheme="minorHAnsi"/>
          <w:sz w:val="24"/>
          <w:szCs w:val="24"/>
        </w:rPr>
        <w:t xml:space="preserve"> the only birth center in South Finland</w:t>
      </w:r>
      <w:r w:rsidR="007E30AC">
        <w:rPr>
          <w:rFonts w:cstheme="minorHAnsi"/>
          <w:sz w:val="24"/>
          <w:szCs w:val="24"/>
        </w:rPr>
        <w:t>,</w:t>
      </w:r>
      <w:r w:rsidR="004113E3" w:rsidRPr="009100B8">
        <w:rPr>
          <w:rFonts w:cstheme="minorHAnsi"/>
          <w:sz w:val="24"/>
          <w:szCs w:val="24"/>
        </w:rPr>
        <w:t xml:space="preserve"> serving </w:t>
      </w:r>
      <w:r w:rsidR="00987577" w:rsidRPr="009100B8">
        <w:rPr>
          <w:rFonts w:cstheme="minorHAnsi"/>
          <w:sz w:val="24"/>
          <w:szCs w:val="24"/>
        </w:rPr>
        <w:t xml:space="preserve">nearly </w:t>
      </w:r>
      <w:r w:rsidR="009A4F71" w:rsidRPr="009100B8">
        <w:rPr>
          <w:rFonts w:cstheme="minorHAnsi"/>
          <w:sz w:val="24"/>
          <w:szCs w:val="24"/>
        </w:rPr>
        <w:t>two</w:t>
      </w:r>
      <w:r w:rsidR="004113E3" w:rsidRPr="009100B8">
        <w:rPr>
          <w:rFonts w:cstheme="minorHAnsi"/>
          <w:sz w:val="24"/>
          <w:szCs w:val="24"/>
        </w:rPr>
        <w:t xml:space="preserve"> million inhabitants. </w:t>
      </w:r>
      <w:r w:rsidR="007D7209" w:rsidRPr="009100B8">
        <w:rPr>
          <w:rFonts w:cstheme="minorHAnsi"/>
          <w:sz w:val="24"/>
          <w:szCs w:val="24"/>
        </w:rPr>
        <w:t xml:space="preserve">HUS </w:t>
      </w:r>
      <w:r w:rsidR="005C605A" w:rsidRPr="009100B8">
        <w:rPr>
          <w:rFonts w:cstheme="minorHAnsi"/>
          <w:sz w:val="24"/>
          <w:szCs w:val="24"/>
        </w:rPr>
        <w:t xml:space="preserve">New </w:t>
      </w:r>
      <w:r w:rsidR="007D7209" w:rsidRPr="009100B8">
        <w:rPr>
          <w:rFonts w:cstheme="minorHAnsi"/>
          <w:sz w:val="24"/>
          <w:szCs w:val="24"/>
        </w:rPr>
        <w:t xml:space="preserve">Children’s Hospital is </w:t>
      </w:r>
      <w:r w:rsidR="004113E3" w:rsidRPr="009100B8">
        <w:rPr>
          <w:rFonts w:cstheme="minorHAnsi"/>
          <w:sz w:val="24"/>
          <w:szCs w:val="24"/>
        </w:rPr>
        <w:t>the only</w:t>
      </w:r>
      <w:r w:rsidR="00066DEA" w:rsidRPr="009100B8">
        <w:rPr>
          <w:rFonts w:cstheme="minorHAnsi"/>
          <w:sz w:val="24"/>
          <w:szCs w:val="24"/>
        </w:rPr>
        <w:t xml:space="preserve"> </w:t>
      </w:r>
      <w:r w:rsidR="007D7209" w:rsidRPr="009100B8">
        <w:rPr>
          <w:rFonts w:cstheme="minorHAnsi"/>
          <w:sz w:val="24"/>
          <w:szCs w:val="24"/>
        </w:rPr>
        <w:t xml:space="preserve">primary care center </w:t>
      </w:r>
      <w:r w:rsidR="004113E3" w:rsidRPr="009100B8">
        <w:rPr>
          <w:rFonts w:cstheme="minorHAnsi"/>
          <w:sz w:val="24"/>
          <w:szCs w:val="24"/>
        </w:rPr>
        <w:t>for patients with</w:t>
      </w:r>
      <w:r w:rsidR="003F7576" w:rsidRPr="009100B8">
        <w:rPr>
          <w:rFonts w:cstheme="minorHAnsi"/>
          <w:sz w:val="24"/>
          <w:szCs w:val="24"/>
        </w:rPr>
        <w:t xml:space="preserve"> </w:t>
      </w:r>
      <w:r w:rsidR="007D7209" w:rsidRPr="009100B8">
        <w:rPr>
          <w:rFonts w:cstheme="minorHAnsi"/>
          <w:sz w:val="24"/>
          <w:szCs w:val="24"/>
        </w:rPr>
        <w:t>BPBI</w:t>
      </w:r>
      <w:r w:rsidR="00AA1040">
        <w:rPr>
          <w:rFonts w:cstheme="minorHAnsi"/>
          <w:sz w:val="24"/>
          <w:szCs w:val="24"/>
        </w:rPr>
        <w:t>s</w:t>
      </w:r>
      <w:r w:rsidR="004113E3" w:rsidRPr="009100B8">
        <w:rPr>
          <w:rFonts w:cstheme="minorHAnsi"/>
          <w:sz w:val="24"/>
          <w:szCs w:val="24"/>
        </w:rPr>
        <w:t xml:space="preserve"> in </w:t>
      </w:r>
      <w:r w:rsidR="00987577" w:rsidRPr="009100B8">
        <w:rPr>
          <w:rFonts w:cstheme="minorHAnsi"/>
          <w:sz w:val="24"/>
          <w:szCs w:val="24"/>
        </w:rPr>
        <w:t>this</w:t>
      </w:r>
      <w:r w:rsidR="003F7576" w:rsidRPr="009100B8">
        <w:rPr>
          <w:rFonts w:cstheme="minorHAnsi"/>
          <w:sz w:val="24"/>
          <w:szCs w:val="24"/>
        </w:rPr>
        <w:t xml:space="preserve"> </w:t>
      </w:r>
      <w:r w:rsidR="004113E3" w:rsidRPr="009100B8">
        <w:rPr>
          <w:rFonts w:cstheme="minorHAnsi"/>
          <w:sz w:val="24"/>
          <w:szCs w:val="24"/>
        </w:rPr>
        <w:t>area</w:t>
      </w:r>
      <w:r w:rsidR="007D7209" w:rsidRPr="009100B8">
        <w:rPr>
          <w:rFonts w:cstheme="minorHAnsi"/>
          <w:sz w:val="24"/>
          <w:szCs w:val="24"/>
        </w:rPr>
        <w:t>.</w:t>
      </w:r>
      <w:r w:rsidR="00DF1368" w:rsidRPr="009100B8">
        <w:rPr>
          <w:rFonts w:cstheme="minorHAnsi"/>
          <w:sz w:val="24"/>
          <w:szCs w:val="24"/>
        </w:rPr>
        <w:t xml:space="preserve"> </w:t>
      </w:r>
      <w:r w:rsidR="000A56BB" w:rsidRPr="000A56BB">
        <w:rPr>
          <w:rFonts w:cstheme="minorHAnsi"/>
          <w:sz w:val="24"/>
          <w:szCs w:val="24"/>
        </w:rPr>
        <w:t xml:space="preserve">Strengthening the Reporting of Observational Studies in Epidemiology (STROBE) guidelines were used </w:t>
      </w:r>
      <w:r w:rsidR="00AA1040">
        <w:rPr>
          <w:rFonts w:cstheme="minorHAnsi"/>
          <w:sz w:val="24"/>
          <w:szCs w:val="24"/>
        </w:rPr>
        <w:t>to report</w:t>
      </w:r>
      <w:r w:rsidR="000A56BB" w:rsidRPr="000A56BB">
        <w:rPr>
          <w:rFonts w:cstheme="minorHAnsi"/>
          <w:sz w:val="24"/>
          <w:szCs w:val="24"/>
        </w:rPr>
        <w:t xml:space="preserve"> the results of this study</w:t>
      </w:r>
      <w:r w:rsidR="005A75DD">
        <w:rPr>
          <w:rFonts w:cstheme="minorHAnsi"/>
          <w:sz w:val="24"/>
          <w:szCs w:val="24"/>
        </w:rPr>
        <w:t xml:space="preserve">, </w:t>
      </w:r>
      <w:r w:rsidR="007E30AC">
        <w:rPr>
          <w:rFonts w:cstheme="minorHAnsi"/>
          <w:sz w:val="24"/>
          <w:szCs w:val="24"/>
        </w:rPr>
        <w:t xml:space="preserve">which </w:t>
      </w:r>
      <w:r w:rsidR="000A56BB" w:rsidRPr="000A56BB">
        <w:rPr>
          <w:rFonts w:cstheme="minorHAnsi"/>
          <w:sz w:val="24"/>
          <w:szCs w:val="24"/>
        </w:rPr>
        <w:t xml:space="preserve">the </w:t>
      </w:r>
      <w:r w:rsidR="00A6030D" w:rsidRPr="00A6030D">
        <w:rPr>
          <w:rFonts w:cstheme="minorHAnsi"/>
          <w:sz w:val="24"/>
          <w:szCs w:val="24"/>
        </w:rPr>
        <w:t xml:space="preserve">HUS Regional Committee on Medical Research Ethics </w:t>
      </w:r>
      <w:r w:rsidR="000A56BB" w:rsidRPr="000A56BB">
        <w:rPr>
          <w:rFonts w:cstheme="minorHAnsi"/>
          <w:sz w:val="24"/>
          <w:szCs w:val="24"/>
        </w:rPr>
        <w:t>(registration number 79/E7/2001</w:t>
      </w:r>
      <w:r w:rsidR="00A6030D" w:rsidRPr="00A6030D">
        <w:t xml:space="preserve"> </w:t>
      </w:r>
      <w:r w:rsidR="00A6030D">
        <w:t xml:space="preserve">and </w:t>
      </w:r>
      <w:r w:rsidR="00A6030D" w:rsidRPr="00A6030D">
        <w:rPr>
          <w:rFonts w:cstheme="minorHAnsi"/>
          <w:sz w:val="24"/>
          <w:szCs w:val="24"/>
        </w:rPr>
        <w:t>HUS/3082/2023</w:t>
      </w:r>
      <w:r w:rsidR="000A56BB" w:rsidRPr="000A56BB">
        <w:rPr>
          <w:rFonts w:cstheme="minorHAnsi"/>
          <w:sz w:val="24"/>
          <w:szCs w:val="24"/>
        </w:rPr>
        <w:t>)</w:t>
      </w:r>
      <w:r w:rsidR="00AA1040">
        <w:rPr>
          <w:rFonts w:cstheme="minorHAnsi"/>
          <w:sz w:val="24"/>
          <w:szCs w:val="24"/>
        </w:rPr>
        <w:t xml:space="preserve"> approved</w:t>
      </w:r>
      <w:r w:rsidR="000A56BB" w:rsidRPr="000A56BB">
        <w:rPr>
          <w:rFonts w:cstheme="minorHAnsi"/>
          <w:sz w:val="24"/>
          <w:szCs w:val="24"/>
        </w:rPr>
        <w:t>.</w:t>
      </w:r>
    </w:p>
    <w:p w14:paraId="24548038" w14:textId="77777777" w:rsidR="00813C10" w:rsidRPr="009100B8" w:rsidRDefault="00813C10" w:rsidP="003F7576">
      <w:pPr>
        <w:spacing w:line="480" w:lineRule="auto"/>
        <w:rPr>
          <w:rFonts w:cstheme="minorHAnsi"/>
          <w:sz w:val="24"/>
          <w:szCs w:val="24"/>
        </w:rPr>
      </w:pPr>
    </w:p>
    <w:p w14:paraId="00028651" w14:textId="56CDF7D6" w:rsidR="00813C10" w:rsidRPr="009100B8" w:rsidRDefault="00813C10" w:rsidP="003F7576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>Reference population</w:t>
      </w:r>
    </w:p>
    <w:p w14:paraId="1C6D2E51" w14:textId="24C70BBA" w:rsidR="00AA11D5" w:rsidRPr="009100B8" w:rsidRDefault="007972AC" w:rsidP="003F7576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Since 1987, </w:t>
      </w:r>
      <w:r w:rsidR="003F7576" w:rsidRPr="009100B8">
        <w:rPr>
          <w:rFonts w:cstheme="minorHAnsi"/>
          <w:sz w:val="24"/>
          <w:szCs w:val="24"/>
        </w:rPr>
        <w:t>The Finnish Institute for Health and Welfare</w:t>
      </w:r>
      <w:r w:rsidR="007A1A43" w:rsidRPr="009100B8">
        <w:rPr>
          <w:rFonts w:cstheme="minorHAnsi"/>
          <w:sz w:val="24"/>
          <w:szCs w:val="24"/>
        </w:rPr>
        <w:t xml:space="preserve"> (THL)</w:t>
      </w:r>
      <w:r w:rsidR="003F7576" w:rsidRPr="009100B8">
        <w:rPr>
          <w:rFonts w:cstheme="minorHAnsi"/>
          <w:sz w:val="24"/>
          <w:szCs w:val="24"/>
        </w:rPr>
        <w:t xml:space="preserve"> (</w:t>
      </w:r>
      <w:hyperlink r:id="rId10" w:history="1">
        <w:r w:rsidR="003F7576" w:rsidRPr="009100B8">
          <w:rPr>
            <w:rStyle w:val="Hyperlink"/>
            <w:rFonts w:cstheme="minorHAnsi"/>
            <w:sz w:val="24"/>
            <w:szCs w:val="24"/>
          </w:rPr>
          <w:t>www.thl.fi</w:t>
        </w:r>
      </w:hyperlink>
      <w:r w:rsidR="005E530D" w:rsidRPr="009100B8">
        <w:rPr>
          <w:rFonts w:cstheme="minorHAnsi"/>
          <w:sz w:val="24"/>
          <w:szCs w:val="24"/>
        </w:rPr>
        <w:t>)</w:t>
      </w:r>
      <w:r w:rsidR="009A4F71" w:rsidRPr="009100B8">
        <w:rPr>
          <w:rFonts w:cstheme="minorHAnsi"/>
          <w:sz w:val="24"/>
          <w:szCs w:val="24"/>
        </w:rPr>
        <w:t xml:space="preserve"> </w:t>
      </w:r>
      <w:r w:rsidR="00302C0D" w:rsidRPr="009100B8">
        <w:rPr>
          <w:rFonts w:cstheme="minorHAnsi"/>
          <w:sz w:val="24"/>
          <w:szCs w:val="24"/>
        </w:rPr>
        <w:t>ha</w:t>
      </w:r>
      <w:r w:rsidR="00C07A4A" w:rsidRPr="009100B8">
        <w:rPr>
          <w:rFonts w:cstheme="minorHAnsi"/>
          <w:sz w:val="24"/>
          <w:szCs w:val="24"/>
        </w:rPr>
        <w:t>s</w:t>
      </w:r>
      <w:r w:rsidR="00722CA1" w:rsidRPr="009100B8">
        <w:rPr>
          <w:rFonts w:cstheme="minorHAnsi"/>
          <w:sz w:val="24"/>
          <w:szCs w:val="24"/>
        </w:rPr>
        <w:t xml:space="preserve"> </w:t>
      </w:r>
      <w:r w:rsidR="00302C0D" w:rsidRPr="009100B8">
        <w:rPr>
          <w:rFonts w:cstheme="minorHAnsi"/>
          <w:sz w:val="24"/>
          <w:szCs w:val="24"/>
        </w:rPr>
        <w:t xml:space="preserve">gathered </w:t>
      </w:r>
      <w:r w:rsidR="00C70E0F">
        <w:rPr>
          <w:rFonts w:cstheme="minorHAnsi"/>
          <w:sz w:val="24"/>
          <w:szCs w:val="24"/>
        </w:rPr>
        <w:t xml:space="preserve">standardized </w:t>
      </w:r>
      <w:r w:rsidRPr="009100B8">
        <w:rPr>
          <w:rFonts w:cstheme="minorHAnsi"/>
          <w:sz w:val="24"/>
          <w:szCs w:val="24"/>
        </w:rPr>
        <w:t xml:space="preserve">essential </w:t>
      </w:r>
      <w:r w:rsidR="003F7576" w:rsidRPr="009100B8">
        <w:rPr>
          <w:rFonts w:cstheme="minorHAnsi"/>
          <w:sz w:val="24"/>
          <w:szCs w:val="24"/>
        </w:rPr>
        <w:t>i</w:t>
      </w:r>
      <w:r w:rsidR="00DF1368" w:rsidRPr="009100B8">
        <w:rPr>
          <w:rFonts w:cstheme="minorHAnsi"/>
          <w:sz w:val="24"/>
          <w:szCs w:val="24"/>
        </w:rPr>
        <w:t>nformation</w:t>
      </w:r>
      <w:r w:rsidRPr="009100B8">
        <w:rPr>
          <w:rFonts w:cstheme="minorHAnsi"/>
          <w:sz w:val="24"/>
          <w:szCs w:val="24"/>
        </w:rPr>
        <w:t xml:space="preserve"> on all pregnancies, including data on</w:t>
      </w:r>
      <w:r w:rsidR="00D44BC9" w:rsidRPr="009100B8">
        <w:rPr>
          <w:rFonts w:cstheme="minorHAnsi"/>
          <w:sz w:val="24"/>
          <w:szCs w:val="24"/>
        </w:rPr>
        <w:t xml:space="preserve"> antenatal </w:t>
      </w:r>
      <w:r w:rsidR="00C70E0F">
        <w:rPr>
          <w:rFonts w:cstheme="minorHAnsi"/>
          <w:sz w:val="24"/>
          <w:szCs w:val="24"/>
        </w:rPr>
        <w:t xml:space="preserve">maternal </w:t>
      </w:r>
      <w:r w:rsidR="00D44BC9" w:rsidRPr="009100B8">
        <w:rPr>
          <w:rFonts w:cstheme="minorHAnsi"/>
          <w:sz w:val="24"/>
          <w:szCs w:val="24"/>
        </w:rPr>
        <w:t>well</w:t>
      </w:r>
      <w:r w:rsidR="005A75DD">
        <w:rPr>
          <w:rFonts w:cstheme="minorHAnsi"/>
          <w:sz w:val="24"/>
          <w:szCs w:val="24"/>
        </w:rPr>
        <w:t>-</w:t>
      </w:r>
      <w:r w:rsidR="00D44BC9" w:rsidRPr="009100B8">
        <w:rPr>
          <w:rFonts w:cstheme="minorHAnsi"/>
          <w:sz w:val="24"/>
          <w:szCs w:val="24"/>
        </w:rPr>
        <w:t>being,</w:t>
      </w:r>
      <w:r w:rsidRPr="009100B8">
        <w:rPr>
          <w:rFonts w:cstheme="minorHAnsi"/>
          <w:sz w:val="24"/>
          <w:szCs w:val="24"/>
        </w:rPr>
        <w:t xml:space="preserve"> delivery</w:t>
      </w:r>
      <w:r w:rsidR="00936FF9" w:rsidRPr="009100B8">
        <w:rPr>
          <w:rFonts w:cstheme="minorHAnsi"/>
          <w:sz w:val="24"/>
          <w:szCs w:val="24"/>
        </w:rPr>
        <w:t xml:space="preserve"> characteristics</w:t>
      </w:r>
      <w:r w:rsidR="005A75DD">
        <w:rPr>
          <w:rFonts w:cstheme="minorHAnsi"/>
          <w:sz w:val="24"/>
          <w:szCs w:val="24"/>
        </w:rPr>
        <w:t>,</w:t>
      </w:r>
      <w:r w:rsidR="00936FF9" w:rsidRPr="009100B8">
        <w:rPr>
          <w:rFonts w:cstheme="minorHAnsi"/>
          <w:sz w:val="24"/>
          <w:szCs w:val="24"/>
        </w:rPr>
        <w:t xml:space="preserve"> </w:t>
      </w:r>
      <w:r w:rsidR="00D44BC9" w:rsidRPr="009100B8">
        <w:rPr>
          <w:rFonts w:cstheme="minorHAnsi"/>
          <w:sz w:val="24"/>
          <w:szCs w:val="24"/>
        </w:rPr>
        <w:t>and</w:t>
      </w:r>
      <w:r w:rsidR="00936FF9" w:rsidRPr="009100B8">
        <w:rPr>
          <w:rFonts w:cstheme="minorHAnsi"/>
          <w:sz w:val="24"/>
          <w:szCs w:val="24"/>
        </w:rPr>
        <w:t xml:space="preserve"> information regarding the </w:t>
      </w:r>
      <w:r w:rsidR="003F7576" w:rsidRPr="009100B8">
        <w:rPr>
          <w:rFonts w:cstheme="minorHAnsi"/>
          <w:sz w:val="24"/>
          <w:szCs w:val="24"/>
        </w:rPr>
        <w:t>newborn.</w:t>
      </w:r>
      <w:r w:rsidR="00C8094B">
        <w:rPr>
          <w:rFonts w:cstheme="minorHAnsi"/>
          <w:sz w:val="24"/>
          <w:szCs w:val="24"/>
        </w:rPr>
        <w:t xml:space="preserve"> Ethnicity is not gathered.</w:t>
      </w:r>
      <w:r w:rsidR="003F7576" w:rsidRPr="009100B8">
        <w:rPr>
          <w:rFonts w:cstheme="minorHAnsi"/>
          <w:sz w:val="24"/>
          <w:szCs w:val="24"/>
        </w:rPr>
        <w:t xml:space="preserve"> </w:t>
      </w:r>
      <w:r w:rsidR="00D44BC9" w:rsidRPr="009100B8">
        <w:rPr>
          <w:rFonts w:cstheme="minorHAnsi"/>
          <w:sz w:val="24"/>
          <w:szCs w:val="24"/>
        </w:rPr>
        <w:t>For this study</w:t>
      </w:r>
      <w:r w:rsidR="005A75DD">
        <w:rPr>
          <w:rFonts w:cstheme="minorHAnsi"/>
          <w:sz w:val="24"/>
          <w:szCs w:val="24"/>
        </w:rPr>
        <w:t>,</w:t>
      </w:r>
      <w:r w:rsidR="00D44BC9" w:rsidRPr="009100B8">
        <w:rPr>
          <w:rFonts w:cstheme="minorHAnsi"/>
          <w:sz w:val="24"/>
          <w:szCs w:val="24"/>
        </w:rPr>
        <w:t xml:space="preserve"> the following maternal </w:t>
      </w:r>
      <w:r w:rsidR="00C24B28" w:rsidRPr="009100B8">
        <w:rPr>
          <w:rFonts w:cstheme="minorHAnsi"/>
          <w:sz w:val="24"/>
          <w:szCs w:val="24"/>
        </w:rPr>
        <w:t xml:space="preserve">data </w:t>
      </w:r>
      <w:r w:rsidR="00D44BC9" w:rsidRPr="009100B8">
        <w:rPr>
          <w:rFonts w:cstheme="minorHAnsi"/>
          <w:sz w:val="24"/>
          <w:szCs w:val="24"/>
        </w:rPr>
        <w:t>was collected: personal identity code, residential area,</w:t>
      </w:r>
      <w:r w:rsidR="00C24B28" w:rsidRPr="009100B8">
        <w:rPr>
          <w:rFonts w:cstheme="minorHAnsi"/>
          <w:sz w:val="24"/>
          <w:szCs w:val="24"/>
        </w:rPr>
        <w:t xml:space="preserve"> maternal parity, possible comorbidities and </w:t>
      </w:r>
      <w:r w:rsidR="002543C9" w:rsidRPr="009100B8">
        <w:rPr>
          <w:rFonts w:cstheme="minorHAnsi"/>
          <w:sz w:val="24"/>
          <w:szCs w:val="24"/>
        </w:rPr>
        <w:t>type of delivery, maternal</w:t>
      </w:r>
      <w:r w:rsidR="00C24B28" w:rsidRPr="009100B8">
        <w:rPr>
          <w:rFonts w:cstheme="minorHAnsi"/>
          <w:sz w:val="24"/>
          <w:szCs w:val="24"/>
        </w:rPr>
        <w:t xml:space="preserve"> and </w:t>
      </w:r>
      <w:r w:rsidR="00D44BC9" w:rsidRPr="009100B8">
        <w:rPr>
          <w:rFonts w:cstheme="minorHAnsi"/>
          <w:sz w:val="24"/>
          <w:szCs w:val="24"/>
        </w:rPr>
        <w:t>gestational age</w:t>
      </w:r>
      <w:r w:rsidR="00C24B28" w:rsidRPr="009100B8">
        <w:rPr>
          <w:rFonts w:cstheme="minorHAnsi"/>
          <w:sz w:val="24"/>
          <w:szCs w:val="24"/>
        </w:rPr>
        <w:t xml:space="preserve"> at delivery,</w:t>
      </w:r>
      <w:r w:rsidR="00D44BC9" w:rsidRPr="009100B8">
        <w:rPr>
          <w:rFonts w:cstheme="minorHAnsi"/>
          <w:sz w:val="24"/>
          <w:szCs w:val="24"/>
        </w:rPr>
        <w:t xml:space="preserve"> mode </w:t>
      </w:r>
      <w:r w:rsidR="00C24B28" w:rsidRPr="009100B8">
        <w:rPr>
          <w:rFonts w:cstheme="minorHAnsi"/>
          <w:sz w:val="24"/>
          <w:szCs w:val="24"/>
        </w:rPr>
        <w:t>and characteristics of</w:t>
      </w:r>
      <w:r w:rsidR="00D44BC9" w:rsidRPr="009100B8">
        <w:rPr>
          <w:rFonts w:cstheme="minorHAnsi"/>
          <w:sz w:val="24"/>
          <w:szCs w:val="24"/>
        </w:rPr>
        <w:t xml:space="preserve"> delivery</w:t>
      </w:r>
      <w:r w:rsidR="007E30AC">
        <w:rPr>
          <w:rFonts w:cstheme="minorHAnsi"/>
          <w:sz w:val="24"/>
          <w:szCs w:val="24"/>
        </w:rPr>
        <w:t>,</w:t>
      </w:r>
      <w:r w:rsidR="00C24B28" w:rsidRPr="009100B8">
        <w:rPr>
          <w:rFonts w:cstheme="minorHAnsi"/>
          <w:sz w:val="24"/>
          <w:szCs w:val="24"/>
        </w:rPr>
        <w:t xml:space="preserve"> and</w:t>
      </w:r>
      <w:r w:rsidR="00D44BC9" w:rsidRPr="009100B8">
        <w:rPr>
          <w:rFonts w:cstheme="minorHAnsi"/>
          <w:sz w:val="24"/>
          <w:szCs w:val="24"/>
        </w:rPr>
        <w:t xml:space="preserve"> </w:t>
      </w:r>
      <w:r w:rsidR="00C24B28" w:rsidRPr="009100B8">
        <w:rPr>
          <w:rFonts w:cstheme="minorHAnsi"/>
          <w:sz w:val="24"/>
          <w:szCs w:val="24"/>
        </w:rPr>
        <w:t xml:space="preserve">complications during pregnancy and delivery. </w:t>
      </w:r>
      <w:r w:rsidR="00B16120" w:rsidRPr="009100B8">
        <w:rPr>
          <w:rFonts w:cstheme="minorHAnsi"/>
          <w:sz w:val="24"/>
          <w:szCs w:val="24"/>
        </w:rPr>
        <w:t>Assisted deliver</w:t>
      </w:r>
      <w:r w:rsidR="00C24B28" w:rsidRPr="009100B8">
        <w:rPr>
          <w:rFonts w:cstheme="minorHAnsi"/>
          <w:sz w:val="24"/>
          <w:szCs w:val="24"/>
        </w:rPr>
        <w:t>ies (</w:t>
      </w:r>
      <w:r w:rsidR="00AA11D5" w:rsidRPr="009100B8">
        <w:rPr>
          <w:rFonts w:cstheme="minorHAnsi"/>
          <w:sz w:val="24"/>
          <w:szCs w:val="24"/>
        </w:rPr>
        <w:t>considerable majority</w:t>
      </w:r>
      <w:r w:rsidR="00C24B28" w:rsidRPr="009100B8">
        <w:rPr>
          <w:rFonts w:cstheme="minorHAnsi"/>
          <w:sz w:val="24"/>
          <w:szCs w:val="24"/>
        </w:rPr>
        <w:t xml:space="preserve"> vacuum deliveries) are</w:t>
      </w:r>
      <w:r w:rsidR="00B16120" w:rsidRPr="009100B8">
        <w:rPr>
          <w:rFonts w:cstheme="minorHAnsi"/>
          <w:sz w:val="24"/>
          <w:szCs w:val="24"/>
        </w:rPr>
        <w:t xml:space="preserve"> documented by the performing obstetrician</w:t>
      </w:r>
      <w:r w:rsidR="00DF7F1C">
        <w:rPr>
          <w:rFonts w:cstheme="minorHAnsi"/>
          <w:sz w:val="24"/>
          <w:szCs w:val="24"/>
        </w:rPr>
        <w:t>,</w:t>
      </w:r>
      <w:r w:rsidR="00C24B28" w:rsidRPr="009100B8">
        <w:rPr>
          <w:rFonts w:cstheme="minorHAnsi"/>
          <w:sz w:val="24"/>
          <w:szCs w:val="24"/>
        </w:rPr>
        <w:t xml:space="preserve"> and data regarding the procedure</w:t>
      </w:r>
      <w:r w:rsidR="00DE5612" w:rsidRPr="009100B8">
        <w:rPr>
          <w:rFonts w:cstheme="minorHAnsi"/>
          <w:sz w:val="24"/>
          <w:szCs w:val="24"/>
        </w:rPr>
        <w:t xml:space="preserve"> duration</w:t>
      </w:r>
      <w:r w:rsidR="00B16120" w:rsidRPr="009100B8">
        <w:rPr>
          <w:rFonts w:cstheme="minorHAnsi"/>
          <w:sz w:val="24"/>
          <w:szCs w:val="24"/>
        </w:rPr>
        <w:t xml:space="preserve"> </w:t>
      </w:r>
      <w:r w:rsidR="00DE5612" w:rsidRPr="009100B8">
        <w:rPr>
          <w:rFonts w:cstheme="minorHAnsi"/>
          <w:sz w:val="24"/>
          <w:szCs w:val="24"/>
        </w:rPr>
        <w:t>(</w:t>
      </w:r>
      <w:r w:rsidR="00B16120" w:rsidRPr="009100B8">
        <w:rPr>
          <w:rFonts w:cstheme="minorHAnsi"/>
          <w:sz w:val="24"/>
          <w:szCs w:val="24"/>
        </w:rPr>
        <w:t>minutes</w:t>
      </w:r>
      <w:r w:rsidR="00DE5612" w:rsidRPr="009100B8">
        <w:rPr>
          <w:rFonts w:cstheme="minorHAnsi"/>
          <w:sz w:val="24"/>
          <w:szCs w:val="24"/>
        </w:rPr>
        <w:t>)</w:t>
      </w:r>
      <w:r w:rsidR="00AA11D5" w:rsidRPr="009100B8">
        <w:rPr>
          <w:rFonts w:cstheme="minorHAnsi"/>
          <w:sz w:val="24"/>
          <w:szCs w:val="24"/>
        </w:rPr>
        <w:t xml:space="preserve"> and difficulty</w:t>
      </w:r>
      <w:r w:rsidR="00B16120" w:rsidRPr="009100B8">
        <w:rPr>
          <w:rFonts w:cstheme="minorHAnsi"/>
          <w:sz w:val="24"/>
          <w:szCs w:val="24"/>
        </w:rPr>
        <w:t>, number of pulls</w:t>
      </w:r>
      <w:r w:rsidR="00AA1040">
        <w:rPr>
          <w:rFonts w:cstheme="minorHAnsi"/>
          <w:sz w:val="24"/>
          <w:szCs w:val="24"/>
        </w:rPr>
        <w:t>,</w:t>
      </w:r>
      <w:r w:rsidR="00AA11D5" w:rsidRPr="009100B8">
        <w:rPr>
          <w:rFonts w:cstheme="minorHAnsi"/>
          <w:sz w:val="24"/>
          <w:szCs w:val="24"/>
        </w:rPr>
        <w:t xml:space="preserve"> and the difficulty in delivering </w:t>
      </w:r>
      <w:r w:rsidR="004F280A" w:rsidRPr="009100B8">
        <w:rPr>
          <w:rFonts w:cstheme="minorHAnsi"/>
          <w:sz w:val="24"/>
          <w:szCs w:val="24"/>
        </w:rPr>
        <w:t>shoulder</w:t>
      </w:r>
      <w:r w:rsidR="00AA11D5" w:rsidRPr="009100B8">
        <w:rPr>
          <w:rFonts w:cstheme="minorHAnsi"/>
          <w:sz w:val="24"/>
          <w:szCs w:val="24"/>
        </w:rPr>
        <w:t>s</w:t>
      </w:r>
      <w:r w:rsidR="00CC6492" w:rsidRPr="009100B8">
        <w:rPr>
          <w:rFonts w:cstheme="minorHAnsi"/>
          <w:sz w:val="24"/>
          <w:szCs w:val="24"/>
        </w:rPr>
        <w:t xml:space="preserve"> </w:t>
      </w:r>
      <w:r w:rsidR="004F280A" w:rsidRPr="009100B8">
        <w:rPr>
          <w:rFonts w:cstheme="minorHAnsi"/>
          <w:sz w:val="24"/>
          <w:szCs w:val="24"/>
        </w:rPr>
        <w:t>(</w:t>
      </w:r>
      <w:r w:rsidR="00B16120" w:rsidRPr="009100B8">
        <w:rPr>
          <w:rFonts w:cstheme="minorHAnsi"/>
          <w:sz w:val="24"/>
          <w:szCs w:val="24"/>
        </w:rPr>
        <w:t>1</w:t>
      </w:r>
      <w:r w:rsidR="00DE5612" w:rsidRPr="009100B8">
        <w:rPr>
          <w:rFonts w:cstheme="minorHAnsi"/>
          <w:sz w:val="24"/>
          <w:szCs w:val="24"/>
        </w:rPr>
        <w:t xml:space="preserve">=easy, 2=mediocre, </w:t>
      </w:r>
      <w:r w:rsidR="00B16120" w:rsidRPr="009100B8">
        <w:rPr>
          <w:rFonts w:cstheme="minorHAnsi"/>
          <w:sz w:val="24"/>
          <w:szCs w:val="24"/>
        </w:rPr>
        <w:t>3</w:t>
      </w:r>
      <w:r w:rsidR="00DE5612" w:rsidRPr="009100B8">
        <w:rPr>
          <w:rFonts w:cstheme="minorHAnsi"/>
          <w:sz w:val="24"/>
          <w:szCs w:val="24"/>
        </w:rPr>
        <w:t>=hard)</w:t>
      </w:r>
      <w:r w:rsidR="00AA11D5" w:rsidRPr="009100B8">
        <w:rPr>
          <w:rFonts w:cstheme="minorHAnsi"/>
          <w:sz w:val="24"/>
          <w:szCs w:val="24"/>
        </w:rPr>
        <w:t xml:space="preserve"> is collected. </w:t>
      </w:r>
      <w:r w:rsidR="00987577" w:rsidRPr="009100B8">
        <w:rPr>
          <w:rFonts w:cstheme="minorHAnsi"/>
          <w:sz w:val="24"/>
          <w:szCs w:val="24"/>
        </w:rPr>
        <w:t>D</w:t>
      </w:r>
      <w:r w:rsidR="003F7576" w:rsidRPr="009100B8">
        <w:rPr>
          <w:rFonts w:cstheme="minorHAnsi"/>
          <w:sz w:val="24"/>
          <w:szCs w:val="24"/>
        </w:rPr>
        <w:t xml:space="preserve">ata collected </w:t>
      </w:r>
      <w:r w:rsidR="00F24B3C" w:rsidRPr="009100B8">
        <w:rPr>
          <w:rFonts w:cstheme="minorHAnsi"/>
          <w:sz w:val="24"/>
          <w:szCs w:val="24"/>
        </w:rPr>
        <w:t xml:space="preserve">from </w:t>
      </w:r>
      <w:r w:rsidR="005E530D" w:rsidRPr="009100B8">
        <w:rPr>
          <w:rFonts w:cstheme="minorHAnsi"/>
          <w:sz w:val="24"/>
          <w:szCs w:val="24"/>
        </w:rPr>
        <w:t xml:space="preserve">the </w:t>
      </w:r>
      <w:r w:rsidR="00AA11D5" w:rsidRPr="009100B8">
        <w:rPr>
          <w:rFonts w:cstheme="minorHAnsi"/>
          <w:sz w:val="24"/>
          <w:szCs w:val="24"/>
        </w:rPr>
        <w:t>newborn</w:t>
      </w:r>
      <w:r w:rsidR="005E530D" w:rsidRPr="009100B8">
        <w:rPr>
          <w:rFonts w:cstheme="minorHAnsi"/>
          <w:sz w:val="24"/>
          <w:szCs w:val="24"/>
        </w:rPr>
        <w:t xml:space="preserve"> includes</w:t>
      </w:r>
      <w:r w:rsidR="008E1B4E" w:rsidRPr="009100B8">
        <w:rPr>
          <w:rFonts w:cstheme="minorHAnsi"/>
          <w:sz w:val="24"/>
          <w:szCs w:val="24"/>
        </w:rPr>
        <w:t xml:space="preserve"> personal identity code</w:t>
      </w:r>
      <w:r w:rsidR="00676D62" w:rsidRPr="009100B8">
        <w:rPr>
          <w:rFonts w:cstheme="minorHAnsi"/>
          <w:sz w:val="24"/>
          <w:szCs w:val="24"/>
        </w:rPr>
        <w:t xml:space="preserve">, </w:t>
      </w:r>
      <w:r w:rsidR="00D87850" w:rsidRPr="009100B8">
        <w:rPr>
          <w:rFonts w:cstheme="minorHAnsi"/>
          <w:sz w:val="24"/>
          <w:szCs w:val="24"/>
        </w:rPr>
        <w:t>sex</w:t>
      </w:r>
      <w:r w:rsidR="003F7576" w:rsidRPr="009100B8">
        <w:rPr>
          <w:rFonts w:cstheme="minorHAnsi"/>
          <w:sz w:val="24"/>
          <w:szCs w:val="24"/>
        </w:rPr>
        <w:t>, weight, length and head circumference</w:t>
      </w:r>
      <w:r w:rsidR="00AA11D5" w:rsidRPr="009100B8">
        <w:rPr>
          <w:rFonts w:cstheme="minorHAnsi"/>
          <w:sz w:val="24"/>
          <w:szCs w:val="24"/>
        </w:rPr>
        <w:t xml:space="preserve"> at birth</w:t>
      </w:r>
      <w:r w:rsidR="003F7576" w:rsidRPr="009100B8">
        <w:rPr>
          <w:rFonts w:cstheme="minorHAnsi"/>
          <w:sz w:val="24"/>
          <w:szCs w:val="24"/>
        </w:rPr>
        <w:t>, Apgar points</w:t>
      </w:r>
      <w:r w:rsidR="007E30AC">
        <w:rPr>
          <w:rFonts w:cstheme="minorHAnsi"/>
          <w:sz w:val="24"/>
          <w:szCs w:val="24"/>
        </w:rPr>
        <w:t>,</w:t>
      </w:r>
      <w:r w:rsidR="00AA11D5" w:rsidRPr="009100B8">
        <w:rPr>
          <w:rFonts w:cstheme="minorHAnsi"/>
          <w:sz w:val="24"/>
          <w:szCs w:val="24"/>
        </w:rPr>
        <w:t xml:space="preserve"> </w:t>
      </w:r>
      <w:r w:rsidR="003F7576" w:rsidRPr="009100B8">
        <w:rPr>
          <w:rFonts w:cstheme="minorHAnsi"/>
          <w:sz w:val="24"/>
          <w:szCs w:val="24"/>
        </w:rPr>
        <w:t>birth injuries</w:t>
      </w:r>
      <w:r w:rsidR="00DF7F1C">
        <w:rPr>
          <w:rFonts w:cstheme="minorHAnsi"/>
          <w:sz w:val="24"/>
          <w:szCs w:val="24"/>
        </w:rPr>
        <w:t>,</w:t>
      </w:r>
      <w:r w:rsidR="00987577" w:rsidRPr="009100B8">
        <w:rPr>
          <w:rFonts w:cstheme="minorHAnsi"/>
          <w:sz w:val="24"/>
          <w:szCs w:val="24"/>
        </w:rPr>
        <w:t xml:space="preserve"> and</w:t>
      </w:r>
      <w:r w:rsidR="003F7576" w:rsidRPr="009100B8">
        <w:rPr>
          <w:rFonts w:cstheme="minorHAnsi"/>
          <w:sz w:val="24"/>
          <w:szCs w:val="24"/>
        </w:rPr>
        <w:t xml:space="preserve"> congenital conditions</w:t>
      </w:r>
      <w:r w:rsidR="001110D5" w:rsidRPr="009100B8">
        <w:rPr>
          <w:rFonts w:cstheme="minorHAnsi"/>
          <w:sz w:val="24"/>
          <w:szCs w:val="24"/>
        </w:rPr>
        <w:t>.</w:t>
      </w:r>
      <w:r w:rsidR="00AA11D5" w:rsidRPr="009100B8">
        <w:rPr>
          <w:rFonts w:cstheme="minorHAnsi"/>
          <w:sz w:val="24"/>
          <w:szCs w:val="24"/>
        </w:rPr>
        <w:t xml:space="preserve"> </w:t>
      </w:r>
    </w:p>
    <w:p w14:paraId="4AB079E2" w14:textId="50F264C3" w:rsidR="00E41445" w:rsidRPr="009100B8" w:rsidRDefault="00722CA1" w:rsidP="003F7576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Statistics Finland</w:t>
      </w:r>
      <w:r w:rsidR="005E530D" w:rsidRPr="009100B8">
        <w:rPr>
          <w:rFonts w:cstheme="minorHAnsi"/>
          <w:sz w:val="24"/>
          <w:szCs w:val="24"/>
        </w:rPr>
        <w:t xml:space="preserve"> (</w:t>
      </w:r>
      <w:hyperlink r:id="rId11" w:history="1">
        <w:r w:rsidR="005E530D" w:rsidRPr="009100B8">
          <w:rPr>
            <w:rStyle w:val="Hyperlink"/>
            <w:rFonts w:cstheme="minorHAnsi"/>
            <w:sz w:val="24"/>
            <w:szCs w:val="24"/>
          </w:rPr>
          <w:t>www.stat.fi</w:t>
        </w:r>
      </w:hyperlink>
      <w:r w:rsidR="005E530D" w:rsidRPr="009100B8">
        <w:rPr>
          <w:rFonts w:cstheme="minorHAnsi"/>
          <w:sz w:val="24"/>
          <w:szCs w:val="24"/>
        </w:rPr>
        <w:t>)</w:t>
      </w:r>
      <w:r w:rsidR="00AA1040">
        <w:rPr>
          <w:rFonts w:cstheme="minorHAnsi"/>
          <w:sz w:val="24"/>
          <w:szCs w:val="24"/>
        </w:rPr>
        <w:t xml:space="preserve"> collects information regarding Finland’s immigrant population, including </w:t>
      </w:r>
      <w:r w:rsidR="005C42C6" w:rsidRPr="009100B8">
        <w:rPr>
          <w:rFonts w:cstheme="minorHAnsi"/>
          <w:sz w:val="24"/>
          <w:szCs w:val="24"/>
        </w:rPr>
        <w:t xml:space="preserve">the </w:t>
      </w:r>
      <w:r w:rsidR="00302C0D" w:rsidRPr="009100B8">
        <w:rPr>
          <w:rFonts w:cstheme="minorHAnsi"/>
          <w:sz w:val="24"/>
          <w:szCs w:val="24"/>
        </w:rPr>
        <w:t xml:space="preserve">country of </w:t>
      </w:r>
      <w:r w:rsidR="008E1B4E" w:rsidRPr="009100B8">
        <w:rPr>
          <w:rFonts w:cstheme="minorHAnsi"/>
          <w:sz w:val="24"/>
          <w:szCs w:val="24"/>
        </w:rPr>
        <w:t>birth</w:t>
      </w:r>
      <w:r w:rsidR="001C65A3" w:rsidRPr="009100B8">
        <w:rPr>
          <w:rFonts w:cstheme="minorHAnsi"/>
          <w:sz w:val="24"/>
          <w:szCs w:val="24"/>
        </w:rPr>
        <w:t>, fertility rate</w:t>
      </w:r>
      <w:r w:rsidR="00A306FF">
        <w:rPr>
          <w:rFonts w:cstheme="minorHAnsi"/>
          <w:sz w:val="24"/>
          <w:szCs w:val="24"/>
        </w:rPr>
        <w:t>, parity</w:t>
      </w:r>
      <w:r w:rsidR="007E30AC">
        <w:rPr>
          <w:rFonts w:cstheme="minorHAnsi"/>
          <w:sz w:val="24"/>
          <w:szCs w:val="24"/>
        </w:rPr>
        <w:t>,</w:t>
      </w:r>
      <w:r w:rsidR="00A306FF">
        <w:rPr>
          <w:rFonts w:cstheme="minorHAnsi"/>
          <w:sz w:val="24"/>
          <w:szCs w:val="24"/>
        </w:rPr>
        <w:t xml:space="preserve"> </w:t>
      </w:r>
      <w:r w:rsidR="005C42C6" w:rsidRPr="009100B8">
        <w:rPr>
          <w:rFonts w:cstheme="minorHAnsi"/>
          <w:sz w:val="24"/>
          <w:szCs w:val="24"/>
        </w:rPr>
        <w:t xml:space="preserve">and </w:t>
      </w:r>
      <w:r w:rsidR="00A306FF">
        <w:rPr>
          <w:rFonts w:cstheme="minorHAnsi"/>
          <w:sz w:val="24"/>
          <w:szCs w:val="24"/>
        </w:rPr>
        <w:t>maternal age at delivery</w:t>
      </w:r>
      <w:r w:rsidR="00302C0D" w:rsidRPr="009100B8">
        <w:rPr>
          <w:rFonts w:cstheme="minorHAnsi"/>
          <w:sz w:val="24"/>
          <w:szCs w:val="24"/>
        </w:rPr>
        <w:t xml:space="preserve">. The data </w:t>
      </w:r>
      <w:r w:rsidR="005E530D" w:rsidRPr="009100B8">
        <w:rPr>
          <w:rFonts w:cstheme="minorHAnsi"/>
          <w:sz w:val="24"/>
          <w:szCs w:val="24"/>
        </w:rPr>
        <w:t xml:space="preserve">from </w:t>
      </w:r>
      <w:r w:rsidR="00302C0D" w:rsidRPr="009100B8">
        <w:rPr>
          <w:rFonts w:cstheme="minorHAnsi"/>
          <w:sz w:val="24"/>
          <w:szCs w:val="24"/>
        </w:rPr>
        <w:t xml:space="preserve">the Statistics Finland database </w:t>
      </w:r>
      <w:r w:rsidR="00A306FF">
        <w:rPr>
          <w:rFonts w:cstheme="minorHAnsi"/>
          <w:sz w:val="24"/>
          <w:szCs w:val="24"/>
        </w:rPr>
        <w:t>are</w:t>
      </w:r>
      <w:r w:rsidR="009A4F71" w:rsidRPr="009100B8">
        <w:rPr>
          <w:rFonts w:cstheme="minorHAnsi"/>
          <w:sz w:val="24"/>
          <w:szCs w:val="24"/>
        </w:rPr>
        <w:t xml:space="preserve"> </w:t>
      </w:r>
      <w:r w:rsidR="00AA1040">
        <w:rPr>
          <w:rFonts w:cstheme="minorHAnsi"/>
          <w:sz w:val="24"/>
          <w:szCs w:val="24"/>
        </w:rPr>
        <w:t xml:space="preserve">only </w:t>
      </w:r>
      <w:r w:rsidR="009A4F71" w:rsidRPr="009100B8">
        <w:rPr>
          <w:rFonts w:cstheme="minorHAnsi"/>
          <w:sz w:val="24"/>
          <w:szCs w:val="24"/>
        </w:rPr>
        <w:t>available</w:t>
      </w:r>
      <w:r w:rsidR="00A306FF">
        <w:rPr>
          <w:rFonts w:cstheme="minorHAnsi"/>
          <w:sz w:val="24"/>
          <w:szCs w:val="24"/>
        </w:rPr>
        <w:t xml:space="preserve"> </w:t>
      </w:r>
      <w:r w:rsidR="009A4F71" w:rsidRPr="009100B8">
        <w:rPr>
          <w:rFonts w:cstheme="minorHAnsi"/>
          <w:sz w:val="24"/>
          <w:szCs w:val="24"/>
        </w:rPr>
        <w:t>in aggregated format</w:t>
      </w:r>
      <w:r w:rsidR="007E30AC">
        <w:rPr>
          <w:rFonts w:cstheme="minorHAnsi"/>
          <w:sz w:val="24"/>
          <w:szCs w:val="24"/>
        </w:rPr>
        <w:t xml:space="preserve">; </w:t>
      </w:r>
      <w:r w:rsidR="009A4F71" w:rsidRPr="009100B8">
        <w:rPr>
          <w:rFonts w:cstheme="minorHAnsi"/>
          <w:sz w:val="24"/>
          <w:szCs w:val="24"/>
        </w:rPr>
        <w:t xml:space="preserve">thus, </w:t>
      </w:r>
      <w:r w:rsidR="007E30AC">
        <w:rPr>
          <w:rFonts w:cstheme="minorHAnsi"/>
          <w:sz w:val="24"/>
          <w:szCs w:val="24"/>
        </w:rPr>
        <w:t xml:space="preserve">the data </w:t>
      </w:r>
      <w:r w:rsidR="00A306FF">
        <w:rPr>
          <w:rFonts w:cstheme="minorHAnsi"/>
          <w:sz w:val="24"/>
          <w:szCs w:val="24"/>
        </w:rPr>
        <w:t>cannot</w:t>
      </w:r>
      <w:r w:rsidR="009A4F71" w:rsidRPr="009100B8">
        <w:rPr>
          <w:rFonts w:cstheme="minorHAnsi"/>
          <w:sz w:val="24"/>
          <w:szCs w:val="24"/>
        </w:rPr>
        <w:t xml:space="preserve"> be </w:t>
      </w:r>
      <w:r w:rsidR="00676D62" w:rsidRPr="009100B8">
        <w:rPr>
          <w:rFonts w:cstheme="minorHAnsi"/>
          <w:sz w:val="24"/>
          <w:szCs w:val="24"/>
        </w:rPr>
        <w:t xml:space="preserve">combined </w:t>
      </w:r>
      <w:r w:rsidR="007E30AC">
        <w:rPr>
          <w:rFonts w:cstheme="minorHAnsi"/>
          <w:sz w:val="24"/>
          <w:szCs w:val="24"/>
        </w:rPr>
        <w:t xml:space="preserve">with </w:t>
      </w:r>
      <w:r w:rsidR="00676D62" w:rsidRPr="009100B8">
        <w:rPr>
          <w:rFonts w:cstheme="minorHAnsi"/>
          <w:sz w:val="24"/>
          <w:szCs w:val="24"/>
        </w:rPr>
        <w:t>the dat</w:t>
      </w:r>
      <w:r w:rsidR="008E1B4E" w:rsidRPr="009100B8">
        <w:rPr>
          <w:rFonts w:cstheme="minorHAnsi"/>
          <w:sz w:val="24"/>
          <w:szCs w:val="24"/>
        </w:rPr>
        <w:t>a</w:t>
      </w:r>
      <w:r w:rsidR="00676D62" w:rsidRPr="009100B8">
        <w:rPr>
          <w:rFonts w:cstheme="minorHAnsi"/>
          <w:sz w:val="24"/>
          <w:szCs w:val="24"/>
        </w:rPr>
        <w:t xml:space="preserve"> </w:t>
      </w:r>
      <w:r w:rsidR="009A4F71" w:rsidRPr="009100B8">
        <w:rPr>
          <w:rFonts w:cstheme="minorHAnsi"/>
          <w:sz w:val="24"/>
          <w:szCs w:val="24"/>
        </w:rPr>
        <w:t xml:space="preserve">compiled by </w:t>
      </w:r>
      <w:r w:rsidR="00676D62" w:rsidRPr="009100B8">
        <w:rPr>
          <w:rFonts w:cstheme="minorHAnsi"/>
          <w:sz w:val="24"/>
          <w:szCs w:val="24"/>
        </w:rPr>
        <w:t>the Finnish Institute for Health and Welfare.</w:t>
      </w:r>
    </w:p>
    <w:p w14:paraId="73A3324F" w14:textId="77777777" w:rsidR="00813C10" w:rsidRPr="009100B8" w:rsidRDefault="00813C10" w:rsidP="003F7576">
      <w:pPr>
        <w:spacing w:line="480" w:lineRule="auto"/>
        <w:rPr>
          <w:rFonts w:cstheme="minorHAnsi"/>
          <w:sz w:val="24"/>
          <w:szCs w:val="24"/>
        </w:rPr>
      </w:pPr>
    </w:p>
    <w:p w14:paraId="10408A0E" w14:textId="31C83BA4" w:rsidR="00813C10" w:rsidRPr="009100B8" w:rsidRDefault="00813C10" w:rsidP="00697650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>Study population</w:t>
      </w:r>
    </w:p>
    <w:p w14:paraId="157363C4" w14:textId="2430A8B0" w:rsidR="00813C10" w:rsidRPr="009100B8" w:rsidRDefault="00D87850" w:rsidP="0069765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All women giving birth between 2006 and 2022 and their live born children with a permanent BPBI were included in the study </w:t>
      </w:r>
      <w:r w:rsidR="00DC1C4C" w:rsidRPr="009100B8">
        <w:rPr>
          <w:rFonts w:cstheme="minorHAnsi"/>
          <w:sz w:val="24"/>
          <w:szCs w:val="24"/>
        </w:rPr>
        <w:t>(</w:t>
      </w:r>
      <w:r w:rsidR="00DC1C4C" w:rsidRPr="009100B8">
        <w:rPr>
          <w:rFonts w:cstheme="minorHAnsi"/>
          <w:b/>
          <w:bCs/>
          <w:sz w:val="24"/>
          <w:szCs w:val="24"/>
        </w:rPr>
        <w:t>Table 1</w:t>
      </w:r>
      <w:r w:rsidR="00A27CD0" w:rsidRPr="009100B8">
        <w:rPr>
          <w:rFonts w:cstheme="minorHAnsi"/>
          <w:sz w:val="24"/>
          <w:szCs w:val="24"/>
        </w:rPr>
        <w:t xml:space="preserve">). </w:t>
      </w:r>
      <w:r w:rsidR="005C60B0" w:rsidRPr="009100B8">
        <w:rPr>
          <w:rFonts w:cstheme="minorHAnsi"/>
          <w:sz w:val="24"/>
          <w:szCs w:val="24"/>
        </w:rPr>
        <w:t>Maternal and delivery</w:t>
      </w:r>
      <w:r w:rsidR="00111587" w:rsidRPr="009100B8">
        <w:rPr>
          <w:rFonts w:cstheme="minorHAnsi"/>
          <w:sz w:val="24"/>
          <w:szCs w:val="24"/>
        </w:rPr>
        <w:t xml:space="preserve"> characteristics</w:t>
      </w:r>
      <w:r w:rsidR="00DC1C4C" w:rsidRPr="009100B8">
        <w:rPr>
          <w:rFonts w:cstheme="minorHAnsi"/>
          <w:sz w:val="24"/>
          <w:szCs w:val="24"/>
        </w:rPr>
        <w:t xml:space="preserve"> </w:t>
      </w:r>
      <w:r w:rsidR="00AA4A8F" w:rsidRPr="009100B8">
        <w:rPr>
          <w:rFonts w:cstheme="minorHAnsi"/>
          <w:sz w:val="24"/>
          <w:szCs w:val="24"/>
        </w:rPr>
        <w:t>were</w:t>
      </w:r>
      <w:r w:rsidR="00035E2F" w:rsidRPr="009100B8">
        <w:rPr>
          <w:rFonts w:cstheme="minorHAnsi"/>
          <w:sz w:val="24"/>
          <w:szCs w:val="24"/>
        </w:rPr>
        <w:t xml:space="preserve"> </w:t>
      </w:r>
      <w:r w:rsidR="00573303" w:rsidRPr="009100B8">
        <w:rPr>
          <w:rFonts w:cstheme="minorHAnsi"/>
          <w:sz w:val="24"/>
          <w:szCs w:val="24"/>
        </w:rPr>
        <w:t>collected</w:t>
      </w:r>
      <w:r w:rsidR="00035E2F" w:rsidRPr="009100B8">
        <w:rPr>
          <w:rFonts w:cstheme="minorHAnsi"/>
          <w:sz w:val="24"/>
          <w:szCs w:val="24"/>
        </w:rPr>
        <w:t xml:space="preserve"> from the </w:t>
      </w:r>
      <w:r w:rsidR="00BF0A7D" w:rsidRPr="009100B8">
        <w:rPr>
          <w:rFonts w:cstheme="minorHAnsi"/>
          <w:sz w:val="24"/>
          <w:szCs w:val="24"/>
        </w:rPr>
        <w:t xml:space="preserve">prospective </w:t>
      </w:r>
      <w:r w:rsidR="001110D5" w:rsidRPr="009100B8">
        <w:rPr>
          <w:rFonts w:cstheme="minorHAnsi"/>
          <w:sz w:val="24"/>
          <w:szCs w:val="24"/>
        </w:rPr>
        <w:t xml:space="preserve">HUS </w:t>
      </w:r>
      <w:r w:rsidR="00035E2F" w:rsidRPr="009100B8">
        <w:rPr>
          <w:rFonts w:cstheme="minorHAnsi"/>
          <w:sz w:val="24"/>
          <w:szCs w:val="24"/>
        </w:rPr>
        <w:t xml:space="preserve">Helsinki </w:t>
      </w:r>
      <w:r w:rsidR="00202FBB" w:rsidRPr="009100B8">
        <w:rPr>
          <w:rFonts w:cstheme="minorHAnsi"/>
          <w:sz w:val="24"/>
          <w:szCs w:val="24"/>
        </w:rPr>
        <w:t>W</w:t>
      </w:r>
      <w:r w:rsidR="00035E2F" w:rsidRPr="009100B8">
        <w:rPr>
          <w:rFonts w:cstheme="minorHAnsi"/>
          <w:sz w:val="24"/>
          <w:szCs w:val="24"/>
        </w:rPr>
        <w:t xml:space="preserve">omen’s </w:t>
      </w:r>
      <w:r w:rsidR="005A75DD">
        <w:rPr>
          <w:rFonts w:cstheme="minorHAnsi"/>
          <w:sz w:val="24"/>
          <w:szCs w:val="24"/>
        </w:rPr>
        <w:t>H</w:t>
      </w:r>
      <w:r w:rsidR="00202FBB" w:rsidRPr="009100B8">
        <w:rPr>
          <w:rFonts w:cstheme="minorHAnsi"/>
          <w:sz w:val="24"/>
          <w:szCs w:val="24"/>
        </w:rPr>
        <w:t>ospital</w:t>
      </w:r>
      <w:r w:rsidR="00035E2F" w:rsidRPr="009100B8">
        <w:rPr>
          <w:rFonts w:cstheme="minorHAnsi"/>
          <w:sz w:val="24"/>
          <w:szCs w:val="24"/>
        </w:rPr>
        <w:t xml:space="preserve"> patient database</w:t>
      </w:r>
      <w:r w:rsidR="00DF7F1C">
        <w:rPr>
          <w:rFonts w:cstheme="minorHAnsi"/>
          <w:sz w:val="24"/>
          <w:szCs w:val="24"/>
        </w:rPr>
        <w:t>,</w:t>
      </w:r>
      <w:r w:rsidR="00AA1040">
        <w:rPr>
          <w:rFonts w:cstheme="minorHAnsi"/>
          <w:sz w:val="24"/>
          <w:szCs w:val="24"/>
        </w:rPr>
        <w:t xml:space="preserve"> </w:t>
      </w:r>
      <w:r w:rsidR="00AA4A8F" w:rsidRPr="009100B8">
        <w:rPr>
          <w:rFonts w:cstheme="minorHAnsi"/>
          <w:sz w:val="24"/>
          <w:szCs w:val="24"/>
        </w:rPr>
        <w:t>and information regarding the child from the</w:t>
      </w:r>
      <w:r w:rsidR="00BF0A7D" w:rsidRPr="009100B8">
        <w:rPr>
          <w:rFonts w:cstheme="minorHAnsi"/>
          <w:sz w:val="24"/>
          <w:szCs w:val="24"/>
        </w:rPr>
        <w:t xml:space="preserve"> prospective</w:t>
      </w:r>
      <w:r w:rsidR="00AA4A8F" w:rsidRPr="009100B8">
        <w:rPr>
          <w:rFonts w:cstheme="minorHAnsi"/>
          <w:sz w:val="24"/>
          <w:szCs w:val="24"/>
        </w:rPr>
        <w:t xml:space="preserve"> BPBI registry of HUS </w:t>
      </w:r>
      <w:r w:rsidR="005C605A" w:rsidRPr="009100B8">
        <w:rPr>
          <w:rFonts w:cstheme="minorHAnsi"/>
          <w:sz w:val="24"/>
          <w:szCs w:val="24"/>
        </w:rPr>
        <w:t xml:space="preserve">New </w:t>
      </w:r>
      <w:r w:rsidR="00AA4A8F" w:rsidRPr="009100B8">
        <w:rPr>
          <w:rFonts w:cstheme="minorHAnsi"/>
          <w:sz w:val="24"/>
          <w:szCs w:val="24"/>
        </w:rPr>
        <w:t xml:space="preserve">Children’s </w:t>
      </w:r>
      <w:r w:rsidR="005A75DD">
        <w:rPr>
          <w:rFonts w:cstheme="minorHAnsi"/>
          <w:sz w:val="24"/>
          <w:szCs w:val="24"/>
        </w:rPr>
        <w:t>H</w:t>
      </w:r>
      <w:r w:rsidR="00AA4A8F" w:rsidRPr="009100B8">
        <w:rPr>
          <w:rFonts w:cstheme="minorHAnsi"/>
          <w:sz w:val="24"/>
          <w:szCs w:val="24"/>
        </w:rPr>
        <w:t xml:space="preserve">ospital. </w:t>
      </w:r>
    </w:p>
    <w:p w14:paraId="44F8694D" w14:textId="27B74DD4" w:rsidR="00813C10" w:rsidRPr="009100B8" w:rsidRDefault="00813C10" w:rsidP="00813C1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Any child presenting with BPBI </w:t>
      </w:r>
      <w:r w:rsidR="0070672F" w:rsidRPr="009100B8">
        <w:rPr>
          <w:rFonts w:cstheme="minorHAnsi"/>
          <w:sz w:val="24"/>
          <w:szCs w:val="24"/>
        </w:rPr>
        <w:t xml:space="preserve">(ICD-10 codes P14.0, P14.1, P14.3) </w:t>
      </w:r>
      <w:r w:rsidRPr="009100B8">
        <w:rPr>
          <w:rFonts w:cstheme="minorHAnsi"/>
          <w:sz w:val="24"/>
          <w:szCs w:val="24"/>
        </w:rPr>
        <w:t>in South</w:t>
      </w:r>
      <w:r w:rsidR="00573303" w:rsidRPr="009100B8">
        <w:rPr>
          <w:rFonts w:cstheme="minorHAnsi"/>
          <w:sz w:val="24"/>
          <w:szCs w:val="24"/>
        </w:rPr>
        <w:t>ern</w:t>
      </w:r>
      <w:r w:rsidRPr="009100B8">
        <w:rPr>
          <w:rFonts w:cstheme="minorHAnsi"/>
          <w:sz w:val="24"/>
          <w:szCs w:val="24"/>
        </w:rPr>
        <w:t xml:space="preserve"> Finland is examined by the referral center’s pediatrician at 0 to 2 days of age. All children with an injury that does not resolve itself during the first month are referred to </w:t>
      </w:r>
      <w:r w:rsidR="005D5BC7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>HUS New Children’s Hospital</w:t>
      </w:r>
      <w:r w:rsidR="005D5BC7">
        <w:rPr>
          <w:rFonts w:cstheme="minorHAnsi"/>
          <w:sz w:val="24"/>
          <w:szCs w:val="24"/>
        </w:rPr>
        <w:t>’</w:t>
      </w:r>
      <w:r w:rsidRPr="009100B8">
        <w:rPr>
          <w:rFonts w:cstheme="minorHAnsi"/>
          <w:sz w:val="24"/>
          <w:szCs w:val="24"/>
        </w:rPr>
        <w:t>s BPBI clinic for further evaluation</w:t>
      </w:r>
      <w:r w:rsidR="008377AE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by a specialized team consisting of a hand surgeon with</w:t>
      </w:r>
      <w:r w:rsidR="00DF7F1C">
        <w:rPr>
          <w:rFonts w:cstheme="minorHAnsi"/>
          <w:sz w:val="24"/>
          <w:szCs w:val="24"/>
        </w:rPr>
        <w:t xml:space="preserve"> a</w:t>
      </w:r>
      <w:r w:rsidRPr="009100B8">
        <w:rPr>
          <w:rFonts w:cstheme="minorHAnsi"/>
          <w:sz w:val="24"/>
          <w:szCs w:val="24"/>
        </w:rPr>
        <w:t xml:space="preserve"> minimum level 4 expertise, </w:t>
      </w:r>
      <w:r w:rsidR="00E051ED" w:rsidRPr="009100B8">
        <w:rPr>
          <w:rFonts w:cstheme="minorHAnsi"/>
          <w:sz w:val="24"/>
          <w:szCs w:val="24"/>
        </w:rPr>
        <w:t xml:space="preserve">an </w:t>
      </w:r>
      <w:r w:rsidRPr="009100B8">
        <w:rPr>
          <w:rFonts w:cstheme="minorHAnsi"/>
          <w:sz w:val="24"/>
          <w:szCs w:val="24"/>
        </w:rPr>
        <w:t xml:space="preserve">occupational therapist, </w:t>
      </w:r>
      <w:r w:rsidR="00E051ED" w:rsidRPr="009100B8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physiotherapist</w:t>
      </w:r>
      <w:r w:rsidR="005A75D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and </w:t>
      </w:r>
      <w:r w:rsidR="00E051ED" w:rsidRPr="009100B8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nurse.</w:t>
      </w:r>
      <w:r w:rsidR="00BC7620" w:rsidRPr="009100B8">
        <w:rPr>
          <w:rFonts w:cstheme="minorHAnsi"/>
          <w:sz w:val="24"/>
          <w:szCs w:val="24"/>
          <w:vertAlign w:val="superscript"/>
        </w:rPr>
        <w:t>18,19</w:t>
      </w:r>
      <w:r w:rsidRPr="009100B8">
        <w:rPr>
          <w:rFonts w:cstheme="minorHAnsi"/>
          <w:sz w:val="24"/>
          <w:szCs w:val="24"/>
        </w:rPr>
        <w:t xml:space="preserve"> </w:t>
      </w:r>
      <w:r w:rsidR="001A44F0">
        <w:rPr>
          <w:rFonts w:cstheme="minorHAnsi"/>
          <w:sz w:val="24"/>
          <w:szCs w:val="24"/>
        </w:rPr>
        <w:t>T</w:t>
      </w:r>
      <w:r w:rsidRPr="009100B8">
        <w:rPr>
          <w:rFonts w:cstheme="minorHAnsi"/>
          <w:sz w:val="24"/>
          <w:szCs w:val="24"/>
        </w:rPr>
        <w:t>he same team</w:t>
      </w:r>
      <w:r w:rsidR="008377AE" w:rsidRPr="009100B8">
        <w:rPr>
          <w:rFonts w:cstheme="minorHAnsi"/>
          <w:sz w:val="24"/>
          <w:szCs w:val="24"/>
        </w:rPr>
        <w:t xml:space="preserve"> </w:t>
      </w:r>
      <w:r w:rsidR="001A44F0">
        <w:rPr>
          <w:rFonts w:cstheme="minorHAnsi"/>
          <w:sz w:val="24"/>
          <w:szCs w:val="24"/>
        </w:rPr>
        <w:t xml:space="preserve">regularly examines patients </w:t>
      </w:r>
      <w:r w:rsidRPr="009100B8">
        <w:rPr>
          <w:rFonts w:cstheme="minorHAnsi"/>
          <w:sz w:val="24"/>
          <w:szCs w:val="24"/>
        </w:rPr>
        <w:t xml:space="preserve">at set intervals from </w:t>
      </w:r>
      <w:r w:rsidR="007E30AC">
        <w:rPr>
          <w:rFonts w:cstheme="minorHAnsi"/>
          <w:sz w:val="24"/>
          <w:szCs w:val="24"/>
        </w:rPr>
        <w:t xml:space="preserve">one </w:t>
      </w:r>
      <w:r w:rsidRPr="009100B8">
        <w:rPr>
          <w:rFonts w:cstheme="minorHAnsi"/>
          <w:sz w:val="24"/>
          <w:szCs w:val="24"/>
        </w:rPr>
        <w:t xml:space="preserve">month to 18 years. </w:t>
      </w:r>
      <w:r w:rsidR="005A75DD">
        <w:rPr>
          <w:rFonts w:cstheme="minorHAnsi"/>
          <w:sz w:val="24"/>
          <w:szCs w:val="24"/>
        </w:rPr>
        <w:t>T</w:t>
      </w:r>
      <w:r w:rsidRPr="009100B8">
        <w:rPr>
          <w:rFonts w:cstheme="minorHAnsi"/>
          <w:sz w:val="24"/>
          <w:szCs w:val="24"/>
        </w:rPr>
        <w:t xml:space="preserve">he 3-month </w:t>
      </w:r>
      <w:r w:rsidR="00401AF9">
        <w:rPr>
          <w:rFonts w:cstheme="minorHAnsi"/>
          <w:sz w:val="24"/>
          <w:szCs w:val="24"/>
        </w:rPr>
        <w:t xml:space="preserve">Toronto </w:t>
      </w:r>
      <w:r w:rsidRPr="009100B8">
        <w:rPr>
          <w:rFonts w:cstheme="minorHAnsi"/>
          <w:sz w:val="24"/>
          <w:szCs w:val="24"/>
        </w:rPr>
        <w:t>test score (3MTS) is calculated</w:t>
      </w:r>
      <w:r w:rsidR="005A75DD">
        <w:rPr>
          <w:rFonts w:cstheme="minorHAnsi"/>
          <w:sz w:val="24"/>
          <w:szCs w:val="24"/>
        </w:rPr>
        <w:t xml:space="preserve"> to assess the injury’s severity</w:t>
      </w:r>
      <w:r w:rsidR="00BC7620" w:rsidRPr="009100B8">
        <w:rPr>
          <w:rFonts w:cstheme="minorHAnsi"/>
          <w:sz w:val="24"/>
          <w:szCs w:val="24"/>
        </w:rPr>
        <w:t>.</w:t>
      </w:r>
      <w:r w:rsidR="00BC7620" w:rsidRPr="009100B8">
        <w:rPr>
          <w:rFonts w:cstheme="minorHAnsi"/>
          <w:sz w:val="24"/>
          <w:szCs w:val="24"/>
          <w:vertAlign w:val="superscript"/>
        </w:rPr>
        <w:t>7</w:t>
      </w:r>
      <w:r w:rsidRPr="009100B8">
        <w:rPr>
          <w:rFonts w:cstheme="minorHAnsi"/>
          <w:sz w:val="24"/>
          <w:szCs w:val="24"/>
        </w:rPr>
        <w:t xml:space="preserve"> A score </w:t>
      </w:r>
      <w:r w:rsidR="005C605A" w:rsidRPr="009100B8">
        <w:rPr>
          <w:rFonts w:cstheme="minorHAnsi"/>
          <w:sz w:val="24"/>
          <w:szCs w:val="24"/>
        </w:rPr>
        <w:t>of</w:t>
      </w:r>
      <w:r w:rsidRPr="009100B8">
        <w:rPr>
          <w:rFonts w:cstheme="minorHAnsi"/>
          <w:sz w:val="24"/>
          <w:szCs w:val="24"/>
        </w:rPr>
        <w:t xml:space="preserve"> 3.5</w:t>
      </w:r>
      <w:r w:rsidR="005C605A" w:rsidRPr="009100B8">
        <w:rPr>
          <w:rFonts w:cstheme="minorHAnsi"/>
          <w:sz w:val="24"/>
          <w:szCs w:val="24"/>
        </w:rPr>
        <w:t xml:space="preserve"> or l</w:t>
      </w:r>
      <w:r w:rsidR="005D5BC7">
        <w:rPr>
          <w:rFonts w:cstheme="minorHAnsi"/>
          <w:sz w:val="24"/>
          <w:szCs w:val="24"/>
        </w:rPr>
        <w:t>ower</w:t>
      </w:r>
      <w:r w:rsidRPr="009100B8">
        <w:rPr>
          <w:rFonts w:cstheme="minorHAnsi"/>
          <w:sz w:val="24"/>
          <w:szCs w:val="24"/>
        </w:rPr>
        <w:t xml:space="preserve"> indicates a</w:t>
      </w:r>
      <w:r w:rsidR="00D87850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severe type of permanent injury</w:t>
      </w:r>
      <w:r w:rsidR="00D87850" w:rsidRPr="009100B8">
        <w:rPr>
          <w:rFonts w:cstheme="minorHAnsi"/>
          <w:sz w:val="24"/>
          <w:szCs w:val="24"/>
        </w:rPr>
        <w:t xml:space="preserve"> where</w:t>
      </w:r>
      <w:r w:rsidRPr="009100B8">
        <w:rPr>
          <w:rFonts w:cstheme="minorHAnsi"/>
          <w:sz w:val="24"/>
          <w:szCs w:val="24"/>
        </w:rPr>
        <w:t xml:space="preserve"> </w:t>
      </w:r>
      <w:r w:rsidR="008377AE" w:rsidRPr="009100B8">
        <w:rPr>
          <w:rFonts w:cstheme="minorHAnsi"/>
          <w:sz w:val="24"/>
          <w:szCs w:val="24"/>
        </w:rPr>
        <w:t xml:space="preserve">the child </w:t>
      </w:r>
      <w:r w:rsidRPr="009100B8">
        <w:rPr>
          <w:rFonts w:cstheme="minorHAnsi"/>
          <w:sz w:val="24"/>
          <w:szCs w:val="24"/>
        </w:rPr>
        <w:t xml:space="preserve">may benefit from plexus reconstruction. </w:t>
      </w:r>
      <w:r w:rsidR="00D87850" w:rsidRPr="009100B8">
        <w:rPr>
          <w:rFonts w:cstheme="minorHAnsi"/>
          <w:sz w:val="24"/>
          <w:szCs w:val="24"/>
        </w:rPr>
        <w:t xml:space="preserve">A permanent BPBI is defined as clinically evident limited active or passive </w:t>
      </w:r>
      <w:r w:rsidR="001315D3">
        <w:rPr>
          <w:rFonts w:cstheme="minorHAnsi"/>
          <w:sz w:val="24"/>
          <w:szCs w:val="24"/>
        </w:rPr>
        <w:t>range of motion</w:t>
      </w:r>
      <w:r w:rsidR="00D87850" w:rsidRPr="009100B8">
        <w:rPr>
          <w:rFonts w:cstheme="minorHAnsi"/>
          <w:sz w:val="24"/>
          <w:szCs w:val="24"/>
        </w:rPr>
        <w:t xml:space="preserve"> or decreased strength of the affected limb</w:t>
      </w:r>
      <w:r w:rsidR="005D5BC7">
        <w:rPr>
          <w:rFonts w:cstheme="minorHAnsi"/>
          <w:sz w:val="24"/>
          <w:szCs w:val="24"/>
        </w:rPr>
        <w:t xml:space="preserve"> that is still </w:t>
      </w:r>
      <w:r w:rsidR="00D87850" w:rsidRPr="009100B8">
        <w:rPr>
          <w:rFonts w:cstheme="minorHAnsi"/>
          <w:sz w:val="24"/>
          <w:szCs w:val="24"/>
        </w:rPr>
        <w:t>detectable at one year</w:t>
      </w:r>
      <w:r w:rsidRPr="009100B8">
        <w:rPr>
          <w:rFonts w:cstheme="minorHAnsi"/>
          <w:sz w:val="24"/>
          <w:szCs w:val="24"/>
        </w:rPr>
        <w:t>. Since 1995</w:t>
      </w:r>
      <w:r w:rsidR="00484C3C" w:rsidRPr="009100B8">
        <w:rPr>
          <w:rFonts w:cstheme="minorHAnsi"/>
          <w:sz w:val="24"/>
          <w:szCs w:val="24"/>
        </w:rPr>
        <w:t>, the</w:t>
      </w:r>
      <w:r w:rsidRPr="009100B8">
        <w:rPr>
          <w:rFonts w:cstheme="minorHAnsi"/>
          <w:sz w:val="24"/>
          <w:szCs w:val="24"/>
        </w:rPr>
        <w:t xml:space="preserve"> prospective </w:t>
      </w:r>
      <w:r w:rsidR="00484C3C" w:rsidRPr="009100B8">
        <w:rPr>
          <w:rFonts w:cstheme="minorHAnsi"/>
          <w:sz w:val="24"/>
          <w:szCs w:val="24"/>
        </w:rPr>
        <w:t xml:space="preserve">BPBI </w:t>
      </w:r>
      <w:r w:rsidR="00401AF9">
        <w:rPr>
          <w:rFonts w:cstheme="minorHAnsi"/>
          <w:sz w:val="24"/>
          <w:szCs w:val="24"/>
        </w:rPr>
        <w:t>registry</w:t>
      </w:r>
      <w:r w:rsidR="00484C3C" w:rsidRPr="009100B8">
        <w:rPr>
          <w:rFonts w:cstheme="minorHAnsi"/>
          <w:sz w:val="24"/>
          <w:szCs w:val="24"/>
        </w:rPr>
        <w:t xml:space="preserve"> </w:t>
      </w:r>
      <w:r w:rsidR="00D40291" w:rsidRPr="009100B8">
        <w:rPr>
          <w:rFonts w:cstheme="minorHAnsi"/>
          <w:sz w:val="24"/>
          <w:szCs w:val="24"/>
        </w:rPr>
        <w:t>has</w:t>
      </w:r>
      <w:r w:rsidR="00B91F11" w:rsidRPr="009100B8">
        <w:rPr>
          <w:rFonts w:cstheme="minorHAnsi"/>
          <w:sz w:val="24"/>
          <w:szCs w:val="24"/>
        </w:rPr>
        <w:t xml:space="preserve"> stored</w:t>
      </w:r>
      <w:r w:rsidR="00D40291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information</w:t>
      </w:r>
      <w:r w:rsidR="00D40291" w:rsidRPr="009100B8">
        <w:rPr>
          <w:rFonts w:cstheme="minorHAnsi"/>
          <w:sz w:val="24"/>
          <w:szCs w:val="24"/>
        </w:rPr>
        <w:t xml:space="preserve"> on</w:t>
      </w:r>
      <w:r w:rsidRPr="009100B8">
        <w:rPr>
          <w:rFonts w:cstheme="minorHAnsi"/>
          <w:sz w:val="24"/>
          <w:szCs w:val="24"/>
        </w:rPr>
        <w:t xml:space="preserve"> </w:t>
      </w:r>
      <w:r w:rsidR="00B91F11" w:rsidRPr="009100B8">
        <w:rPr>
          <w:rFonts w:cstheme="minorHAnsi"/>
          <w:sz w:val="24"/>
          <w:szCs w:val="24"/>
        </w:rPr>
        <w:t xml:space="preserve">all </w:t>
      </w:r>
      <w:r w:rsidRPr="009100B8">
        <w:rPr>
          <w:rFonts w:cstheme="minorHAnsi"/>
          <w:sz w:val="24"/>
          <w:szCs w:val="24"/>
        </w:rPr>
        <w:t xml:space="preserve">children with </w:t>
      </w:r>
      <w:r w:rsidR="005D5BC7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permanent BPBI</w:t>
      </w:r>
      <w:r w:rsidR="00D40291" w:rsidRPr="009100B8">
        <w:rPr>
          <w:rFonts w:cstheme="minorHAnsi"/>
          <w:sz w:val="24"/>
          <w:szCs w:val="24"/>
        </w:rPr>
        <w:t xml:space="preserve">. </w:t>
      </w:r>
      <w:r w:rsidR="005A75DD">
        <w:rPr>
          <w:rFonts w:cstheme="minorHAnsi"/>
          <w:sz w:val="24"/>
          <w:szCs w:val="24"/>
        </w:rPr>
        <w:t>This registry</w:t>
      </w:r>
      <w:r w:rsidR="00D40291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includ</w:t>
      </w:r>
      <w:r w:rsidR="00D40291" w:rsidRPr="009100B8">
        <w:rPr>
          <w:rFonts w:cstheme="minorHAnsi"/>
          <w:sz w:val="24"/>
          <w:szCs w:val="24"/>
        </w:rPr>
        <w:t>es</w:t>
      </w:r>
      <w:r w:rsidR="00484C3C" w:rsidRPr="009100B8">
        <w:rPr>
          <w:rFonts w:cstheme="minorHAnsi"/>
          <w:sz w:val="24"/>
          <w:szCs w:val="24"/>
        </w:rPr>
        <w:t xml:space="preserve"> data on maternal ethnicity, knowledge of </w:t>
      </w:r>
      <w:r w:rsidR="00DF7F1C">
        <w:rPr>
          <w:rFonts w:cstheme="minorHAnsi"/>
          <w:sz w:val="24"/>
          <w:szCs w:val="24"/>
        </w:rPr>
        <w:t xml:space="preserve">the </w:t>
      </w:r>
      <w:r w:rsidR="00484C3C" w:rsidRPr="009100B8">
        <w:rPr>
          <w:rFonts w:cstheme="minorHAnsi"/>
          <w:sz w:val="24"/>
          <w:szCs w:val="24"/>
        </w:rPr>
        <w:t>national language (Finnish or Swedish)</w:t>
      </w:r>
      <w:r w:rsidR="00D40291" w:rsidRPr="009100B8">
        <w:rPr>
          <w:rFonts w:cstheme="minorHAnsi"/>
          <w:sz w:val="24"/>
          <w:szCs w:val="24"/>
        </w:rPr>
        <w:t xml:space="preserve">, </w:t>
      </w:r>
      <w:r w:rsidR="00484C3C" w:rsidRPr="009100B8">
        <w:rPr>
          <w:rFonts w:cstheme="minorHAnsi"/>
          <w:sz w:val="24"/>
          <w:szCs w:val="24"/>
        </w:rPr>
        <w:t>possible immigrant status</w:t>
      </w:r>
      <w:r w:rsidR="007E30AC">
        <w:rPr>
          <w:rFonts w:cstheme="minorHAnsi"/>
          <w:sz w:val="24"/>
          <w:szCs w:val="24"/>
        </w:rPr>
        <w:t>,</w:t>
      </w:r>
      <w:r w:rsidR="00484C3C" w:rsidRPr="009100B8">
        <w:rPr>
          <w:rFonts w:cstheme="minorHAnsi"/>
          <w:sz w:val="24"/>
          <w:szCs w:val="24"/>
        </w:rPr>
        <w:t xml:space="preserve"> </w:t>
      </w:r>
      <w:r w:rsidR="00D40291" w:rsidRPr="009100B8">
        <w:rPr>
          <w:rFonts w:cstheme="minorHAnsi"/>
          <w:sz w:val="24"/>
          <w:szCs w:val="24"/>
        </w:rPr>
        <w:t>and</w:t>
      </w:r>
      <w:r w:rsidR="00484C3C" w:rsidRPr="009100B8">
        <w:rPr>
          <w:rFonts w:cstheme="minorHAnsi"/>
          <w:sz w:val="24"/>
          <w:szCs w:val="24"/>
        </w:rPr>
        <w:t xml:space="preserve"> </w:t>
      </w:r>
      <w:r w:rsidR="007D57A1" w:rsidRPr="009100B8">
        <w:rPr>
          <w:rFonts w:cstheme="minorHAnsi"/>
          <w:sz w:val="24"/>
          <w:szCs w:val="24"/>
        </w:rPr>
        <w:t xml:space="preserve">data on </w:t>
      </w:r>
      <w:r w:rsidR="00484C3C" w:rsidRPr="009100B8">
        <w:rPr>
          <w:rFonts w:cstheme="minorHAnsi"/>
          <w:sz w:val="24"/>
          <w:szCs w:val="24"/>
        </w:rPr>
        <w:t xml:space="preserve">newborn </w:t>
      </w:r>
      <w:r w:rsidRPr="009100B8">
        <w:rPr>
          <w:rFonts w:cstheme="minorHAnsi"/>
          <w:sz w:val="24"/>
          <w:szCs w:val="24"/>
        </w:rPr>
        <w:t xml:space="preserve">birth weight, </w:t>
      </w:r>
      <w:r w:rsidR="005D5BC7">
        <w:rPr>
          <w:rFonts w:cstheme="minorHAnsi"/>
          <w:sz w:val="24"/>
          <w:szCs w:val="24"/>
        </w:rPr>
        <w:t>sex</w:t>
      </w:r>
      <w:r w:rsidR="00D87850" w:rsidRPr="009100B8">
        <w:rPr>
          <w:rFonts w:cstheme="minorHAnsi"/>
          <w:sz w:val="24"/>
          <w:szCs w:val="24"/>
        </w:rPr>
        <w:t xml:space="preserve">, </w:t>
      </w:r>
      <w:r w:rsidRPr="009100B8">
        <w:rPr>
          <w:rFonts w:cstheme="minorHAnsi"/>
          <w:sz w:val="24"/>
          <w:szCs w:val="24"/>
        </w:rPr>
        <w:t>side</w:t>
      </w:r>
      <w:r w:rsidR="00D87850" w:rsidRPr="009100B8">
        <w:rPr>
          <w:rFonts w:cstheme="minorHAnsi"/>
          <w:sz w:val="24"/>
          <w:szCs w:val="24"/>
        </w:rPr>
        <w:t xml:space="preserve"> of injury</w:t>
      </w:r>
      <w:r w:rsidR="005A75DD">
        <w:rPr>
          <w:rFonts w:cstheme="minorHAnsi"/>
          <w:sz w:val="24"/>
          <w:szCs w:val="24"/>
        </w:rPr>
        <w:t>,</w:t>
      </w:r>
      <w:r w:rsidR="00484C3C" w:rsidRPr="009100B8">
        <w:rPr>
          <w:rFonts w:cstheme="minorHAnsi"/>
          <w:sz w:val="24"/>
          <w:szCs w:val="24"/>
        </w:rPr>
        <w:t xml:space="preserve"> and </w:t>
      </w:r>
      <w:r w:rsidR="00DF7F1C">
        <w:rPr>
          <w:rFonts w:cstheme="minorHAnsi"/>
          <w:sz w:val="24"/>
          <w:szCs w:val="24"/>
        </w:rPr>
        <w:t xml:space="preserve">the </w:t>
      </w:r>
      <w:r w:rsidR="00401AF9">
        <w:rPr>
          <w:rFonts w:cstheme="minorHAnsi"/>
          <w:sz w:val="24"/>
          <w:szCs w:val="24"/>
        </w:rPr>
        <w:t xml:space="preserve">result of </w:t>
      </w:r>
      <w:r w:rsidR="00484C3C" w:rsidRPr="009100B8">
        <w:rPr>
          <w:rFonts w:cstheme="minorHAnsi"/>
          <w:sz w:val="24"/>
          <w:szCs w:val="24"/>
        </w:rPr>
        <w:t>3MTS</w:t>
      </w:r>
      <w:r w:rsidR="007D57A1" w:rsidRPr="009100B8">
        <w:rPr>
          <w:rFonts w:cstheme="minorHAnsi"/>
          <w:sz w:val="24"/>
          <w:szCs w:val="24"/>
        </w:rPr>
        <w:t xml:space="preserve">. </w:t>
      </w:r>
      <w:r w:rsidRPr="009100B8">
        <w:rPr>
          <w:rFonts w:cstheme="minorHAnsi"/>
          <w:sz w:val="24"/>
          <w:szCs w:val="24"/>
        </w:rPr>
        <w:t xml:space="preserve">Ethnicity </w:t>
      </w:r>
      <w:r w:rsidRPr="009100B8">
        <w:rPr>
          <w:rFonts w:eastAsia="Times New Roman" w:cstheme="minorHAnsi"/>
          <w:sz w:val="24"/>
          <w:szCs w:val="24"/>
          <w:lang w:eastAsia="fi-FI"/>
        </w:rPr>
        <w:t>is described as the US National Institutes of Health</w:t>
      </w:r>
      <w:r w:rsidR="005D5BC7">
        <w:rPr>
          <w:rFonts w:eastAsia="Times New Roman" w:cstheme="minorHAnsi"/>
          <w:sz w:val="24"/>
          <w:szCs w:val="24"/>
          <w:lang w:eastAsia="fi-FI"/>
        </w:rPr>
        <w:t xml:space="preserve"> suggests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(Black, Asian, Caucasian, Hispanic).</w:t>
      </w:r>
    </w:p>
    <w:p w14:paraId="1C4CAF93" w14:textId="77777777" w:rsidR="00813C10" w:rsidRPr="009100B8" w:rsidRDefault="00813C10" w:rsidP="00697650">
      <w:pPr>
        <w:spacing w:line="480" w:lineRule="auto"/>
        <w:rPr>
          <w:rFonts w:cstheme="minorHAnsi"/>
          <w:sz w:val="24"/>
          <w:szCs w:val="24"/>
        </w:rPr>
      </w:pPr>
    </w:p>
    <w:p w14:paraId="76D33384" w14:textId="1F159187" w:rsidR="00813C10" w:rsidRPr="009100B8" w:rsidRDefault="00813C10" w:rsidP="007D399E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 xml:space="preserve">Background information </w:t>
      </w:r>
    </w:p>
    <w:p w14:paraId="180942AF" w14:textId="786078E6" w:rsidR="00CC745E" w:rsidRPr="009100B8" w:rsidRDefault="004707C6" w:rsidP="00333B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During the study period</w:t>
      </w:r>
      <w:r w:rsidR="005A75D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298</w:t>
      </w:r>
      <w:r w:rsidR="005D5BC7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428 live births occurred. The rate of cesarean deliveries increased from 18.3% (2006) to 22.7% (2022)</w:t>
      </w:r>
      <w:r w:rsidR="007E30AC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</w:t>
      </w:r>
      <w:r w:rsidR="00085D59" w:rsidRPr="009100B8">
        <w:rPr>
          <w:rFonts w:cstheme="minorHAnsi"/>
          <w:sz w:val="24"/>
          <w:szCs w:val="24"/>
        </w:rPr>
        <w:t xml:space="preserve">with an overall </w:t>
      </w:r>
      <w:r w:rsidR="00DA18D9" w:rsidRPr="009100B8">
        <w:rPr>
          <w:rFonts w:cstheme="minorHAnsi"/>
          <w:sz w:val="24"/>
          <w:szCs w:val="24"/>
        </w:rPr>
        <w:t>frequency</w:t>
      </w:r>
      <w:r w:rsidR="00085D59" w:rsidRPr="009100B8">
        <w:rPr>
          <w:rFonts w:cstheme="minorHAnsi"/>
          <w:sz w:val="24"/>
          <w:szCs w:val="24"/>
        </w:rPr>
        <w:t xml:space="preserve"> of 18.5% (n=54 788). </w:t>
      </w:r>
      <w:r w:rsidRPr="009100B8">
        <w:rPr>
          <w:rFonts w:cstheme="minorHAnsi"/>
          <w:sz w:val="24"/>
          <w:szCs w:val="24"/>
        </w:rPr>
        <w:t>The fertility rate in all women was 1.57 over the study period</w:t>
      </w:r>
      <w:r w:rsidR="00401AF9">
        <w:rPr>
          <w:rFonts w:cstheme="minorHAnsi"/>
          <w:sz w:val="24"/>
          <w:szCs w:val="24"/>
        </w:rPr>
        <w:t xml:space="preserve"> (</w:t>
      </w:r>
      <w:r w:rsidRPr="009100B8">
        <w:rPr>
          <w:rFonts w:cstheme="minorHAnsi"/>
          <w:sz w:val="24"/>
          <w:szCs w:val="24"/>
        </w:rPr>
        <w:t>women born in Finland 1.55, women from outside the European continent including Russia</w:t>
      </w:r>
      <w:r w:rsidR="00CF55D4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2.24</w:t>
      </w:r>
      <w:r w:rsidR="00401AF9">
        <w:rPr>
          <w:rFonts w:cstheme="minorHAnsi"/>
          <w:sz w:val="24"/>
          <w:szCs w:val="24"/>
        </w:rPr>
        <w:t xml:space="preserve">, </w:t>
      </w:r>
      <w:r w:rsidR="007E30AC">
        <w:rPr>
          <w:rFonts w:cstheme="minorHAnsi"/>
          <w:sz w:val="24"/>
          <w:szCs w:val="24"/>
        </w:rPr>
        <w:t xml:space="preserve">and </w:t>
      </w:r>
      <w:r w:rsidRPr="009100B8">
        <w:rPr>
          <w:rFonts w:cstheme="minorHAnsi"/>
          <w:sz w:val="24"/>
          <w:szCs w:val="24"/>
        </w:rPr>
        <w:t xml:space="preserve">women </w:t>
      </w:r>
      <w:r w:rsidR="00401AF9">
        <w:rPr>
          <w:rFonts w:cstheme="minorHAnsi"/>
          <w:sz w:val="24"/>
          <w:szCs w:val="24"/>
        </w:rPr>
        <w:t>from</w:t>
      </w:r>
      <w:r w:rsidRPr="009100B8">
        <w:rPr>
          <w:rFonts w:cstheme="minorHAnsi"/>
          <w:sz w:val="24"/>
          <w:szCs w:val="24"/>
        </w:rPr>
        <w:t xml:space="preserve"> Africa</w:t>
      </w:r>
      <w:r w:rsidR="007E30AC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3.45</w:t>
      </w:r>
      <w:r w:rsidR="00401AF9">
        <w:rPr>
          <w:rFonts w:cstheme="minorHAnsi"/>
          <w:sz w:val="24"/>
          <w:szCs w:val="24"/>
        </w:rPr>
        <w:t>)</w:t>
      </w:r>
      <w:r w:rsidRPr="009100B8">
        <w:rPr>
          <w:rFonts w:cstheme="minorHAnsi"/>
          <w:sz w:val="24"/>
          <w:szCs w:val="24"/>
        </w:rPr>
        <w:t xml:space="preserve">. The </w:t>
      </w:r>
      <w:r w:rsidR="003820D4" w:rsidRPr="009100B8">
        <w:rPr>
          <w:rFonts w:cstheme="minorHAnsi"/>
          <w:sz w:val="24"/>
          <w:szCs w:val="24"/>
        </w:rPr>
        <w:t xml:space="preserve">mean </w:t>
      </w:r>
      <w:r w:rsidR="00CC6492" w:rsidRPr="009100B8">
        <w:rPr>
          <w:rFonts w:cstheme="minorHAnsi"/>
          <w:sz w:val="24"/>
          <w:szCs w:val="24"/>
        </w:rPr>
        <w:t>rate</w:t>
      </w:r>
      <w:r w:rsidRPr="009100B8">
        <w:rPr>
          <w:rFonts w:cstheme="minorHAnsi"/>
          <w:sz w:val="24"/>
          <w:szCs w:val="24"/>
        </w:rPr>
        <w:t xml:space="preserve"> of the immigrant population in South Finland between 2006 to 2022 was 7.1% </w:t>
      </w:r>
      <w:r w:rsidR="00CF55D4" w:rsidRPr="009100B8">
        <w:rPr>
          <w:rFonts w:cstheme="minorHAnsi"/>
          <w:sz w:val="24"/>
          <w:szCs w:val="24"/>
        </w:rPr>
        <w:t>(</w:t>
      </w:r>
      <w:hyperlink r:id="rId12" w:history="1">
        <w:r w:rsidR="00CF55D4" w:rsidRPr="009100B8">
          <w:rPr>
            <w:rStyle w:val="Hyperlink"/>
            <w:rFonts w:cstheme="minorHAnsi"/>
            <w:sz w:val="24"/>
            <w:szCs w:val="24"/>
          </w:rPr>
          <w:t>www.stat.fi</w:t>
        </w:r>
      </w:hyperlink>
      <w:r w:rsidR="00CF55D4" w:rsidRPr="009100B8">
        <w:rPr>
          <w:rFonts w:cstheme="minorHAnsi"/>
          <w:sz w:val="24"/>
          <w:szCs w:val="24"/>
        </w:rPr>
        <w:t>)</w:t>
      </w:r>
      <w:r w:rsidRPr="009100B8">
        <w:rPr>
          <w:rFonts w:cstheme="minorHAnsi"/>
          <w:sz w:val="24"/>
          <w:szCs w:val="24"/>
        </w:rPr>
        <w:t xml:space="preserve">. </w:t>
      </w:r>
    </w:p>
    <w:p w14:paraId="3ECA8AFA" w14:textId="532615A1" w:rsidR="00680DE1" w:rsidRPr="009100B8" w:rsidRDefault="00000909" w:rsidP="00333B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Of all newborn</w:t>
      </w:r>
      <w:r w:rsidR="005A75DD">
        <w:rPr>
          <w:rFonts w:cstheme="minorHAnsi"/>
          <w:sz w:val="24"/>
          <w:szCs w:val="24"/>
        </w:rPr>
        <w:t>s,</w:t>
      </w:r>
      <w:r w:rsidR="004707C6" w:rsidRPr="009100B8">
        <w:rPr>
          <w:rFonts w:cstheme="minorHAnsi"/>
          <w:sz w:val="24"/>
          <w:szCs w:val="24"/>
        </w:rPr>
        <w:t xml:space="preserve"> 600 had a BPBI</w:t>
      </w:r>
      <w:r w:rsidR="007E30AC">
        <w:rPr>
          <w:rFonts w:cstheme="minorHAnsi"/>
          <w:sz w:val="24"/>
          <w:szCs w:val="24"/>
        </w:rPr>
        <w:t>,</w:t>
      </w:r>
      <w:r w:rsidR="004707C6" w:rsidRPr="009100B8">
        <w:rPr>
          <w:rFonts w:cstheme="minorHAnsi"/>
          <w:sz w:val="24"/>
          <w:szCs w:val="24"/>
        </w:rPr>
        <w:t xml:space="preserve"> of which 100 (51 girls) </w:t>
      </w:r>
      <w:r w:rsidR="001A5265" w:rsidRPr="009100B8">
        <w:rPr>
          <w:rFonts w:cstheme="minorHAnsi"/>
          <w:sz w:val="24"/>
          <w:szCs w:val="24"/>
        </w:rPr>
        <w:t>were</w:t>
      </w:r>
      <w:r w:rsidR="004707C6" w:rsidRPr="009100B8">
        <w:rPr>
          <w:rFonts w:cstheme="minorHAnsi"/>
          <w:sz w:val="24"/>
          <w:szCs w:val="24"/>
        </w:rPr>
        <w:t xml:space="preserve"> permanent (16.7%). Of the </w:t>
      </w:r>
      <w:r w:rsidR="001A5265" w:rsidRPr="009100B8">
        <w:rPr>
          <w:rFonts w:cstheme="minorHAnsi"/>
          <w:sz w:val="24"/>
          <w:szCs w:val="24"/>
        </w:rPr>
        <w:t xml:space="preserve">100 </w:t>
      </w:r>
      <w:r w:rsidR="004707C6" w:rsidRPr="009100B8">
        <w:rPr>
          <w:rFonts w:cstheme="minorHAnsi"/>
          <w:sz w:val="24"/>
          <w:szCs w:val="24"/>
        </w:rPr>
        <w:t>children with a permanent injury</w:t>
      </w:r>
      <w:r w:rsidR="005A75DD">
        <w:rPr>
          <w:rFonts w:cstheme="minorHAnsi"/>
          <w:sz w:val="24"/>
          <w:szCs w:val="24"/>
        </w:rPr>
        <w:t>,</w:t>
      </w:r>
      <w:r w:rsidR="004707C6" w:rsidRPr="009100B8">
        <w:rPr>
          <w:rFonts w:cstheme="minorHAnsi"/>
          <w:sz w:val="24"/>
          <w:szCs w:val="24"/>
        </w:rPr>
        <w:t xml:space="preserve"> 98 were born</w:t>
      </w:r>
      <w:r w:rsidR="00A905F6" w:rsidRPr="009100B8">
        <w:rPr>
          <w:rFonts w:cstheme="minorHAnsi"/>
          <w:sz w:val="24"/>
          <w:szCs w:val="24"/>
        </w:rPr>
        <w:t xml:space="preserve"> vaginally</w:t>
      </w:r>
      <w:r w:rsidR="004707C6" w:rsidRPr="009100B8">
        <w:rPr>
          <w:rFonts w:cstheme="minorHAnsi"/>
          <w:sz w:val="24"/>
          <w:szCs w:val="24"/>
        </w:rPr>
        <w:t xml:space="preserve"> (six breech) and </w:t>
      </w:r>
      <w:r w:rsidR="005A75DD">
        <w:rPr>
          <w:rFonts w:cstheme="minorHAnsi"/>
          <w:sz w:val="24"/>
          <w:szCs w:val="24"/>
        </w:rPr>
        <w:t>two</w:t>
      </w:r>
      <w:r w:rsidR="004707C6" w:rsidRPr="009100B8">
        <w:rPr>
          <w:rFonts w:cstheme="minorHAnsi"/>
          <w:sz w:val="24"/>
          <w:szCs w:val="24"/>
        </w:rPr>
        <w:t xml:space="preserve"> </w:t>
      </w:r>
      <w:r w:rsidR="005D5BC7">
        <w:rPr>
          <w:rFonts w:cstheme="minorHAnsi"/>
          <w:sz w:val="24"/>
          <w:szCs w:val="24"/>
        </w:rPr>
        <w:t>via</w:t>
      </w:r>
      <w:r w:rsidR="004707C6" w:rsidRPr="009100B8">
        <w:rPr>
          <w:rFonts w:cstheme="minorHAnsi"/>
          <w:sz w:val="24"/>
          <w:szCs w:val="24"/>
        </w:rPr>
        <w:t xml:space="preserve"> emergency cesareans (breech 1, placental ablation 1). All except two</w:t>
      </w:r>
      <w:r w:rsidR="00B34262" w:rsidRPr="009100B8">
        <w:rPr>
          <w:rFonts w:cstheme="minorHAnsi"/>
          <w:sz w:val="24"/>
          <w:szCs w:val="24"/>
        </w:rPr>
        <w:t xml:space="preserve"> deliveries</w:t>
      </w:r>
      <w:r w:rsidR="004707C6" w:rsidRPr="009100B8">
        <w:rPr>
          <w:rFonts w:cstheme="minorHAnsi"/>
          <w:sz w:val="24"/>
          <w:szCs w:val="24"/>
        </w:rPr>
        <w:t xml:space="preserve"> (both breech at 28 and 29 gestational weeks) were full</w:t>
      </w:r>
      <w:r w:rsidR="005D5BC7">
        <w:rPr>
          <w:rFonts w:cstheme="minorHAnsi"/>
          <w:sz w:val="24"/>
          <w:szCs w:val="24"/>
        </w:rPr>
        <w:t>-</w:t>
      </w:r>
      <w:r w:rsidR="004707C6" w:rsidRPr="009100B8">
        <w:rPr>
          <w:rFonts w:cstheme="minorHAnsi"/>
          <w:sz w:val="24"/>
          <w:szCs w:val="24"/>
        </w:rPr>
        <w:t xml:space="preserve">term with a mean pregnancy </w:t>
      </w:r>
      <w:r w:rsidR="005D5BC7">
        <w:rPr>
          <w:rFonts w:cstheme="minorHAnsi"/>
          <w:sz w:val="24"/>
          <w:szCs w:val="24"/>
        </w:rPr>
        <w:t xml:space="preserve">duration </w:t>
      </w:r>
      <w:r w:rsidR="004707C6" w:rsidRPr="009100B8">
        <w:rPr>
          <w:rFonts w:cstheme="minorHAnsi"/>
          <w:sz w:val="24"/>
          <w:szCs w:val="24"/>
        </w:rPr>
        <w:t>of 39.9 weeks (range, 28.9</w:t>
      </w:r>
      <w:r w:rsidR="005A75DD">
        <w:rPr>
          <w:rFonts w:cstheme="minorHAnsi"/>
          <w:sz w:val="24"/>
          <w:szCs w:val="24"/>
        </w:rPr>
        <w:t>–</w:t>
      </w:r>
      <w:r w:rsidR="004707C6" w:rsidRPr="009100B8">
        <w:rPr>
          <w:rFonts w:cstheme="minorHAnsi"/>
          <w:sz w:val="24"/>
          <w:szCs w:val="24"/>
        </w:rPr>
        <w:t>42.1, SD 2.1). The injury was right</w:t>
      </w:r>
      <w:r w:rsidR="005A75DD">
        <w:rPr>
          <w:rFonts w:cstheme="minorHAnsi"/>
          <w:sz w:val="24"/>
          <w:szCs w:val="24"/>
        </w:rPr>
        <w:t>-</w:t>
      </w:r>
      <w:r w:rsidR="004707C6" w:rsidRPr="009100B8">
        <w:rPr>
          <w:rFonts w:cstheme="minorHAnsi"/>
          <w:sz w:val="24"/>
          <w:szCs w:val="24"/>
        </w:rPr>
        <w:t>sided in 54</w:t>
      </w:r>
      <w:r w:rsidR="00CC6492" w:rsidRPr="009100B8">
        <w:rPr>
          <w:rFonts w:cstheme="minorHAnsi"/>
          <w:sz w:val="24"/>
          <w:szCs w:val="24"/>
        </w:rPr>
        <w:t xml:space="preserve"> (</w:t>
      </w:r>
      <w:r w:rsidR="004707C6" w:rsidRPr="009100B8">
        <w:rPr>
          <w:rFonts w:cstheme="minorHAnsi"/>
          <w:sz w:val="24"/>
          <w:szCs w:val="24"/>
        </w:rPr>
        <w:t>two bilateral</w:t>
      </w:r>
      <w:r w:rsidR="00401AF9">
        <w:rPr>
          <w:rFonts w:cstheme="minorHAnsi"/>
          <w:sz w:val="24"/>
          <w:szCs w:val="24"/>
        </w:rPr>
        <w:t>, both breech</w:t>
      </w:r>
      <w:r w:rsidR="00CC6492" w:rsidRPr="009100B8">
        <w:rPr>
          <w:rFonts w:cstheme="minorHAnsi"/>
          <w:sz w:val="24"/>
          <w:szCs w:val="24"/>
        </w:rPr>
        <w:t>)</w:t>
      </w:r>
      <w:r w:rsidR="004707C6" w:rsidRPr="009100B8">
        <w:rPr>
          <w:rFonts w:cstheme="minorHAnsi"/>
          <w:sz w:val="24"/>
          <w:szCs w:val="24"/>
        </w:rPr>
        <w:t>. The mean 3MTS was 5.6 (range, 0</w:t>
      </w:r>
      <w:r w:rsidR="005D5BC7">
        <w:rPr>
          <w:rFonts w:cstheme="minorHAnsi"/>
          <w:sz w:val="24"/>
          <w:szCs w:val="24"/>
        </w:rPr>
        <w:t>–</w:t>
      </w:r>
      <w:r w:rsidR="004707C6" w:rsidRPr="009100B8">
        <w:rPr>
          <w:rFonts w:cstheme="minorHAnsi"/>
          <w:sz w:val="24"/>
          <w:szCs w:val="24"/>
        </w:rPr>
        <w:t xml:space="preserve">9.3, SD 2.2). </w:t>
      </w:r>
      <w:r w:rsidR="005B205A" w:rsidRPr="009100B8">
        <w:rPr>
          <w:rFonts w:cstheme="minorHAnsi"/>
          <w:sz w:val="24"/>
          <w:szCs w:val="24"/>
        </w:rPr>
        <w:t>Thirty-two</w:t>
      </w:r>
      <w:r w:rsidR="004707C6" w:rsidRPr="009100B8">
        <w:rPr>
          <w:rFonts w:cstheme="minorHAnsi"/>
          <w:sz w:val="24"/>
          <w:szCs w:val="24"/>
        </w:rPr>
        <w:t xml:space="preserve"> (32</w:t>
      </w:r>
      <w:r w:rsidR="00085D59" w:rsidRPr="009100B8">
        <w:rPr>
          <w:rFonts w:cstheme="minorHAnsi"/>
          <w:sz w:val="24"/>
          <w:szCs w:val="24"/>
        </w:rPr>
        <w:t>%</w:t>
      </w:r>
      <w:r w:rsidR="004707C6" w:rsidRPr="009100B8">
        <w:rPr>
          <w:rFonts w:cstheme="minorHAnsi"/>
          <w:sz w:val="24"/>
          <w:szCs w:val="24"/>
        </w:rPr>
        <w:t>) of the children with a permanent injury were born to immigrant mothers,</w:t>
      </w:r>
      <w:r w:rsidR="00BE58F8" w:rsidRPr="009100B8">
        <w:rPr>
          <w:rFonts w:cstheme="minorHAnsi"/>
          <w:sz w:val="24"/>
          <w:szCs w:val="24"/>
        </w:rPr>
        <w:t xml:space="preserve"> of which</w:t>
      </w:r>
      <w:r w:rsidR="004707C6" w:rsidRPr="009100B8">
        <w:rPr>
          <w:rFonts w:cstheme="minorHAnsi"/>
          <w:sz w:val="24"/>
          <w:szCs w:val="24"/>
        </w:rPr>
        <w:t xml:space="preserve"> half (n=18, 56%) </w:t>
      </w:r>
      <w:r w:rsidR="00072FC6" w:rsidRPr="009100B8">
        <w:rPr>
          <w:rFonts w:cstheme="minorHAnsi"/>
          <w:sz w:val="24"/>
          <w:szCs w:val="24"/>
        </w:rPr>
        <w:t xml:space="preserve">were </w:t>
      </w:r>
      <w:r w:rsidR="00C96FA4" w:rsidRPr="009100B8">
        <w:rPr>
          <w:rFonts w:cstheme="minorHAnsi"/>
          <w:sz w:val="24"/>
          <w:szCs w:val="24"/>
        </w:rPr>
        <w:t>Bl</w:t>
      </w:r>
      <w:r w:rsidR="008959C5" w:rsidRPr="009100B8">
        <w:rPr>
          <w:rFonts w:cstheme="minorHAnsi"/>
          <w:sz w:val="24"/>
          <w:szCs w:val="24"/>
        </w:rPr>
        <w:t>ack</w:t>
      </w:r>
      <w:r w:rsidR="00C96FA4" w:rsidRPr="009100B8">
        <w:rPr>
          <w:rFonts w:cstheme="minorHAnsi"/>
          <w:sz w:val="24"/>
          <w:szCs w:val="24"/>
        </w:rPr>
        <w:t xml:space="preserve"> African immigrants</w:t>
      </w:r>
      <w:r w:rsidR="004707C6" w:rsidRPr="009100B8">
        <w:rPr>
          <w:rFonts w:cstheme="minorHAnsi"/>
          <w:sz w:val="24"/>
          <w:szCs w:val="24"/>
        </w:rPr>
        <w:t xml:space="preserve">. </w:t>
      </w:r>
      <w:r w:rsidR="003066E2" w:rsidRPr="009100B8">
        <w:rPr>
          <w:rFonts w:cstheme="minorHAnsi"/>
          <w:sz w:val="24"/>
          <w:szCs w:val="24"/>
        </w:rPr>
        <w:t xml:space="preserve">The remaining </w:t>
      </w:r>
      <w:r w:rsidR="00E75643" w:rsidRPr="009100B8">
        <w:rPr>
          <w:rFonts w:cstheme="minorHAnsi"/>
          <w:sz w:val="24"/>
          <w:szCs w:val="24"/>
        </w:rPr>
        <w:t>1</w:t>
      </w:r>
      <w:r w:rsidR="00B8222A" w:rsidRPr="009100B8">
        <w:rPr>
          <w:rFonts w:cstheme="minorHAnsi"/>
          <w:sz w:val="24"/>
          <w:szCs w:val="24"/>
        </w:rPr>
        <w:t xml:space="preserve">4 </w:t>
      </w:r>
      <w:r w:rsidR="003066E2" w:rsidRPr="009100B8">
        <w:rPr>
          <w:rFonts w:cstheme="minorHAnsi"/>
          <w:sz w:val="24"/>
          <w:szCs w:val="24"/>
        </w:rPr>
        <w:t xml:space="preserve">children </w:t>
      </w:r>
      <w:r w:rsidR="004707C6" w:rsidRPr="009100B8">
        <w:rPr>
          <w:rFonts w:cstheme="minorHAnsi"/>
          <w:sz w:val="24"/>
          <w:szCs w:val="24"/>
        </w:rPr>
        <w:t>were</w:t>
      </w:r>
      <w:r w:rsidR="00E75643" w:rsidRPr="009100B8">
        <w:rPr>
          <w:rFonts w:cstheme="minorHAnsi"/>
          <w:sz w:val="24"/>
          <w:szCs w:val="24"/>
        </w:rPr>
        <w:t xml:space="preserve"> born to immigrants</w:t>
      </w:r>
      <w:r w:rsidR="004707C6" w:rsidRPr="009100B8">
        <w:rPr>
          <w:rFonts w:cstheme="minorHAnsi"/>
          <w:sz w:val="24"/>
          <w:szCs w:val="24"/>
        </w:rPr>
        <w:t xml:space="preserve"> from Europe (n=8, Caucasian), Asia (n=5, Asian)</w:t>
      </w:r>
      <w:r w:rsidR="005A75DD">
        <w:rPr>
          <w:rFonts w:cstheme="minorHAnsi"/>
          <w:sz w:val="24"/>
          <w:szCs w:val="24"/>
        </w:rPr>
        <w:t>,</w:t>
      </w:r>
      <w:r w:rsidR="004707C6" w:rsidRPr="009100B8">
        <w:rPr>
          <w:rFonts w:cstheme="minorHAnsi"/>
          <w:sz w:val="24"/>
          <w:szCs w:val="24"/>
        </w:rPr>
        <w:t xml:space="preserve"> and South America (n=1, Hispanic). All native mothers (n=68) were Caucasian. An interpreter was </w:t>
      </w:r>
      <w:r w:rsidR="00AF75DC" w:rsidRPr="009100B8">
        <w:rPr>
          <w:rFonts w:cstheme="minorHAnsi"/>
          <w:sz w:val="24"/>
          <w:szCs w:val="24"/>
        </w:rPr>
        <w:t>used</w:t>
      </w:r>
      <w:r w:rsidR="004707C6" w:rsidRPr="009100B8">
        <w:rPr>
          <w:rFonts w:cstheme="minorHAnsi"/>
          <w:sz w:val="24"/>
          <w:szCs w:val="24"/>
        </w:rPr>
        <w:t xml:space="preserve"> in 22/32 initial evaluations at the Helsinki Children’s </w:t>
      </w:r>
      <w:r w:rsidR="007E30AC">
        <w:rPr>
          <w:rFonts w:cstheme="minorHAnsi"/>
          <w:sz w:val="24"/>
          <w:szCs w:val="24"/>
        </w:rPr>
        <w:t>H</w:t>
      </w:r>
      <w:r w:rsidR="004707C6" w:rsidRPr="009100B8">
        <w:rPr>
          <w:rFonts w:cstheme="minorHAnsi"/>
          <w:sz w:val="24"/>
          <w:szCs w:val="24"/>
        </w:rPr>
        <w:t>ospital as the parent</w:t>
      </w:r>
      <w:r w:rsidR="005A75DD">
        <w:rPr>
          <w:rFonts w:cstheme="minorHAnsi"/>
          <w:sz w:val="24"/>
          <w:szCs w:val="24"/>
        </w:rPr>
        <w:t>(</w:t>
      </w:r>
      <w:r w:rsidR="004707C6" w:rsidRPr="009100B8">
        <w:rPr>
          <w:rFonts w:cstheme="minorHAnsi"/>
          <w:sz w:val="24"/>
          <w:szCs w:val="24"/>
        </w:rPr>
        <w:t>s</w:t>
      </w:r>
      <w:r w:rsidR="005A75DD">
        <w:rPr>
          <w:rFonts w:cstheme="minorHAnsi"/>
          <w:sz w:val="24"/>
          <w:szCs w:val="24"/>
        </w:rPr>
        <w:t>)</w:t>
      </w:r>
      <w:r w:rsidR="004707C6" w:rsidRPr="009100B8">
        <w:rPr>
          <w:rFonts w:cstheme="minorHAnsi"/>
          <w:sz w:val="24"/>
          <w:szCs w:val="24"/>
        </w:rPr>
        <w:t xml:space="preserve"> spoke neither Finnish, Swedish</w:t>
      </w:r>
      <w:r w:rsidR="005A75DD">
        <w:rPr>
          <w:rFonts w:cstheme="minorHAnsi"/>
          <w:sz w:val="24"/>
          <w:szCs w:val="24"/>
        </w:rPr>
        <w:t>,</w:t>
      </w:r>
      <w:r w:rsidR="00E678BD">
        <w:rPr>
          <w:rFonts w:cstheme="minorHAnsi"/>
          <w:sz w:val="24"/>
          <w:szCs w:val="24"/>
        </w:rPr>
        <w:t xml:space="preserve"> nor English</w:t>
      </w:r>
      <w:r w:rsidR="004707C6" w:rsidRPr="009100B8">
        <w:rPr>
          <w:rFonts w:cstheme="minorHAnsi"/>
          <w:sz w:val="24"/>
          <w:szCs w:val="24"/>
        </w:rPr>
        <w:t xml:space="preserve">. </w:t>
      </w:r>
      <w:r w:rsidR="005A75DD">
        <w:rPr>
          <w:rFonts w:cstheme="minorHAnsi"/>
          <w:sz w:val="24"/>
          <w:szCs w:val="24"/>
        </w:rPr>
        <w:t>Tables 1 and 2 present f</w:t>
      </w:r>
      <w:r w:rsidR="004707C6" w:rsidRPr="009100B8">
        <w:rPr>
          <w:rFonts w:cstheme="minorHAnsi"/>
          <w:sz w:val="24"/>
          <w:szCs w:val="24"/>
        </w:rPr>
        <w:t>urther birth and maternal characteristics</w:t>
      </w:r>
      <w:r w:rsidR="005A75DD">
        <w:rPr>
          <w:rFonts w:cstheme="minorHAnsi"/>
          <w:sz w:val="24"/>
          <w:szCs w:val="24"/>
        </w:rPr>
        <w:t>.</w:t>
      </w:r>
      <w:r w:rsidR="00680DE1" w:rsidRPr="009100B8">
        <w:rPr>
          <w:rFonts w:cstheme="minorHAnsi"/>
          <w:b/>
          <w:sz w:val="24"/>
          <w:szCs w:val="24"/>
        </w:rPr>
        <w:br w:type="page"/>
      </w:r>
    </w:p>
    <w:p w14:paraId="1E293762" w14:textId="5D54BA2B" w:rsidR="005F5744" w:rsidRPr="009100B8" w:rsidRDefault="00813C10" w:rsidP="007D399E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Data analysis and s</w:t>
      </w:r>
      <w:r w:rsidR="005F5744" w:rsidRPr="009100B8">
        <w:rPr>
          <w:rFonts w:cstheme="minorHAnsi"/>
          <w:b/>
          <w:sz w:val="24"/>
          <w:szCs w:val="24"/>
        </w:rPr>
        <w:t>tatistics:</w:t>
      </w:r>
    </w:p>
    <w:p w14:paraId="2E3E6160" w14:textId="6E321772" w:rsidR="00CB3912" w:rsidRPr="009100B8" w:rsidRDefault="00485BB9" w:rsidP="007D399E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bCs/>
          <w:sz w:val="24"/>
          <w:szCs w:val="24"/>
        </w:rPr>
        <w:t>Maternal and delivery</w:t>
      </w:r>
      <w:r w:rsidR="00E35A47" w:rsidRPr="009100B8">
        <w:rPr>
          <w:rFonts w:cstheme="minorHAnsi"/>
          <w:bCs/>
          <w:sz w:val="24"/>
          <w:szCs w:val="24"/>
        </w:rPr>
        <w:t xml:space="preserve"> characteristics were compared using the chi-square and t-test</w:t>
      </w:r>
      <w:r w:rsidR="005D5BC7">
        <w:rPr>
          <w:rFonts w:cstheme="minorHAnsi"/>
          <w:bCs/>
          <w:sz w:val="24"/>
          <w:szCs w:val="24"/>
        </w:rPr>
        <w:t>s</w:t>
      </w:r>
      <w:r w:rsidR="00E35A47" w:rsidRPr="009100B8">
        <w:rPr>
          <w:rFonts w:cstheme="minorHAnsi"/>
          <w:bCs/>
          <w:sz w:val="24"/>
          <w:szCs w:val="24"/>
        </w:rPr>
        <w:t xml:space="preserve">. </w:t>
      </w:r>
      <w:r w:rsidR="007E30AC">
        <w:rPr>
          <w:rFonts w:cstheme="minorHAnsi"/>
          <w:bCs/>
          <w:sz w:val="24"/>
          <w:szCs w:val="24"/>
        </w:rPr>
        <w:t>A s</w:t>
      </w:r>
      <w:r w:rsidR="00E35A47" w:rsidRPr="009100B8">
        <w:rPr>
          <w:rFonts w:cstheme="minorHAnsi"/>
          <w:bCs/>
          <w:sz w:val="24"/>
          <w:szCs w:val="24"/>
        </w:rPr>
        <w:t>imilar comparison detect</w:t>
      </w:r>
      <w:r w:rsidR="007E30AC">
        <w:rPr>
          <w:rFonts w:cstheme="minorHAnsi"/>
          <w:bCs/>
          <w:sz w:val="24"/>
          <w:szCs w:val="24"/>
        </w:rPr>
        <w:t>ed</w:t>
      </w:r>
      <w:r w:rsidR="00E35A47" w:rsidRPr="009100B8">
        <w:rPr>
          <w:rFonts w:cstheme="minorHAnsi"/>
          <w:bCs/>
          <w:sz w:val="24"/>
          <w:szCs w:val="24"/>
        </w:rPr>
        <w:t xml:space="preserve"> differences between women and children of different ethnic backgrounds. </w:t>
      </w:r>
      <w:r w:rsidR="00E35A47" w:rsidRPr="009100B8">
        <w:rPr>
          <w:rFonts w:cstheme="minorHAnsi"/>
          <w:color w:val="242424"/>
          <w:sz w:val="24"/>
          <w:szCs w:val="24"/>
          <w:shd w:val="clear" w:color="auto" w:fill="FFFFFF"/>
        </w:rPr>
        <w:t xml:space="preserve">Associations </w:t>
      </w:r>
      <w:r w:rsidR="005D5BC7">
        <w:rPr>
          <w:rFonts w:cstheme="minorHAnsi"/>
          <w:color w:val="242424"/>
          <w:sz w:val="24"/>
          <w:szCs w:val="24"/>
          <w:shd w:val="clear" w:color="auto" w:fill="FFFFFF"/>
        </w:rPr>
        <w:t>with</w:t>
      </w:r>
      <w:r w:rsidR="005D5BC7" w:rsidRPr="009100B8">
        <w:rPr>
          <w:rFonts w:cstheme="minorHAnsi"/>
          <w:color w:val="242424"/>
          <w:sz w:val="24"/>
          <w:szCs w:val="24"/>
          <w:shd w:val="clear" w:color="auto" w:fill="FFFFFF"/>
        </w:rPr>
        <w:t xml:space="preserve"> </w:t>
      </w:r>
      <w:r w:rsidR="00C96FA4" w:rsidRPr="009100B8">
        <w:rPr>
          <w:rFonts w:cstheme="minorHAnsi"/>
          <w:color w:val="242424"/>
          <w:sz w:val="24"/>
          <w:szCs w:val="24"/>
          <w:shd w:val="clear" w:color="auto" w:fill="FFFFFF"/>
        </w:rPr>
        <w:t>the severity of the</w:t>
      </w:r>
      <w:r w:rsidR="00E35A47" w:rsidRPr="009100B8">
        <w:rPr>
          <w:rFonts w:cstheme="minorHAnsi"/>
          <w:color w:val="242424"/>
          <w:sz w:val="24"/>
          <w:szCs w:val="24"/>
          <w:shd w:val="clear" w:color="auto" w:fill="FFFFFF"/>
        </w:rPr>
        <w:t xml:space="preserve"> injury was investigated by fitting linear regression models for the 3MTS</w:t>
      </w:r>
      <w:r w:rsidR="005D5BC7">
        <w:rPr>
          <w:rFonts w:cstheme="minorHAnsi"/>
          <w:color w:val="242424"/>
          <w:sz w:val="24"/>
          <w:szCs w:val="24"/>
          <w:shd w:val="clear" w:color="auto" w:fill="FFFFFF"/>
        </w:rPr>
        <w:t xml:space="preserve"> </w:t>
      </w:r>
      <w:r w:rsidRPr="009100B8">
        <w:rPr>
          <w:rFonts w:cstheme="minorHAnsi"/>
          <w:color w:val="242424"/>
          <w:sz w:val="24"/>
          <w:szCs w:val="24"/>
          <w:shd w:val="clear" w:color="auto" w:fill="FFFFFF"/>
        </w:rPr>
        <w:t>score</w:t>
      </w:r>
      <w:r w:rsidR="00E35A47" w:rsidRPr="009100B8">
        <w:rPr>
          <w:rFonts w:cstheme="minorHAnsi"/>
          <w:color w:val="242424"/>
          <w:sz w:val="24"/>
          <w:szCs w:val="24"/>
          <w:shd w:val="clear" w:color="auto" w:fill="FFFFFF"/>
        </w:rPr>
        <w:t xml:space="preserve">. </w:t>
      </w:r>
      <w:r w:rsidR="005A75DD">
        <w:rPr>
          <w:rFonts w:cstheme="minorHAnsi"/>
          <w:color w:val="242424"/>
          <w:sz w:val="24"/>
          <w:szCs w:val="24"/>
          <w:shd w:val="clear" w:color="auto" w:fill="FFFFFF"/>
        </w:rPr>
        <w:t>U</w:t>
      </w:r>
      <w:r w:rsidR="00E35A47" w:rsidRPr="009100B8">
        <w:rPr>
          <w:rFonts w:cstheme="minorHAnsi"/>
          <w:color w:val="242424"/>
          <w:sz w:val="24"/>
          <w:szCs w:val="24"/>
          <w:shd w:val="clear" w:color="auto" w:fill="FFFFFF"/>
        </w:rPr>
        <w:t xml:space="preserve">nivariate and multivariate models were used. </w:t>
      </w:r>
      <w:r w:rsidR="007E30AC">
        <w:rPr>
          <w:rFonts w:cstheme="minorHAnsi"/>
          <w:bCs/>
          <w:sz w:val="24"/>
          <w:szCs w:val="24"/>
        </w:rPr>
        <w:t>The l</w:t>
      </w:r>
      <w:r w:rsidR="00E35A47" w:rsidRPr="009100B8">
        <w:rPr>
          <w:rFonts w:cstheme="minorHAnsi"/>
          <w:bCs/>
          <w:sz w:val="24"/>
          <w:szCs w:val="24"/>
        </w:rPr>
        <w:t>evel of significance was set at p&lt;0.05.</w:t>
      </w:r>
      <w:r w:rsidR="006402CE" w:rsidRPr="009100B8">
        <w:rPr>
          <w:rFonts w:cstheme="minorHAnsi"/>
          <w:bCs/>
          <w:sz w:val="24"/>
          <w:szCs w:val="24"/>
        </w:rPr>
        <w:t xml:space="preserve"> </w:t>
      </w:r>
      <w:r w:rsidR="005B205A" w:rsidRPr="009100B8">
        <w:rPr>
          <w:rFonts w:cstheme="minorHAnsi"/>
          <w:bCs/>
          <w:sz w:val="24"/>
          <w:szCs w:val="24"/>
        </w:rPr>
        <w:t>Odds ratios (</w:t>
      </w:r>
      <w:r w:rsidR="006402CE" w:rsidRPr="009100B8">
        <w:rPr>
          <w:rFonts w:cstheme="minorHAnsi"/>
          <w:bCs/>
          <w:sz w:val="24"/>
          <w:szCs w:val="24"/>
        </w:rPr>
        <w:t>OR</w:t>
      </w:r>
      <w:r w:rsidR="005B205A" w:rsidRPr="009100B8">
        <w:rPr>
          <w:rFonts w:cstheme="minorHAnsi"/>
          <w:bCs/>
          <w:sz w:val="24"/>
          <w:szCs w:val="24"/>
        </w:rPr>
        <w:t>)</w:t>
      </w:r>
      <w:r w:rsidR="006402CE" w:rsidRPr="009100B8">
        <w:rPr>
          <w:rFonts w:cstheme="minorHAnsi"/>
          <w:bCs/>
          <w:sz w:val="24"/>
          <w:szCs w:val="24"/>
        </w:rPr>
        <w:t xml:space="preserve"> </w:t>
      </w:r>
      <w:r w:rsidR="005B205A" w:rsidRPr="009100B8">
        <w:rPr>
          <w:rFonts w:cstheme="minorHAnsi"/>
          <w:bCs/>
          <w:sz w:val="24"/>
          <w:szCs w:val="24"/>
        </w:rPr>
        <w:t xml:space="preserve">with </w:t>
      </w:r>
      <w:r w:rsidR="000D259E" w:rsidRPr="009100B8">
        <w:rPr>
          <w:rFonts w:cstheme="minorHAnsi"/>
          <w:bCs/>
          <w:sz w:val="24"/>
          <w:szCs w:val="24"/>
        </w:rPr>
        <w:t xml:space="preserve">95% confidence intervals (CI) </w:t>
      </w:r>
      <w:r w:rsidR="00085D59" w:rsidRPr="009100B8">
        <w:rPr>
          <w:rFonts w:cstheme="minorHAnsi"/>
          <w:bCs/>
          <w:sz w:val="24"/>
          <w:szCs w:val="24"/>
        </w:rPr>
        <w:t xml:space="preserve">for having a severe injury </w:t>
      </w:r>
      <w:r w:rsidR="00DA18D9" w:rsidRPr="009100B8">
        <w:rPr>
          <w:rFonts w:cstheme="minorHAnsi"/>
          <w:bCs/>
          <w:sz w:val="24"/>
          <w:szCs w:val="24"/>
        </w:rPr>
        <w:t xml:space="preserve">(3MTS ≤ 3.5) </w:t>
      </w:r>
      <w:r w:rsidR="007E30AC">
        <w:rPr>
          <w:rFonts w:cstheme="minorHAnsi"/>
          <w:bCs/>
          <w:sz w:val="24"/>
          <w:szCs w:val="24"/>
        </w:rPr>
        <w:t>were</w:t>
      </w:r>
      <w:r w:rsidR="00085D59" w:rsidRPr="009100B8">
        <w:rPr>
          <w:rFonts w:cstheme="minorHAnsi"/>
          <w:bCs/>
          <w:sz w:val="24"/>
          <w:szCs w:val="24"/>
        </w:rPr>
        <w:t xml:space="preserve"> calculated.</w:t>
      </w:r>
      <w:r w:rsidR="00CB3912" w:rsidRPr="009100B8">
        <w:rPr>
          <w:rFonts w:cstheme="minorHAnsi"/>
          <w:bCs/>
          <w:sz w:val="24"/>
          <w:szCs w:val="24"/>
        </w:rPr>
        <w:br w:type="page"/>
      </w:r>
    </w:p>
    <w:p w14:paraId="2A2A7140" w14:textId="77777777" w:rsidR="007D7209" w:rsidRPr="009100B8" w:rsidRDefault="007D7209" w:rsidP="007D399E">
      <w:pPr>
        <w:spacing w:line="480" w:lineRule="auto"/>
        <w:rPr>
          <w:rFonts w:cstheme="minorHAnsi"/>
          <w:b/>
          <w:sz w:val="24"/>
          <w:szCs w:val="24"/>
        </w:rPr>
      </w:pPr>
      <w:r w:rsidRPr="009100B8">
        <w:rPr>
          <w:rFonts w:cstheme="minorHAnsi"/>
          <w:b/>
          <w:sz w:val="24"/>
          <w:szCs w:val="24"/>
        </w:rPr>
        <w:t>Result</w:t>
      </w:r>
      <w:r w:rsidR="00E41445" w:rsidRPr="009100B8">
        <w:rPr>
          <w:rFonts w:cstheme="minorHAnsi"/>
          <w:b/>
          <w:sz w:val="24"/>
          <w:szCs w:val="24"/>
        </w:rPr>
        <w:t>s</w:t>
      </w:r>
      <w:r w:rsidRPr="009100B8">
        <w:rPr>
          <w:rFonts w:cstheme="minorHAnsi"/>
          <w:b/>
          <w:sz w:val="24"/>
          <w:szCs w:val="24"/>
        </w:rPr>
        <w:t>:</w:t>
      </w:r>
    </w:p>
    <w:p w14:paraId="5A094584" w14:textId="77062342" w:rsidR="00197F5D" w:rsidRPr="009100B8" w:rsidRDefault="00DA18D9" w:rsidP="00197F5D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The mean calculated risk for a permanent BPBI in Southern Finland over the study period was 0.40 per 1000 vaginal live births, while the same for all </w:t>
      </w:r>
      <w:r w:rsidR="00DF7F1C">
        <w:rPr>
          <w:rFonts w:cstheme="minorHAnsi"/>
          <w:sz w:val="24"/>
          <w:szCs w:val="24"/>
        </w:rPr>
        <w:t>deliveries</w:t>
      </w:r>
      <w:r w:rsidRPr="009100B8">
        <w:rPr>
          <w:rFonts w:cstheme="minorHAnsi"/>
          <w:sz w:val="24"/>
          <w:szCs w:val="24"/>
        </w:rPr>
        <w:t xml:space="preserve"> was 0.34. </w:t>
      </w:r>
      <w:r w:rsidR="00085D59" w:rsidRPr="009100B8">
        <w:rPr>
          <w:rFonts w:cstheme="minorHAnsi"/>
          <w:sz w:val="24"/>
          <w:szCs w:val="24"/>
        </w:rPr>
        <w:t>The incidence show</w:t>
      </w:r>
      <w:r w:rsidRPr="009100B8">
        <w:rPr>
          <w:rFonts w:cstheme="minorHAnsi"/>
          <w:sz w:val="24"/>
          <w:szCs w:val="24"/>
        </w:rPr>
        <w:t>ed</w:t>
      </w:r>
      <w:r w:rsidR="00085D59" w:rsidRPr="009100B8">
        <w:rPr>
          <w:rFonts w:cstheme="minorHAnsi"/>
          <w:sz w:val="24"/>
          <w:szCs w:val="24"/>
        </w:rPr>
        <w:t xml:space="preserve"> a decreasing trend with </w:t>
      </w:r>
      <w:r w:rsidR="00914FA7">
        <w:rPr>
          <w:rFonts w:cstheme="minorHAnsi"/>
          <w:sz w:val="24"/>
          <w:szCs w:val="24"/>
        </w:rPr>
        <w:t xml:space="preserve">considerable </w:t>
      </w:r>
      <w:r w:rsidR="00085D59" w:rsidRPr="009100B8">
        <w:rPr>
          <w:rFonts w:cstheme="minorHAnsi"/>
          <w:sz w:val="24"/>
          <w:szCs w:val="24"/>
        </w:rPr>
        <w:t>annual variation (</w:t>
      </w:r>
      <w:r w:rsidR="00085D59" w:rsidRPr="009100B8">
        <w:rPr>
          <w:rFonts w:cstheme="minorHAnsi"/>
          <w:b/>
          <w:bCs/>
          <w:sz w:val="24"/>
          <w:szCs w:val="24"/>
        </w:rPr>
        <w:t>Figure 1</w:t>
      </w:r>
      <w:r w:rsidR="00085D59" w:rsidRPr="009100B8">
        <w:rPr>
          <w:rFonts w:cstheme="minorHAnsi"/>
          <w:sz w:val="24"/>
          <w:szCs w:val="24"/>
        </w:rPr>
        <w:t>). Interestingly</w:t>
      </w:r>
      <w:r w:rsidR="005C5FD0" w:rsidRPr="009100B8">
        <w:rPr>
          <w:rFonts w:cstheme="minorHAnsi"/>
          <w:sz w:val="24"/>
          <w:szCs w:val="24"/>
        </w:rPr>
        <w:t xml:space="preserve">, the </w:t>
      </w:r>
      <w:r w:rsidRPr="009100B8">
        <w:rPr>
          <w:rFonts w:cstheme="minorHAnsi"/>
          <w:sz w:val="24"/>
          <w:szCs w:val="24"/>
        </w:rPr>
        <w:t xml:space="preserve">overall </w:t>
      </w:r>
      <w:r w:rsidR="005C5FD0" w:rsidRPr="009100B8">
        <w:rPr>
          <w:rFonts w:cstheme="minorHAnsi"/>
          <w:sz w:val="24"/>
          <w:szCs w:val="24"/>
        </w:rPr>
        <w:t>incidence was higher in the migrant vs</w:t>
      </w:r>
      <w:r w:rsidR="005D5BC7">
        <w:rPr>
          <w:rFonts w:cstheme="minorHAnsi"/>
          <w:sz w:val="24"/>
          <w:szCs w:val="24"/>
        </w:rPr>
        <w:t>.</w:t>
      </w:r>
      <w:r w:rsidR="005C5FD0" w:rsidRPr="009100B8">
        <w:rPr>
          <w:rFonts w:cstheme="minorHAnsi"/>
          <w:sz w:val="24"/>
          <w:szCs w:val="24"/>
        </w:rPr>
        <w:t xml:space="preserve"> the native population (0.63 vs</w:t>
      </w:r>
      <w:r w:rsidR="005D5BC7">
        <w:rPr>
          <w:rFonts w:cstheme="minorHAnsi"/>
          <w:sz w:val="24"/>
          <w:szCs w:val="24"/>
        </w:rPr>
        <w:t>.</w:t>
      </w:r>
      <w:r w:rsidR="005C5FD0" w:rsidRPr="009100B8">
        <w:rPr>
          <w:rFonts w:cstheme="minorHAnsi"/>
          <w:sz w:val="24"/>
          <w:szCs w:val="24"/>
        </w:rPr>
        <w:t xml:space="preserve"> 0.26, p=0.01)</w:t>
      </w:r>
      <w:r w:rsidR="007E30AC">
        <w:rPr>
          <w:rFonts w:cstheme="minorHAnsi"/>
          <w:sz w:val="24"/>
          <w:szCs w:val="24"/>
        </w:rPr>
        <w:t>,</w:t>
      </w:r>
      <w:r w:rsidR="005C5FD0" w:rsidRPr="009100B8">
        <w:rPr>
          <w:rFonts w:cstheme="minorHAnsi"/>
          <w:sz w:val="24"/>
          <w:szCs w:val="24"/>
        </w:rPr>
        <w:t xml:space="preserve"> with </w:t>
      </w:r>
      <w:r w:rsidR="00B60379" w:rsidRPr="009100B8">
        <w:rPr>
          <w:rFonts w:cstheme="minorHAnsi"/>
          <w:sz w:val="24"/>
          <w:szCs w:val="24"/>
        </w:rPr>
        <w:t>immigrants</w:t>
      </w:r>
      <w:r w:rsidR="005C5FD0" w:rsidRPr="009100B8">
        <w:rPr>
          <w:rFonts w:cstheme="minorHAnsi"/>
          <w:sz w:val="24"/>
          <w:szCs w:val="24"/>
        </w:rPr>
        <w:t xml:space="preserve"> from the African and Asian continents having </w:t>
      </w:r>
      <w:r w:rsidRPr="009100B8">
        <w:rPr>
          <w:rFonts w:cstheme="minorHAnsi"/>
          <w:sz w:val="24"/>
          <w:szCs w:val="24"/>
        </w:rPr>
        <w:t>the highest</w:t>
      </w:r>
      <w:r w:rsidR="005C5FD0" w:rsidRPr="009100B8">
        <w:rPr>
          <w:rFonts w:cstheme="minorHAnsi"/>
          <w:sz w:val="24"/>
          <w:szCs w:val="24"/>
        </w:rPr>
        <w:t xml:space="preserve"> incidence (0.85 both, 1.52 Africa</w:t>
      </w:r>
      <w:r w:rsidR="00E678BD">
        <w:rPr>
          <w:rFonts w:cstheme="minorHAnsi"/>
          <w:sz w:val="24"/>
          <w:szCs w:val="24"/>
        </w:rPr>
        <w:t xml:space="preserve">, </w:t>
      </w:r>
      <w:r w:rsidR="005C5FD0" w:rsidRPr="009100B8">
        <w:rPr>
          <w:rFonts w:cstheme="minorHAnsi"/>
          <w:sz w:val="24"/>
          <w:szCs w:val="24"/>
        </w:rPr>
        <w:t>p=</w:t>
      </w:r>
      <w:r w:rsidR="00E678BD">
        <w:rPr>
          <w:rFonts w:cstheme="minorHAnsi"/>
          <w:sz w:val="24"/>
          <w:szCs w:val="24"/>
        </w:rPr>
        <w:t xml:space="preserve">0.002 and </w:t>
      </w:r>
      <w:r w:rsidR="005C5FD0" w:rsidRPr="009100B8">
        <w:rPr>
          <w:rFonts w:cstheme="minorHAnsi"/>
          <w:sz w:val="24"/>
          <w:szCs w:val="24"/>
        </w:rPr>
        <w:t>0.00</w:t>
      </w:r>
      <w:r w:rsidR="00E678BD">
        <w:rPr>
          <w:rFonts w:cstheme="minorHAnsi"/>
          <w:sz w:val="24"/>
          <w:szCs w:val="24"/>
        </w:rPr>
        <w:t>6</w:t>
      </w:r>
      <w:r w:rsidR="005C5FD0" w:rsidRPr="009100B8">
        <w:rPr>
          <w:rFonts w:cstheme="minorHAnsi"/>
          <w:sz w:val="24"/>
          <w:szCs w:val="24"/>
        </w:rPr>
        <w:t>) (</w:t>
      </w:r>
      <w:r w:rsidR="005C5FD0" w:rsidRPr="009100B8">
        <w:rPr>
          <w:rFonts w:cstheme="minorHAnsi"/>
          <w:b/>
          <w:bCs/>
          <w:sz w:val="24"/>
          <w:szCs w:val="24"/>
        </w:rPr>
        <w:t>Table 3</w:t>
      </w:r>
      <w:r w:rsidR="005C5FD0" w:rsidRPr="009100B8">
        <w:rPr>
          <w:rFonts w:cstheme="minorHAnsi"/>
          <w:sz w:val="24"/>
          <w:szCs w:val="24"/>
        </w:rPr>
        <w:t>). In the last five years of the study</w:t>
      </w:r>
      <w:r w:rsidR="00E926D7">
        <w:rPr>
          <w:rFonts w:cstheme="minorHAnsi"/>
          <w:sz w:val="24"/>
          <w:szCs w:val="24"/>
        </w:rPr>
        <w:t>,</w:t>
      </w:r>
      <w:r w:rsidR="005C5FD0" w:rsidRPr="009100B8">
        <w:rPr>
          <w:rFonts w:cstheme="minorHAnsi"/>
          <w:sz w:val="24"/>
          <w:szCs w:val="24"/>
        </w:rPr>
        <w:t xml:space="preserve"> </w:t>
      </w:r>
      <w:r w:rsidR="00085D59" w:rsidRPr="009100B8">
        <w:rPr>
          <w:rFonts w:cstheme="minorHAnsi"/>
          <w:sz w:val="24"/>
          <w:szCs w:val="24"/>
        </w:rPr>
        <w:t xml:space="preserve">60% </w:t>
      </w:r>
      <w:r w:rsidR="005C5FD0" w:rsidRPr="009100B8">
        <w:rPr>
          <w:rFonts w:cstheme="minorHAnsi"/>
          <w:sz w:val="24"/>
          <w:szCs w:val="24"/>
        </w:rPr>
        <w:t>of all children with a permanent injury were born to immigrant mothers</w:t>
      </w:r>
      <w:r w:rsidR="00085D59" w:rsidRPr="009100B8">
        <w:rPr>
          <w:rFonts w:cstheme="minorHAnsi"/>
          <w:sz w:val="24"/>
          <w:szCs w:val="24"/>
        </w:rPr>
        <w:t xml:space="preserve"> </w:t>
      </w:r>
      <w:r w:rsidR="007065B7" w:rsidRPr="009100B8">
        <w:rPr>
          <w:rFonts w:cstheme="minorHAnsi"/>
          <w:sz w:val="24"/>
          <w:szCs w:val="24"/>
        </w:rPr>
        <w:t>(</w:t>
      </w:r>
      <w:r w:rsidR="007065B7" w:rsidRPr="009100B8">
        <w:rPr>
          <w:rFonts w:cstheme="minorHAnsi"/>
          <w:b/>
          <w:bCs/>
          <w:sz w:val="24"/>
          <w:szCs w:val="24"/>
        </w:rPr>
        <w:t>Figure</w:t>
      </w:r>
      <w:r w:rsidR="001521DE" w:rsidRPr="009100B8">
        <w:rPr>
          <w:rFonts w:cstheme="minorHAnsi"/>
          <w:b/>
          <w:bCs/>
          <w:sz w:val="24"/>
          <w:szCs w:val="24"/>
        </w:rPr>
        <w:t xml:space="preserve"> 2</w:t>
      </w:r>
      <w:r w:rsidR="007065B7" w:rsidRPr="009100B8">
        <w:rPr>
          <w:rFonts w:cstheme="minorHAnsi"/>
          <w:sz w:val="24"/>
          <w:szCs w:val="24"/>
        </w:rPr>
        <w:t xml:space="preserve">). </w:t>
      </w:r>
    </w:p>
    <w:p w14:paraId="7DD2D10B" w14:textId="77777777" w:rsidR="00813C10" w:rsidRPr="009100B8" w:rsidRDefault="00813C10" w:rsidP="00197F5D">
      <w:pPr>
        <w:spacing w:line="480" w:lineRule="auto"/>
        <w:rPr>
          <w:rFonts w:cstheme="minorHAnsi"/>
          <w:sz w:val="24"/>
          <w:szCs w:val="24"/>
        </w:rPr>
      </w:pPr>
    </w:p>
    <w:p w14:paraId="6D7EB6F8" w14:textId="5E542BD1" w:rsidR="00813C10" w:rsidRPr="009100B8" w:rsidRDefault="00B87472" w:rsidP="00197F5D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>Factors contributing to a permanent BPBI</w:t>
      </w:r>
    </w:p>
    <w:p w14:paraId="7C7C8C47" w14:textId="0F2D3887" w:rsidR="00625C4B" w:rsidRPr="009100B8" w:rsidRDefault="005C5FD0" w:rsidP="00625C4B">
      <w:pPr>
        <w:spacing w:line="480" w:lineRule="auto"/>
        <w:rPr>
          <w:rFonts w:eastAsia="Times New Roman" w:cstheme="minorHAnsi"/>
          <w:sz w:val="24"/>
          <w:szCs w:val="24"/>
          <w:lang w:eastAsia="fi-FI"/>
        </w:rPr>
      </w:pPr>
      <w:r w:rsidRPr="009100B8">
        <w:rPr>
          <w:rFonts w:cstheme="minorHAnsi"/>
          <w:sz w:val="24"/>
          <w:szCs w:val="24"/>
        </w:rPr>
        <w:t xml:space="preserve">Mothers </w:t>
      </w:r>
      <w:r w:rsidR="007E30AC">
        <w:rPr>
          <w:rFonts w:cstheme="minorHAnsi"/>
          <w:sz w:val="24"/>
          <w:szCs w:val="24"/>
        </w:rPr>
        <w:t>of</w:t>
      </w:r>
      <w:r w:rsidRPr="009100B8">
        <w:rPr>
          <w:rFonts w:cstheme="minorHAnsi"/>
          <w:sz w:val="24"/>
          <w:szCs w:val="24"/>
        </w:rPr>
        <w:t xml:space="preserve"> </w:t>
      </w:r>
      <w:r w:rsidR="007A1372" w:rsidRPr="009100B8">
        <w:rPr>
          <w:rFonts w:cstheme="minorHAnsi"/>
          <w:sz w:val="24"/>
          <w:szCs w:val="24"/>
        </w:rPr>
        <w:t>children</w:t>
      </w:r>
      <w:r w:rsidRPr="009100B8">
        <w:rPr>
          <w:rFonts w:cstheme="minorHAnsi"/>
          <w:sz w:val="24"/>
          <w:szCs w:val="24"/>
        </w:rPr>
        <w:t xml:space="preserve"> with a permanent BPBI had a higher BMI at </w:t>
      </w:r>
      <w:r w:rsidR="007E30AC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>start of pregnancy and more often presented with any type of diabetes (p&lt;0.001 for both). They had a significantly higher occurrence of shoulder dystocia complicated (59% vs</w:t>
      </w:r>
      <w:r w:rsidR="007E30AC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</w:rPr>
        <w:t xml:space="preserve"> 0.3%) and</w:t>
      </w:r>
      <w:r w:rsidR="00C96FA4" w:rsidRPr="009100B8">
        <w:rPr>
          <w:rStyle w:val="CommentReference"/>
          <w:sz w:val="24"/>
          <w:szCs w:val="24"/>
        </w:rPr>
        <w:t>/or a</w:t>
      </w:r>
      <w:r w:rsidRPr="009100B8">
        <w:rPr>
          <w:rFonts w:cstheme="minorHAnsi"/>
          <w:sz w:val="24"/>
          <w:szCs w:val="24"/>
        </w:rPr>
        <w:t>ssisted</w:t>
      </w:r>
      <w:r w:rsidR="00BC5EB7" w:rsidRPr="009100B8">
        <w:rPr>
          <w:rFonts w:cstheme="minorHAnsi"/>
          <w:sz w:val="24"/>
          <w:szCs w:val="24"/>
        </w:rPr>
        <w:t xml:space="preserve"> deliver</w:t>
      </w:r>
      <w:r w:rsidR="00C96FA4" w:rsidRPr="009100B8">
        <w:rPr>
          <w:rFonts w:cstheme="minorHAnsi"/>
          <w:sz w:val="24"/>
          <w:szCs w:val="24"/>
        </w:rPr>
        <w:t>ies</w:t>
      </w:r>
      <w:r w:rsidR="007A1372" w:rsidRPr="009100B8">
        <w:rPr>
          <w:rFonts w:cstheme="minorHAnsi"/>
          <w:sz w:val="24"/>
          <w:szCs w:val="24"/>
        </w:rPr>
        <w:t xml:space="preserve"> (10% vs</w:t>
      </w:r>
      <w:r w:rsidR="00E926D7">
        <w:rPr>
          <w:rFonts w:cstheme="minorHAnsi"/>
          <w:sz w:val="24"/>
          <w:szCs w:val="24"/>
        </w:rPr>
        <w:t>.</w:t>
      </w:r>
      <w:r w:rsidR="007A1372" w:rsidRPr="009100B8">
        <w:rPr>
          <w:rFonts w:cstheme="minorHAnsi"/>
          <w:sz w:val="24"/>
          <w:szCs w:val="24"/>
        </w:rPr>
        <w:t xml:space="preserve"> 45%)</w:t>
      </w:r>
      <w:r w:rsidRPr="009100B8">
        <w:rPr>
          <w:rFonts w:cstheme="minorHAnsi"/>
          <w:sz w:val="24"/>
          <w:szCs w:val="24"/>
        </w:rPr>
        <w:t xml:space="preserve"> (p&lt;0.001 for both). </w:t>
      </w:r>
      <w:r w:rsidR="00E926D7">
        <w:rPr>
          <w:rFonts w:cstheme="minorHAnsi"/>
          <w:sz w:val="24"/>
          <w:szCs w:val="24"/>
        </w:rPr>
        <w:t>Conversely</w:t>
      </w:r>
      <w:r w:rsidRPr="009100B8">
        <w:rPr>
          <w:rFonts w:cstheme="minorHAnsi"/>
          <w:sz w:val="24"/>
          <w:szCs w:val="24"/>
        </w:rPr>
        <w:t>, there was no difference in maternal age, parity</w:t>
      </w:r>
      <w:r w:rsidR="00E926D7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or gestation at delivery</w:t>
      </w:r>
      <w:r w:rsidR="00DC4828">
        <w:rPr>
          <w:rFonts w:cstheme="minorHAnsi"/>
          <w:sz w:val="24"/>
          <w:szCs w:val="24"/>
        </w:rPr>
        <w:t xml:space="preserve">, 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>in the incidence of induct</w:t>
      </w:r>
      <w:r w:rsidR="005D5BC7">
        <w:rPr>
          <w:rFonts w:eastAsia="Times New Roman" w:cstheme="minorHAnsi"/>
          <w:sz w:val="24"/>
          <w:szCs w:val="24"/>
          <w:lang w:eastAsia="fi-FI"/>
        </w:rPr>
        <w:t>ed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 xml:space="preserve"> labor</w:t>
      </w:r>
      <w:r w:rsidR="005D5BC7">
        <w:rPr>
          <w:rFonts w:eastAsia="Times New Roman" w:cstheme="minorHAnsi"/>
          <w:sz w:val="24"/>
          <w:szCs w:val="24"/>
          <w:lang w:eastAsia="fi-FI"/>
        </w:rPr>
        <w:t>,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C96FA4" w:rsidRPr="009100B8">
        <w:rPr>
          <w:rFonts w:eastAsia="Times New Roman" w:cstheme="minorHAnsi"/>
          <w:sz w:val="24"/>
          <w:szCs w:val="24"/>
          <w:lang w:eastAsia="fi-FI"/>
        </w:rPr>
        <w:t>n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>or</w:t>
      </w:r>
      <w:r w:rsidR="005D5BC7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 xml:space="preserve">the duration of </w:t>
      </w:r>
      <w:r w:rsidR="00C51FCC" w:rsidRPr="00C51FCC">
        <w:rPr>
          <w:rFonts w:eastAsia="Times New Roman" w:cstheme="minorHAnsi"/>
          <w:sz w:val="24"/>
          <w:szCs w:val="24"/>
          <w:lang w:eastAsia="fi-FI"/>
        </w:rPr>
        <w:t>stage 2 (active labor)</w:t>
      </w:r>
      <w:r w:rsidR="00DC4828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DC4828" w:rsidRPr="009100B8">
        <w:rPr>
          <w:rFonts w:cstheme="minorHAnsi"/>
          <w:sz w:val="24"/>
          <w:szCs w:val="24"/>
        </w:rPr>
        <w:t>(</w:t>
      </w:r>
      <w:r w:rsidR="00DC4828" w:rsidRPr="009100B8">
        <w:rPr>
          <w:rFonts w:cstheme="minorHAnsi"/>
          <w:b/>
          <w:bCs/>
          <w:sz w:val="24"/>
          <w:szCs w:val="24"/>
        </w:rPr>
        <w:t>Table 1</w:t>
      </w:r>
      <w:r w:rsidR="00DC4828" w:rsidRPr="009100B8">
        <w:rPr>
          <w:rFonts w:cstheme="minorHAnsi"/>
          <w:sz w:val="24"/>
          <w:szCs w:val="24"/>
        </w:rPr>
        <w:t>)</w:t>
      </w:r>
      <w:r w:rsidR="002C053B" w:rsidRPr="009100B8">
        <w:rPr>
          <w:rFonts w:eastAsia="Times New Roman" w:cstheme="minorHAnsi"/>
          <w:sz w:val="24"/>
          <w:szCs w:val="24"/>
          <w:lang w:eastAsia="fi-FI"/>
        </w:rPr>
        <w:t xml:space="preserve">. </w:t>
      </w:r>
      <w:r w:rsidR="00625C4B" w:rsidRPr="009100B8">
        <w:rPr>
          <w:rFonts w:cstheme="minorHAnsi"/>
          <w:sz w:val="24"/>
          <w:szCs w:val="24"/>
        </w:rPr>
        <w:t>Children with a permanent injury were heavier at birth (p&lt;0.001)</w:t>
      </w:r>
      <w:r w:rsidR="00E926D7">
        <w:rPr>
          <w:rFonts w:cstheme="minorHAnsi"/>
          <w:sz w:val="24"/>
          <w:szCs w:val="24"/>
        </w:rPr>
        <w:t xml:space="preserve">; </w:t>
      </w:r>
      <w:r w:rsidR="00DC4828">
        <w:rPr>
          <w:rFonts w:cstheme="minorHAnsi"/>
          <w:sz w:val="24"/>
          <w:szCs w:val="24"/>
        </w:rPr>
        <w:t>although</w:t>
      </w:r>
      <w:r w:rsidR="00E926D7">
        <w:rPr>
          <w:rFonts w:cstheme="minorHAnsi"/>
          <w:sz w:val="24"/>
          <w:szCs w:val="24"/>
        </w:rPr>
        <w:t xml:space="preserve">, </w:t>
      </w:r>
      <w:r w:rsidR="00625C4B" w:rsidRPr="009100B8">
        <w:rPr>
          <w:rFonts w:cstheme="minorHAnsi"/>
          <w:sz w:val="24"/>
          <w:szCs w:val="24"/>
        </w:rPr>
        <w:t>there were no changes in the mean birth weight</w:t>
      </w:r>
      <w:r w:rsidR="00B87472" w:rsidRPr="009100B8">
        <w:rPr>
          <w:rFonts w:cstheme="minorHAnsi"/>
          <w:sz w:val="24"/>
          <w:szCs w:val="24"/>
        </w:rPr>
        <w:t xml:space="preserve"> of these children</w:t>
      </w:r>
      <w:r w:rsidR="00625C4B" w:rsidRPr="009100B8">
        <w:rPr>
          <w:rFonts w:cstheme="minorHAnsi"/>
          <w:sz w:val="24"/>
          <w:szCs w:val="24"/>
        </w:rPr>
        <w:t xml:space="preserve"> (4.03 kg, range 0.8</w:t>
      </w:r>
      <w:r w:rsidR="005D5BC7">
        <w:rPr>
          <w:rFonts w:cstheme="minorHAnsi"/>
          <w:sz w:val="24"/>
          <w:szCs w:val="24"/>
        </w:rPr>
        <w:t>–</w:t>
      </w:r>
      <w:r w:rsidR="00625C4B" w:rsidRPr="009100B8">
        <w:rPr>
          <w:rFonts w:cstheme="minorHAnsi"/>
          <w:sz w:val="24"/>
          <w:szCs w:val="24"/>
        </w:rPr>
        <w:t>5.6, SD 0.7) over the study period</w:t>
      </w:r>
      <w:r w:rsidR="00E678BD">
        <w:rPr>
          <w:rFonts w:cstheme="minorHAnsi"/>
          <w:sz w:val="24"/>
          <w:szCs w:val="24"/>
        </w:rPr>
        <w:t xml:space="preserve"> (p&gt;0.05)</w:t>
      </w:r>
      <w:r w:rsidR="00625C4B" w:rsidRPr="009100B8">
        <w:rPr>
          <w:rFonts w:cstheme="minorHAnsi"/>
          <w:sz w:val="24"/>
          <w:szCs w:val="24"/>
        </w:rPr>
        <w:t xml:space="preserve">. </w:t>
      </w:r>
    </w:p>
    <w:p w14:paraId="15472484" w14:textId="36102820" w:rsidR="00637BBE" w:rsidRPr="009100B8" w:rsidRDefault="007A1372" w:rsidP="00637BBE">
      <w:pPr>
        <w:spacing w:line="480" w:lineRule="auto"/>
        <w:rPr>
          <w:rFonts w:eastAsia="Times New Roman" w:cstheme="minorHAnsi"/>
          <w:sz w:val="24"/>
          <w:szCs w:val="24"/>
          <w:lang w:eastAsia="fi-FI"/>
        </w:rPr>
      </w:pPr>
      <w:r w:rsidRPr="009100B8">
        <w:rPr>
          <w:rFonts w:eastAsia="Times New Roman" w:cstheme="minorHAnsi"/>
          <w:sz w:val="24"/>
          <w:szCs w:val="24"/>
          <w:lang w:eastAsia="fi-FI"/>
        </w:rPr>
        <w:t xml:space="preserve">The immigrant mothers </w:t>
      </w:r>
      <w:r w:rsidR="00BC5EB7" w:rsidRPr="009100B8">
        <w:rPr>
          <w:rFonts w:eastAsia="Times New Roman" w:cstheme="minorHAnsi"/>
          <w:sz w:val="24"/>
          <w:szCs w:val="24"/>
          <w:lang w:eastAsia="fi-FI"/>
        </w:rPr>
        <w:t>were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younger than the native mothers (29.4 vs. 32.1 years, p=0.02)</w:t>
      </w:r>
      <w:r w:rsidR="00E926D7">
        <w:rPr>
          <w:rFonts w:eastAsia="Times New Roman" w:cstheme="minorHAnsi"/>
          <w:sz w:val="24"/>
          <w:szCs w:val="24"/>
          <w:lang w:eastAsia="fi-FI"/>
        </w:rPr>
        <w:t>;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however, there was no difference in BMI, nulliparity, duration of pregnancy, type of delivery, occurrence of shoulder dystocia</w:t>
      </w:r>
      <w:r w:rsidR="00BF39CC">
        <w:rPr>
          <w:rFonts w:eastAsia="Times New Roman" w:cstheme="minorHAnsi"/>
          <w:sz w:val="24"/>
          <w:szCs w:val="24"/>
          <w:lang w:eastAsia="fi-FI"/>
        </w:rPr>
        <w:t xml:space="preserve">, 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or birth weight between the native and the immigrant mothers (p&gt;0.05). </w:t>
      </w:r>
      <w:r w:rsidR="00CF55D4">
        <w:rPr>
          <w:rFonts w:eastAsia="Times New Roman" w:cstheme="minorHAnsi"/>
          <w:sz w:val="24"/>
          <w:szCs w:val="24"/>
          <w:lang w:eastAsia="fi-FI"/>
        </w:rPr>
        <w:t>Non</w:t>
      </w:r>
      <w:r w:rsidR="00CF55D4" w:rsidRPr="009100B8">
        <w:rPr>
          <w:rFonts w:eastAsia="Times New Roman" w:cstheme="minorHAnsi"/>
          <w:sz w:val="24"/>
          <w:szCs w:val="24"/>
          <w:lang w:eastAsia="fi-FI"/>
        </w:rPr>
        <w:t>-</w:t>
      </w:r>
      <w:r w:rsidR="00CF55D4">
        <w:rPr>
          <w:rFonts w:eastAsia="Times New Roman" w:cstheme="minorHAnsi"/>
          <w:sz w:val="24"/>
          <w:szCs w:val="24"/>
          <w:lang w:eastAsia="fi-FI"/>
        </w:rPr>
        <w:t>w</w:t>
      </w:r>
      <w:r w:rsidR="00CF55D4" w:rsidRPr="009100B8">
        <w:rPr>
          <w:rFonts w:eastAsia="Times New Roman" w:cstheme="minorHAnsi"/>
          <w:sz w:val="24"/>
          <w:szCs w:val="24"/>
          <w:lang w:eastAsia="fi-FI"/>
        </w:rPr>
        <w:t>hite women (n=24)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had a higher BMI at </w:t>
      </w:r>
      <w:r w:rsidR="007E30AC">
        <w:rPr>
          <w:rFonts w:eastAsia="Times New Roman" w:cstheme="minorHAnsi"/>
          <w:sz w:val="24"/>
          <w:szCs w:val="24"/>
          <w:lang w:eastAsia="fi-FI"/>
        </w:rPr>
        <w:t xml:space="preserve">the </w:t>
      </w:r>
      <w:r w:rsidRPr="009100B8">
        <w:rPr>
          <w:rFonts w:eastAsia="Times New Roman" w:cstheme="minorHAnsi"/>
          <w:sz w:val="24"/>
          <w:szCs w:val="24"/>
          <w:lang w:eastAsia="fi-FI"/>
        </w:rPr>
        <w:t>start of pregnancy (28.1 vs. 25.5 kg/m</w:t>
      </w:r>
      <w:r w:rsidRPr="009100B8">
        <w:rPr>
          <w:rFonts w:eastAsia="Times New Roman" w:cstheme="minorHAnsi"/>
          <w:sz w:val="24"/>
          <w:szCs w:val="24"/>
          <w:vertAlign w:val="superscript"/>
          <w:lang w:eastAsia="fi-FI"/>
        </w:rPr>
        <w:t>2</w:t>
      </w:r>
      <w:r w:rsidRPr="009100B8">
        <w:rPr>
          <w:rFonts w:eastAsia="Times New Roman" w:cstheme="minorHAnsi"/>
          <w:sz w:val="24"/>
          <w:szCs w:val="24"/>
          <w:lang w:eastAsia="fi-FI"/>
        </w:rPr>
        <w:t>, p=0.02) and</w:t>
      </w:r>
      <w:r w:rsidR="00BF39CC">
        <w:rPr>
          <w:rFonts w:eastAsia="Times New Roman" w:cstheme="minorHAnsi"/>
          <w:sz w:val="24"/>
          <w:szCs w:val="24"/>
          <w:lang w:eastAsia="fi-FI"/>
        </w:rPr>
        <w:t xml:space="preserve"> a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lower rate of nulliparity (28% vs</w:t>
      </w:r>
      <w:r w:rsidR="00BF39CC">
        <w:rPr>
          <w:rFonts w:eastAsia="Times New Roman" w:cstheme="minorHAnsi"/>
          <w:sz w:val="24"/>
          <w:szCs w:val="24"/>
          <w:lang w:eastAsia="fi-FI"/>
        </w:rPr>
        <w:t>.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51.5%, p=0.04) (</w:t>
      </w:r>
      <w:r w:rsidRPr="009100B8">
        <w:rPr>
          <w:rFonts w:eastAsia="Times New Roman" w:cstheme="minorHAnsi"/>
          <w:b/>
          <w:bCs/>
          <w:sz w:val="24"/>
          <w:szCs w:val="24"/>
          <w:lang w:eastAsia="fi-FI"/>
        </w:rPr>
        <w:t>Table 2</w:t>
      </w:r>
      <w:r w:rsidRPr="009100B8">
        <w:rPr>
          <w:rFonts w:eastAsia="Times New Roman" w:cstheme="minorHAnsi"/>
          <w:sz w:val="24"/>
          <w:szCs w:val="24"/>
          <w:lang w:eastAsia="fi-FI"/>
        </w:rPr>
        <w:t>). The difference was more pronounced concerning Black mothers (mean BMI 29.1 kg/m</w:t>
      </w:r>
      <w:r w:rsidRPr="009100B8">
        <w:rPr>
          <w:rFonts w:eastAsia="Times New Roman" w:cstheme="minorHAnsi"/>
          <w:sz w:val="24"/>
          <w:szCs w:val="24"/>
          <w:vertAlign w:val="superscript"/>
          <w:lang w:eastAsia="fi-FI"/>
        </w:rPr>
        <w:t>2</w:t>
      </w:r>
      <w:r w:rsidRPr="009100B8">
        <w:rPr>
          <w:rFonts w:eastAsia="Times New Roman" w:cstheme="minorHAnsi"/>
          <w:sz w:val="24"/>
          <w:szCs w:val="24"/>
          <w:lang w:eastAsia="fi-FI"/>
        </w:rPr>
        <w:t>, p=0.02 and 16.7% nulliparity rate, p&lt;0.01).</w:t>
      </w:r>
      <w:r w:rsidR="00074F73" w:rsidRPr="009100B8">
        <w:rPr>
          <w:rFonts w:cstheme="minorHAnsi"/>
          <w:sz w:val="24"/>
          <w:szCs w:val="24"/>
        </w:rPr>
        <w:t xml:space="preserve"> </w:t>
      </w:r>
      <w:r w:rsidR="00BA6238" w:rsidRPr="009100B8">
        <w:rPr>
          <w:rFonts w:cstheme="minorHAnsi"/>
          <w:sz w:val="24"/>
          <w:szCs w:val="24"/>
        </w:rPr>
        <w:t xml:space="preserve">There was no difference in the gestation at delivery </w:t>
      </w:r>
      <w:r w:rsidR="00777BEB" w:rsidRPr="009100B8">
        <w:rPr>
          <w:rFonts w:cstheme="minorHAnsi"/>
          <w:sz w:val="24"/>
          <w:szCs w:val="24"/>
        </w:rPr>
        <w:t>or</w:t>
      </w:r>
      <w:r w:rsidR="00BA6238" w:rsidRPr="009100B8">
        <w:rPr>
          <w:rFonts w:cstheme="minorHAnsi"/>
          <w:sz w:val="24"/>
          <w:szCs w:val="24"/>
        </w:rPr>
        <w:t xml:space="preserve"> the incidence of induced deliveries</w:t>
      </w:r>
      <w:r w:rsidR="00777BEB" w:rsidRPr="009100B8">
        <w:rPr>
          <w:rFonts w:cstheme="minorHAnsi"/>
          <w:sz w:val="24"/>
          <w:szCs w:val="24"/>
        </w:rPr>
        <w:t xml:space="preserve">, but the incidence of breech deliveries was higher in the non-white group. 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Among 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the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 41 assisted deliveries</w:t>
      </w:r>
      <w:r w:rsidR="00E926D7">
        <w:rPr>
          <w:rFonts w:eastAsia="Times New Roman" w:cstheme="minorHAnsi"/>
          <w:sz w:val="24"/>
          <w:szCs w:val="24"/>
          <w:lang w:eastAsia="fi-FI"/>
        </w:rPr>
        <w:t>,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n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on-</w:t>
      </w:r>
      <w:r w:rsidR="00E678BD">
        <w:rPr>
          <w:rFonts w:eastAsia="Times New Roman" w:cstheme="minorHAnsi"/>
          <w:sz w:val="24"/>
          <w:szCs w:val="24"/>
          <w:lang w:eastAsia="fi-FI"/>
        </w:rPr>
        <w:t>w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hite women had a higher number of reported pulls (mean 4.7) </w:t>
      </w:r>
      <w:r w:rsidR="00BF39CC">
        <w:rPr>
          <w:rFonts w:eastAsia="Times New Roman" w:cstheme="minorHAnsi"/>
          <w:sz w:val="24"/>
          <w:szCs w:val="24"/>
          <w:lang w:eastAsia="fi-FI"/>
        </w:rPr>
        <w:t>than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 Caucasians (mean 3.4)</w:t>
      </w:r>
      <w:r w:rsidR="007E30AC">
        <w:rPr>
          <w:rFonts w:eastAsia="Times New Roman" w:cstheme="minorHAnsi"/>
          <w:sz w:val="24"/>
          <w:szCs w:val="24"/>
          <w:lang w:eastAsia="fi-FI"/>
        </w:rPr>
        <w:t xml:space="preserve">, 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and the procedure took slightly longer (mean 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7.4 minutes vs</w:t>
      </w:r>
      <w:r w:rsidR="007E30AC">
        <w:rPr>
          <w:rFonts w:eastAsia="Times New Roman" w:cstheme="minorHAnsi"/>
          <w:sz w:val="24"/>
          <w:szCs w:val="24"/>
          <w:lang w:eastAsia="fi-FI"/>
        </w:rPr>
        <w:t>.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 xml:space="preserve"> 8.8)</w:t>
      </w:r>
      <w:r w:rsidR="00E926D7">
        <w:rPr>
          <w:rFonts w:eastAsia="Times New Roman" w:cstheme="minorHAnsi"/>
          <w:sz w:val="24"/>
          <w:szCs w:val="24"/>
          <w:lang w:eastAsia="fi-FI"/>
        </w:rPr>
        <w:t xml:space="preserve">; however, 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 xml:space="preserve">the differences did not reach 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statistical significance (p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&gt;0.05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)</w:t>
      </w:r>
      <w:r w:rsidR="00E926D7">
        <w:rPr>
          <w:rFonts w:eastAsia="Times New Roman" w:cstheme="minorHAnsi"/>
          <w:sz w:val="24"/>
          <w:szCs w:val="24"/>
          <w:lang w:eastAsia="fi-FI"/>
        </w:rPr>
        <w:t>, although</w:t>
      </w:r>
      <w:r w:rsidR="007E30AC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t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he procedure</w:t>
      </w:r>
      <w:r w:rsidR="007E30AC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was </w:t>
      </w:r>
      <w:r w:rsidR="00DC4828">
        <w:rPr>
          <w:rFonts w:eastAsia="Times New Roman" w:cstheme="minorHAnsi"/>
          <w:sz w:val="24"/>
          <w:szCs w:val="24"/>
          <w:lang w:eastAsia="fi-FI"/>
        </w:rPr>
        <w:t>categorized as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 xml:space="preserve"> more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 difficult in </w:t>
      </w:r>
      <w:r w:rsidR="00DC4828">
        <w:rPr>
          <w:rFonts w:eastAsia="Times New Roman" w:cstheme="minorHAnsi"/>
          <w:sz w:val="24"/>
          <w:szCs w:val="24"/>
          <w:lang w:eastAsia="fi-FI"/>
        </w:rPr>
        <w:t xml:space="preserve">the 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non-white deliveries (p=0.0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46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>) (</w:t>
      </w:r>
      <w:r w:rsidR="00637BBE" w:rsidRPr="009100B8">
        <w:rPr>
          <w:rFonts w:eastAsia="Times New Roman" w:cstheme="minorHAnsi"/>
          <w:b/>
          <w:bCs/>
          <w:sz w:val="24"/>
          <w:szCs w:val="24"/>
          <w:lang w:eastAsia="fi-FI"/>
        </w:rPr>
        <w:t>Table 2</w:t>
      </w:r>
      <w:r w:rsidR="00637BBE" w:rsidRPr="009100B8">
        <w:rPr>
          <w:rFonts w:eastAsia="Times New Roman" w:cstheme="minorHAnsi"/>
          <w:sz w:val="24"/>
          <w:szCs w:val="24"/>
          <w:lang w:eastAsia="fi-FI"/>
        </w:rPr>
        <w:t xml:space="preserve">). </w:t>
      </w:r>
    </w:p>
    <w:p w14:paraId="599A1B20" w14:textId="77777777" w:rsidR="00E91880" w:rsidRPr="009100B8" w:rsidRDefault="00E91880" w:rsidP="00074F73">
      <w:pPr>
        <w:spacing w:line="480" w:lineRule="auto"/>
        <w:rPr>
          <w:rFonts w:cstheme="minorHAnsi"/>
          <w:sz w:val="24"/>
          <w:szCs w:val="24"/>
        </w:rPr>
      </w:pPr>
    </w:p>
    <w:p w14:paraId="2028640E" w14:textId="58921938" w:rsidR="00813C10" w:rsidRPr="009100B8" w:rsidRDefault="00813C10" w:rsidP="00697650">
      <w:pPr>
        <w:spacing w:line="480" w:lineRule="auto"/>
        <w:rPr>
          <w:rFonts w:eastAsia="Times New Roman" w:cstheme="minorHAnsi"/>
          <w:i/>
          <w:iCs/>
          <w:sz w:val="24"/>
          <w:szCs w:val="24"/>
          <w:lang w:eastAsia="fi-FI"/>
        </w:rPr>
      </w:pPr>
      <w:r w:rsidRPr="009100B8">
        <w:rPr>
          <w:rFonts w:eastAsia="Times New Roman" w:cstheme="minorHAnsi"/>
          <w:i/>
          <w:iCs/>
          <w:sz w:val="24"/>
          <w:szCs w:val="24"/>
          <w:lang w:eastAsia="fi-FI"/>
        </w:rPr>
        <w:t>Ethnic differences in injury severity</w:t>
      </w:r>
    </w:p>
    <w:p w14:paraId="19F3A297" w14:textId="4572BCC3" w:rsidR="0086730E" w:rsidRPr="009100B8" w:rsidRDefault="00B64810" w:rsidP="0086730E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eastAsia="Times New Roman" w:cstheme="minorHAnsi"/>
          <w:sz w:val="24"/>
          <w:szCs w:val="24"/>
          <w:lang w:eastAsia="fi-FI"/>
        </w:rPr>
        <w:t>The injury</w:t>
      </w:r>
      <w:r w:rsidR="00E926D7">
        <w:rPr>
          <w:rFonts w:eastAsia="Times New Roman" w:cstheme="minorHAnsi"/>
          <w:sz w:val="24"/>
          <w:szCs w:val="24"/>
          <w:lang w:eastAsia="fi-FI"/>
        </w:rPr>
        <w:t>’s severity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was worse in children born to Black mothers </w:t>
      </w:r>
      <w:r w:rsidR="00E926D7">
        <w:rPr>
          <w:rFonts w:eastAsia="Times New Roman" w:cstheme="minorHAnsi"/>
          <w:sz w:val="24"/>
          <w:szCs w:val="24"/>
          <w:lang w:eastAsia="fi-FI"/>
        </w:rPr>
        <w:t>compared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to Caucasian (3MTS mean 4.2 range, 0</w:t>
      </w:r>
      <w:r w:rsidR="00E926D7">
        <w:rPr>
          <w:rFonts w:eastAsia="Times New Roman" w:cstheme="minorHAnsi"/>
          <w:sz w:val="24"/>
          <w:szCs w:val="24"/>
          <w:lang w:eastAsia="fi-FI"/>
        </w:rPr>
        <w:t>–</w:t>
      </w:r>
      <w:r w:rsidRPr="009100B8">
        <w:rPr>
          <w:rFonts w:eastAsia="Times New Roman" w:cstheme="minorHAnsi"/>
          <w:sz w:val="24"/>
          <w:szCs w:val="24"/>
          <w:lang w:eastAsia="fi-FI"/>
        </w:rPr>
        <w:t>6.5 SD 1.6 vs. 5.9 range, 0.0</w:t>
      </w:r>
      <w:r w:rsidR="00E926D7">
        <w:rPr>
          <w:rFonts w:eastAsia="Times New Roman" w:cstheme="minorHAnsi"/>
          <w:sz w:val="24"/>
          <w:szCs w:val="24"/>
          <w:lang w:eastAsia="fi-FI"/>
        </w:rPr>
        <w:t>–</w:t>
      </w:r>
      <w:r w:rsidRPr="009100B8">
        <w:rPr>
          <w:rFonts w:eastAsia="Times New Roman" w:cstheme="minorHAnsi"/>
          <w:sz w:val="24"/>
          <w:szCs w:val="24"/>
          <w:lang w:eastAsia="fi-FI"/>
        </w:rPr>
        <w:t>9.3 SD 2.2, p=0.006) (</w:t>
      </w:r>
      <w:r w:rsidRPr="009100B8">
        <w:rPr>
          <w:rFonts w:eastAsia="Times New Roman" w:cstheme="minorHAnsi"/>
          <w:b/>
          <w:bCs/>
          <w:sz w:val="24"/>
          <w:szCs w:val="24"/>
          <w:lang w:eastAsia="fi-FI"/>
        </w:rPr>
        <w:t>Figure</w:t>
      </w:r>
      <w:r w:rsidR="00CF55D4">
        <w:rPr>
          <w:rFonts w:eastAsia="Times New Roman" w:cstheme="minorHAnsi"/>
          <w:b/>
          <w:bCs/>
          <w:sz w:val="24"/>
          <w:szCs w:val="24"/>
          <w:lang w:eastAsia="fi-FI"/>
        </w:rPr>
        <w:t xml:space="preserve"> 3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). No other ethnic group (Caucasian or Asian) showed any statistically significant difference to the native population </w:t>
      </w:r>
      <w:r w:rsidR="00E926D7">
        <w:rPr>
          <w:rFonts w:eastAsia="Times New Roman" w:cstheme="minorHAnsi"/>
          <w:sz w:val="24"/>
          <w:szCs w:val="24"/>
          <w:lang w:eastAsia="fi-FI"/>
        </w:rPr>
        <w:t>regarding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3MTS (p=0.7 and 0.3). </w:t>
      </w:r>
      <w:r w:rsidR="00B8141A" w:rsidRPr="009100B8">
        <w:rPr>
          <w:rFonts w:cstheme="minorHAnsi"/>
          <w:sz w:val="24"/>
          <w:szCs w:val="24"/>
        </w:rPr>
        <w:t xml:space="preserve">Neither the duration of delivery </w:t>
      </w:r>
      <w:r w:rsidR="00E91880" w:rsidRPr="009100B8">
        <w:rPr>
          <w:rFonts w:cstheme="minorHAnsi"/>
          <w:sz w:val="24"/>
          <w:szCs w:val="24"/>
        </w:rPr>
        <w:t>stage</w:t>
      </w:r>
      <w:r w:rsidR="00B8141A" w:rsidRPr="009100B8">
        <w:rPr>
          <w:rFonts w:cstheme="minorHAnsi"/>
          <w:sz w:val="24"/>
          <w:szCs w:val="24"/>
        </w:rPr>
        <w:t xml:space="preserve"> 2 nor </w:t>
      </w:r>
      <w:r w:rsidR="00E926D7">
        <w:rPr>
          <w:rFonts w:cstheme="minorHAnsi"/>
          <w:sz w:val="24"/>
          <w:szCs w:val="24"/>
        </w:rPr>
        <w:t>that</w:t>
      </w:r>
      <w:r w:rsidR="00B8141A" w:rsidRPr="009100B8">
        <w:rPr>
          <w:rFonts w:cstheme="minorHAnsi"/>
          <w:sz w:val="24"/>
          <w:szCs w:val="24"/>
        </w:rPr>
        <w:t xml:space="preserve"> of </w:t>
      </w:r>
      <w:r w:rsidR="00E926D7">
        <w:rPr>
          <w:rFonts w:cstheme="minorHAnsi"/>
          <w:sz w:val="24"/>
          <w:szCs w:val="24"/>
        </w:rPr>
        <w:t xml:space="preserve">the </w:t>
      </w:r>
      <w:r w:rsidR="00B8141A" w:rsidRPr="009100B8">
        <w:rPr>
          <w:rFonts w:cstheme="minorHAnsi"/>
          <w:sz w:val="24"/>
          <w:szCs w:val="24"/>
        </w:rPr>
        <w:t xml:space="preserve">vacuum extraction correlated with </w:t>
      </w:r>
      <w:r w:rsidR="00E926D7">
        <w:rPr>
          <w:rFonts w:cstheme="minorHAnsi"/>
          <w:sz w:val="24"/>
          <w:szCs w:val="24"/>
        </w:rPr>
        <w:t>the injury’s severity</w:t>
      </w:r>
      <w:r w:rsidR="00B8141A" w:rsidRPr="009100B8">
        <w:rPr>
          <w:rFonts w:cstheme="minorHAnsi"/>
          <w:sz w:val="24"/>
          <w:szCs w:val="24"/>
        </w:rPr>
        <w:t xml:space="preserve"> (p&gt;0.05</w:t>
      </w:r>
      <w:r w:rsidR="00637BBE" w:rsidRPr="009100B8">
        <w:rPr>
          <w:rFonts w:cstheme="minorHAnsi"/>
          <w:sz w:val="24"/>
          <w:szCs w:val="24"/>
        </w:rPr>
        <w:t>)</w:t>
      </w:r>
      <w:r w:rsidR="008F5B76" w:rsidRPr="009100B8">
        <w:rPr>
          <w:rFonts w:eastAsia="Times New Roman" w:cstheme="minorHAnsi"/>
          <w:sz w:val="24"/>
          <w:szCs w:val="24"/>
          <w:lang w:eastAsia="fi-FI"/>
        </w:rPr>
        <w:t>.</w:t>
      </w:r>
      <w:r w:rsidR="0086730E" w:rsidRPr="009100B8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The OR having a 3MTS of 3.5 or lower was significantly higher for the immigrant population (2.2, 95% CI 1.3, 0.2) </w:t>
      </w:r>
      <w:r w:rsidR="007E30AC">
        <w:rPr>
          <w:rStyle w:val="cf21"/>
          <w:rFonts w:asciiTheme="minorHAnsi" w:hAnsiTheme="minorHAnsi" w:cstheme="minorHAnsi"/>
          <w:sz w:val="24"/>
          <w:szCs w:val="24"/>
        </w:rPr>
        <w:t>compared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to</w:t>
      </w:r>
      <w:r w:rsidR="00DC4828">
        <w:rPr>
          <w:rStyle w:val="cf21"/>
          <w:rFonts w:asciiTheme="minorHAnsi" w:hAnsiTheme="minorHAnsi" w:cstheme="minorHAnsi"/>
          <w:sz w:val="24"/>
          <w:szCs w:val="24"/>
        </w:rPr>
        <w:t xml:space="preserve"> the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native (0.5, 95% CI: 5.6, 0.8). </w:t>
      </w:r>
      <w:r w:rsidR="00DA7328">
        <w:rPr>
          <w:rStyle w:val="cf21"/>
          <w:rFonts w:asciiTheme="minorHAnsi" w:hAnsiTheme="minorHAnsi" w:cstheme="minorHAnsi"/>
          <w:sz w:val="24"/>
          <w:szCs w:val="24"/>
        </w:rPr>
        <w:t>Regarding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ethnicity</w:t>
      </w:r>
      <w:r w:rsidR="00E926D7">
        <w:rPr>
          <w:rStyle w:val="cf21"/>
          <w:rFonts w:asciiTheme="minorHAnsi" w:hAnsiTheme="minorHAnsi" w:cstheme="minorHAnsi"/>
          <w:sz w:val="24"/>
          <w:szCs w:val="24"/>
        </w:rPr>
        <w:t>,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Black mothers </w:t>
      </w:r>
      <w:r w:rsidR="00C51FCC">
        <w:rPr>
          <w:rStyle w:val="cf21"/>
          <w:rFonts w:asciiTheme="minorHAnsi" w:hAnsiTheme="minorHAnsi" w:cstheme="minorHAnsi"/>
          <w:sz w:val="24"/>
          <w:szCs w:val="24"/>
        </w:rPr>
        <w:t xml:space="preserve">had 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the highest OR </w:t>
      </w:r>
      <w:r w:rsidR="00C51FCC">
        <w:rPr>
          <w:rStyle w:val="cf21"/>
          <w:rFonts w:asciiTheme="minorHAnsi" w:hAnsiTheme="minorHAnsi" w:cstheme="minorHAnsi"/>
          <w:sz w:val="24"/>
          <w:szCs w:val="24"/>
        </w:rPr>
        <w:t xml:space="preserve">of having 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>a child with a 3MTS</w:t>
      </w:r>
      <w:r w:rsidR="00F34E6D">
        <w:rPr>
          <w:rStyle w:val="cf21"/>
          <w:rFonts w:asciiTheme="minorHAnsi" w:hAnsiTheme="minorHAnsi" w:cstheme="minorHAnsi"/>
          <w:sz w:val="24"/>
          <w:szCs w:val="24"/>
        </w:rPr>
        <w:t xml:space="preserve"> ≤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3.5 (2.4, 95% CI 1.3, 0.1), </w:t>
      </w:r>
      <w:r w:rsidR="00DA7328">
        <w:rPr>
          <w:rStyle w:val="cf21"/>
          <w:rFonts w:asciiTheme="minorHAnsi" w:hAnsiTheme="minorHAnsi" w:cstheme="minorHAnsi"/>
          <w:sz w:val="24"/>
          <w:szCs w:val="24"/>
        </w:rPr>
        <w:t>while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 xml:space="preserve"> Caucasians </w:t>
      </w:r>
      <w:r w:rsidR="007E30AC">
        <w:rPr>
          <w:rStyle w:val="cf21"/>
          <w:rFonts w:asciiTheme="minorHAnsi" w:hAnsiTheme="minorHAnsi" w:cstheme="minorHAnsi"/>
          <w:sz w:val="24"/>
          <w:szCs w:val="24"/>
        </w:rPr>
        <w:t xml:space="preserve">had </w:t>
      </w:r>
      <w:r w:rsidR="0086730E" w:rsidRPr="009100B8">
        <w:rPr>
          <w:rStyle w:val="cf21"/>
          <w:rFonts w:asciiTheme="minorHAnsi" w:hAnsiTheme="minorHAnsi" w:cstheme="minorHAnsi"/>
          <w:sz w:val="24"/>
          <w:szCs w:val="24"/>
        </w:rPr>
        <w:t>the lowest (0.4, 95% CI 6.8, 0.8).</w:t>
      </w:r>
    </w:p>
    <w:p w14:paraId="35394E6E" w14:textId="390FDBD2" w:rsidR="00B87472" w:rsidRPr="009100B8" w:rsidRDefault="00B87472" w:rsidP="00B87472">
      <w:pPr>
        <w:spacing w:line="480" w:lineRule="auto"/>
        <w:rPr>
          <w:rFonts w:eastAsia="Times New Roman" w:cstheme="minorHAnsi"/>
          <w:sz w:val="24"/>
          <w:szCs w:val="24"/>
          <w:lang w:eastAsia="fi-FI"/>
        </w:rPr>
      </w:pPr>
      <w:r w:rsidRPr="009100B8">
        <w:rPr>
          <w:rFonts w:cstheme="minorHAnsi"/>
          <w:sz w:val="24"/>
          <w:szCs w:val="24"/>
        </w:rPr>
        <w:t xml:space="preserve">Of the 32 immigrant mothers, only </w:t>
      </w:r>
      <w:r w:rsidR="00E926D7">
        <w:rPr>
          <w:rFonts w:cstheme="minorHAnsi"/>
          <w:sz w:val="24"/>
          <w:szCs w:val="24"/>
        </w:rPr>
        <w:t>ten</w:t>
      </w:r>
      <w:r w:rsidRPr="009100B8">
        <w:rPr>
          <w:rFonts w:cstheme="minorHAnsi"/>
          <w:sz w:val="24"/>
          <w:szCs w:val="24"/>
        </w:rPr>
        <w:t xml:space="preserve"> (31%) spoke one of the national languages at the time of delivery. Knowledge of </w:t>
      </w:r>
      <w:r w:rsidR="00E926D7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 xml:space="preserve">national language </w:t>
      </w:r>
      <w:r w:rsidR="00DA7328">
        <w:rPr>
          <w:rFonts w:cstheme="minorHAnsi"/>
          <w:sz w:val="24"/>
          <w:szCs w:val="24"/>
        </w:rPr>
        <w:t>correlated</w:t>
      </w:r>
      <w:r w:rsidR="00F34E6D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with the severity of the injury </w:t>
      </w:r>
      <w:r w:rsidR="00C51FCC">
        <w:rPr>
          <w:rFonts w:cstheme="minorHAnsi"/>
          <w:sz w:val="24"/>
          <w:szCs w:val="24"/>
        </w:rPr>
        <w:t>where</w:t>
      </w:r>
      <w:r w:rsidR="00DA732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children </w:t>
      </w:r>
      <w:r w:rsidR="008F5B76" w:rsidRPr="009100B8">
        <w:rPr>
          <w:rFonts w:cstheme="minorHAnsi"/>
          <w:sz w:val="24"/>
          <w:szCs w:val="24"/>
        </w:rPr>
        <w:t>of</w:t>
      </w:r>
      <w:r w:rsidRPr="009100B8">
        <w:rPr>
          <w:rFonts w:cstheme="minorHAnsi"/>
          <w:sz w:val="24"/>
          <w:szCs w:val="24"/>
        </w:rPr>
        <w:t xml:space="preserve"> mothers </w:t>
      </w:r>
      <w:r w:rsidR="00DA7328">
        <w:rPr>
          <w:rFonts w:cstheme="minorHAnsi"/>
          <w:sz w:val="24"/>
          <w:szCs w:val="24"/>
        </w:rPr>
        <w:t>who spoke</w:t>
      </w:r>
      <w:r w:rsidRPr="009100B8">
        <w:rPr>
          <w:rFonts w:cstheme="minorHAnsi"/>
          <w:sz w:val="24"/>
          <w:szCs w:val="24"/>
        </w:rPr>
        <w:t xml:space="preserve"> the national language</w:t>
      </w:r>
      <w:r w:rsidR="00E926D7">
        <w:rPr>
          <w:rFonts w:cstheme="minorHAnsi"/>
          <w:sz w:val="24"/>
          <w:szCs w:val="24"/>
        </w:rPr>
        <w:t>(s)</w:t>
      </w:r>
      <w:r w:rsidR="00DA7328">
        <w:rPr>
          <w:rFonts w:cstheme="minorHAnsi"/>
          <w:sz w:val="24"/>
          <w:szCs w:val="24"/>
        </w:rPr>
        <w:t xml:space="preserve">, </w:t>
      </w:r>
      <w:r w:rsidR="00C51FCC">
        <w:rPr>
          <w:rFonts w:cstheme="minorHAnsi"/>
          <w:sz w:val="24"/>
          <w:szCs w:val="24"/>
        </w:rPr>
        <w:t>had a</w:t>
      </w:r>
      <w:r w:rsidRPr="009100B8">
        <w:rPr>
          <w:rFonts w:cstheme="minorHAnsi"/>
          <w:sz w:val="24"/>
          <w:szCs w:val="24"/>
        </w:rPr>
        <w:t xml:space="preserve"> mean 3MTS of 5.9 (range 3.1</w:t>
      </w:r>
      <w:r w:rsidR="00E926D7">
        <w:rPr>
          <w:rFonts w:cstheme="minorHAnsi"/>
          <w:sz w:val="24"/>
          <w:szCs w:val="24"/>
        </w:rPr>
        <w:t>–</w:t>
      </w:r>
      <w:r w:rsidRPr="009100B8">
        <w:rPr>
          <w:rFonts w:cstheme="minorHAnsi"/>
          <w:sz w:val="24"/>
          <w:szCs w:val="24"/>
        </w:rPr>
        <w:t>6.5, SD 2.2)</w:t>
      </w:r>
      <w:r w:rsidR="0086730E" w:rsidRPr="009100B8">
        <w:rPr>
          <w:rFonts w:cstheme="minorHAnsi"/>
          <w:sz w:val="24"/>
          <w:szCs w:val="24"/>
        </w:rPr>
        <w:t xml:space="preserve"> vs</w:t>
      </w:r>
      <w:r w:rsidR="00DA7328">
        <w:rPr>
          <w:rFonts w:cstheme="minorHAnsi"/>
          <w:sz w:val="24"/>
          <w:szCs w:val="24"/>
        </w:rPr>
        <w:t>.</w:t>
      </w:r>
      <w:r w:rsidR="0086730E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4.6 (range 0</w:t>
      </w:r>
      <w:r w:rsidR="00E926D7">
        <w:rPr>
          <w:rFonts w:cstheme="minorHAnsi"/>
          <w:sz w:val="24"/>
          <w:szCs w:val="24"/>
        </w:rPr>
        <w:t>–</w:t>
      </w:r>
      <w:r w:rsidRPr="009100B8">
        <w:rPr>
          <w:rFonts w:cstheme="minorHAnsi"/>
          <w:sz w:val="24"/>
          <w:szCs w:val="24"/>
        </w:rPr>
        <w:t>8.6, SD 1.9)</w:t>
      </w:r>
      <w:r w:rsidR="0086730E" w:rsidRPr="009100B8">
        <w:rPr>
          <w:rFonts w:cstheme="minorHAnsi"/>
          <w:sz w:val="24"/>
          <w:szCs w:val="24"/>
        </w:rPr>
        <w:t xml:space="preserve"> in the children whose mothers did not. H</w:t>
      </w:r>
      <w:r w:rsidRPr="009100B8">
        <w:rPr>
          <w:rFonts w:cstheme="minorHAnsi"/>
          <w:sz w:val="24"/>
          <w:szCs w:val="24"/>
        </w:rPr>
        <w:t>owever, this difference did not reach statistical significance (p=0.4).</w:t>
      </w:r>
    </w:p>
    <w:p w14:paraId="2D6F39B3" w14:textId="77777777" w:rsidR="00B87472" w:rsidRPr="009100B8" w:rsidRDefault="00B87472" w:rsidP="00697650">
      <w:pPr>
        <w:spacing w:line="480" w:lineRule="auto"/>
        <w:rPr>
          <w:rFonts w:eastAsia="Times New Roman" w:cstheme="minorHAnsi"/>
          <w:sz w:val="24"/>
          <w:szCs w:val="24"/>
          <w:lang w:eastAsia="fi-FI"/>
        </w:rPr>
      </w:pPr>
    </w:p>
    <w:p w14:paraId="255062E9" w14:textId="75CF0E73" w:rsidR="00B87472" w:rsidRPr="009100B8" w:rsidRDefault="00B87472" w:rsidP="00697650">
      <w:pPr>
        <w:spacing w:line="480" w:lineRule="auto"/>
        <w:rPr>
          <w:rFonts w:eastAsia="Times New Roman" w:cstheme="minorHAnsi"/>
          <w:i/>
          <w:iCs/>
          <w:sz w:val="24"/>
          <w:szCs w:val="24"/>
          <w:lang w:eastAsia="fi-FI"/>
        </w:rPr>
      </w:pPr>
      <w:r w:rsidRPr="009100B8">
        <w:rPr>
          <w:rFonts w:eastAsia="Times New Roman" w:cstheme="minorHAnsi"/>
          <w:i/>
          <w:iCs/>
          <w:sz w:val="24"/>
          <w:szCs w:val="24"/>
          <w:lang w:eastAsia="fi-FI"/>
        </w:rPr>
        <w:t>Uni- and multivariate models for risk factors</w:t>
      </w:r>
    </w:p>
    <w:p w14:paraId="70DF0E89" w14:textId="33699F54" w:rsidR="000D259E" w:rsidRPr="009100B8" w:rsidRDefault="00033BFF" w:rsidP="00697650">
      <w:pPr>
        <w:spacing w:line="480" w:lineRule="auto"/>
        <w:rPr>
          <w:rStyle w:val="cf21"/>
          <w:rFonts w:asciiTheme="minorHAnsi" w:hAnsiTheme="minorHAnsi" w:cstheme="minorHAnsi"/>
          <w:sz w:val="24"/>
          <w:szCs w:val="24"/>
        </w:rPr>
      </w:pPr>
      <w:r w:rsidRPr="009100B8">
        <w:rPr>
          <w:rFonts w:eastAsia="Times New Roman" w:cstheme="minorHAnsi"/>
          <w:sz w:val="24"/>
          <w:szCs w:val="24"/>
          <w:lang w:eastAsia="fi-FI"/>
        </w:rPr>
        <w:t>In the univariate linear regression analysis</w:t>
      </w:r>
      <w:r w:rsidR="00E926D7">
        <w:rPr>
          <w:rFonts w:eastAsia="Times New Roman" w:cstheme="minorHAnsi"/>
          <w:sz w:val="24"/>
          <w:szCs w:val="24"/>
          <w:lang w:eastAsia="fi-FI"/>
        </w:rPr>
        <w:t>,</w:t>
      </w:r>
      <w:r w:rsidRPr="009100B8">
        <w:rPr>
          <w:rFonts w:eastAsia="Times New Roman" w:cstheme="minorHAnsi"/>
          <w:sz w:val="24"/>
          <w:szCs w:val="24"/>
          <w:lang w:eastAsia="fi-FI"/>
        </w:rPr>
        <w:t xml:space="preserve"> </w:t>
      </w:r>
      <w:r w:rsidR="00DA7328">
        <w:rPr>
          <w:rFonts w:eastAsia="Times New Roman" w:cstheme="minorHAnsi"/>
          <w:sz w:val="24"/>
          <w:szCs w:val="24"/>
          <w:lang w:eastAsia="fi-FI"/>
        </w:rPr>
        <w:t xml:space="preserve">a </w:t>
      </w:r>
      <w:r w:rsidR="00483861" w:rsidRPr="009100B8">
        <w:rPr>
          <w:rFonts w:eastAsia="Times New Roman" w:cstheme="minorHAnsi"/>
          <w:sz w:val="24"/>
          <w:szCs w:val="24"/>
          <w:lang w:eastAsia="fi-FI"/>
        </w:rPr>
        <w:t>n</w:t>
      </w:r>
      <w:r w:rsidRPr="009100B8">
        <w:rPr>
          <w:rFonts w:eastAsia="Times New Roman" w:cstheme="minorHAnsi"/>
          <w:sz w:val="24"/>
          <w:szCs w:val="24"/>
          <w:lang w:eastAsia="fi-FI"/>
        </w:rPr>
        <w:t>on-</w:t>
      </w:r>
      <w:r w:rsidR="00483861" w:rsidRPr="009100B8">
        <w:rPr>
          <w:rFonts w:eastAsia="Times New Roman" w:cstheme="minorHAnsi"/>
          <w:sz w:val="24"/>
          <w:szCs w:val="24"/>
          <w:lang w:eastAsia="fi-FI"/>
        </w:rPr>
        <w:t>w</w:t>
      </w:r>
      <w:r w:rsidRPr="009100B8">
        <w:rPr>
          <w:rFonts w:eastAsia="Times New Roman" w:cstheme="minorHAnsi"/>
          <w:sz w:val="24"/>
          <w:szCs w:val="24"/>
          <w:lang w:eastAsia="fi-FI"/>
        </w:rPr>
        <w:t>hite background correlated with a more severe injury (β=-1.12 range, -2.17 to -0.07, p=0.00</w:t>
      </w:r>
      <w:r w:rsidR="000D259E" w:rsidRPr="009100B8">
        <w:rPr>
          <w:rFonts w:eastAsia="Times New Roman" w:cstheme="minorHAnsi"/>
          <w:sz w:val="24"/>
          <w:szCs w:val="24"/>
          <w:lang w:eastAsia="fi-FI"/>
        </w:rPr>
        <w:t>4</w:t>
      </w:r>
      <w:r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). </w:t>
      </w:r>
      <w:r w:rsidR="000D259E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>For Black women</w:t>
      </w:r>
      <w:r w:rsidR="00E926D7">
        <w:rPr>
          <w:rFonts w:eastAsia="Times New Roman" w:cstheme="minorHAnsi"/>
          <w:color w:val="000000" w:themeColor="text1"/>
          <w:sz w:val="24"/>
          <w:szCs w:val="24"/>
          <w:lang w:eastAsia="fi-FI"/>
        </w:rPr>
        <w:t>,</w:t>
      </w:r>
      <w:r w:rsidR="000D259E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 the correlation was even stronger </w:t>
      </w:r>
      <w:r w:rsidR="000D259E" w:rsidRPr="009100B8">
        <w:rPr>
          <w:rFonts w:eastAsia="Times New Roman" w:cstheme="minorHAnsi"/>
          <w:sz w:val="24"/>
          <w:szCs w:val="24"/>
          <w:lang w:eastAsia="fi-FI"/>
        </w:rPr>
        <w:t>(β=-1.64 range, -2.79 to -0.49, p=0.005</w:t>
      </w:r>
      <w:r w:rsidR="000D259E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). </w:t>
      </w:r>
      <w:r w:rsidR="00411B69" w:rsidRPr="009100B8">
        <w:rPr>
          <w:rFonts w:eastAsia="Times New Roman" w:cstheme="minorHAnsi"/>
          <w:color w:val="000000" w:themeColor="text1"/>
          <w:sz w:val="24"/>
          <w:szCs w:val="24"/>
          <w:lang w:eastAsia="fi-FI"/>
        </w:rPr>
        <w:t xml:space="preserve">No other associations between ethnicity and birth characteristics in relation to 3MTS were found in the univariate models. In the multivariate </w:t>
      </w:r>
      <w:r w:rsidR="00411B69" w:rsidRPr="00F34E6D">
        <w:rPr>
          <w:rFonts w:eastAsia="Times New Roman" w:cstheme="minorHAnsi"/>
          <w:sz w:val="24"/>
          <w:szCs w:val="24"/>
          <w:lang w:eastAsia="fi-FI"/>
        </w:rPr>
        <w:t>models</w:t>
      </w:r>
      <w:r w:rsidR="00F34E6D" w:rsidRPr="00F34E6D">
        <w:rPr>
          <w:rFonts w:eastAsia="Times New Roman" w:cstheme="minorHAnsi"/>
          <w:sz w:val="24"/>
          <w:szCs w:val="24"/>
          <w:lang w:eastAsia="fi-FI"/>
        </w:rPr>
        <w:t>,</w:t>
      </w:r>
      <w:r w:rsidR="00B64810" w:rsidRPr="00F34E6D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DA7328">
        <w:rPr>
          <w:rStyle w:val="cf01"/>
          <w:rFonts w:asciiTheme="minorHAnsi" w:hAnsiTheme="minorHAnsi" w:cstheme="minorHAnsi"/>
          <w:sz w:val="24"/>
          <w:szCs w:val="24"/>
        </w:rPr>
        <w:t xml:space="preserve">a </w:t>
      </w:r>
      <w:r w:rsidR="00F34E6D">
        <w:rPr>
          <w:rStyle w:val="cf01"/>
          <w:rFonts w:asciiTheme="minorHAnsi" w:hAnsiTheme="minorHAnsi" w:cstheme="minorHAnsi"/>
          <w:sz w:val="24"/>
          <w:szCs w:val="24"/>
        </w:rPr>
        <w:t>n</w:t>
      </w:r>
      <w:r w:rsidR="00B64810" w:rsidRPr="00F34E6D">
        <w:rPr>
          <w:rStyle w:val="cf01"/>
          <w:rFonts w:asciiTheme="minorHAnsi" w:hAnsiTheme="minorHAnsi" w:cstheme="minorHAnsi"/>
          <w:sz w:val="24"/>
          <w:szCs w:val="24"/>
        </w:rPr>
        <w:t>on</w:t>
      </w:r>
      <w:r w:rsidR="00B64810" w:rsidRPr="009100B8">
        <w:rPr>
          <w:rStyle w:val="cf01"/>
          <w:rFonts w:asciiTheme="minorHAnsi" w:hAnsiTheme="minorHAnsi" w:cstheme="minorHAnsi"/>
          <w:sz w:val="24"/>
          <w:szCs w:val="24"/>
        </w:rPr>
        <w:t>-</w:t>
      </w:r>
      <w:r w:rsidR="00F34E6D">
        <w:rPr>
          <w:rStyle w:val="cf01"/>
          <w:rFonts w:asciiTheme="minorHAnsi" w:hAnsiTheme="minorHAnsi" w:cstheme="minorHAnsi"/>
          <w:sz w:val="24"/>
          <w:szCs w:val="24"/>
        </w:rPr>
        <w:t>w</w:t>
      </w:r>
      <w:r w:rsidR="00B64810" w:rsidRPr="009100B8">
        <w:rPr>
          <w:rStyle w:val="cf01"/>
          <w:rFonts w:asciiTheme="minorHAnsi" w:hAnsiTheme="minorHAnsi" w:cstheme="minorHAnsi"/>
          <w:sz w:val="24"/>
          <w:szCs w:val="24"/>
        </w:rPr>
        <w:t>hite background</w:t>
      </w:r>
      <w:r w:rsidR="004D670C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adjusted for shoulder dystocia and maternal age</w:t>
      </w:r>
      <w:r w:rsidR="00411B69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7E30AC">
        <w:rPr>
          <w:rStyle w:val="cf01"/>
          <w:rFonts w:asciiTheme="minorHAnsi" w:hAnsiTheme="minorHAnsi" w:cstheme="minorHAnsi"/>
          <w:sz w:val="24"/>
          <w:szCs w:val="24"/>
        </w:rPr>
        <w:t>negatively impacted</w:t>
      </w:r>
      <w:r w:rsidR="00411B69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the 3MTS</w:t>
      </w:r>
      <w:r w:rsidR="004D670C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B64810" w:rsidRPr="009100B8">
        <w:rPr>
          <w:rStyle w:val="cf11"/>
          <w:rFonts w:asciiTheme="minorHAnsi" w:hAnsiTheme="minorHAnsi" w:cstheme="minorHAnsi"/>
          <w:sz w:val="24"/>
          <w:szCs w:val="24"/>
        </w:rPr>
        <w:t>(</w:t>
      </w:r>
      <w:r w:rsidR="00B64810" w:rsidRPr="009100B8">
        <w:rPr>
          <w:rStyle w:val="cf01"/>
          <w:rFonts w:asciiTheme="minorHAnsi" w:hAnsiTheme="minorHAnsi" w:cstheme="minorHAnsi"/>
          <w:sz w:val="24"/>
          <w:szCs w:val="24"/>
        </w:rPr>
        <w:t>β</w:t>
      </w:r>
      <w:r w:rsidR="00B64810" w:rsidRPr="009100B8">
        <w:rPr>
          <w:rStyle w:val="cf11"/>
          <w:rFonts w:asciiTheme="minorHAnsi" w:hAnsiTheme="minorHAnsi" w:cstheme="minorHAnsi"/>
          <w:sz w:val="24"/>
          <w:szCs w:val="24"/>
        </w:rPr>
        <w:t>=-1.</w:t>
      </w:r>
      <w:r w:rsidR="000D259E" w:rsidRPr="009100B8">
        <w:rPr>
          <w:rStyle w:val="cf11"/>
          <w:rFonts w:asciiTheme="minorHAnsi" w:hAnsiTheme="minorHAnsi" w:cstheme="minorHAnsi"/>
          <w:sz w:val="24"/>
          <w:szCs w:val="24"/>
        </w:rPr>
        <w:t>23</w:t>
      </w:r>
      <w:r w:rsidR="00B64810" w:rsidRPr="009100B8">
        <w:rPr>
          <w:rStyle w:val="cf11"/>
          <w:rFonts w:asciiTheme="minorHAnsi" w:hAnsiTheme="minorHAnsi" w:cstheme="minorHAnsi"/>
          <w:sz w:val="24"/>
          <w:szCs w:val="24"/>
        </w:rPr>
        <w:t>, range -3.38 to -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0.15</w:t>
      </w:r>
      <w:r w:rsidR="00B64810" w:rsidRPr="009100B8">
        <w:rPr>
          <w:rStyle w:val="cf11"/>
          <w:rFonts w:asciiTheme="minorHAnsi" w:hAnsiTheme="minorHAnsi" w:cstheme="minorHAnsi"/>
          <w:sz w:val="24"/>
          <w:szCs w:val="24"/>
        </w:rPr>
        <w:t>, p=0.0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27</w:t>
      </w:r>
      <w:r w:rsidR="00B64810" w:rsidRPr="009100B8">
        <w:rPr>
          <w:rStyle w:val="cf11"/>
          <w:rFonts w:asciiTheme="minorHAnsi" w:hAnsiTheme="minorHAnsi" w:cstheme="minorHAnsi"/>
          <w:sz w:val="24"/>
          <w:szCs w:val="24"/>
        </w:rPr>
        <w:t>)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. Similarly</w:t>
      </w:r>
      <w:r w:rsidR="00E926D7">
        <w:rPr>
          <w:rStyle w:val="cf11"/>
          <w:rFonts w:asciiTheme="minorHAnsi" w:hAnsiTheme="minorHAnsi" w:cstheme="minorHAnsi"/>
          <w:sz w:val="24"/>
          <w:szCs w:val="24"/>
        </w:rPr>
        <w:t>,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Black ethnicity adjusted with shoulder dystocia and maternal age (</w:t>
      </w:r>
      <w:r w:rsidR="00411B69" w:rsidRPr="009100B8">
        <w:rPr>
          <w:rStyle w:val="cf01"/>
          <w:rFonts w:asciiTheme="minorHAnsi" w:hAnsiTheme="minorHAnsi" w:cstheme="minorHAnsi"/>
          <w:sz w:val="24"/>
          <w:szCs w:val="24"/>
        </w:rPr>
        <w:t>β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=-1.77, range -2.95 to -0.69, p=0.004) as well as shoulder dystocia and BMI (</w:t>
      </w:r>
      <w:r w:rsidR="00411B69" w:rsidRPr="009100B8">
        <w:rPr>
          <w:rStyle w:val="cf01"/>
          <w:rFonts w:asciiTheme="minorHAnsi" w:hAnsiTheme="minorHAnsi" w:cstheme="minorHAnsi"/>
          <w:sz w:val="24"/>
          <w:szCs w:val="24"/>
        </w:rPr>
        <w:t>β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=-1.42, range -2.64 to -0.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>20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, p=0.02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>3</w:t>
      </w:r>
      <w:r w:rsidR="00411B69" w:rsidRPr="009100B8">
        <w:rPr>
          <w:rStyle w:val="cf11"/>
          <w:rFonts w:asciiTheme="minorHAnsi" w:hAnsiTheme="minorHAnsi" w:cstheme="minorHAnsi"/>
          <w:sz w:val="24"/>
          <w:szCs w:val="24"/>
        </w:rPr>
        <w:t>)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all negative</w:t>
      </w:r>
      <w:r w:rsidR="00E926D7">
        <w:rPr>
          <w:rStyle w:val="cf11"/>
          <w:rFonts w:asciiTheme="minorHAnsi" w:hAnsiTheme="minorHAnsi" w:cstheme="minorHAnsi"/>
          <w:sz w:val="24"/>
          <w:szCs w:val="24"/>
        </w:rPr>
        <w:t>ly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impact</w:t>
      </w:r>
      <w:r w:rsidR="00E926D7">
        <w:rPr>
          <w:rStyle w:val="cf11"/>
          <w:rFonts w:asciiTheme="minorHAnsi" w:hAnsiTheme="minorHAnsi" w:cstheme="minorHAnsi"/>
          <w:sz w:val="24"/>
          <w:szCs w:val="24"/>
        </w:rPr>
        <w:t>ed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the 3MTS. Lastly</w:t>
      </w:r>
      <w:r w:rsidR="00E926D7">
        <w:rPr>
          <w:rStyle w:val="cf11"/>
          <w:rFonts w:asciiTheme="minorHAnsi" w:hAnsiTheme="minorHAnsi" w:cstheme="minorHAnsi"/>
          <w:sz w:val="24"/>
          <w:szCs w:val="24"/>
        </w:rPr>
        <w:t>,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DM</w:t>
      </w:r>
      <w:r w:rsidR="00E10B84">
        <w:rPr>
          <w:rStyle w:val="cf11"/>
          <w:rFonts w:asciiTheme="minorHAnsi" w:hAnsiTheme="minorHAnsi" w:cstheme="minorHAnsi"/>
          <w:sz w:val="24"/>
          <w:szCs w:val="24"/>
        </w:rPr>
        <w:t xml:space="preserve"> 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I </w:t>
      </w:r>
      <w:r w:rsidR="00E926D7">
        <w:rPr>
          <w:rStyle w:val="cf11"/>
          <w:rFonts w:asciiTheme="minorHAnsi" w:hAnsiTheme="minorHAnsi" w:cstheme="minorHAnsi"/>
          <w:sz w:val="24"/>
          <w:szCs w:val="24"/>
        </w:rPr>
        <w:t>combined with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 Black ethnicity and shoulder dystocia (</w:t>
      </w:r>
      <w:r w:rsidR="00F37B9B" w:rsidRPr="009100B8">
        <w:rPr>
          <w:rStyle w:val="cf01"/>
          <w:rFonts w:asciiTheme="minorHAnsi" w:hAnsiTheme="minorHAnsi" w:cstheme="minorHAnsi"/>
          <w:sz w:val="24"/>
          <w:szCs w:val="24"/>
        </w:rPr>
        <w:t>β</w:t>
      </w:r>
      <w:r w:rsidR="00F37B9B" w:rsidRPr="009100B8">
        <w:rPr>
          <w:rStyle w:val="cf11"/>
          <w:rFonts w:asciiTheme="minorHAnsi" w:hAnsiTheme="minorHAnsi" w:cstheme="minorHAnsi"/>
          <w:sz w:val="24"/>
          <w:szCs w:val="24"/>
        </w:rPr>
        <w:t xml:space="preserve">=-0.99, range -1.98 to -0.00, p=0.049) correlated with a worse injury. </w:t>
      </w:r>
    </w:p>
    <w:p w14:paraId="54CD1ACF" w14:textId="3045383C" w:rsidR="00AF330D" w:rsidRPr="00CD5A3C" w:rsidRDefault="00D20DE1" w:rsidP="00EE309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br w:type="page"/>
      </w:r>
      <w:r w:rsidR="00563A4B" w:rsidRPr="009100B8">
        <w:rPr>
          <w:rFonts w:cstheme="minorHAnsi"/>
          <w:b/>
          <w:sz w:val="24"/>
          <w:szCs w:val="24"/>
        </w:rPr>
        <w:t>Discussion</w:t>
      </w:r>
      <w:r w:rsidRPr="009100B8">
        <w:rPr>
          <w:rFonts w:cstheme="minorHAnsi"/>
          <w:b/>
          <w:sz w:val="24"/>
          <w:szCs w:val="24"/>
        </w:rPr>
        <w:t xml:space="preserve"> </w:t>
      </w:r>
    </w:p>
    <w:p w14:paraId="16CEA756" w14:textId="77777777" w:rsidR="009970C5" w:rsidRPr="009100B8" w:rsidRDefault="009970C5" w:rsidP="007424C7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>Main findings</w:t>
      </w:r>
    </w:p>
    <w:p w14:paraId="2770A860" w14:textId="547B82CA" w:rsidR="007424C7" w:rsidRPr="009100B8" w:rsidRDefault="0042057B" w:rsidP="007424C7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>The overall incidence of a permanent BPBI</w:t>
      </w:r>
      <w:r w:rsidR="00E70E57" w:rsidRPr="009100B8">
        <w:rPr>
          <w:rFonts w:cstheme="minorHAnsi"/>
          <w:sz w:val="24"/>
          <w:szCs w:val="24"/>
        </w:rPr>
        <w:t xml:space="preserve"> </w:t>
      </w:r>
      <w:r w:rsidR="00DA7328">
        <w:rPr>
          <w:rFonts w:cstheme="minorHAnsi"/>
          <w:sz w:val="24"/>
          <w:szCs w:val="24"/>
        </w:rPr>
        <w:t>declined</w:t>
      </w:r>
      <w:r w:rsidRPr="009100B8">
        <w:rPr>
          <w:rFonts w:cstheme="minorHAnsi"/>
          <w:sz w:val="24"/>
          <w:szCs w:val="24"/>
        </w:rPr>
        <w:t xml:space="preserve"> from 0.8 in 1000 births in 2006 to 0.4 in 2022.</w:t>
      </w:r>
      <w:r w:rsidR="00E70E57" w:rsidRPr="009100B8">
        <w:rPr>
          <w:rFonts w:cstheme="minorHAnsi"/>
          <w:sz w:val="24"/>
          <w:szCs w:val="24"/>
        </w:rPr>
        <w:t xml:space="preserve"> </w:t>
      </w:r>
      <w:r w:rsidR="00E926D7">
        <w:rPr>
          <w:rFonts w:cstheme="minorHAnsi"/>
          <w:sz w:val="24"/>
          <w:szCs w:val="24"/>
        </w:rPr>
        <w:t>Conversely</w:t>
      </w:r>
      <w:r w:rsidR="00E70E57" w:rsidRPr="009100B8">
        <w:rPr>
          <w:rFonts w:cstheme="minorHAnsi"/>
          <w:sz w:val="24"/>
          <w:szCs w:val="24"/>
        </w:rPr>
        <w:t xml:space="preserve">, the incidence is </w:t>
      </w:r>
      <w:r w:rsidR="000E2217" w:rsidRPr="009100B8">
        <w:rPr>
          <w:rFonts w:cstheme="minorHAnsi"/>
          <w:sz w:val="24"/>
          <w:szCs w:val="24"/>
        </w:rPr>
        <w:t>rising</w:t>
      </w:r>
      <w:r w:rsidR="00E70E57" w:rsidRPr="009100B8">
        <w:rPr>
          <w:rFonts w:cstheme="minorHAnsi"/>
          <w:sz w:val="24"/>
          <w:szCs w:val="24"/>
        </w:rPr>
        <w:t xml:space="preserve"> in the immigrant population, with 60% of children with a permanent injury born to immigrant mothers </w:t>
      </w:r>
      <w:r w:rsidR="00E70E57" w:rsidRPr="00F34E6D">
        <w:rPr>
          <w:rFonts w:cstheme="minorHAnsi"/>
          <w:sz w:val="24"/>
          <w:szCs w:val="24"/>
        </w:rPr>
        <w:t xml:space="preserve">during the last five years of the </w:t>
      </w:r>
      <w:r w:rsidR="00E70E57" w:rsidRPr="009100B8">
        <w:rPr>
          <w:rFonts w:cstheme="minorHAnsi"/>
          <w:sz w:val="24"/>
          <w:szCs w:val="24"/>
        </w:rPr>
        <w:t>study. Furthermore, the injury</w:t>
      </w:r>
      <w:r w:rsidR="00DA7328">
        <w:rPr>
          <w:rFonts w:cstheme="minorHAnsi"/>
          <w:sz w:val="24"/>
          <w:szCs w:val="24"/>
        </w:rPr>
        <w:t>’s severity</w:t>
      </w:r>
      <w:r w:rsidR="00E70E57" w:rsidRPr="009100B8">
        <w:rPr>
          <w:rFonts w:cstheme="minorHAnsi"/>
          <w:sz w:val="24"/>
          <w:szCs w:val="24"/>
        </w:rPr>
        <w:t xml:space="preserve"> is worse in </w:t>
      </w:r>
      <w:r w:rsidR="009542B8" w:rsidRPr="009100B8">
        <w:rPr>
          <w:rFonts w:cstheme="minorHAnsi"/>
          <w:sz w:val="24"/>
          <w:szCs w:val="24"/>
        </w:rPr>
        <w:t xml:space="preserve">infants born to </w:t>
      </w:r>
      <w:r w:rsidR="00E70E57" w:rsidRPr="009100B8">
        <w:rPr>
          <w:rFonts w:cstheme="minorHAnsi"/>
          <w:sz w:val="24"/>
          <w:szCs w:val="24"/>
        </w:rPr>
        <w:t>non-white women (</w:t>
      </w:r>
      <w:r w:rsidR="00E70E57" w:rsidRPr="009100B8">
        <w:rPr>
          <w:rFonts w:eastAsia="Times New Roman" w:cstheme="minorHAnsi"/>
          <w:sz w:val="24"/>
          <w:szCs w:val="24"/>
          <w:lang w:eastAsia="fi-FI"/>
        </w:rPr>
        <w:t>p=0.004).</w:t>
      </w:r>
    </w:p>
    <w:p w14:paraId="6A06D8E9" w14:textId="77777777" w:rsidR="0042057B" w:rsidRPr="009100B8" w:rsidRDefault="0042057B" w:rsidP="007424C7">
      <w:pPr>
        <w:spacing w:line="480" w:lineRule="auto"/>
        <w:rPr>
          <w:rFonts w:cstheme="minorHAnsi"/>
          <w:sz w:val="24"/>
          <w:szCs w:val="24"/>
        </w:rPr>
      </w:pPr>
    </w:p>
    <w:p w14:paraId="71A5A9EF" w14:textId="77777777" w:rsidR="0042057B" w:rsidRPr="009100B8" w:rsidRDefault="0042057B" w:rsidP="0042057B">
      <w:pPr>
        <w:spacing w:line="480" w:lineRule="auto"/>
        <w:rPr>
          <w:rFonts w:cstheme="minorHAnsi"/>
          <w:i/>
          <w:iCs/>
          <w:color w:val="1C1D1E"/>
          <w:sz w:val="24"/>
          <w:szCs w:val="24"/>
          <w:shd w:val="clear" w:color="auto" w:fill="FFFFFF"/>
        </w:rPr>
      </w:pPr>
      <w:r w:rsidRPr="009100B8">
        <w:rPr>
          <w:rFonts w:cstheme="minorHAnsi"/>
          <w:i/>
          <w:iCs/>
          <w:color w:val="1C1D1E"/>
          <w:sz w:val="24"/>
          <w:szCs w:val="24"/>
          <w:shd w:val="clear" w:color="auto" w:fill="FFFFFF"/>
        </w:rPr>
        <w:t>Strengths and limitations</w:t>
      </w:r>
    </w:p>
    <w:p w14:paraId="50C0E917" w14:textId="61DBFA04" w:rsidR="0042057B" w:rsidRPr="009100B8" w:rsidRDefault="00E70E57" w:rsidP="0042057B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We reported the population-based incidence and risk factors for a permanent BPBI with special emphasis on the </w:t>
      </w:r>
      <w:r w:rsidR="005B3479">
        <w:rPr>
          <w:rFonts w:cstheme="minorHAnsi"/>
          <w:sz w:val="24"/>
          <w:szCs w:val="24"/>
        </w:rPr>
        <w:t xml:space="preserve">mothers’ </w:t>
      </w:r>
      <w:r w:rsidRPr="009100B8">
        <w:rPr>
          <w:rFonts w:cstheme="minorHAnsi"/>
          <w:sz w:val="24"/>
          <w:szCs w:val="24"/>
        </w:rPr>
        <w:t xml:space="preserve">ethnic background. </w:t>
      </w:r>
      <w:r w:rsidR="0042057B" w:rsidRPr="009100B8">
        <w:rPr>
          <w:rFonts w:cstheme="minorHAnsi"/>
          <w:sz w:val="24"/>
          <w:szCs w:val="24"/>
        </w:rPr>
        <w:t>We believe this to be one of the first studies to analyze a defined population for risk factors leading to a permanent BPBI attributing to participating hospitals</w:t>
      </w:r>
      <w:r w:rsidR="007E30AC">
        <w:rPr>
          <w:rFonts w:cstheme="minorHAnsi"/>
          <w:sz w:val="24"/>
          <w:szCs w:val="24"/>
        </w:rPr>
        <w:t>’</w:t>
      </w:r>
      <w:r w:rsidR="0042057B" w:rsidRPr="009100B8">
        <w:rPr>
          <w:rFonts w:cstheme="minorHAnsi"/>
          <w:sz w:val="24"/>
          <w:szCs w:val="24"/>
        </w:rPr>
        <w:t xml:space="preserve"> long tradition of prospective data gathering and the registry of THL</w:t>
      </w:r>
      <w:r w:rsidR="0044378D">
        <w:rPr>
          <w:rFonts w:cstheme="minorHAnsi"/>
          <w:sz w:val="24"/>
          <w:szCs w:val="24"/>
        </w:rPr>
        <w:t>,</w:t>
      </w:r>
      <w:r w:rsidR="0042057B" w:rsidRPr="009100B8">
        <w:rPr>
          <w:rFonts w:cstheme="minorHAnsi"/>
          <w:sz w:val="24"/>
          <w:szCs w:val="24"/>
        </w:rPr>
        <w:t xml:space="preserve"> which has been shown to have high completeness and validity.</w:t>
      </w:r>
      <w:r w:rsidR="00CD5A3C">
        <w:rPr>
          <w:rFonts w:cstheme="minorHAnsi"/>
          <w:sz w:val="24"/>
          <w:szCs w:val="24"/>
          <w:vertAlign w:val="superscript"/>
        </w:rPr>
        <w:t>20</w:t>
      </w:r>
    </w:p>
    <w:p w14:paraId="7B752ED5" w14:textId="1B638809" w:rsidR="0042057B" w:rsidRPr="009100B8" w:rsidRDefault="0042057B" w:rsidP="0042057B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Since information on ethnicity </w:t>
      </w:r>
      <w:r w:rsidR="0086730E" w:rsidRPr="009100B8">
        <w:rPr>
          <w:rFonts w:cstheme="minorHAnsi"/>
          <w:sz w:val="24"/>
          <w:szCs w:val="24"/>
        </w:rPr>
        <w:t xml:space="preserve">is not </w:t>
      </w:r>
      <w:r w:rsidR="00C8094B">
        <w:rPr>
          <w:rFonts w:cstheme="minorHAnsi"/>
          <w:sz w:val="24"/>
          <w:szCs w:val="24"/>
        </w:rPr>
        <w:t>registered in the THL database</w:t>
      </w:r>
      <w:r w:rsidRPr="009100B8">
        <w:rPr>
          <w:rFonts w:cstheme="minorHAnsi"/>
          <w:sz w:val="24"/>
          <w:szCs w:val="24"/>
        </w:rPr>
        <w:t xml:space="preserve"> risk factor analysis mirror</w:t>
      </w:r>
      <w:r w:rsidR="00716F19">
        <w:rPr>
          <w:rFonts w:cstheme="minorHAnsi"/>
          <w:sz w:val="24"/>
          <w:szCs w:val="24"/>
        </w:rPr>
        <w:t>ing</w:t>
      </w:r>
      <w:r w:rsidRPr="009100B8">
        <w:rPr>
          <w:rFonts w:cstheme="minorHAnsi"/>
          <w:sz w:val="24"/>
          <w:szCs w:val="24"/>
        </w:rPr>
        <w:t xml:space="preserve"> the whole population </w:t>
      </w:r>
      <w:r w:rsidR="0067395C">
        <w:rPr>
          <w:rFonts w:cstheme="minorHAnsi"/>
          <w:sz w:val="24"/>
          <w:szCs w:val="24"/>
        </w:rPr>
        <w:t>based on</w:t>
      </w:r>
      <w:r w:rsidRPr="009100B8">
        <w:rPr>
          <w:rFonts w:cstheme="minorHAnsi"/>
          <w:sz w:val="24"/>
          <w:szCs w:val="24"/>
        </w:rPr>
        <w:t xml:space="preserve"> ethnic subgroups </w:t>
      </w:r>
      <w:r w:rsidR="00C8094B">
        <w:rPr>
          <w:rFonts w:cstheme="minorHAnsi"/>
          <w:sz w:val="24"/>
          <w:szCs w:val="24"/>
        </w:rPr>
        <w:t xml:space="preserve">could not be </w:t>
      </w:r>
      <w:r w:rsidR="0086730E" w:rsidRPr="009100B8">
        <w:rPr>
          <w:rFonts w:cstheme="minorHAnsi"/>
          <w:sz w:val="24"/>
          <w:szCs w:val="24"/>
        </w:rPr>
        <w:t>done</w:t>
      </w:r>
      <w:r w:rsidR="0067395C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</w:rPr>
        <w:t xml:space="preserve"> </w:t>
      </w:r>
      <w:r w:rsidR="0067395C">
        <w:rPr>
          <w:rFonts w:cstheme="minorHAnsi"/>
          <w:sz w:val="24"/>
          <w:szCs w:val="24"/>
        </w:rPr>
        <w:t>I</w:t>
      </w:r>
      <w:r w:rsidRPr="009100B8">
        <w:rPr>
          <w:rFonts w:cstheme="minorHAnsi"/>
          <w:sz w:val="24"/>
          <w:szCs w:val="24"/>
        </w:rPr>
        <w:t>nstead</w:t>
      </w:r>
      <w:r w:rsidR="0044378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</w:t>
      </w:r>
      <w:r w:rsidR="0086730E" w:rsidRPr="009100B8">
        <w:rPr>
          <w:rFonts w:cstheme="minorHAnsi"/>
          <w:sz w:val="24"/>
          <w:szCs w:val="24"/>
        </w:rPr>
        <w:t xml:space="preserve">we </w:t>
      </w:r>
      <w:r w:rsidRPr="009100B8">
        <w:rPr>
          <w:rFonts w:cstheme="minorHAnsi"/>
          <w:sz w:val="24"/>
          <w:szCs w:val="24"/>
        </w:rPr>
        <w:t xml:space="preserve">had to </w:t>
      </w:r>
      <w:r w:rsidR="0086730E" w:rsidRPr="009100B8">
        <w:rPr>
          <w:rFonts w:cstheme="minorHAnsi"/>
          <w:sz w:val="24"/>
          <w:szCs w:val="24"/>
        </w:rPr>
        <w:t>use</w:t>
      </w:r>
      <w:r w:rsidR="0067395C">
        <w:rPr>
          <w:rFonts w:cstheme="minorHAnsi"/>
          <w:sz w:val="24"/>
          <w:szCs w:val="24"/>
        </w:rPr>
        <w:t xml:space="preserve"> aggravated data as reported by Statistics Finland,</w:t>
      </w:r>
      <w:r w:rsidRPr="009100B8">
        <w:rPr>
          <w:rFonts w:cstheme="minorHAnsi"/>
          <w:sz w:val="24"/>
          <w:szCs w:val="24"/>
        </w:rPr>
        <w:t xml:space="preserve"> </w:t>
      </w:r>
      <w:r w:rsidR="0062643A" w:rsidRPr="009100B8">
        <w:rPr>
          <w:rFonts w:cstheme="minorHAnsi"/>
          <w:sz w:val="24"/>
          <w:szCs w:val="24"/>
        </w:rPr>
        <w:t>assuming</w:t>
      </w:r>
      <w:r w:rsidRPr="009100B8">
        <w:rPr>
          <w:rFonts w:cstheme="minorHAnsi"/>
          <w:sz w:val="24"/>
          <w:szCs w:val="24"/>
        </w:rPr>
        <w:t xml:space="preserve"> that most immigrants from Africa are Blac</w:t>
      </w:r>
      <w:r w:rsidR="0067395C">
        <w:rPr>
          <w:rFonts w:cstheme="minorHAnsi"/>
          <w:sz w:val="24"/>
          <w:szCs w:val="24"/>
        </w:rPr>
        <w:t>k and</w:t>
      </w:r>
      <w:r w:rsidR="00CF55D4">
        <w:rPr>
          <w:rFonts w:cstheme="minorHAnsi"/>
          <w:sz w:val="24"/>
          <w:szCs w:val="24"/>
        </w:rPr>
        <w:t xml:space="preserve"> those from</w:t>
      </w:r>
      <w:r w:rsidR="0067395C">
        <w:rPr>
          <w:rFonts w:cstheme="minorHAnsi"/>
          <w:sz w:val="24"/>
          <w:szCs w:val="24"/>
        </w:rPr>
        <w:t xml:space="preserve"> Asian are Asian</w:t>
      </w:r>
      <w:r w:rsidRPr="009100B8">
        <w:rPr>
          <w:rFonts w:cstheme="minorHAnsi"/>
          <w:sz w:val="24"/>
          <w:szCs w:val="24"/>
        </w:rPr>
        <w:t xml:space="preserve">. </w:t>
      </w:r>
      <w:r w:rsidR="0067395C">
        <w:rPr>
          <w:rFonts w:cstheme="minorHAnsi"/>
          <w:sz w:val="24"/>
          <w:szCs w:val="24"/>
        </w:rPr>
        <w:t>Complete</w:t>
      </w:r>
      <w:r w:rsidR="0067395C" w:rsidRPr="009100B8">
        <w:rPr>
          <w:rFonts w:cstheme="minorHAnsi"/>
          <w:sz w:val="24"/>
          <w:szCs w:val="24"/>
        </w:rPr>
        <w:t xml:space="preserve"> subgroup analysis was </w:t>
      </w:r>
      <w:r w:rsidR="0067395C">
        <w:rPr>
          <w:rFonts w:cstheme="minorHAnsi"/>
          <w:sz w:val="24"/>
          <w:szCs w:val="24"/>
        </w:rPr>
        <w:t>un</w:t>
      </w:r>
      <w:r w:rsidR="0067395C" w:rsidRPr="009100B8">
        <w:rPr>
          <w:rFonts w:cstheme="minorHAnsi"/>
          <w:sz w:val="24"/>
          <w:szCs w:val="24"/>
        </w:rPr>
        <w:t xml:space="preserve">achievable due to the low number of patients from some continents. </w:t>
      </w:r>
      <w:r w:rsidR="007C4FB4" w:rsidRPr="009100B8">
        <w:rPr>
          <w:rFonts w:cstheme="minorHAnsi"/>
          <w:sz w:val="24"/>
          <w:szCs w:val="24"/>
        </w:rPr>
        <w:t>M</w:t>
      </w:r>
      <w:r w:rsidRPr="009100B8">
        <w:rPr>
          <w:rFonts w:cstheme="minorHAnsi"/>
          <w:sz w:val="24"/>
          <w:szCs w:val="24"/>
        </w:rPr>
        <w:t>igrant women had a higher fertility rate, especially African (</w:t>
      </w:r>
      <w:r w:rsidR="007C4FB4" w:rsidRPr="009100B8">
        <w:rPr>
          <w:rFonts w:cstheme="minorHAnsi"/>
          <w:sz w:val="24"/>
          <w:szCs w:val="24"/>
        </w:rPr>
        <w:t>1.3-fold</w:t>
      </w:r>
      <w:r w:rsidRPr="009100B8">
        <w:rPr>
          <w:rFonts w:cstheme="minorHAnsi"/>
          <w:sz w:val="24"/>
          <w:szCs w:val="24"/>
        </w:rPr>
        <w:t xml:space="preserve"> to native). </w:t>
      </w:r>
      <w:r w:rsidR="00612BCC" w:rsidRPr="009100B8">
        <w:rPr>
          <w:rFonts w:cstheme="minorHAnsi"/>
          <w:sz w:val="24"/>
          <w:szCs w:val="24"/>
        </w:rPr>
        <w:t>Even</w:t>
      </w:r>
      <w:r w:rsidRPr="009100B8">
        <w:rPr>
          <w:rFonts w:cstheme="minorHAnsi"/>
          <w:sz w:val="24"/>
          <w:szCs w:val="24"/>
        </w:rPr>
        <w:t xml:space="preserve"> if </w:t>
      </w:r>
      <w:r w:rsidR="007E30AC">
        <w:rPr>
          <w:rFonts w:cstheme="minorHAnsi"/>
          <w:sz w:val="24"/>
          <w:szCs w:val="24"/>
        </w:rPr>
        <w:t>the incidence</w:t>
      </w:r>
      <w:r w:rsidR="00E10B84">
        <w:rPr>
          <w:rFonts w:cstheme="minorHAnsi"/>
          <w:sz w:val="24"/>
          <w:szCs w:val="24"/>
        </w:rPr>
        <w:t xml:space="preserve"> is corrected by the fertility rate</w:t>
      </w:r>
      <w:r w:rsidR="0044378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it</w:t>
      </w:r>
      <w:r w:rsidR="00612BCC" w:rsidRPr="009100B8">
        <w:rPr>
          <w:rFonts w:cstheme="minorHAnsi"/>
          <w:sz w:val="24"/>
          <w:szCs w:val="24"/>
        </w:rPr>
        <w:t xml:space="preserve"> </w:t>
      </w:r>
      <w:r w:rsidR="0067395C">
        <w:rPr>
          <w:rFonts w:cstheme="minorHAnsi"/>
          <w:sz w:val="24"/>
          <w:szCs w:val="24"/>
        </w:rPr>
        <w:t>remains</w:t>
      </w:r>
      <w:r w:rsidR="00612BCC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significantly higher in the non-white population.</w:t>
      </w:r>
    </w:p>
    <w:p w14:paraId="66997FA5" w14:textId="77777777" w:rsidR="0042057B" w:rsidRPr="009100B8" w:rsidRDefault="0042057B" w:rsidP="0042057B">
      <w:pPr>
        <w:spacing w:line="480" w:lineRule="auto"/>
        <w:rPr>
          <w:rFonts w:cstheme="minorHAnsi"/>
          <w:sz w:val="24"/>
          <w:szCs w:val="24"/>
        </w:rPr>
      </w:pPr>
    </w:p>
    <w:p w14:paraId="1929EE22" w14:textId="7E31ACEA" w:rsidR="0042057B" w:rsidRPr="009100B8" w:rsidRDefault="0042057B" w:rsidP="0042057B">
      <w:pPr>
        <w:spacing w:line="480" w:lineRule="auto"/>
        <w:rPr>
          <w:rFonts w:cstheme="minorHAnsi"/>
          <w:i/>
          <w:iCs/>
          <w:sz w:val="24"/>
          <w:szCs w:val="24"/>
        </w:rPr>
      </w:pPr>
      <w:r w:rsidRPr="009100B8">
        <w:rPr>
          <w:rFonts w:cstheme="minorHAnsi"/>
          <w:i/>
          <w:iCs/>
          <w:sz w:val="24"/>
          <w:szCs w:val="24"/>
        </w:rPr>
        <w:t>Interpretation</w:t>
      </w:r>
    </w:p>
    <w:p w14:paraId="65A6A5D6" w14:textId="1D38F254" w:rsidR="002266E3" w:rsidRPr="009100B8" w:rsidRDefault="007424C7" w:rsidP="00EE309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BPBI has been </w:t>
      </w:r>
      <w:r w:rsidR="007E30AC">
        <w:rPr>
          <w:rFonts w:cstheme="minorHAnsi"/>
          <w:sz w:val="24"/>
          <w:szCs w:val="24"/>
        </w:rPr>
        <w:t>declining</w:t>
      </w:r>
      <w:r w:rsidRPr="009100B8">
        <w:rPr>
          <w:rFonts w:cstheme="minorHAnsi"/>
          <w:sz w:val="24"/>
          <w:szCs w:val="24"/>
        </w:rPr>
        <w:t xml:space="preserve"> in Finland</w:t>
      </w:r>
      <w:r w:rsidR="00B87472" w:rsidRPr="009100B8">
        <w:rPr>
          <w:rFonts w:cstheme="minorHAnsi"/>
          <w:sz w:val="24"/>
          <w:szCs w:val="24"/>
        </w:rPr>
        <w:t xml:space="preserve">, </w:t>
      </w:r>
      <w:r w:rsidR="0044378D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>U</w:t>
      </w:r>
      <w:r w:rsidR="00957958">
        <w:rPr>
          <w:rFonts w:cstheme="minorHAnsi"/>
          <w:sz w:val="24"/>
          <w:szCs w:val="24"/>
        </w:rPr>
        <w:t>nited Kingdom</w:t>
      </w:r>
      <w:r w:rsidR="0044378D">
        <w:rPr>
          <w:rFonts w:cstheme="minorHAnsi"/>
          <w:sz w:val="24"/>
          <w:szCs w:val="24"/>
        </w:rPr>
        <w:t>,</w:t>
      </w:r>
      <w:r w:rsidR="0095795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and </w:t>
      </w:r>
      <w:r w:rsidR="00292CCA">
        <w:rPr>
          <w:rFonts w:cstheme="minorHAnsi"/>
          <w:sz w:val="24"/>
          <w:szCs w:val="24"/>
        </w:rPr>
        <w:t>i</w:t>
      </w:r>
      <w:r w:rsidR="00E10B84">
        <w:rPr>
          <w:rFonts w:cstheme="minorHAnsi"/>
          <w:sz w:val="24"/>
          <w:szCs w:val="24"/>
        </w:rPr>
        <w:t xml:space="preserve">n parts of </w:t>
      </w:r>
      <w:r w:rsidR="0044378D">
        <w:rPr>
          <w:rFonts w:cstheme="minorHAnsi"/>
          <w:sz w:val="24"/>
          <w:szCs w:val="24"/>
        </w:rPr>
        <w:t xml:space="preserve">the </w:t>
      </w:r>
      <w:r w:rsidR="00B87472" w:rsidRPr="009100B8">
        <w:rPr>
          <w:rFonts w:cstheme="minorHAnsi"/>
          <w:sz w:val="24"/>
          <w:szCs w:val="24"/>
        </w:rPr>
        <w:t>U</w:t>
      </w:r>
      <w:r w:rsidR="00957958">
        <w:rPr>
          <w:rFonts w:cstheme="minorHAnsi"/>
          <w:sz w:val="24"/>
          <w:szCs w:val="24"/>
        </w:rPr>
        <w:t xml:space="preserve">nited </w:t>
      </w:r>
      <w:r w:rsidR="00B87472" w:rsidRPr="009100B8">
        <w:rPr>
          <w:rFonts w:cstheme="minorHAnsi"/>
          <w:sz w:val="24"/>
          <w:szCs w:val="24"/>
        </w:rPr>
        <w:t>S</w:t>
      </w:r>
      <w:r w:rsidR="00957958">
        <w:rPr>
          <w:rFonts w:cstheme="minorHAnsi"/>
          <w:sz w:val="24"/>
          <w:szCs w:val="24"/>
        </w:rPr>
        <w:t>tates</w:t>
      </w:r>
      <w:r w:rsidRPr="009100B8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  <w:vertAlign w:val="superscript"/>
        </w:rPr>
        <w:t xml:space="preserve"> 1,</w:t>
      </w:r>
      <w:r w:rsidR="00957958">
        <w:rPr>
          <w:rFonts w:cstheme="minorHAnsi"/>
          <w:sz w:val="24"/>
          <w:szCs w:val="24"/>
          <w:vertAlign w:val="superscript"/>
        </w:rPr>
        <w:t>13</w:t>
      </w:r>
      <w:r w:rsidR="00757DC6">
        <w:rPr>
          <w:rFonts w:cstheme="minorHAnsi"/>
          <w:sz w:val="24"/>
          <w:szCs w:val="24"/>
          <w:vertAlign w:val="superscript"/>
        </w:rPr>
        <w:t>–</w:t>
      </w:r>
      <w:r w:rsidR="00B87472" w:rsidRPr="009100B8">
        <w:rPr>
          <w:rFonts w:cstheme="minorHAnsi"/>
          <w:sz w:val="24"/>
          <w:szCs w:val="24"/>
          <w:vertAlign w:val="superscript"/>
        </w:rPr>
        <w:t>15</w:t>
      </w:r>
      <w:r w:rsidRPr="009100B8">
        <w:rPr>
          <w:rFonts w:cstheme="minorHAnsi"/>
          <w:sz w:val="24"/>
          <w:szCs w:val="24"/>
        </w:rPr>
        <w:t xml:space="preserve"> </w:t>
      </w:r>
      <w:r w:rsidR="00292CCA" w:rsidRPr="009100B8">
        <w:rPr>
          <w:rFonts w:cstheme="minorHAnsi"/>
          <w:sz w:val="24"/>
          <w:szCs w:val="24"/>
        </w:rPr>
        <w:t>Shoulder dystocia simulation training has yielded excellent results in lowering the prevalence of the injury</w:t>
      </w:r>
      <w:r w:rsidR="00292CCA">
        <w:rPr>
          <w:rFonts w:cstheme="minorHAnsi"/>
          <w:sz w:val="24"/>
          <w:szCs w:val="24"/>
        </w:rPr>
        <w:t>—</w:t>
      </w:r>
      <w:r w:rsidR="00292CCA" w:rsidRPr="009100B8">
        <w:rPr>
          <w:rFonts w:cstheme="minorHAnsi"/>
          <w:sz w:val="24"/>
          <w:szCs w:val="24"/>
        </w:rPr>
        <w:t xml:space="preserve">nationally and </w:t>
      </w:r>
      <w:r w:rsidR="00A54E2B" w:rsidRPr="009100B8">
        <w:rPr>
          <w:rFonts w:cstheme="minorHAnsi"/>
          <w:sz w:val="24"/>
          <w:szCs w:val="24"/>
        </w:rPr>
        <w:t>globally</w:t>
      </w:r>
      <w:r w:rsidR="00A54E2B">
        <w:rPr>
          <w:rFonts w:cstheme="minorHAnsi"/>
          <w:sz w:val="24"/>
          <w:szCs w:val="24"/>
        </w:rPr>
        <w:t xml:space="preserve"> and</w:t>
      </w:r>
      <w:r w:rsidR="00292CCA">
        <w:rPr>
          <w:rFonts w:cstheme="minorHAnsi"/>
          <w:sz w:val="24"/>
          <w:szCs w:val="24"/>
        </w:rPr>
        <w:t xml:space="preserve"> is possibly the main reason for the decline together </w:t>
      </w:r>
      <w:r w:rsidR="00A54E2B">
        <w:rPr>
          <w:rFonts w:cstheme="minorHAnsi"/>
          <w:sz w:val="24"/>
          <w:szCs w:val="24"/>
        </w:rPr>
        <w:t>with the</w:t>
      </w:r>
      <w:r w:rsidR="00292CCA">
        <w:rPr>
          <w:rFonts w:cstheme="minorHAnsi"/>
          <w:sz w:val="24"/>
          <w:szCs w:val="24"/>
        </w:rPr>
        <w:t xml:space="preserve"> increase</w:t>
      </w:r>
      <w:r w:rsidR="00A54E2B">
        <w:rPr>
          <w:rFonts w:cstheme="minorHAnsi"/>
          <w:sz w:val="24"/>
          <w:szCs w:val="24"/>
        </w:rPr>
        <w:t xml:space="preserve"> in</w:t>
      </w:r>
      <w:r w:rsidR="00292CCA">
        <w:rPr>
          <w:rFonts w:cstheme="minorHAnsi"/>
          <w:sz w:val="24"/>
          <w:szCs w:val="24"/>
        </w:rPr>
        <w:t xml:space="preserve"> cesarean births</w:t>
      </w:r>
      <w:r w:rsidR="00292CCA" w:rsidRPr="009100B8">
        <w:rPr>
          <w:rFonts w:cstheme="minorHAnsi"/>
          <w:sz w:val="24"/>
          <w:szCs w:val="24"/>
        </w:rPr>
        <w:t>.</w:t>
      </w:r>
      <w:r w:rsidR="00292CCA">
        <w:rPr>
          <w:rFonts w:cstheme="minorHAnsi"/>
          <w:sz w:val="24"/>
          <w:szCs w:val="24"/>
          <w:vertAlign w:val="superscript"/>
        </w:rPr>
        <w:t>13-</w:t>
      </w:r>
      <w:r w:rsidR="00292CCA" w:rsidRPr="009100B8">
        <w:rPr>
          <w:rFonts w:cstheme="minorHAnsi"/>
          <w:sz w:val="24"/>
          <w:szCs w:val="24"/>
          <w:vertAlign w:val="superscript"/>
        </w:rPr>
        <w:t>17</w:t>
      </w:r>
      <w:r w:rsidR="00A54E2B">
        <w:rPr>
          <w:rFonts w:cstheme="minorHAnsi"/>
          <w:sz w:val="24"/>
          <w:szCs w:val="24"/>
        </w:rPr>
        <w:t xml:space="preserve"> </w:t>
      </w:r>
      <w:r w:rsidR="00EE3090" w:rsidRPr="009100B8">
        <w:rPr>
          <w:rFonts w:cstheme="minorHAnsi"/>
          <w:sz w:val="24"/>
          <w:szCs w:val="24"/>
        </w:rPr>
        <w:t xml:space="preserve">However, the incidence in the immigrant population </w:t>
      </w:r>
      <w:r w:rsidR="004B18C5" w:rsidRPr="009100B8">
        <w:rPr>
          <w:rFonts w:cstheme="minorHAnsi"/>
          <w:sz w:val="24"/>
          <w:szCs w:val="24"/>
        </w:rPr>
        <w:t>i</w:t>
      </w:r>
      <w:r w:rsidR="00EE3090" w:rsidRPr="009100B8">
        <w:rPr>
          <w:rFonts w:cstheme="minorHAnsi"/>
          <w:sz w:val="24"/>
          <w:szCs w:val="24"/>
        </w:rPr>
        <w:t>s inclining</w:t>
      </w:r>
      <w:r w:rsidR="004B18C5" w:rsidRPr="009100B8">
        <w:rPr>
          <w:rFonts w:cstheme="minorHAnsi"/>
          <w:sz w:val="24"/>
          <w:szCs w:val="24"/>
        </w:rPr>
        <w:t xml:space="preserve"> </w:t>
      </w:r>
      <w:r w:rsidR="00090874" w:rsidRPr="009100B8">
        <w:rPr>
          <w:rFonts w:cstheme="minorHAnsi"/>
          <w:sz w:val="24"/>
          <w:szCs w:val="24"/>
        </w:rPr>
        <w:t>rapidly</w:t>
      </w:r>
      <w:r w:rsidR="0044378D">
        <w:rPr>
          <w:rFonts w:cstheme="minorHAnsi"/>
          <w:sz w:val="24"/>
          <w:szCs w:val="24"/>
        </w:rPr>
        <w:t>,</w:t>
      </w:r>
      <w:r w:rsidR="00090874" w:rsidRPr="009100B8">
        <w:rPr>
          <w:rFonts w:cstheme="minorHAnsi"/>
          <w:sz w:val="24"/>
          <w:szCs w:val="24"/>
        </w:rPr>
        <w:t xml:space="preserve"> </w:t>
      </w:r>
      <w:r w:rsidR="004B18C5" w:rsidRPr="009100B8">
        <w:rPr>
          <w:rFonts w:cstheme="minorHAnsi"/>
          <w:sz w:val="24"/>
          <w:szCs w:val="24"/>
        </w:rPr>
        <w:t xml:space="preserve">especially </w:t>
      </w:r>
      <w:r w:rsidR="00757DC6">
        <w:rPr>
          <w:rFonts w:cstheme="minorHAnsi"/>
          <w:sz w:val="24"/>
          <w:szCs w:val="24"/>
        </w:rPr>
        <w:t xml:space="preserve">among Black </w:t>
      </w:r>
      <w:r w:rsidR="004B18C5" w:rsidRPr="009100B8">
        <w:rPr>
          <w:rFonts w:cstheme="minorHAnsi"/>
          <w:sz w:val="24"/>
          <w:szCs w:val="24"/>
        </w:rPr>
        <w:t>women</w:t>
      </w:r>
      <w:r w:rsidR="00EE3090" w:rsidRPr="009100B8">
        <w:rPr>
          <w:rFonts w:cstheme="minorHAnsi"/>
          <w:sz w:val="24"/>
          <w:szCs w:val="24"/>
        </w:rPr>
        <w:t>. Studies from</w:t>
      </w:r>
      <w:r w:rsidR="00B87472" w:rsidRPr="009100B8">
        <w:rPr>
          <w:rFonts w:cstheme="minorHAnsi"/>
          <w:sz w:val="24"/>
          <w:szCs w:val="24"/>
        </w:rPr>
        <w:t xml:space="preserve"> </w:t>
      </w:r>
      <w:r w:rsidR="00EE3090" w:rsidRPr="009100B8">
        <w:rPr>
          <w:rFonts w:cstheme="minorHAnsi"/>
          <w:sz w:val="24"/>
          <w:szCs w:val="24"/>
        </w:rPr>
        <w:t xml:space="preserve">the UK and </w:t>
      </w:r>
      <w:r w:rsidR="00914FA7">
        <w:rPr>
          <w:rFonts w:cstheme="minorHAnsi"/>
          <w:sz w:val="24"/>
          <w:szCs w:val="24"/>
        </w:rPr>
        <w:t xml:space="preserve">the </w:t>
      </w:r>
      <w:r w:rsidR="00EE3090" w:rsidRPr="009100B8">
        <w:rPr>
          <w:rFonts w:cstheme="minorHAnsi"/>
          <w:sz w:val="24"/>
          <w:szCs w:val="24"/>
        </w:rPr>
        <w:t xml:space="preserve">US have previously reported on ethnic </w:t>
      </w:r>
      <w:r w:rsidR="00F06B45" w:rsidRPr="009100B8">
        <w:rPr>
          <w:rFonts w:cstheme="minorHAnsi"/>
          <w:sz w:val="24"/>
          <w:szCs w:val="24"/>
        </w:rPr>
        <w:t>variation</w:t>
      </w:r>
      <w:r w:rsidR="00757DC6">
        <w:rPr>
          <w:rFonts w:cstheme="minorHAnsi"/>
          <w:sz w:val="24"/>
          <w:szCs w:val="24"/>
        </w:rPr>
        <w:t>s</w:t>
      </w:r>
      <w:r w:rsidR="00F06B45" w:rsidRPr="009100B8">
        <w:rPr>
          <w:rFonts w:cstheme="minorHAnsi"/>
          <w:sz w:val="24"/>
          <w:szCs w:val="24"/>
        </w:rPr>
        <w:t xml:space="preserve"> </w:t>
      </w:r>
      <w:r w:rsidR="00EE3090" w:rsidRPr="009100B8">
        <w:rPr>
          <w:rFonts w:cstheme="minorHAnsi"/>
          <w:sz w:val="24"/>
          <w:szCs w:val="24"/>
        </w:rPr>
        <w:t>in the prevalence of BPBI</w:t>
      </w:r>
      <w:r w:rsidR="00F430E0" w:rsidRPr="009100B8">
        <w:rPr>
          <w:rFonts w:cstheme="minorHAnsi"/>
          <w:sz w:val="24"/>
          <w:szCs w:val="24"/>
        </w:rPr>
        <w:t xml:space="preserve">, suggesting socioeconomic factors may play a </w:t>
      </w:r>
      <w:r w:rsidR="00AB108F" w:rsidRPr="009100B8">
        <w:rPr>
          <w:rFonts w:cstheme="minorHAnsi"/>
          <w:sz w:val="24"/>
          <w:szCs w:val="24"/>
        </w:rPr>
        <w:t>role</w:t>
      </w:r>
      <w:r w:rsidR="00B8141A" w:rsidRPr="009100B8">
        <w:rPr>
          <w:rFonts w:cstheme="minorHAnsi"/>
          <w:sz w:val="24"/>
          <w:szCs w:val="24"/>
        </w:rPr>
        <w:t>.</w:t>
      </w:r>
      <w:r w:rsidR="004B2681" w:rsidRPr="009100B8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E30AC">
        <w:rPr>
          <w:rFonts w:cstheme="minorHAnsi"/>
          <w:sz w:val="24"/>
          <w:szCs w:val="24"/>
          <w:shd w:val="clear" w:color="auto" w:fill="FFFFFF"/>
        </w:rPr>
        <w:t>A</w:t>
      </w:r>
      <w:r w:rsidR="004B2681" w:rsidRPr="009100B8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4B18C5" w:rsidRPr="009100B8">
        <w:rPr>
          <w:rFonts w:cstheme="minorHAnsi"/>
          <w:sz w:val="24"/>
          <w:szCs w:val="24"/>
          <w:shd w:val="clear" w:color="auto" w:fill="FFFFFF"/>
        </w:rPr>
        <w:t xml:space="preserve">lack of access to </w:t>
      </w:r>
      <w:r w:rsidR="004B2681" w:rsidRPr="009100B8">
        <w:rPr>
          <w:rFonts w:cstheme="minorHAnsi"/>
          <w:sz w:val="24"/>
          <w:szCs w:val="24"/>
          <w:shd w:val="clear" w:color="auto" w:fill="FFFFFF"/>
        </w:rPr>
        <w:t>high-quality perinatal care</w:t>
      </w:r>
      <w:r w:rsidR="006419C6" w:rsidRPr="009100B8">
        <w:rPr>
          <w:rFonts w:cstheme="minorHAnsi"/>
          <w:sz w:val="24"/>
          <w:szCs w:val="24"/>
        </w:rPr>
        <w:t xml:space="preserve"> </w:t>
      </w:r>
      <w:r w:rsidR="004B18C5" w:rsidRPr="009100B8">
        <w:rPr>
          <w:rFonts w:cstheme="minorHAnsi"/>
          <w:sz w:val="24"/>
          <w:szCs w:val="24"/>
        </w:rPr>
        <w:t xml:space="preserve">has been </w:t>
      </w:r>
      <w:r w:rsidR="00090874" w:rsidRPr="009100B8">
        <w:rPr>
          <w:rFonts w:cstheme="minorHAnsi"/>
          <w:sz w:val="24"/>
          <w:szCs w:val="24"/>
        </w:rPr>
        <w:t>suggested as a possible explanation</w:t>
      </w:r>
      <w:r w:rsidR="006419C6" w:rsidRPr="009100B8">
        <w:rPr>
          <w:rFonts w:cstheme="minorHAnsi"/>
          <w:sz w:val="24"/>
          <w:szCs w:val="24"/>
        </w:rPr>
        <w:t>.</w:t>
      </w:r>
      <w:r w:rsidR="00BC7620" w:rsidRPr="009100B8">
        <w:rPr>
          <w:rFonts w:cstheme="minorHAnsi"/>
          <w:sz w:val="24"/>
          <w:szCs w:val="24"/>
          <w:vertAlign w:val="superscript"/>
        </w:rPr>
        <w:t>13</w:t>
      </w:r>
      <w:r w:rsidR="00757DC6">
        <w:rPr>
          <w:rFonts w:cstheme="minorHAnsi"/>
          <w:sz w:val="24"/>
          <w:szCs w:val="24"/>
          <w:vertAlign w:val="superscript"/>
        </w:rPr>
        <w:t>–</w:t>
      </w:r>
      <w:r w:rsidR="00BC7620" w:rsidRPr="009100B8">
        <w:rPr>
          <w:rFonts w:cstheme="minorHAnsi"/>
          <w:sz w:val="24"/>
          <w:szCs w:val="24"/>
          <w:vertAlign w:val="superscript"/>
        </w:rPr>
        <w:t>15</w:t>
      </w:r>
      <w:r w:rsidR="00946437" w:rsidRPr="009100B8">
        <w:rPr>
          <w:rFonts w:cstheme="minorHAnsi"/>
          <w:sz w:val="24"/>
          <w:szCs w:val="24"/>
        </w:rPr>
        <w:t xml:space="preserve"> The UK National Health Service (NHS) maternity statistics from 2022 showed a prevalence of </w:t>
      </w:r>
      <w:r w:rsidR="00AB108F" w:rsidRPr="009100B8">
        <w:rPr>
          <w:rFonts w:cstheme="minorHAnsi"/>
          <w:sz w:val="24"/>
          <w:szCs w:val="24"/>
        </w:rPr>
        <w:t>BPBI</w:t>
      </w:r>
      <w:r w:rsidR="00946437" w:rsidRPr="009100B8">
        <w:rPr>
          <w:rFonts w:cstheme="minorHAnsi"/>
          <w:sz w:val="24"/>
          <w:szCs w:val="24"/>
        </w:rPr>
        <w:t xml:space="preserve"> </w:t>
      </w:r>
      <w:r w:rsidR="00090874" w:rsidRPr="009100B8">
        <w:rPr>
          <w:rFonts w:cstheme="minorHAnsi"/>
          <w:sz w:val="24"/>
          <w:szCs w:val="24"/>
        </w:rPr>
        <w:t xml:space="preserve">in Black women </w:t>
      </w:r>
      <w:r w:rsidR="00757DC6">
        <w:rPr>
          <w:rFonts w:cstheme="minorHAnsi"/>
          <w:sz w:val="24"/>
          <w:szCs w:val="24"/>
        </w:rPr>
        <w:t>in</w:t>
      </w:r>
      <w:r w:rsidR="00946437" w:rsidRPr="009100B8">
        <w:rPr>
          <w:rFonts w:cstheme="minorHAnsi"/>
          <w:sz w:val="24"/>
          <w:szCs w:val="24"/>
        </w:rPr>
        <w:t xml:space="preserve"> 0.8 </w:t>
      </w:r>
      <w:r w:rsidR="00757DC6">
        <w:rPr>
          <w:rFonts w:cstheme="minorHAnsi"/>
          <w:sz w:val="24"/>
          <w:szCs w:val="24"/>
        </w:rPr>
        <w:t>of</w:t>
      </w:r>
      <w:r w:rsidR="00946437" w:rsidRPr="009100B8">
        <w:rPr>
          <w:rFonts w:cstheme="minorHAnsi"/>
          <w:sz w:val="24"/>
          <w:szCs w:val="24"/>
        </w:rPr>
        <w:t xml:space="preserve"> 1000 live births</w:t>
      </w:r>
      <w:r w:rsidR="007E30AC">
        <w:rPr>
          <w:rFonts w:cstheme="minorHAnsi"/>
          <w:sz w:val="24"/>
          <w:szCs w:val="24"/>
        </w:rPr>
        <w:t>,</w:t>
      </w:r>
      <w:r w:rsidR="00090874" w:rsidRPr="009100B8">
        <w:rPr>
          <w:rFonts w:cstheme="minorHAnsi"/>
          <w:sz w:val="24"/>
          <w:szCs w:val="24"/>
        </w:rPr>
        <w:t xml:space="preserve"> while the same for Caucasian</w:t>
      </w:r>
      <w:r w:rsidR="007E30AC">
        <w:rPr>
          <w:rFonts w:cstheme="minorHAnsi"/>
          <w:sz w:val="24"/>
          <w:szCs w:val="24"/>
        </w:rPr>
        <w:t>s</w:t>
      </w:r>
      <w:r w:rsidR="00090874" w:rsidRPr="009100B8">
        <w:rPr>
          <w:rFonts w:cstheme="minorHAnsi"/>
          <w:sz w:val="24"/>
          <w:szCs w:val="24"/>
        </w:rPr>
        <w:t xml:space="preserve"> was</w:t>
      </w:r>
      <w:r w:rsidR="00946437" w:rsidRPr="009100B8">
        <w:rPr>
          <w:rFonts w:cstheme="minorHAnsi"/>
          <w:sz w:val="24"/>
          <w:szCs w:val="24"/>
        </w:rPr>
        <w:t xml:space="preserve"> 0.5.</w:t>
      </w:r>
      <w:r w:rsidR="00BC7620" w:rsidRPr="009100B8">
        <w:rPr>
          <w:rFonts w:cstheme="minorHAnsi"/>
          <w:sz w:val="24"/>
          <w:szCs w:val="24"/>
          <w:vertAlign w:val="superscript"/>
        </w:rPr>
        <w:t>2</w:t>
      </w:r>
      <w:r w:rsidR="00CD5A3C">
        <w:rPr>
          <w:rFonts w:cstheme="minorHAnsi"/>
          <w:sz w:val="24"/>
          <w:szCs w:val="24"/>
          <w:vertAlign w:val="superscript"/>
        </w:rPr>
        <w:t>1</w:t>
      </w:r>
      <w:r w:rsidR="00946437" w:rsidRPr="009100B8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>In Finland</w:t>
      </w:r>
      <w:r w:rsidR="0044378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all women are entitled to the same free prenatal care</w:t>
      </w:r>
      <w:r w:rsidR="0044378D">
        <w:rPr>
          <w:rFonts w:cstheme="minorHAnsi"/>
          <w:sz w:val="24"/>
          <w:szCs w:val="24"/>
        </w:rPr>
        <w:t>,</w:t>
      </w:r>
      <w:r w:rsidR="00DE3DDB" w:rsidRPr="009100B8">
        <w:rPr>
          <w:rFonts w:cstheme="minorHAnsi"/>
          <w:sz w:val="24"/>
          <w:szCs w:val="24"/>
        </w:rPr>
        <w:t xml:space="preserve"> including </w:t>
      </w:r>
      <w:r w:rsidR="00E5696D" w:rsidRPr="009100B8">
        <w:rPr>
          <w:rFonts w:cstheme="minorHAnsi"/>
          <w:sz w:val="24"/>
          <w:szCs w:val="24"/>
        </w:rPr>
        <w:t>regular appointments with a midwife or doctor to monitor maternal and fetal well</w:t>
      </w:r>
      <w:r w:rsidR="0044378D">
        <w:rPr>
          <w:rFonts w:cstheme="minorHAnsi"/>
          <w:sz w:val="24"/>
          <w:szCs w:val="24"/>
        </w:rPr>
        <w:t>-</w:t>
      </w:r>
      <w:r w:rsidR="00E5696D" w:rsidRPr="009100B8">
        <w:rPr>
          <w:rFonts w:cstheme="minorHAnsi"/>
          <w:sz w:val="24"/>
          <w:szCs w:val="24"/>
        </w:rPr>
        <w:t>being and to screen</w:t>
      </w:r>
      <w:r w:rsidR="00F05559" w:rsidRPr="009100B8">
        <w:rPr>
          <w:rFonts w:cstheme="minorHAnsi"/>
          <w:sz w:val="24"/>
          <w:szCs w:val="24"/>
        </w:rPr>
        <w:t xml:space="preserve"> for</w:t>
      </w:r>
      <w:r w:rsidR="00E5696D" w:rsidRPr="009100B8">
        <w:rPr>
          <w:rFonts w:cstheme="minorHAnsi"/>
          <w:sz w:val="24"/>
          <w:szCs w:val="24"/>
        </w:rPr>
        <w:t xml:space="preserve"> various risk factors.</w:t>
      </w:r>
      <w:r w:rsidRPr="009100B8">
        <w:rPr>
          <w:rFonts w:cstheme="minorHAnsi"/>
          <w:sz w:val="24"/>
          <w:szCs w:val="24"/>
        </w:rPr>
        <w:t xml:space="preserve"> All deliveries are treated in public hospitals with highly trained delivery staff</w:t>
      </w:r>
      <w:r w:rsidR="0044378D">
        <w:rPr>
          <w:rFonts w:cstheme="minorHAnsi"/>
          <w:sz w:val="24"/>
          <w:szCs w:val="24"/>
        </w:rPr>
        <w:t xml:space="preserve">; </w:t>
      </w:r>
      <w:r w:rsidR="00F05559" w:rsidRPr="009100B8">
        <w:rPr>
          <w:rFonts w:cstheme="minorHAnsi"/>
          <w:sz w:val="24"/>
          <w:szCs w:val="24"/>
        </w:rPr>
        <w:t>p</w:t>
      </w:r>
      <w:r w:rsidRPr="009100B8">
        <w:rPr>
          <w:rFonts w:cstheme="minorHAnsi"/>
          <w:sz w:val="24"/>
          <w:szCs w:val="24"/>
        </w:rPr>
        <w:t xml:space="preserve">rivate obstetricians are </w:t>
      </w:r>
      <w:r w:rsidR="0044378D">
        <w:rPr>
          <w:rFonts w:cstheme="minorHAnsi"/>
          <w:sz w:val="24"/>
          <w:szCs w:val="24"/>
        </w:rPr>
        <w:t>un</w:t>
      </w:r>
      <w:r w:rsidRPr="009100B8">
        <w:rPr>
          <w:rFonts w:cstheme="minorHAnsi"/>
          <w:sz w:val="24"/>
          <w:szCs w:val="24"/>
        </w:rPr>
        <w:t>available</w:t>
      </w:r>
      <w:r w:rsidR="00F05559" w:rsidRPr="009100B8">
        <w:rPr>
          <w:rFonts w:cstheme="minorHAnsi"/>
          <w:sz w:val="24"/>
          <w:szCs w:val="24"/>
        </w:rPr>
        <w:t xml:space="preserve"> for delivery</w:t>
      </w:r>
      <w:r w:rsidR="00F430E0" w:rsidRPr="009100B8">
        <w:rPr>
          <w:rFonts w:cstheme="minorHAnsi"/>
          <w:sz w:val="24"/>
          <w:szCs w:val="24"/>
        </w:rPr>
        <w:t xml:space="preserve">. </w:t>
      </w:r>
      <w:r w:rsidR="00FA3750" w:rsidRPr="009100B8">
        <w:rPr>
          <w:rFonts w:cstheme="minorHAnsi"/>
          <w:sz w:val="24"/>
          <w:szCs w:val="24"/>
        </w:rPr>
        <w:t>Thus,</w:t>
      </w:r>
      <w:r w:rsidR="00F430E0" w:rsidRPr="009100B8">
        <w:rPr>
          <w:rFonts w:cstheme="minorHAnsi"/>
          <w:sz w:val="24"/>
          <w:szCs w:val="24"/>
        </w:rPr>
        <w:t xml:space="preserve"> </w:t>
      </w:r>
      <w:r w:rsidR="006419C6" w:rsidRPr="009100B8">
        <w:rPr>
          <w:rFonts w:cstheme="minorHAnsi"/>
          <w:sz w:val="24"/>
          <w:szCs w:val="24"/>
        </w:rPr>
        <w:t>variation</w:t>
      </w:r>
      <w:r w:rsidR="00F430E0" w:rsidRPr="009100B8">
        <w:rPr>
          <w:rFonts w:cstheme="minorHAnsi"/>
          <w:sz w:val="24"/>
          <w:szCs w:val="24"/>
        </w:rPr>
        <w:t xml:space="preserve"> in maternity care due to socioeconomic status </w:t>
      </w:r>
      <w:r w:rsidR="009A4F71" w:rsidRPr="009100B8">
        <w:rPr>
          <w:rFonts w:cstheme="minorHAnsi"/>
          <w:sz w:val="24"/>
          <w:szCs w:val="24"/>
        </w:rPr>
        <w:t xml:space="preserve">is </w:t>
      </w:r>
      <w:r w:rsidR="0044378D">
        <w:rPr>
          <w:rFonts w:cstheme="minorHAnsi"/>
          <w:sz w:val="24"/>
          <w:szCs w:val="24"/>
        </w:rPr>
        <w:t>un</w:t>
      </w:r>
      <w:r w:rsidR="009A4F71" w:rsidRPr="009100B8">
        <w:rPr>
          <w:rFonts w:cstheme="minorHAnsi"/>
          <w:sz w:val="24"/>
          <w:szCs w:val="24"/>
        </w:rPr>
        <w:t xml:space="preserve">likely to </w:t>
      </w:r>
      <w:r w:rsidR="00F430E0" w:rsidRPr="009100B8">
        <w:rPr>
          <w:rFonts w:cstheme="minorHAnsi"/>
          <w:sz w:val="24"/>
          <w:szCs w:val="24"/>
        </w:rPr>
        <w:t>explain the differences in the incidence</w:t>
      </w:r>
      <w:r w:rsidR="00090874" w:rsidRPr="009100B8">
        <w:rPr>
          <w:rFonts w:cstheme="minorHAnsi"/>
          <w:sz w:val="24"/>
          <w:szCs w:val="24"/>
        </w:rPr>
        <w:t>s</w:t>
      </w:r>
      <w:r w:rsidR="00F430E0" w:rsidRPr="009100B8">
        <w:rPr>
          <w:rFonts w:cstheme="minorHAnsi"/>
          <w:sz w:val="24"/>
          <w:szCs w:val="24"/>
        </w:rPr>
        <w:t xml:space="preserve"> </w:t>
      </w:r>
      <w:r w:rsidR="00946437" w:rsidRPr="009100B8">
        <w:rPr>
          <w:rFonts w:cstheme="minorHAnsi"/>
          <w:sz w:val="24"/>
          <w:szCs w:val="24"/>
        </w:rPr>
        <w:t>of this study</w:t>
      </w:r>
      <w:r w:rsidR="00F430E0" w:rsidRPr="009100B8">
        <w:rPr>
          <w:rFonts w:cstheme="minorHAnsi"/>
          <w:sz w:val="24"/>
          <w:szCs w:val="24"/>
        </w:rPr>
        <w:t xml:space="preserve">. </w:t>
      </w:r>
    </w:p>
    <w:p w14:paraId="7508E0E9" w14:textId="217593EF" w:rsidR="00FE3AB2" w:rsidRPr="00FD191C" w:rsidRDefault="00FE3AB2" w:rsidP="00FE3AB2">
      <w:pPr>
        <w:spacing w:line="480" w:lineRule="auto"/>
        <w:rPr>
          <w:rFonts w:cstheme="minorHAnsi"/>
          <w:sz w:val="24"/>
          <w:szCs w:val="24"/>
          <w:vertAlign w:val="superscript"/>
        </w:rPr>
      </w:pPr>
      <w:r w:rsidRPr="009100B8">
        <w:rPr>
          <w:rFonts w:cstheme="minorHAnsi"/>
          <w:sz w:val="24"/>
          <w:szCs w:val="24"/>
        </w:rPr>
        <w:t xml:space="preserve">Gestational diabetes is a known risk factor for fetal macrosomia. </w:t>
      </w:r>
      <w:r w:rsidR="00DE3DDB" w:rsidRPr="009100B8">
        <w:rPr>
          <w:rFonts w:cstheme="minorHAnsi"/>
          <w:sz w:val="24"/>
          <w:szCs w:val="24"/>
        </w:rPr>
        <w:t>This study</w:t>
      </w:r>
      <w:r w:rsidRPr="009100B8">
        <w:rPr>
          <w:rFonts w:cstheme="minorHAnsi"/>
          <w:sz w:val="24"/>
          <w:szCs w:val="24"/>
        </w:rPr>
        <w:t xml:space="preserve"> found an association between </w:t>
      </w:r>
      <w:r w:rsidR="009970C5" w:rsidRPr="009100B8">
        <w:rPr>
          <w:rFonts w:cstheme="minorHAnsi"/>
          <w:sz w:val="24"/>
          <w:szCs w:val="24"/>
        </w:rPr>
        <w:t>gestational diabetes, Black ethnicity</w:t>
      </w:r>
      <w:r w:rsidR="0044378D">
        <w:rPr>
          <w:rFonts w:cstheme="minorHAnsi"/>
          <w:sz w:val="24"/>
          <w:szCs w:val="24"/>
        </w:rPr>
        <w:t>,</w:t>
      </w:r>
      <w:r w:rsidR="009970C5" w:rsidRPr="009100B8">
        <w:rPr>
          <w:rFonts w:cstheme="minorHAnsi"/>
          <w:sz w:val="24"/>
          <w:szCs w:val="24"/>
        </w:rPr>
        <w:t xml:space="preserve"> and a worse 3MTS. </w:t>
      </w:r>
      <w:r w:rsidR="0044378D">
        <w:rPr>
          <w:rFonts w:cstheme="minorHAnsi"/>
          <w:sz w:val="24"/>
          <w:szCs w:val="24"/>
        </w:rPr>
        <w:t>Moreover</w:t>
      </w:r>
      <w:r w:rsidR="009970C5" w:rsidRPr="009100B8">
        <w:rPr>
          <w:rFonts w:cstheme="minorHAnsi"/>
          <w:sz w:val="24"/>
          <w:szCs w:val="24"/>
        </w:rPr>
        <w:t xml:space="preserve">, mothers to children with a permanent BPBI had a significantly higher frequency of gestational diabetes </w:t>
      </w:r>
      <w:r w:rsidR="0044378D">
        <w:rPr>
          <w:rFonts w:cstheme="minorHAnsi"/>
          <w:sz w:val="24"/>
          <w:szCs w:val="24"/>
        </w:rPr>
        <w:t>compared</w:t>
      </w:r>
      <w:r w:rsidR="009970C5" w:rsidRPr="009100B8">
        <w:rPr>
          <w:rFonts w:cstheme="minorHAnsi"/>
          <w:sz w:val="24"/>
          <w:szCs w:val="24"/>
        </w:rPr>
        <w:t xml:space="preserve"> to the control</w:t>
      </w:r>
      <w:r w:rsidR="00145D2E" w:rsidRPr="009100B8">
        <w:rPr>
          <w:rFonts w:cstheme="minorHAnsi"/>
          <w:sz w:val="24"/>
          <w:szCs w:val="24"/>
        </w:rPr>
        <w:t xml:space="preserve"> </w:t>
      </w:r>
      <w:r w:rsidR="009970C5" w:rsidRPr="009100B8">
        <w:rPr>
          <w:rFonts w:cstheme="minorHAnsi"/>
          <w:sz w:val="24"/>
          <w:szCs w:val="24"/>
        </w:rPr>
        <w:t xml:space="preserve">(p&lt;0.001). </w:t>
      </w:r>
      <w:r w:rsidRPr="009100B8">
        <w:rPr>
          <w:rFonts w:cstheme="minorHAnsi"/>
          <w:sz w:val="24"/>
          <w:szCs w:val="24"/>
        </w:rPr>
        <w:t xml:space="preserve">Dietary acculturation </w:t>
      </w:r>
      <w:r w:rsidR="0044378D">
        <w:rPr>
          <w:rFonts w:cstheme="minorHAnsi"/>
          <w:sz w:val="24"/>
          <w:szCs w:val="24"/>
        </w:rPr>
        <w:t>increases</w:t>
      </w:r>
      <w:r w:rsidRPr="009100B8">
        <w:rPr>
          <w:rFonts w:cstheme="minorHAnsi"/>
          <w:sz w:val="24"/>
          <w:szCs w:val="24"/>
        </w:rPr>
        <w:t xml:space="preserve"> the risk of gestational diabetes in non-white women</w:t>
      </w:r>
      <w:r w:rsidR="00CD5A3C">
        <w:rPr>
          <w:rFonts w:cstheme="minorHAnsi"/>
          <w:sz w:val="24"/>
          <w:szCs w:val="24"/>
        </w:rPr>
        <w:t>.</w:t>
      </w:r>
      <w:r w:rsidR="00CD5A3C">
        <w:rPr>
          <w:rFonts w:cstheme="minorHAnsi"/>
          <w:sz w:val="24"/>
          <w:szCs w:val="24"/>
          <w:vertAlign w:val="superscript"/>
        </w:rPr>
        <w:t>22</w:t>
      </w:r>
      <w:r w:rsidRPr="009100B8">
        <w:rPr>
          <w:rFonts w:cstheme="minorHAnsi"/>
          <w:sz w:val="24"/>
          <w:szCs w:val="24"/>
        </w:rPr>
        <w:t xml:space="preserve"> A study analyzing immigrant women’s pregnancies reported </w:t>
      </w:r>
      <w:r w:rsidR="00485053">
        <w:rPr>
          <w:rFonts w:cstheme="minorHAnsi"/>
          <w:sz w:val="24"/>
          <w:szCs w:val="24"/>
        </w:rPr>
        <w:t xml:space="preserve">the </w:t>
      </w:r>
      <w:r w:rsidRPr="009100B8">
        <w:rPr>
          <w:rFonts w:cstheme="minorHAnsi"/>
          <w:sz w:val="24"/>
          <w:szCs w:val="24"/>
        </w:rPr>
        <w:t>worst outcome in African women who</w:t>
      </w:r>
      <w:r w:rsidR="0044378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among other complications</w:t>
      </w:r>
      <w:r w:rsidR="0044378D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developed gestational diabetes </w:t>
      </w:r>
      <w:r w:rsidR="00452370" w:rsidRPr="009100B8">
        <w:rPr>
          <w:rFonts w:cstheme="minorHAnsi"/>
          <w:sz w:val="24"/>
          <w:szCs w:val="24"/>
        </w:rPr>
        <w:t>more often</w:t>
      </w:r>
      <w:r w:rsidRPr="009100B8">
        <w:rPr>
          <w:rFonts w:cstheme="minorHAnsi"/>
          <w:sz w:val="24"/>
          <w:szCs w:val="24"/>
        </w:rPr>
        <w:t>.</w:t>
      </w:r>
      <w:r w:rsidR="00CD5A3C">
        <w:rPr>
          <w:rFonts w:cstheme="minorHAnsi"/>
          <w:sz w:val="24"/>
          <w:szCs w:val="24"/>
          <w:vertAlign w:val="superscript"/>
        </w:rPr>
        <w:t>23</w:t>
      </w:r>
      <w:r w:rsidRPr="009100B8">
        <w:rPr>
          <w:rFonts w:cstheme="minorHAnsi"/>
          <w:sz w:val="24"/>
          <w:szCs w:val="24"/>
        </w:rPr>
        <w:t xml:space="preserve"> A strong inverse association between a woman’s</w:t>
      </w:r>
      <w:r w:rsidR="00485053">
        <w:rPr>
          <w:rFonts w:cstheme="minorHAnsi"/>
          <w:sz w:val="24"/>
          <w:szCs w:val="24"/>
        </w:rPr>
        <w:t xml:space="preserve"> </w:t>
      </w:r>
      <w:r w:rsidRPr="009100B8">
        <w:rPr>
          <w:rFonts w:cstheme="minorHAnsi"/>
          <w:sz w:val="24"/>
          <w:szCs w:val="24"/>
        </w:rPr>
        <w:t xml:space="preserve">birth weight and her risk of developing gestational diabetes has been found, </w:t>
      </w:r>
      <w:r w:rsidR="0044378D">
        <w:rPr>
          <w:rFonts w:cstheme="minorHAnsi"/>
          <w:sz w:val="24"/>
          <w:szCs w:val="24"/>
        </w:rPr>
        <w:t>which</w:t>
      </w:r>
      <w:r w:rsidRPr="009100B8">
        <w:rPr>
          <w:rFonts w:cstheme="minorHAnsi"/>
          <w:sz w:val="24"/>
          <w:szCs w:val="24"/>
        </w:rPr>
        <w:t xml:space="preserve"> appears to be independent o</w:t>
      </w:r>
      <w:r w:rsidR="00485053">
        <w:rPr>
          <w:rFonts w:cstheme="minorHAnsi"/>
          <w:sz w:val="24"/>
          <w:szCs w:val="24"/>
        </w:rPr>
        <w:t>f</w:t>
      </w:r>
      <w:r w:rsidRPr="009100B8">
        <w:rPr>
          <w:rFonts w:cstheme="minorHAnsi"/>
          <w:sz w:val="24"/>
          <w:szCs w:val="24"/>
        </w:rPr>
        <w:t xml:space="preserve"> BMI</w:t>
      </w:r>
      <w:r w:rsidR="00FD191C">
        <w:rPr>
          <w:rFonts w:cstheme="minorHAnsi"/>
          <w:sz w:val="24"/>
          <w:szCs w:val="24"/>
          <w:vertAlign w:val="superscript"/>
        </w:rPr>
        <w:t>24</w:t>
      </w:r>
      <w:r w:rsidRPr="009100B8">
        <w:rPr>
          <w:rFonts w:cstheme="minorHAnsi"/>
          <w:sz w:val="24"/>
          <w:szCs w:val="24"/>
        </w:rPr>
        <w:t>.</w:t>
      </w:r>
      <w:r w:rsidR="00CD5A3C">
        <w:rPr>
          <w:rFonts w:cstheme="minorHAnsi"/>
          <w:sz w:val="24"/>
          <w:szCs w:val="24"/>
          <w:vertAlign w:val="superscript"/>
        </w:rPr>
        <w:t>24</w:t>
      </w:r>
      <w:r w:rsidRPr="009100B8">
        <w:rPr>
          <w:rFonts w:cstheme="minorHAnsi"/>
          <w:sz w:val="24"/>
          <w:szCs w:val="24"/>
        </w:rPr>
        <w:t xml:space="preserve"> According to th</w:t>
      </w:r>
      <w:r w:rsidR="009970C5" w:rsidRPr="009100B8">
        <w:rPr>
          <w:rFonts w:cstheme="minorHAnsi"/>
          <w:sz w:val="24"/>
          <w:szCs w:val="24"/>
        </w:rPr>
        <w:t>is</w:t>
      </w:r>
      <w:r w:rsidRPr="009100B8">
        <w:rPr>
          <w:rFonts w:cstheme="minorHAnsi"/>
          <w:sz w:val="24"/>
          <w:szCs w:val="24"/>
        </w:rPr>
        <w:t xml:space="preserve"> ‘fetal origin’ hypothesis, the previous intrauterine malnutrition impairs the function of pancreatic beta-cells and due to ‘in utero programming’, the later </w:t>
      </w:r>
      <w:r w:rsidRPr="00FD191C">
        <w:rPr>
          <w:rFonts w:cstheme="minorHAnsi"/>
          <w:sz w:val="24"/>
          <w:szCs w:val="24"/>
        </w:rPr>
        <w:t>exposure</w:t>
      </w:r>
      <w:r w:rsidRPr="009100B8">
        <w:rPr>
          <w:rFonts w:cstheme="minorHAnsi"/>
          <w:sz w:val="24"/>
          <w:szCs w:val="24"/>
        </w:rPr>
        <w:t xml:space="preserve"> to</w:t>
      </w:r>
      <w:r w:rsidR="001E14C0">
        <w:rPr>
          <w:rFonts w:cstheme="minorHAnsi"/>
          <w:sz w:val="24"/>
          <w:szCs w:val="24"/>
        </w:rPr>
        <w:t xml:space="preserve"> a</w:t>
      </w:r>
      <w:r w:rsidRPr="009100B8">
        <w:rPr>
          <w:rFonts w:cstheme="minorHAnsi"/>
          <w:sz w:val="24"/>
          <w:szCs w:val="24"/>
        </w:rPr>
        <w:t xml:space="preserve"> high</w:t>
      </w:r>
      <w:r w:rsidR="001E14C0">
        <w:rPr>
          <w:rFonts w:cstheme="minorHAnsi"/>
          <w:sz w:val="24"/>
          <w:szCs w:val="24"/>
        </w:rPr>
        <w:t>-</w:t>
      </w:r>
      <w:r w:rsidRPr="009100B8">
        <w:rPr>
          <w:rFonts w:cstheme="minorHAnsi"/>
          <w:sz w:val="24"/>
          <w:szCs w:val="24"/>
        </w:rPr>
        <w:t>energy diet increases the risk of gestational diabetes.</w:t>
      </w:r>
      <w:r w:rsidR="00FD191C">
        <w:rPr>
          <w:rFonts w:cstheme="minorHAnsi"/>
          <w:sz w:val="24"/>
          <w:szCs w:val="24"/>
          <w:vertAlign w:val="superscript"/>
        </w:rPr>
        <w:t>24</w:t>
      </w:r>
    </w:p>
    <w:p w14:paraId="78300E45" w14:textId="77777777" w:rsidR="00FE3AB2" w:rsidRPr="009100B8" w:rsidRDefault="00FE3AB2" w:rsidP="00EE3090">
      <w:pPr>
        <w:spacing w:line="480" w:lineRule="auto"/>
        <w:rPr>
          <w:rFonts w:cstheme="minorHAnsi"/>
          <w:sz w:val="24"/>
          <w:szCs w:val="24"/>
        </w:rPr>
      </w:pPr>
    </w:p>
    <w:p w14:paraId="51E02361" w14:textId="36747078" w:rsidR="00E674A5" w:rsidRPr="00FD191C" w:rsidRDefault="002266E3" w:rsidP="006E3A1E">
      <w:pPr>
        <w:spacing w:line="480" w:lineRule="auto"/>
        <w:rPr>
          <w:rFonts w:cstheme="minorHAnsi"/>
          <w:sz w:val="24"/>
          <w:szCs w:val="24"/>
          <w:vertAlign w:val="superscript"/>
        </w:rPr>
      </w:pPr>
      <w:r w:rsidRPr="009100B8">
        <w:rPr>
          <w:rFonts w:cstheme="minorHAnsi"/>
          <w:sz w:val="24"/>
          <w:szCs w:val="24"/>
        </w:rPr>
        <w:t xml:space="preserve">Previous studies have reported </w:t>
      </w:r>
      <w:r w:rsidR="00485053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 xml:space="preserve">higher prevalence of severe maternal comorbidities </w:t>
      </w:r>
      <w:r w:rsidR="0044378D">
        <w:rPr>
          <w:rFonts w:cstheme="minorHAnsi"/>
          <w:sz w:val="24"/>
          <w:szCs w:val="24"/>
        </w:rPr>
        <w:t>and</w:t>
      </w:r>
      <w:r w:rsidRPr="009100B8">
        <w:rPr>
          <w:rFonts w:cstheme="minorHAnsi"/>
          <w:sz w:val="24"/>
          <w:szCs w:val="24"/>
        </w:rPr>
        <w:t xml:space="preserve"> </w:t>
      </w:r>
      <w:r w:rsidR="00485053">
        <w:rPr>
          <w:rFonts w:cstheme="minorHAnsi"/>
          <w:sz w:val="24"/>
          <w:szCs w:val="24"/>
        </w:rPr>
        <w:t xml:space="preserve">a </w:t>
      </w:r>
      <w:r w:rsidRPr="009100B8">
        <w:rPr>
          <w:rFonts w:cstheme="minorHAnsi"/>
          <w:sz w:val="24"/>
          <w:szCs w:val="24"/>
        </w:rPr>
        <w:t>higher risk of death in childbirth in non-white women.</w:t>
      </w:r>
      <w:r w:rsidR="00C22D1D" w:rsidRPr="009100B8">
        <w:rPr>
          <w:rFonts w:cstheme="minorHAnsi"/>
          <w:sz w:val="24"/>
          <w:szCs w:val="24"/>
          <w:vertAlign w:val="superscript"/>
        </w:rPr>
        <w:t>2</w:t>
      </w:r>
      <w:r w:rsidR="00FD191C">
        <w:rPr>
          <w:rFonts w:cstheme="minorHAnsi"/>
          <w:sz w:val="24"/>
          <w:szCs w:val="24"/>
          <w:vertAlign w:val="superscript"/>
        </w:rPr>
        <w:t>5</w:t>
      </w:r>
      <w:r w:rsidR="00C22D1D" w:rsidRPr="009100B8">
        <w:rPr>
          <w:rFonts w:cstheme="minorHAnsi"/>
          <w:sz w:val="24"/>
          <w:szCs w:val="24"/>
          <w:vertAlign w:val="superscript"/>
        </w:rPr>
        <w:t>-2</w:t>
      </w:r>
      <w:r w:rsidR="00FD191C">
        <w:rPr>
          <w:rFonts w:cstheme="minorHAnsi"/>
          <w:sz w:val="24"/>
          <w:szCs w:val="24"/>
          <w:vertAlign w:val="superscript"/>
        </w:rPr>
        <w:t>7</w:t>
      </w:r>
      <w:r w:rsidR="006419C6" w:rsidRPr="009100B8">
        <w:rPr>
          <w:rFonts w:cstheme="minorHAnsi"/>
          <w:sz w:val="24"/>
          <w:szCs w:val="24"/>
        </w:rPr>
        <w:t xml:space="preserve"> </w:t>
      </w:r>
      <w:r w:rsidR="004F528F" w:rsidRPr="009100B8">
        <w:rPr>
          <w:rFonts w:cstheme="minorHAnsi"/>
          <w:sz w:val="24"/>
          <w:szCs w:val="24"/>
        </w:rPr>
        <w:t>Many r</w:t>
      </w:r>
      <w:r w:rsidR="006419C6" w:rsidRPr="009100B8">
        <w:rPr>
          <w:rFonts w:cstheme="minorHAnsi"/>
          <w:sz w:val="24"/>
          <w:szCs w:val="24"/>
        </w:rPr>
        <w:t>isk factors for</w:t>
      </w:r>
      <w:r w:rsidR="004F528F" w:rsidRPr="009100B8">
        <w:rPr>
          <w:rFonts w:cstheme="minorHAnsi"/>
          <w:sz w:val="24"/>
          <w:szCs w:val="24"/>
        </w:rPr>
        <w:t xml:space="preserve"> these severe complications are the same for shoulder dystocia</w:t>
      </w:r>
      <w:r w:rsidR="00485053">
        <w:rPr>
          <w:rFonts w:cstheme="minorHAnsi"/>
          <w:sz w:val="24"/>
          <w:szCs w:val="24"/>
        </w:rPr>
        <w:t>—</w:t>
      </w:r>
      <w:r w:rsidR="00946437" w:rsidRPr="009100B8">
        <w:rPr>
          <w:rFonts w:cstheme="minorHAnsi"/>
          <w:sz w:val="24"/>
          <w:szCs w:val="24"/>
        </w:rPr>
        <w:t>the main known</w:t>
      </w:r>
      <w:r w:rsidR="00AB108F" w:rsidRPr="009100B8">
        <w:rPr>
          <w:rFonts w:cstheme="minorHAnsi"/>
          <w:sz w:val="24"/>
          <w:szCs w:val="24"/>
        </w:rPr>
        <w:t xml:space="preserve"> and most important</w:t>
      </w:r>
      <w:r w:rsidR="00946437" w:rsidRPr="009100B8">
        <w:rPr>
          <w:rFonts w:cstheme="minorHAnsi"/>
          <w:sz w:val="24"/>
          <w:szCs w:val="24"/>
        </w:rPr>
        <w:t xml:space="preserve"> risk factor for BPBI.</w:t>
      </w:r>
      <w:r w:rsidR="00C22D1D" w:rsidRPr="009100B8">
        <w:rPr>
          <w:rFonts w:cstheme="minorHAnsi"/>
          <w:sz w:val="24"/>
          <w:szCs w:val="24"/>
          <w:vertAlign w:val="superscript"/>
        </w:rPr>
        <w:t>13,14</w:t>
      </w:r>
      <w:r w:rsidR="00946437" w:rsidRPr="009100B8">
        <w:rPr>
          <w:rFonts w:cstheme="minorHAnsi"/>
          <w:sz w:val="24"/>
          <w:szCs w:val="24"/>
        </w:rPr>
        <w:t xml:space="preserve"> </w:t>
      </w:r>
      <w:r w:rsidR="00F430E0" w:rsidRPr="009100B8">
        <w:rPr>
          <w:rFonts w:cstheme="minorHAnsi"/>
          <w:sz w:val="24"/>
          <w:szCs w:val="24"/>
        </w:rPr>
        <w:t xml:space="preserve">As </w:t>
      </w:r>
      <w:r w:rsidR="005005F0" w:rsidRPr="009100B8">
        <w:rPr>
          <w:rFonts w:cstheme="minorHAnsi"/>
          <w:sz w:val="24"/>
          <w:szCs w:val="24"/>
        </w:rPr>
        <w:t>there was</w:t>
      </w:r>
      <w:r w:rsidR="00F430E0" w:rsidRPr="009100B8">
        <w:rPr>
          <w:rFonts w:cstheme="minorHAnsi"/>
          <w:sz w:val="24"/>
          <w:szCs w:val="24"/>
        </w:rPr>
        <w:t xml:space="preserve"> no difference in the prevalence of</w:t>
      </w:r>
      <w:r w:rsidR="005005F0" w:rsidRPr="009100B8">
        <w:rPr>
          <w:rFonts w:cstheme="minorHAnsi"/>
          <w:sz w:val="24"/>
          <w:szCs w:val="24"/>
        </w:rPr>
        <w:t xml:space="preserve"> the know</w:t>
      </w:r>
      <w:r w:rsidR="009A4F71" w:rsidRPr="009100B8">
        <w:rPr>
          <w:rFonts w:cstheme="minorHAnsi"/>
          <w:sz w:val="24"/>
          <w:szCs w:val="24"/>
        </w:rPr>
        <w:t>n</w:t>
      </w:r>
      <w:r w:rsidR="005005F0" w:rsidRPr="009100B8">
        <w:rPr>
          <w:rFonts w:cstheme="minorHAnsi"/>
          <w:sz w:val="24"/>
          <w:szCs w:val="24"/>
        </w:rPr>
        <w:t xml:space="preserve"> risk factors for shoulder dystocia and BPBI between the </w:t>
      </w:r>
      <w:r w:rsidR="00AB108F" w:rsidRPr="009100B8">
        <w:rPr>
          <w:rFonts w:cstheme="minorHAnsi"/>
          <w:sz w:val="24"/>
          <w:szCs w:val="24"/>
        </w:rPr>
        <w:t xml:space="preserve">ethnic </w:t>
      </w:r>
      <w:r w:rsidR="005005F0" w:rsidRPr="009100B8">
        <w:rPr>
          <w:rFonts w:cstheme="minorHAnsi"/>
          <w:sz w:val="24"/>
          <w:szCs w:val="24"/>
        </w:rPr>
        <w:t>groups</w:t>
      </w:r>
      <w:r w:rsidR="00A42F92" w:rsidRPr="009100B8">
        <w:rPr>
          <w:rFonts w:cstheme="minorHAnsi"/>
          <w:sz w:val="24"/>
          <w:szCs w:val="24"/>
        </w:rPr>
        <w:t xml:space="preserve"> </w:t>
      </w:r>
      <w:r w:rsidR="00CB6ACB" w:rsidRPr="009100B8">
        <w:rPr>
          <w:rFonts w:cstheme="minorHAnsi"/>
          <w:sz w:val="24"/>
          <w:szCs w:val="24"/>
        </w:rPr>
        <w:t>of</w:t>
      </w:r>
      <w:r w:rsidR="004F528F" w:rsidRPr="009100B8">
        <w:rPr>
          <w:rFonts w:cstheme="minorHAnsi"/>
          <w:sz w:val="24"/>
          <w:szCs w:val="24"/>
        </w:rPr>
        <w:t xml:space="preserve"> this study</w:t>
      </w:r>
      <w:r w:rsidR="005005F0" w:rsidRPr="009100B8">
        <w:rPr>
          <w:rFonts w:cstheme="minorHAnsi"/>
          <w:sz w:val="24"/>
          <w:szCs w:val="24"/>
        </w:rPr>
        <w:t xml:space="preserve">, </w:t>
      </w:r>
      <w:r w:rsidR="004F528F" w:rsidRPr="009100B8">
        <w:rPr>
          <w:rFonts w:cstheme="minorHAnsi"/>
          <w:sz w:val="24"/>
          <w:szCs w:val="24"/>
        </w:rPr>
        <w:t>the</w:t>
      </w:r>
      <w:r w:rsidR="005005F0" w:rsidRPr="009100B8">
        <w:rPr>
          <w:rFonts w:cstheme="minorHAnsi"/>
          <w:sz w:val="24"/>
          <w:szCs w:val="24"/>
        </w:rPr>
        <w:t xml:space="preserve"> answer </w:t>
      </w:r>
      <w:r w:rsidR="00485053">
        <w:rPr>
          <w:rFonts w:cstheme="minorHAnsi"/>
          <w:sz w:val="24"/>
          <w:szCs w:val="24"/>
        </w:rPr>
        <w:t>to</w:t>
      </w:r>
      <w:r w:rsidR="00A42F92" w:rsidRPr="009100B8">
        <w:rPr>
          <w:rFonts w:cstheme="minorHAnsi"/>
          <w:sz w:val="24"/>
          <w:szCs w:val="24"/>
        </w:rPr>
        <w:t xml:space="preserve"> the </w:t>
      </w:r>
      <w:r w:rsidR="00A822AC" w:rsidRPr="009100B8">
        <w:rPr>
          <w:rFonts w:cstheme="minorHAnsi"/>
          <w:sz w:val="24"/>
          <w:szCs w:val="24"/>
        </w:rPr>
        <w:t>injury’s</w:t>
      </w:r>
      <w:r w:rsidR="00A42F92" w:rsidRPr="009100B8">
        <w:rPr>
          <w:rFonts w:cstheme="minorHAnsi"/>
          <w:sz w:val="24"/>
          <w:szCs w:val="24"/>
        </w:rPr>
        <w:t xml:space="preserve"> predominance in </w:t>
      </w:r>
      <w:r w:rsidR="00485053">
        <w:rPr>
          <w:rFonts w:cstheme="minorHAnsi"/>
          <w:sz w:val="24"/>
          <w:szCs w:val="24"/>
        </w:rPr>
        <w:t xml:space="preserve">the </w:t>
      </w:r>
      <w:r w:rsidR="00452370" w:rsidRPr="009100B8">
        <w:rPr>
          <w:rFonts w:cstheme="minorHAnsi"/>
          <w:sz w:val="24"/>
          <w:szCs w:val="24"/>
        </w:rPr>
        <w:t>n</w:t>
      </w:r>
      <w:r w:rsidR="004F2FC1" w:rsidRPr="009100B8">
        <w:rPr>
          <w:rFonts w:cstheme="minorHAnsi"/>
          <w:sz w:val="24"/>
          <w:szCs w:val="24"/>
        </w:rPr>
        <w:t>on-</w:t>
      </w:r>
      <w:r w:rsidR="00452370" w:rsidRPr="009100B8">
        <w:rPr>
          <w:rFonts w:cstheme="minorHAnsi"/>
          <w:sz w:val="24"/>
          <w:szCs w:val="24"/>
        </w:rPr>
        <w:t>w</w:t>
      </w:r>
      <w:r w:rsidR="004F2FC1" w:rsidRPr="009100B8">
        <w:rPr>
          <w:rFonts w:cstheme="minorHAnsi"/>
          <w:sz w:val="24"/>
          <w:szCs w:val="24"/>
        </w:rPr>
        <w:t>hite</w:t>
      </w:r>
      <w:r w:rsidR="00A42F92" w:rsidRPr="009100B8">
        <w:rPr>
          <w:rFonts w:cstheme="minorHAnsi"/>
          <w:sz w:val="24"/>
          <w:szCs w:val="24"/>
        </w:rPr>
        <w:t xml:space="preserve"> </w:t>
      </w:r>
      <w:r w:rsidR="00FE2209" w:rsidRPr="009100B8">
        <w:rPr>
          <w:rFonts w:cstheme="minorHAnsi"/>
          <w:sz w:val="24"/>
          <w:szCs w:val="24"/>
        </w:rPr>
        <w:t>population may</w:t>
      </w:r>
      <w:r w:rsidR="005005F0" w:rsidRPr="009100B8">
        <w:rPr>
          <w:rFonts w:cstheme="minorHAnsi"/>
          <w:color w:val="E7E6E6" w:themeColor="background2"/>
          <w:sz w:val="24"/>
          <w:szCs w:val="24"/>
        </w:rPr>
        <w:t xml:space="preserve"> </w:t>
      </w:r>
      <w:r w:rsidR="005005F0" w:rsidRPr="009100B8">
        <w:rPr>
          <w:rFonts w:cstheme="minorHAnsi"/>
          <w:sz w:val="24"/>
          <w:szCs w:val="24"/>
        </w:rPr>
        <w:t>lie in pelvic anatomy</w:t>
      </w:r>
      <w:r w:rsidR="004B07EF" w:rsidRPr="009100B8">
        <w:rPr>
          <w:rFonts w:cstheme="minorHAnsi"/>
          <w:sz w:val="24"/>
          <w:szCs w:val="24"/>
        </w:rPr>
        <w:t>.</w:t>
      </w:r>
      <w:r w:rsidR="005005F0" w:rsidRPr="009100B8">
        <w:rPr>
          <w:rFonts w:cstheme="minorHAnsi"/>
          <w:sz w:val="24"/>
          <w:szCs w:val="24"/>
        </w:rPr>
        <w:t xml:space="preserve"> </w:t>
      </w:r>
      <w:r w:rsidR="00E35A47" w:rsidRPr="009100B8">
        <w:rPr>
          <w:rFonts w:cstheme="minorHAnsi"/>
          <w:sz w:val="24"/>
          <w:szCs w:val="24"/>
        </w:rPr>
        <w:t>W</w:t>
      </w:r>
      <w:r w:rsidR="005407E6" w:rsidRPr="009100B8">
        <w:rPr>
          <w:rFonts w:cstheme="minorHAnsi"/>
          <w:sz w:val="24"/>
          <w:szCs w:val="24"/>
        </w:rPr>
        <w:t xml:space="preserve">omen from the European </w:t>
      </w:r>
      <w:r w:rsidR="0013728C" w:rsidRPr="009100B8">
        <w:rPr>
          <w:rFonts w:cstheme="minorHAnsi"/>
          <w:sz w:val="24"/>
          <w:szCs w:val="24"/>
        </w:rPr>
        <w:t>gene pool</w:t>
      </w:r>
      <w:r w:rsidR="005407E6" w:rsidRPr="009100B8">
        <w:rPr>
          <w:rFonts w:cstheme="minorHAnsi"/>
          <w:sz w:val="24"/>
          <w:szCs w:val="24"/>
        </w:rPr>
        <w:t xml:space="preserve"> often present with a</w:t>
      </w:r>
      <w:r w:rsidR="006E3A1E" w:rsidRPr="009100B8">
        <w:t xml:space="preserve"> </w:t>
      </w:r>
      <w:r w:rsidR="006E3A1E" w:rsidRPr="009100B8">
        <w:rPr>
          <w:rFonts w:cstheme="minorHAnsi"/>
          <w:sz w:val="24"/>
          <w:szCs w:val="24"/>
        </w:rPr>
        <w:t>transversally oval inlet</w:t>
      </w:r>
      <w:r w:rsidR="005407E6" w:rsidRPr="009100B8">
        <w:rPr>
          <w:rFonts w:cstheme="minorHAnsi"/>
          <w:sz w:val="24"/>
          <w:szCs w:val="24"/>
        </w:rPr>
        <w:t xml:space="preserve"> </w:t>
      </w:r>
      <w:r w:rsidR="006E3A1E" w:rsidRPr="009100B8">
        <w:rPr>
          <w:rFonts w:cstheme="minorHAnsi"/>
          <w:sz w:val="24"/>
          <w:szCs w:val="24"/>
        </w:rPr>
        <w:t xml:space="preserve">compatible with an android, </w:t>
      </w:r>
      <w:proofErr w:type="spellStart"/>
      <w:r w:rsidR="006E3A1E" w:rsidRPr="009100B8">
        <w:rPr>
          <w:rFonts w:cstheme="minorHAnsi"/>
          <w:sz w:val="24"/>
          <w:szCs w:val="24"/>
        </w:rPr>
        <w:t>gynaecoid</w:t>
      </w:r>
      <w:proofErr w:type="spellEnd"/>
      <w:r w:rsidR="00485053">
        <w:rPr>
          <w:rFonts w:cstheme="minorHAnsi"/>
          <w:sz w:val="24"/>
          <w:szCs w:val="24"/>
        </w:rPr>
        <w:t>,</w:t>
      </w:r>
      <w:r w:rsidR="006E3A1E" w:rsidRPr="009100B8">
        <w:rPr>
          <w:rFonts w:cstheme="minorHAnsi"/>
          <w:sz w:val="24"/>
          <w:szCs w:val="24"/>
        </w:rPr>
        <w:t xml:space="preserve"> or </w:t>
      </w:r>
      <w:proofErr w:type="spellStart"/>
      <w:r w:rsidR="006E3A1E" w:rsidRPr="009100B8">
        <w:rPr>
          <w:rFonts w:cstheme="minorHAnsi"/>
          <w:sz w:val="24"/>
          <w:szCs w:val="24"/>
        </w:rPr>
        <w:t>platypelloid</w:t>
      </w:r>
      <w:proofErr w:type="spellEnd"/>
      <w:r w:rsidR="006E3A1E" w:rsidRPr="009100B8">
        <w:rPr>
          <w:rFonts w:cstheme="minorHAnsi"/>
          <w:sz w:val="24"/>
          <w:szCs w:val="24"/>
        </w:rPr>
        <w:t xml:space="preserve"> pelvic type</w:t>
      </w:r>
      <w:r w:rsidR="00914FA7">
        <w:rPr>
          <w:rFonts w:cstheme="minorHAnsi"/>
          <w:sz w:val="24"/>
          <w:szCs w:val="24"/>
        </w:rPr>
        <w:t>,</w:t>
      </w:r>
      <w:r w:rsidR="006E3A1E" w:rsidRPr="009100B8">
        <w:rPr>
          <w:rFonts w:cstheme="minorHAnsi"/>
          <w:sz w:val="24"/>
          <w:szCs w:val="24"/>
        </w:rPr>
        <w:t xml:space="preserve"> while </w:t>
      </w:r>
      <w:r w:rsidR="005407E6" w:rsidRPr="009100B8">
        <w:rPr>
          <w:rFonts w:cstheme="minorHAnsi"/>
          <w:sz w:val="24"/>
          <w:szCs w:val="24"/>
        </w:rPr>
        <w:t>East Asian and sub-Saharan African</w:t>
      </w:r>
      <w:r w:rsidR="006E3A1E" w:rsidRPr="009100B8">
        <w:rPr>
          <w:rFonts w:cstheme="minorHAnsi"/>
          <w:sz w:val="24"/>
          <w:szCs w:val="24"/>
        </w:rPr>
        <w:t xml:space="preserve"> women</w:t>
      </w:r>
      <w:r w:rsidR="005407E6" w:rsidRPr="009100B8">
        <w:rPr>
          <w:rFonts w:cstheme="minorHAnsi"/>
          <w:sz w:val="24"/>
          <w:szCs w:val="24"/>
        </w:rPr>
        <w:t>, on average</w:t>
      </w:r>
      <w:r w:rsidR="00485053">
        <w:rPr>
          <w:rFonts w:cstheme="minorHAnsi"/>
          <w:sz w:val="24"/>
          <w:szCs w:val="24"/>
        </w:rPr>
        <w:t>,</w:t>
      </w:r>
      <w:r w:rsidR="005407E6" w:rsidRPr="009100B8">
        <w:rPr>
          <w:rFonts w:cstheme="minorHAnsi"/>
          <w:sz w:val="24"/>
          <w:szCs w:val="24"/>
        </w:rPr>
        <w:t xml:space="preserve"> </w:t>
      </w:r>
      <w:r w:rsidR="006E3A1E" w:rsidRPr="009100B8">
        <w:rPr>
          <w:rFonts w:cstheme="minorHAnsi"/>
          <w:sz w:val="24"/>
          <w:szCs w:val="24"/>
        </w:rPr>
        <w:t>have a</w:t>
      </w:r>
      <w:r w:rsidR="005407E6" w:rsidRPr="009100B8">
        <w:rPr>
          <w:rFonts w:cstheme="minorHAnsi"/>
          <w:sz w:val="24"/>
          <w:szCs w:val="24"/>
        </w:rPr>
        <w:t xml:space="preserve"> rounder</w:t>
      </w:r>
      <w:r w:rsidR="006E3A1E" w:rsidRPr="009100B8">
        <w:rPr>
          <w:rFonts w:cstheme="minorHAnsi"/>
          <w:sz w:val="24"/>
          <w:szCs w:val="24"/>
        </w:rPr>
        <w:t xml:space="preserve"> inlet, </w:t>
      </w:r>
      <w:r w:rsidR="005407E6" w:rsidRPr="009100B8">
        <w:rPr>
          <w:rFonts w:cstheme="minorHAnsi"/>
          <w:sz w:val="24"/>
          <w:szCs w:val="24"/>
        </w:rPr>
        <w:t xml:space="preserve">often oval in the anterior–posterior direction, </w:t>
      </w:r>
      <w:r w:rsidR="004F528F" w:rsidRPr="009100B8">
        <w:rPr>
          <w:rFonts w:cstheme="minorHAnsi"/>
          <w:sz w:val="24"/>
          <w:szCs w:val="24"/>
        </w:rPr>
        <w:t>matching the</w:t>
      </w:r>
      <w:r w:rsidR="005407E6" w:rsidRPr="009100B8">
        <w:rPr>
          <w:rFonts w:cstheme="minorHAnsi"/>
          <w:sz w:val="24"/>
          <w:szCs w:val="24"/>
        </w:rPr>
        <w:t xml:space="preserve"> anthropoid pelvic shape</w:t>
      </w:r>
      <w:r w:rsidR="006E3A1E" w:rsidRPr="009100B8">
        <w:rPr>
          <w:rFonts w:cstheme="minorHAnsi"/>
          <w:sz w:val="24"/>
          <w:szCs w:val="24"/>
        </w:rPr>
        <w:t>.</w:t>
      </w:r>
      <w:r w:rsidR="00C22D1D" w:rsidRPr="009100B8">
        <w:rPr>
          <w:rFonts w:cstheme="minorHAnsi"/>
          <w:sz w:val="24"/>
          <w:szCs w:val="24"/>
          <w:vertAlign w:val="superscript"/>
        </w:rPr>
        <w:t>2</w:t>
      </w:r>
      <w:r w:rsidR="00FD191C">
        <w:rPr>
          <w:rFonts w:cstheme="minorHAnsi"/>
          <w:sz w:val="24"/>
          <w:szCs w:val="24"/>
          <w:vertAlign w:val="superscript"/>
        </w:rPr>
        <w:t>8</w:t>
      </w:r>
      <w:r w:rsidR="001E14C0">
        <w:rPr>
          <w:rFonts w:cstheme="minorHAnsi"/>
          <w:sz w:val="24"/>
          <w:szCs w:val="24"/>
          <w:vertAlign w:val="superscript"/>
        </w:rPr>
        <w:t>–</w:t>
      </w:r>
      <w:r w:rsidR="00FD191C">
        <w:rPr>
          <w:rFonts w:cstheme="minorHAnsi"/>
          <w:sz w:val="24"/>
          <w:szCs w:val="24"/>
          <w:vertAlign w:val="superscript"/>
        </w:rPr>
        <w:t>30</w:t>
      </w:r>
      <w:r w:rsidR="006E3A1E" w:rsidRPr="009100B8">
        <w:rPr>
          <w:rFonts w:cstheme="minorHAnsi"/>
          <w:color w:val="E7E6E6" w:themeColor="background2"/>
          <w:sz w:val="24"/>
          <w:szCs w:val="24"/>
        </w:rPr>
        <w:t xml:space="preserve"> </w:t>
      </w:r>
      <w:r w:rsidR="00FE2209" w:rsidRPr="009100B8">
        <w:rPr>
          <w:rFonts w:cstheme="minorHAnsi"/>
          <w:sz w:val="24"/>
          <w:szCs w:val="24"/>
        </w:rPr>
        <w:t xml:space="preserve">The delivery </w:t>
      </w:r>
      <w:r w:rsidR="006E3A1E" w:rsidRPr="009100B8">
        <w:rPr>
          <w:rFonts w:cstheme="minorHAnsi"/>
          <w:sz w:val="24"/>
          <w:szCs w:val="24"/>
        </w:rPr>
        <w:t>progresses slightly different</w:t>
      </w:r>
      <w:r w:rsidR="00FE2209" w:rsidRPr="009100B8">
        <w:rPr>
          <w:rFonts w:cstheme="minorHAnsi"/>
          <w:sz w:val="24"/>
          <w:szCs w:val="24"/>
        </w:rPr>
        <w:t xml:space="preserve">ly in different </w:t>
      </w:r>
      <w:r w:rsidR="00317D59">
        <w:rPr>
          <w:rFonts w:cstheme="minorHAnsi"/>
          <w:sz w:val="24"/>
          <w:szCs w:val="24"/>
        </w:rPr>
        <w:t xml:space="preserve">pelvis </w:t>
      </w:r>
      <w:r w:rsidR="006E3A1E" w:rsidRPr="009100B8">
        <w:rPr>
          <w:rFonts w:cstheme="minorHAnsi"/>
          <w:sz w:val="24"/>
          <w:szCs w:val="24"/>
        </w:rPr>
        <w:t>type</w:t>
      </w:r>
      <w:r w:rsidR="00FE2209" w:rsidRPr="009100B8">
        <w:rPr>
          <w:rFonts w:cstheme="minorHAnsi"/>
          <w:sz w:val="24"/>
          <w:szCs w:val="24"/>
        </w:rPr>
        <w:t>s</w:t>
      </w:r>
      <w:r w:rsidR="00485053">
        <w:rPr>
          <w:rFonts w:cstheme="minorHAnsi"/>
          <w:sz w:val="24"/>
          <w:szCs w:val="24"/>
        </w:rPr>
        <w:t>,</w:t>
      </w:r>
      <w:r w:rsidR="006E3A1E" w:rsidRPr="009100B8">
        <w:rPr>
          <w:rFonts w:cstheme="minorHAnsi"/>
          <w:sz w:val="24"/>
          <w:szCs w:val="24"/>
        </w:rPr>
        <w:t xml:space="preserve"> </w:t>
      </w:r>
      <w:r w:rsidR="0013728C" w:rsidRPr="009100B8">
        <w:rPr>
          <w:rFonts w:cstheme="minorHAnsi"/>
          <w:sz w:val="24"/>
          <w:szCs w:val="24"/>
        </w:rPr>
        <w:t>and some argue that</w:t>
      </w:r>
      <w:r w:rsidR="00317D59">
        <w:rPr>
          <w:rFonts w:cstheme="minorHAnsi"/>
          <w:sz w:val="24"/>
          <w:szCs w:val="24"/>
        </w:rPr>
        <w:t xml:space="preserve"> an</w:t>
      </w:r>
      <w:r w:rsidR="009670A2" w:rsidRPr="009100B8">
        <w:rPr>
          <w:rFonts w:cstheme="minorHAnsi"/>
          <w:sz w:val="24"/>
          <w:szCs w:val="24"/>
        </w:rPr>
        <w:t xml:space="preserve"> anthropoid pelvis more often lead</w:t>
      </w:r>
      <w:r w:rsidR="002D39C8" w:rsidRPr="009100B8">
        <w:rPr>
          <w:rFonts w:cstheme="minorHAnsi"/>
          <w:sz w:val="24"/>
          <w:szCs w:val="24"/>
        </w:rPr>
        <w:t>s</w:t>
      </w:r>
      <w:r w:rsidR="009670A2" w:rsidRPr="009100B8">
        <w:rPr>
          <w:rFonts w:cstheme="minorHAnsi"/>
          <w:sz w:val="24"/>
          <w:szCs w:val="24"/>
        </w:rPr>
        <w:t xml:space="preserve"> to a persistent occiput posterior position</w:t>
      </w:r>
      <w:r w:rsidR="002D39C8" w:rsidRPr="009100B8">
        <w:rPr>
          <w:rFonts w:cstheme="minorHAnsi"/>
          <w:sz w:val="24"/>
          <w:szCs w:val="24"/>
        </w:rPr>
        <w:t xml:space="preserve"> (OR 1.4 in Black vs</w:t>
      </w:r>
      <w:r w:rsidR="0044378D">
        <w:rPr>
          <w:rFonts w:cstheme="minorHAnsi"/>
          <w:sz w:val="24"/>
          <w:szCs w:val="24"/>
        </w:rPr>
        <w:t>.</w:t>
      </w:r>
      <w:r w:rsidR="002D39C8" w:rsidRPr="009100B8">
        <w:rPr>
          <w:rFonts w:cstheme="minorHAnsi"/>
          <w:sz w:val="24"/>
          <w:szCs w:val="24"/>
        </w:rPr>
        <w:t xml:space="preserve"> </w:t>
      </w:r>
      <w:r w:rsidR="00CF55D4">
        <w:rPr>
          <w:rFonts w:cstheme="minorHAnsi"/>
          <w:sz w:val="24"/>
          <w:szCs w:val="24"/>
        </w:rPr>
        <w:t>Caucasian</w:t>
      </w:r>
      <w:r w:rsidR="002D39C8" w:rsidRPr="009100B8">
        <w:rPr>
          <w:rFonts w:cstheme="minorHAnsi"/>
          <w:sz w:val="24"/>
          <w:szCs w:val="24"/>
        </w:rPr>
        <w:t xml:space="preserve"> women)</w:t>
      </w:r>
      <w:r w:rsidR="0044378D">
        <w:rPr>
          <w:rFonts w:cstheme="minorHAnsi"/>
          <w:sz w:val="24"/>
          <w:szCs w:val="24"/>
        </w:rPr>
        <w:t>,</w:t>
      </w:r>
      <w:r w:rsidR="002D39C8" w:rsidRPr="009100B8">
        <w:rPr>
          <w:rFonts w:cstheme="minorHAnsi"/>
          <w:color w:val="E7E6E6" w:themeColor="background2"/>
          <w:sz w:val="24"/>
          <w:szCs w:val="24"/>
        </w:rPr>
        <w:t xml:space="preserve"> </w:t>
      </w:r>
      <w:r w:rsidR="009670A2" w:rsidRPr="009100B8">
        <w:rPr>
          <w:rFonts w:cstheme="minorHAnsi"/>
          <w:sz w:val="24"/>
          <w:szCs w:val="24"/>
        </w:rPr>
        <w:t xml:space="preserve">increasing the risk </w:t>
      </w:r>
      <w:r w:rsidR="0013728C" w:rsidRPr="009100B8">
        <w:rPr>
          <w:rFonts w:cstheme="minorHAnsi"/>
          <w:sz w:val="24"/>
          <w:szCs w:val="24"/>
        </w:rPr>
        <w:t>for</w:t>
      </w:r>
      <w:r w:rsidR="009670A2" w:rsidRPr="009100B8">
        <w:rPr>
          <w:rFonts w:cstheme="minorHAnsi"/>
          <w:sz w:val="24"/>
          <w:szCs w:val="24"/>
        </w:rPr>
        <w:t xml:space="preserve"> maternal and newborn morbidities.</w:t>
      </w:r>
      <w:r w:rsidR="00FD191C">
        <w:rPr>
          <w:rFonts w:cstheme="minorHAnsi"/>
          <w:sz w:val="24"/>
          <w:szCs w:val="24"/>
          <w:vertAlign w:val="superscript"/>
        </w:rPr>
        <w:t>31</w:t>
      </w:r>
      <w:r w:rsidR="001E14C0">
        <w:rPr>
          <w:rFonts w:cstheme="minorHAnsi"/>
          <w:sz w:val="24"/>
          <w:szCs w:val="24"/>
          <w:vertAlign w:val="superscript"/>
        </w:rPr>
        <w:t>–</w:t>
      </w:r>
      <w:r w:rsidR="00FD191C">
        <w:rPr>
          <w:rFonts w:cstheme="minorHAnsi"/>
          <w:sz w:val="24"/>
          <w:szCs w:val="24"/>
          <w:vertAlign w:val="superscript"/>
        </w:rPr>
        <w:t>32</w:t>
      </w:r>
      <w:r w:rsidR="0060066E" w:rsidRPr="009100B8">
        <w:rPr>
          <w:rFonts w:cstheme="minorHAnsi"/>
          <w:sz w:val="24"/>
          <w:szCs w:val="24"/>
        </w:rPr>
        <w:t xml:space="preserve"> </w:t>
      </w:r>
      <w:r w:rsidR="00E674A5" w:rsidRPr="009100B8">
        <w:rPr>
          <w:rFonts w:cstheme="minorHAnsi"/>
          <w:sz w:val="24"/>
          <w:szCs w:val="24"/>
        </w:rPr>
        <w:t xml:space="preserve"> </w:t>
      </w:r>
      <w:r w:rsidR="00656354">
        <w:rPr>
          <w:rFonts w:cstheme="minorHAnsi"/>
          <w:sz w:val="24"/>
          <w:szCs w:val="24"/>
        </w:rPr>
        <w:t xml:space="preserve">In births complicated by </w:t>
      </w:r>
      <w:r w:rsidR="00292CCA">
        <w:rPr>
          <w:rFonts w:cstheme="minorHAnsi"/>
          <w:sz w:val="24"/>
          <w:szCs w:val="24"/>
        </w:rPr>
        <w:t>s</w:t>
      </w:r>
      <w:r w:rsidR="00E674A5" w:rsidRPr="009100B8">
        <w:rPr>
          <w:rFonts w:cstheme="minorHAnsi"/>
          <w:sz w:val="24"/>
          <w:szCs w:val="24"/>
        </w:rPr>
        <w:t xml:space="preserve">houlder dystocia, the occiput posterior position has </w:t>
      </w:r>
      <w:r w:rsidR="00656354">
        <w:rPr>
          <w:rFonts w:cstheme="minorHAnsi"/>
          <w:sz w:val="24"/>
          <w:szCs w:val="24"/>
        </w:rPr>
        <w:t xml:space="preserve">been reported to increase </w:t>
      </w:r>
      <w:r w:rsidR="00E674A5" w:rsidRPr="009100B8">
        <w:rPr>
          <w:rFonts w:cstheme="minorHAnsi"/>
          <w:sz w:val="24"/>
          <w:szCs w:val="24"/>
        </w:rPr>
        <w:t>the risk of BPBI.</w:t>
      </w:r>
      <w:r w:rsidR="00FD191C">
        <w:rPr>
          <w:rFonts w:cstheme="minorHAnsi"/>
          <w:sz w:val="24"/>
          <w:szCs w:val="24"/>
          <w:vertAlign w:val="superscript"/>
        </w:rPr>
        <w:t>31</w:t>
      </w:r>
    </w:p>
    <w:p w14:paraId="5213C4EC" w14:textId="77777777" w:rsidR="00F13F06" w:rsidRPr="009100B8" w:rsidRDefault="00F13F06" w:rsidP="006E3A1E">
      <w:pPr>
        <w:spacing w:line="480" w:lineRule="auto"/>
        <w:rPr>
          <w:rFonts w:cstheme="minorHAnsi"/>
          <w:sz w:val="24"/>
          <w:szCs w:val="24"/>
        </w:rPr>
      </w:pPr>
    </w:p>
    <w:p w14:paraId="4EF9616F" w14:textId="51B9F076" w:rsidR="0042057B" w:rsidRPr="002C6A22" w:rsidRDefault="006D10F4" w:rsidP="0042057B">
      <w:pPr>
        <w:spacing w:line="480" w:lineRule="auto"/>
        <w:rPr>
          <w:rFonts w:cstheme="minorHAnsi"/>
          <w:sz w:val="24"/>
          <w:szCs w:val="24"/>
          <w:highlight w:val="yellow"/>
        </w:rPr>
      </w:pPr>
      <w:r w:rsidRPr="009100B8">
        <w:rPr>
          <w:rFonts w:cstheme="minorHAnsi"/>
          <w:sz w:val="24"/>
          <w:szCs w:val="24"/>
        </w:rPr>
        <w:t>According to findings from the UK</w:t>
      </w:r>
      <w:r w:rsidR="007E0BBE">
        <w:rPr>
          <w:rFonts w:cstheme="minorHAnsi"/>
          <w:sz w:val="24"/>
          <w:szCs w:val="24"/>
        </w:rPr>
        <w:t>,</w:t>
      </w:r>
      <w:r w:rsidRPr="009100B8">
        <w:rPr>
          <w:rFonts w:cstheme="minorHAnsi"/>
          <w:sz w:val="24"/>
          <w:szCs w:val="24"/>
        </w:rPr>
        <w:t xml:space="preserve"> Asian and Black women have a significantly higher risk for neonatal deaths (3.0 vs</w:t>
      </w:r>
      <w:r w:rsidR="007E0BBE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</w:rPr>
        <w:t xml:space="preserve"> 1.3 per 1000 live births) </w:t>
      </w:r>
      <w:r w:rsidR="007E0BBE">
        <w:rPr>
          <w:rFonts w:cstheme="minorHAnsi"/>
          <w:sz w:val="24"/>
          <w:szCs w:val="24"/>
        </w:rPr>
        <w:t xml:space="preserve">and </w:t>
      </w:r>
      <w:r w:rsidRPr="009100B8">
        <w:rPr>
          <w:rFonts w:cstheme="minorHAnsi"/>
          <w:sz w:val="24"/>
          <w:szCs w:val="24"/>
        </w:rPr>
        <w:t xml:space="preserve">emergency </w:t>
      </w:r>
      <w:r w:rsidR="00656354">
        <w:rPr>
          <w:rFonts w:cstheme="minorHAnsi"/>
          <w:sz w:val="24"/>
          <w:szCs w:val="24"/>
        </w:rPr>
        <w:t>cesarean sections</w:t>
      </w:r>
      <w:r w:rsidRPr="009100B8">
        <w:rPr>
          <w:rFonts w:cstheme="minorHAnsi"/>
          <w:sz w:val="24"/>
          <w:szCs w:val="24"/>
        </w:rPr>
        <w:t xml:space="preserve"> (25% vs</w:t>
      </w:r>
      <w:r w:rsidR="007E0BBE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</w:rPr>
        <w:t xml:space="preserve"> 18%) </w:t>
      </w:r>
      <w:r w:rsidR="007E0BBE">
        <w:rPr>
          <w:rFonts w:cstheme="minorHAnsi"/>
          <w:sz w:val="24"/>
          <w:szCs w:val="24"/>
        </w:rPr>
        <w:t>compared</w:t>
      </w:r>
      <w:r w:rsidRPr="009100B8">
        <w:rPr>
          <w:rFonts w:cstheme="minorHAnsi"/>
          <w:sz w:val="24"/>
          <w:szCs w:val="24"/>
        </w:rPr>
        <w:t xml:space="preserve"> to Caucasian</w:t>
      </w:r>
      <w:r w:rsidR="007E0BBE">
        <w:rPr>
          <w:rFonts w:cstheme="minorHAnsi"/>
          <w:sz w:val="24"/>
          <w:szCs w:val="24"/>
        </w:rPr>
        <w:t>s</w:t>
      </w:r>
      <w:r w:rsidRPr="009100B8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  <w:vertAlign w:val="superscript"/>
        </w:rPr>
        <w:t>2</w:t>
      </w:r>
      <w:r w:rsidR="00FD191C">
        <w:rPr>
          <w:rFonts w:cstheme="minorHAnsi"/>
          <w:sz w:val="24"/>
          <w:szCs w:val="24"/>
          <w:vertAlign w:val="superscript"/>
        </w:rPr>
        <w:t>1,33</w:t>
      </w:r>
      <w:r w:rsidRPr="009100B8">
        <w:rPr>
          <w:rFonts w:cstheme="minorHAnsi"/>
          <w:sz w:val="24"/>
          <w:szCs w:val="24"/>
        </w:rPr>
        <w:t xml:space="preserve"> The same statistics also show Caucasian women’s deliver</w:t>
      </w:r>
      <w:r w:rsidR="001E14C0">
        <w:rPr>
          <w:rFonts w:cstheme="minorHAnsi"/>
          <w:sz w:val="24"/>
          <w:szCs w:val="24"/>
        </w:rPr>
        <w:t>ies</w:t>
      </w:r>
      <w:r w:rsidRPr="009100B8">
        <w:rPr>
          <w:rFonts w:cstheme="minorHAnsi"/>
          <w:sz w:val="24"/>
          <w:szCs w:val="24"/>
        </w:rPr>
        <w:t xml:space="preserve"> progressing spontaneously slightly more often </w:t>
      </w:r>
      <w:r w:rsidR="00485053">
        <w:rPr>
          <w:rFonts w:cstheme="minorHAnsi"/>
          <w:sz w:val="24"/>
          <w:szCs w:val="24"/>
        </w:rPr>
        <w:t>than</w:t>
      </w:r>
      <w:r w:rsidRPr="009100B8">
        <w:rPr>
          <w:rFonts w:cstheme="minorHAnsi"/>
          <w:sz w:val="24"/>
          <w:szCs w:val="24"/>
        </w:rPr>
        <w:t xml:space="preserve"> other ethnic groups (52.2% vs</w:t>
      </w:r>
      <w:r w:rsidR="007E0BBE">
        <w:rPr>
          <w:rFonts w:cstheme="minorHAnsi"/>
          <w:sz w:val="24"/>
          <w:szCs w:val="24"/>
        </w:rPr>
        <w:t>.</w:t>
      </w:r>
      <w:r w:rsidRPr="009100B8">
        <w:rPr>
          <w:rFonts w:cstheme="minorHAnsi"/>
          <w:sz w:val="24"/>
          <w:szCs w:val="24"/>
        </w:rPr>
        <w:t xml:space="preserve"> 50.0%).</w:t>
      </w:r>
      <w:r w:rsidRPr="009100B8">
        <w:rPr>
          <w:rFonts w:cstheme="minorHAnsi"/>
          <w:sz w:val="24"/>
          <w:szCs w:val="24"/>
          <w:vertAlign w:val="superscript"/>
        </w:rPr>
        <w:t>2</w:t>
      </w:r>
      <w:r w:rsidR="00FD191C">
        <w:rPr>
          <w:rFonts w:cstheme="minorHAnsi"/>
          <w:sz w:val="24"/>
          <w:szCs w:val="24"/>
          <w:vertAlign w:val="superscript"/>
        </w:rPr>
        <w:t>1</w:t>
      </w:r>
      <w:r w:rsidRPr="009100B8">
        <w:rPr>
          <w:rFonts w:cstheme="minorHAnsi"/>
          <w:sz w:val="24"/>
          <w:szCs w:val="24"/>
          <w:vertAlign w:val="superscript"/>
        </w:rPr>
        <w:t>,</w:t>
      </w:r>
      <w:r w:rsidR="00FD191C">
        <w:rPr>
          <w:rFonts w:cstheme="minorHAnsi"/>
          <w:sz w:val="24"/>
          <w:szCs w:val="24"/>
          <w:vertAlign w:val="superscript"/>
        </w:rPr>
        <w:t>33</w:t>
      </w:r>
      <w:r w:rsidRPr="009100B8">
        <w:rPr>
          <w:rFonts w:cstheme="minorHAnsi"/>
          <w:sz w:val="24"/>
          <w:szCs w:val="24"/>
        </w:rPr>
        <w:t xml:space="preserve"> </w:t>
      </w:r>
      <w:r w:rsidR="007E0BBE">
        <w:rPr>
          <w:rFonts w:cstheme="minorHAnsi"/>
          <w:sz w:val="24"/>
          <w:szCs w:val="24"/>
        </w:rPr>
        <w:t>T</w:t>
      </w:r>
      <w:r w:rsidR="003D0F53" w:rsidRPr="009100B8">
        <w:rPr>
          <w:rFonts w:cstheme="minorHAnsi"/>
          <w:sz w:val="24"/>
          <w:szCs w:val="24"/>
        </w:rPr>
        <w:t xml:space="preserve">he pulling force </w:t>
      </w:r>
      <w:r w:rsidR="007E0BBE">
        <w:rPr>
          <w:rFonts w:cstheme="minorHAnsi"/>
          <w:sz w:val="24"/>
          <w:szCs w:val="24"/>
        </w:rPr>
        <w:t>and</w:t>
      </w:r>
      <w:r w:rsidR="003D0F53" w:rsidRPr="009100B8">
        <w:rPr>
          <w:rFonts w:cstheme="minorHAnsi"/>
          <w:sz w:val="24"/>
          <w:szCs w:val="24"/>
        </w:rPr>
        <w:t xml:space="preserve"> the duration of the traction on the plexus </w:t>
      </w:r>
      <w:r w:rsidR="007E0BBE">
        <w:rPr>
          <w:rFonts w:cstheme="minorHAnsi"/>
          <w:sz w:val="24"/>
          <w:szCs w:val="24"/>
        </w:rPr>
        <w:t>influence</w:t>
      </w:r>
      <w:r w:rsidR="003D0F53" w:rsidRPr="009100B8">
        <w:rPr>
          <w:rFonts w:cstheme="minorHAnsi"/>
          <w:sz w:val="24"/>
          <w:szCs w:val="24"/>
        </w:rPr>
        <w:t xml:space="preserve"> the injury</w:t>
      </w:r>
      <w:r w:rsidR="001E14C0">
        <w:rPr>
          <w:rFonts w:cstheme="minorHAnsi"/>
          <w:sz w:val="24"/>
          <w:szCs w:val="24"/>
        </w:rPr>
        <w:t>’s severity</w:t>
      </w:r>
      <w:r w:rsidR="003D0F53" w:rsidRPr="009100B8">
        <w:rPr>
          <w:rFonts w:cstheme="minorHAnsi"/>
          <w:sz w:val="24"/>
          <w:szCs w:val="24"/>
        </w:rPr>
        <w:t>.</w:t>
      </w:r>
      <w:r w:rsidR="0018670E" w:rsidRPr="009100B8">
        <w:rPr>
          <w:rFonts w:cstheme="minorHAnsi"/>
          <w:sz w:val="24"/>
          <w:szCs w:val="24"/>
          <w:vertAlign w:val="superscript"/>
        </w:rPr>
        <w:t>3</w:t>
      </w:r>
      <w:r w:rsidR="00FD191C">
        <w:rPr>
          <w:rFonts w:cstheme="minorHAnsi"/>
          <w:sz w:val="24"/>
          <w:szCs w:val="24"/>
          <w:vertAlign w:val="superscript"/>
        </w:rPr>
        <w:t>4</w:t>
      </w:r>
      <w:r w:rsidR="003D0F53" w:rsidRPr="009100B8">
        <w:rPr>
          <w:rFonts w:cstheme="minorHAnsi"/>
          <w:sz w:val="24"/>
          <w:szCs w:val="24"/>
        </w:rPr>
        <w:t xml:space="preserve"> In milder injuries</w:t>
      </w:r>
      <w:r w:rsidR="007E0BBE">
        <w:rPr>
          <w:rFonts w:cstheme="minorHAnsi"/>
          <w:sz w:val="24"/>
          <w:szCs w:val="24"/>
        </w:rPr>
        <w:t>,</w:t>
      </w:r>
      <w:r w:rsidR="003D0F53" w:rsidRPr="009100B8">
        <w:rPr>
          <w:rFonts w:cstheme="minorHAnsi"/>
          <w:sz w:val="24"/>
          <w:szCs w:val="24"/>
        </w:rPr>
        <w:t xml:space="preserve"> the nerves have been mildly stretched or compressed (</w:t>
      </w:r>
      <w:proofErr w:type="spellStart"/>
      <w:r w:rsidR="003D0F53" w:rsidRPr="009100B8">
        <w:rPr>
          <w:rFonts w:cstheme="minorHAnsi"/>
          <w:sz w:val="24"/>
          <w:szCs w:val="24"/>
        </w:rPr>
        <w:t>neurapaxia</w:t>
      </w:r>
      <w:proofErr w:type="spellEnd"/>
      <w:r w:rsidR="003D0F53" w:rsidRPr="009100B8">
        <w:rPr>
          <w:rFonts w:cstheme="minorHAnsi"/>
          <w:sz w:val="24"/>
          <w:szCs w:val="24"/>
        </w:rPr>
        <w:t>)</w:t>
      </w:r>
      <w:r w:rsidR="007E0BBE">
        <w:rPr>
          <w:rFonts w:cstheme="minorHAnsi"/>
          <w:sz w:val="24"/>
          <w:szCs w:val="24"/>
        </w:rPr>
        <w:t>,</w:t>
      </w:r>
      <w:r w:rsidR="003D0F53" w:rsidRPr="009100B8">
        <w:rPr>
          <w:rFonts w:cstheme="minorHAnsi"/>
          <w:sz w:val="24"/>
          <w:szCs w:val="24"/>
        </w:rPr>
        <w:t xml:space="preserve"> and the recovery is generally good. However, in a permanent injury</w:t>
      </w:r>
      <w:r w:rsidR="007E0BBE">
        <w:rPr>
          <w:rFonts w:cstheme="minorHAnsi"/>
          <w:sz w:val="24"/>
          <w:szCs w:val="24"/>
        </w:rPr>
        <w:t>,</w:t>
      </w:r>
      <w:r w:rsidR="003D0F53" w:rsidRPr="009100B8">
        <w:rPr>
          <w:rFonts w:cstheme="minorHAnsi"/>
          <w:sz w:val="24"/>
          <w:szCs w:val="24"/>
        </w:rPr>
        <w:t xml:space="preserve"> axonal disruption has occurred (axonotmesis)</w:t>
      </w:r>
      <w:r w:rsidR="007E0BBE">
        <w:rPr>
          <w:rFonts w:cstheme="minorHAnsi"/>
          <w:sz w:val="24"/>
          <w:szCs w:val="24"/>
        </w:rPr>
        <w:t>—</w:t>
      </w:r>
      <w:r w:rsidR="003D0F53" w:rsidRPr="009100B8">
        <w:rPr>
          <w:rFonts w:cstheme="minorHAnsi"/>
          <w:sz w:val="24"/>
          <w:szCs w:val="24"/>
        </w:rPr>
        <w:t xml:space="preserve">with or without a complete tear or avulsion from the spinal cord (neurotmesis). </w:t>
      </w:r>
      <w:r w:rsidR="00C231F7" w:rsidRPr="009100B8">
        <w:rPr>
          <w:rFonts w:cstheme="minorHAnsi"/>
          <w:sz w:val="24"/>
          <w:szCs w:val="24"/>
        </w:rPr>
        <w:t>The more severe the injury, the more likely the child will require surgery during growth.</w:t>
      </w:r>
      <w:r w:rsidR="0018670E" w:rsidRPr="009100B8">
        <w:rPr>
          <w:rFonts w:cstheme="minorHAnsi"/>
          <w:sz w:val="24"/>
          <w:szCs w:val="24"/>
          <w:vertAlign w:val="superscript"/>
        </w:rPr>
        <w:t>6,7</w:t>
      </w:r>
      <w:r w:rsidR="00C231F7" w:rsidRPr="009100B8">
        <w:rPr>
          <w:rFonts w:cstheme="minorHAnsi"/>
          <w:sz w:val="24"/>
          <w:szCs w:val="24"/>
        </w:rPr>
        <w:t xml:space="preserve"> In this study</w:t>
      </w:r>
      <w:r w:rsidR="007E0BBE">
        <w:rPr>
          <w:rFonts w:cstheme="minorHAnsi"/>
          <w:sz w:val="24"/>
          <w:szCs w:val="24"/>
        </w:rPr>
        <w:t>,</w:t>
      </w:r>
      <w:r w:rsidR="00C231F7" w:rsidRPr="009100B8">
        <w:rPr>
          <w:rFonts w:cstheme="minorHAnsi"/>
          <w:sz w:val="24"/>
          <w:szCs w:val="24"/>
        </w:rPr>
        <w:t xml:space="preserve"> the most severe injuries </w:t>
      </w:r>
      <w:r w:rsidR="0013728C" w:rsidRPr="009100B8">
        <w:rPr>
          <w:rFonts w:cstheme="minorHAnsi"/>
          <w:sz w:val="24"/>
          <w:szCs w:val="24"/>
        </w:rPr>
        <w:t>were</w:t>
      </w:r>
      <w:r w:rsidR="00D25B5A" w:rsidRPr="009100B8">
        <w:rPr>
          <w:rFonts w:cstheme="minorHAnsi"/>
          <w:sz w:val="24"/>
          <w:szCs w:val="24"/>
        </w:rPr>
        <w:t xml:space="preserve"> diagnosed</w:t>
      </w:r>
      <w:r w:rsidR="00C231F7" w:rsidRPr="009100B8">
        <w:rPr>
          <w:rFonts w:cstheme="minorHAnsi"/>
          <w:sz w:val="24"/>
          <w:szCs w:val="24"/>
        </w:rPr>
        <w:t xml:space="preserve"> in the Black </w:t>
      </w:r>
      <w:r w:rsidR="006016B0" w:rsidRPr="009100B8">
        <w:rPr>
          <w:rFonts w:cstheme="minorHAnsi"/>
          <w:sz w:val="24"/>
          <w:szCs w:val="24"/>
        </w:rPr>
        <w:t xml:space="preserve">(mean 3MTS </w:t>
      </w:r>
      <w:r w:rsidR="00DB7A3D" w:rsidRPr="009100B8">
        <w:rPr>
          <w:rFonts w:cstheme="minorHAnsi"/>
          <w:sz w:val="24"/>
          <w:szCs w:val="24"/>
        </w:rPr>
        <w:t>4.2</w:t>
      </w:r>
      <w:r w:rsidR="006016B0" w:rsidRPr="009100B8">
        <w:rPr>
          <w:rFonts w:cstheme="minorHAnsi"/>
          <w:sz w:val="24"/>
          <w:szCs w:val="24"/>
        </w:rPr>
        <w:t xml:space="preserve"> vs. 5.</w:t>
      </w:r>
      <w:r w:rsidR="00DB7A3D" w:rsidRPr="009100B8">
        <w:rPr>
          <w:rFonts w:cstheme="minorHAnsi"/>
          <w:sz w:val="24"/>
          <w:szCs w:val="24"/>
        </w:rPr>
        <w:t>9</w:t>
      </w:r>
      <w:r w:rsidR="006016B0" w:rsidRPr="009100B8">
        <w:rPr>
          <w:rFonts w:cstheme="minorHAnsi"/>
          <w:sz w:val="24"/>
          <w:szCs w:val="24"/>
        </w:rPr>
        <w:t xml:space="preserve"> in the </w:t>
      </w:r>
      <w:r w:rsidR="00DB7A3D" w:rsidRPr="009100B8">
        <w:rPr>
          <w:rFonts w:cstheme="minorHAnsi"/>
          <w:sz w:val="24"/>
          <w:szCs w:val="24"/>
        </w:rPr>
        <w:t>Caucasian</w:t>
      </w:r>
      <w:r w:rsidR="006016B0" w:rsidRPr="008B4869">
        <w:rPr>
          <w:rFonts w:cstheme="minorHAnsi"/>
          <w:sz w:val="24"/>
          <w:szCs w:val="24"/>
        </w:rPr>
        <w:t>)</w:t>
      </w:r>
      <w:r w:rsidR="00BA704D" w:rsidRPr="008B4869">
        <w:rPr>
          <w:rFonts w:cstheme="minorHAnsi"/>
          <w:sz w:val="24"/>
          <w:szCs w:val="24"/>
        </w:rPr>
        <w:t>.</w:t>
      </w:r>
      <w:r w:rsidR="00A822AC" w:rsidRPr="008B4869">
        <w:rPr>
          <w:rFonts w:cstheme="minorHAnsi"/>
          <w:sz w:val="24"/>
          <w:szCs w:val="24"/>
        </w:rPr>
        <w:t xml:space="preserve"> </w:t>
      </w:r>
      <w:r w:rsidR="007E0BBE" w:rsidRPr="008B4869">
        <w:rPr>
          <w:rFonts w:cstheme="minorHAnsi"/>
          <w:sz w:val="24"/>
          <w:szCs w:val="24"/>
        </w:rPr>
        <w:t>T</w:t>
      </w:r>
      <w:r w:rsidR="00D25B5A" w:rsidRPr="008B4869">
        <w:rPr>
          <w:rFonts w:cstheme="minorHAnsi"/>
          <w:sz w:val="24"/>
          <w:szCs w:val="24"/>
        </w:rPr>
        <w:t xml:space="preserve">he number of cases is </w:t>
      </w:r>
      <w:r w:rsidR="00C231F7" w:rsidRPr="008B4869">
        <w:rPr>
          <w:rFonts w:cstheme="minorHAnsi"/>
          <w:sz w:val="24"/>
          <w:szCs w:val="24"/>
        </w:rPr>
        <w:t>small</w:t>
      </w:r>
      <w:r w:rsidR="00D25B5A" w:rsidRPr="008B4869">
        <w:rPr>
          <w:rFonts w:cstheme="minorHAnsi"/>
          <w:sz w:val="24"/>
          <w:szCs w:val="24"/>
        </w:rPr>
        <w:t xml:space="preserve"> </w:t>
      </w:r>
      <w:r w:rsidR="00C231F7" w:rsidRPr="008B4869">
        <w:rPr>
          <w:rFonts w:cstheme="minorHAnsi"/>
          <w:sz w:val="24"/>
          <w:szCs w:val="24"/>
        </w:rPr>
        <w:t>(n=1</w:t>
      </w:r>
      <w:r w:rsidR="00DB7A3D" w:rsidRPr="008B4869">
        <w:rPr>
          <w:rFonts w:cstheme="minorHAnsi"/>
          <w:sz w:val="24"/>
          <w:szCs w:val="24"/>
        </w:rPr>
        <w:t>8</w:t>
      </w:r>
      <w:r w:rsidR="007E0BBE" w:rsidRPr="008B4869">
        <w:rPr>
          <w:rFonts w:cstheme="minorHAnsi"/>
          <w:sz w:val="24"/>
          <w:szCs w:val="24"/>
        </w:rPr>
        <w:t>) but</w:t>
      </w:r>
      <w:r w:rsidR="00C231F7" w:rsidRPr="008B4869">
        <w:rPr>
          <w:rFonts w:cstheme="minorHAnsi"/>
          <w:sz w:val="24"/>
          <w:szCs w:val="24"/>
        </w:rPr>
        <w:t xml:space="preserve"> </w:t>
      </w:r>
      <w:r w:rsidR="00BA704D" w:rsidRPr="008B4869">
        <w:rPr>
          <w:rFonts w:cstheme="minorHAnsi"/>
          <w:sz w:val="24"/>
          <w:szCs w:val="24"/>
        </w:rPr>
        <w:t>significant</w:t>
      </w:r>
      <w:r w:rsidR="00023B5A" w:rsidRPr="008B4869">
        <w:rPr>
          <w:rFonts w:cstheme="minorHAnsi"/>
          <w:sz w:val="24"/>
          <w:szCs w:val="24"/>
        </w:rPr>
        <w:t>, especially</w:t>
      </w:r>
      <w:r w:rsidR="00C231F7" w:rsidRPr="008B4869">
        <w:rPr>
          <w:rFonts w:cstheme="minorHAnsi"/>
          <w:sz w:val="24"/>
          <w:szCs w:val="24"/>
        </w:rPr>
        <w:t xml:space="preserve"> bearing in mind </w:t>
      </w:r>
      <w:r w:rsidR="00BA704D" w:rsidRPr="008B4869">
        <w:rPr>
          <w:rFonts w:cstheme="minorHAnsi"/>
          <w:sz w:val="24"/>
          <w:szCs w:val="24"/>
        </w:rPr>
        <w:t>similar findings by others</w:t>
      </w:r>
      <w:r w:rsidR="00C231F7" w:rsidRPr="008B4869">
        <w:rPr>
          <w:rFonts w:cstheme="minorHAnsi"/>
          <w:sz w:val="24"/>
          <w:szCs w:val="24"/>
        </w:rPr>
        <w:t>.</w:t>
      </w:r>
      <w:r w:rsidR="00E35A47" w:rsidRPr="008B4869">
        <w:rPr>
          <w:rFonts w:cstheme="minorHAnsi"/>
          <w:sz w:val="24"/>
          <w:szCs w:val="24"/>
          <w:vertAlign w:val="superscript"/>
        </w:rPr>
        <w:t>12</w:t>
      </w:r>
      <w:r w:rsidR="001E14C0" w:rsidRPr="008B4869">
        <w:rPr>
          <w:rFonts w:cstheme="minorHAnsi"/>
          <w:sz w:val="24"/>
          <w:szCs w:val="24"/>
          <w:vertAlign w:val="superscript"/>
        </w:rPr>
        <w:t>–</w:t>
      </w:r>
      <w:r w:rsidR="00E35A47" w:rsidRPr="008B4869">
        <w:rPr>
          <w:rFonts w:cstheme="minorHAnsi"/>
          <w:sz w:val="24"/>
          <w:szCs w:val="24"/>
          <w:vertAlign w:val="superscript"/>
        </w:rPr>
        <w:t>15</w:t>
      </w:r>
      <w:r w:rsidR="00C231F7" w:rsidRPr="008B4869">
        <w:rPr>
          <w:rFonts w:cstheme="minorHAnsi"/>
          <w:sz w:val="24"/>
          <w:szCs w:val="24"/>
        </w:rPr>
        <w:t xml:space="preserve"> </w:t>
      </w:r>
      <w:r w:rsidR="002B2134" w:rsidRPr="008B4869">
        <w:rPr>
          <w:rFonts w:cstheme="minorHAnsi"/>
          <w:sz w:val="24"/>
          <w:szCs w:val="24"/>
        </w:rPr>
        <w:t>Absence</w:t>
      </w:r>
      <w:r w:rsidR="00A54E2B" w:rsidRPr="008B4869">
        <w:rPr>
          <w:rFonts w:cstheme="minorHAnsi"/>
          <w:sz w:val="24"/>
          <w:szCs w:val="24"/>
        </w:rPr>
        <w:t xml:space="preserve"> of </w:t>
      </w:r>
      <w:r w:rsidR="002B2134" w:rsidRPr="008B4869">
        <w:rPr>
          <w:rFonts w:cstheme="minorHAnsi"/>
          <w:sz w:val="24"/>
          <w:szCs w:val="24"/>
        </w:rPr>
        <w:t>a common language</w:t>
      </w:r>
      <w:r w:rsidR="00A54E2B" w:rsidRPr="008B4869">
        <w:rPr>
          <w:rFonts w:cstheme="minorHAnsi"/>
          <w:sz w:val="24"/>
          <w:szCs w:val="24"/>
        </w:rPr>
        <w:t xml:space="preserve"> </w:t>
      </w:r>
      <w:r w:rsidR="001708C0" w:rsidRPr="008B4869">
        <w:rPr>
          <w:rFonts w:cstheme="minorHAnsi"/>
          <w:sz w:val="24"/>
          <w:szCs w:val="24"/>
        </w:rPr>
        <w:t>during the end stages of pregnancy</w:t>
      </w:r>
      <w:r w:rsidR="006B61FA" w:rsidRPr="008B4869">
        <w:rPr>
          <w:rFonts w:cstheme="minorHAnsi"/>
          <w:sz w:val="24"/>
          <w:szCs w:val="24"/>
        </w:rPr>
        <w:t xml:space="preserve"> and</w:t>
      </w:r>
      <w:r w:rsidR="002B2134" w:rsidRPr="008B4869">
        <w:rPr>
          <w:rFonts w:cstheme="minorHAnsi"/>
          <w:sz w:val="24"/>
          <w:szCs w:val="24"/>
        </w:rPr>
        <w:t xml:space="preserve"> </w:t>
      </w:r>
      <w:r w:rsidR="00611EDE" w:rsidRPr="008B4869">
        <w:rPr>
          <w:rFonts w:cstheme="minorHAnsi"/>
          <w:sz w:val="24"/>
          <w:szCs w:val="24"/>
        </w:rPr>
        <w:t xml:space="preserve">in </w:t>
      </w:r>
      <w:r w:rsidR="002B2134" w:rsidRPr="008B4869">
        <w:rPr>
          <w:rFonts w:cstheme="minorHAnsi"/>
          <w:sz w:val="24"/>
          <w:szCs w:val="24"/>
        </w:rPr>
        <w:t xml:space="preserve">the </w:t>
      </w:r>
      <w:proofErr w:type="gramStart"/>
      <w:r w:rsidR="002B2134" w:rsidRPr="008B4869">
        <w:rPr>
          <w:rFonts w:cstheme="minorHAnsi"/>
          <w:sz w:val="24"/>
          <w:szCs w:val="24"/>
        </w:rPr>
        <w:t>delivery</w:t>
      </w:r>
      <w:proofErr w:type="gramEnd"/>
      <w:r w:rsidR="00A54E2B" w:rsidRPr="008B4869">
        <w:rPr>
          <w:rFonts w:cstheme="minorHAnsi"/>
          <w:sz w:val="24"/>
          <w:szCs w:val="24"/>
        </w:rPr>
        <w:t xml:space="preserve"> room may </w:t>
      </w:r>
      <w:r w:rsidR="001708C0" w:rsidRPr="008B4869">
        <w:rPr>
          <w:rFonts w:cstheme="minorHAnsi"/>
          <w:sz w:val="24"/>
          <w:szCs w:val="24"/>
        </w:rPr>
        <w:t xml:space="preserve">have </w:t>
      </w:r>
      <w:r w:rsidR="006B61FA" w:rsidRPr="008B4869">
        <w:rPr>
          <w:rFonts w:cstheme="minorHAnsi"/>
          <w:sz w:val="24"/>
          <w:szCs w:val="24"/>
        </w:rPr>
        <w:t>pl</w:t>
      </w:r>
      <w:r w:rsidR="001708C0" w:rsidRPr="008B4869">
        <w:rPr>
          <w:rFonts w:cstheme="minorHAnsi"/>
          <w:sz w:val="24"/>
          <w:szCs w:val="24"/>
        </w:rPr>
        <w:t>ayed</w:t>
      </w:r>
      <w:r w:rsidR="00A54E2B" w:rsidRPr="008B4869">
        <w:rPr>
          <w:rFonts w:cstheme="minorHAnsi"/>
          <w:sz w:val="24"/>
          <w:szCs w:val="24"/>
        </w:rPr>
        <w:t xml:space="preserve"> a role in the </w:t>
      </w:r>
      <w:r w:rsidR="002B2134" w:rsidRPr="008B4869">
        <w:rPr>
          <w:rFonts w:cstheme="minorHAnsi"/>
          <w:sz w:val="24"/>
          <w:szCs w:val="24"/>
        </w:rPr>
        <w:t>injury’s development</w:t>
      </w:r>
      <w:r w:rsidR="00A54E2B" w:rsidRPr="008B4869">
        <w:rPr>
          <w:rFonts w:cstheme="minorHAnsi"/>
          <w:sz w:val="24"/>
          <w:szCs w:val="24"/>
        </w:rPr>
        <w:t>.</w:t>
      </w:r>
      <w:r w:rsidR="00611EDE" w:rsidRPr="008B4869">
        <w:rPr>
          <w:rFonts w:cstheme="minorHAnsi"/>
          <w:sz w:val="24"/>
          <w:szCs w:val="24"/>
        </w:rPr>
        <w:t xml:space="preserve"> As</w:t>
      </w:r>
      <w:r w:rsidR="00A54E2B" w:rsidRPr="008B4869">
        <w:rPr>
          <w:rFonts w:cstheme="minorHAnsi"/>
          <w:sz w:val="24"/>
          <w:szCs w:val="24"/>
        </w:rPr>
        <w:t xml:space="preserve"> </w:t>
      </w:r>
      <w:r w:rsidR="00611EDE" w:rsidRPr="008B4869">
        <w:rPr>
          <w:rFonts w:cstheme="minorHAnsi"/>
          <w:sz w:val="24"/>
          <w:szCs w:val="24"/>
        </w:rPr>
        <w:t>m</w:t>
      </w:r>
      <w:r w:rsidR="00A54E2B" w:rsidRPr="008B4869">
        <w:rPr>
          <w:rFonts w:cstheme="minorHAnsi"/>
          <w:sz w:val="24"/>
          <w:szCs w:val="24"/>
        </w:rPr>
        <w:t xml:space="preserve">ost of the immigrant women (69% 22/32) did not speak either of the two national languages at the time </w:t>
      </w:r>
      <w:r w:rsidR="00611EDE" w:rsidRPr="008B4869">
        <w:rPr>
          <w:rFonts w:cstheme="minorHAnsi"/>
          <w:sz w:val="24"/>
          <w:szCs w:val="24"/>
        </w:rPr>
        <w:t xml:space="preserve">of </w:t>
      </w:r>
      <w:r w:rsidR="00883E57" w:rsidRPr="008B4869">
        <w:rPr>
          <w:rFonts w:cstheme="minorHAnsi"/>
          <w:sz w:val="24"/>
          <w:szCs w:val="24"/>
        </w:rPr>
        <w:t>childbirth</w:t>
      </w:r>
      <w:r w:rsidR="00EE5486" w:rsidRPr="008B4869">
        <w:rPr>
          <w:rFonts w:cstheme="minorHAnsi"/>
          <w:sz w:val="24"/>
          <w:szCs w:val="24"/>
        </w:rPr>
        <w:t>,</w:t>
      </w:r>
      <w:r w:rsidR="00611EDE" w:rsidRPr="008B4869">
        <w:rPr>
          <w:rFonts w:cstheme="minorHAnsi"/>
          <w:sz w:val="24"/>
          <w:szCs w:val="24"/>
        </w:rPr>
        <w:t xml:space="preserve"> it is possible that lack of a common language influenced the progression</w:t>
      </w:r>
      <w:r w:rsidR="00883E57" w:rsidRPr="008B4869">
        <w:rPr>
          <w:rFonts w:cstheme="minorHAnsi"/>
          <w:sz w:val="24"/>
          <w:szCs w:val="24"/>
        </w:rPr>
        <w:t xml:space="preserve"> of</w:t>
      </w:r>
      <w:r w:rsidR="00611EDE" w:rsidRPr="008B4869">
        <w:rPr>
          <w:rFonts w:cstheme="minorHAnsi"/>
          <w:sz w:val="24"/>
          <w:szCs w:val="24"/>
        </w:rPr>
        <w:t xml:space="preserve"> labor</w:t>
      </w:r>
      <w:r w:rsidR="00EE5486" w:rsidRPr="008B4869">
        <w:rPr>
          <w:rFonts w:cstheme="minorHAnsi"/>
          <w:sz w:val="24"/>
          <w:szCs w:val="24"/>
        </w:rPr>
        <w:t xml:space="preserve">, thus resulting in </w:t>
      </w:r>
      <w:r w:rsidR="00883E57" w:rsidRPr="008B4869">
        <w:rPr>
          <w:rFonts w:cstheme="minorHAnsi"/>
          <w:sz w:val="24"/>
          <w:szCs w:val="24"/>
        </w:rPr>
        <w:t>the slightly more severe injury (3MTS=4.6 vs 5.9)</w:t>
      </w:r>
      <w:r w:rsidR="00611EDE" w:rsidRPr="008B4869">
        <w:rPr>
          <w:rFonts w:cstheme="minorHAnsi"/>
          <w:sz w:val="24"/>
          <w:szCs w:val="24"/>
        </w:rPr>
        <w:t>.</w:t>
      </w:r>
      <w:r w:rsidR="00883E57" w:rsidRPr="008B4869">
        <w:rPr>
          <w:rFonts w:cstheme="minorHAnsi"/>
          <w:sz w:val="24"/>
          <w:szCs w:val="24"/>
        </w:rPr>
        <w:t xml:space="preserve"> </w:t>
      </w:r>
      <w:r w:rsidR="002B2134" w:rsidRPr="008B4869">
        <w:rPr>
          <w:rFonts w:cstheme="minorHAnsi"/>
          <w:sz w:val="24"/>
          <w:szCs w:val="24"/>
        </w:rPr>
        <w:t xml:space="preserve">Interpreting services could be beneficial during </w:t>
      </w:r>
      <w:r w:rsidR="001708C0" w:rsidRPr="008B4869">
        <w:rPr>
          <w:rFonts w:cstheme="minorHAnsi"/>
          <w:sz w:val="24"/>
          <w:szCs w:val="24"/>
        </w:rPr>
        <w:t>pre-birth evaluation and delivery</w:t>
      </w:r>
      <w:r w:rsidR="002B2134" w:rsidRPr="008B4869">
        <w:rPr>
          <w:rFonts w:cstheme="minorHAnsi"/>
          <w:sz w:val="24"/>
          <w:szCs w:val="24"/>
        </w:rPr>
        <w:t xml:space="preserve">, especially with mothers from different cultural backgrounds. However, interpreting services are rarely used during </w:t>
      </w:r>
      <w:r w:rsidR="00883E57" w:rsidRPr="008B4869">
        <w:rPr>
          <w:rFonts w:cstheme="minorHAnsi"/>
          <w:sz w:val="24"/>
          <w:szCs w:val="24"/>
        </w:rPr>
        <w:t>childbirth</w:t>
      </w:r>
      <w:r w:rsidR="002B2134" w:rsidRPr="008B4869">
        <w:rPr>
          <w:rFonts w:cstheme="minorHAnsi"/>
          <w:sz w:val="24"/>
          <w:szCs w:val="24"/>
        </w:rPr>
        <w:t xml:space="preserve"> in Finland.</w:t>
      </w:r>
      <w:r w:rsidR="002B2134" w:rsidRPr="009100B8">
        <w:rPr>
          <w:rFonts w:cstheme="minorHAnsi"/>
          <w:sz w:val="24"/>
          <w:szCs w:val="24"/>
        </w:rPr>
        <w:t xml:space="preserve"> </w:t>
      </w:r>
    </w:p>
    <w:p w14:paraId="075C1206" w14:textId="77777777" w:rsidR="002B2134" w:rsidRPr="009100B8" w:rsidRDefault="002B2134" w:rsidP="0042057B">
      <w:pPr>
        <w:spacing w:line="480" w:lineRule="auto"/>
        <w:rPr>
          <w:rFonts w:cstheme="minorHAnsi"/>
          <w:sz w:val="24"/>
          <w:szCs w:val="24"/>
        </w:rPr>
      </w:pPr>
    </w:p>
    <w:p w14:paraId="78BD6A37" w14:textId="609854C8" w:rsidR="0042057B" w:rsidRPr="009100B8" w:rsidRDefault="0042057B" w:rsidP="00333BB0">
      <w:pPr>
        <w:spacing w:line="480" w:lineRule="auto"/>
        <w:rPr>
          <w:rFonts w:cstheme="minorHAnsi"/>
          <w:b/>
          <w:bCs/>
          <w:sz w:val="24"/>
          <w:szCs w:val="24"/>
        </w:rPr>
      </w:pPr>
      <w:r w:rsidRPr="009100B8">
        <w:rPr>
          <w:rFonts w:cstheme="minorHAnsi"/>
          <w:b/>
          <w:bCs/>
          <w:sz w:val="24"/>
          <w:szCs w:val="24"/>
        </w:rPr>
        <w:t>Conclusion</w:t>
      </w:r>
    </w:p>
    <w:p w14:paraId="64E976CF" w14:textId="333968DE" w:rsidR="00333BB0" w:rsidRPr="00AA21F1" w:rsidRDefault="00317D59" w:rsidP="00333BB0">
      <w:pPr>
        <w:spacing w:line="480" w:lineRule="auto"/>
        <w:rPr>
          <w:rFonts w:cstheme="minorHAnsi"/>
          <w:sz w:val="24"/>
          <w:szCs w:val="24"/>
        </w:rPr>
      </w:pPr>
      <w:r w:rsidRPr="009100B8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 xml:space="preserve">incidence of a permanent BPBI is rising in the non-white population even though the </w:t>
      </w:r>
      <w:r w:rsidRPr="009100B8">
        <w:rPr>
          <w:rFonts w:cstheme="minorHAnsi"/>
          <w:sz w:val="24"/>
          <w:szCs w:val="24"/>
        </w:rPr>
        <w:t xml:space="preserve">overall incidence </w:t>
      </w:r>
      <w:r>
        <w:rPr>
          <w:rFonts w:cstheme="minorHAnsi"/>
          <w:sz w:val="24"/>
          <w:szCs w:val="24"/>
        </w:rPr>
        <w:t>is</w:t>
      </w:r>
      <w:r w:rsidR="003919BA">
        <w:rPr>
          <w:rFonts w:cstheme="minorHAnsi"/>
          <w:sz w:val="24"/>
          <w:szCs w:val="24"/>
        </w:rPr>
        <w:t xml:space="preserve"> on a</w:t>
      </w:r>
      <w:r w:rsidRPr="009100B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declin</w:t>
      </w:r>
      <w:r w:rsidR="003919BA">
        <w:rPr>
          <w:rFonts w:cstheme="minorHAnsi"/>
          <w:sz w:val="24"/>
          <w:szCs w:val="24"/>
        </w:rPr>
        <w:t>e</w:t>
      </w:r>
      <w:r w:rsidRPr="009100B8">
        <w:rPr>
          <w:rFonts w:cstheme="minorHAnsi"/>
          <w:sz w:val="24"/>
          <w:szCs w:val="24"/>
        </w:rPr>
        <w:t>.</w:t>
      </w:r>
      <w:r w:rsidR="003919BA">
        <w:rPr>
          <w:rFonts w:cstheme="minorHAnsi"/>
          <w:sz w:val="24"/>
          <w:szCs w:val="24"/>
        </w:rPr>
        <w:t xml:space="preserve"> W</w:t>
      </w:r>
      <w:r w:rsidR="0042057B" w:rsidRPr="009100B8">
        <w:rPr>
          <w:rFonts w:cstheme="minorHAnsi"/>
          <w:sz w:val="24"/>
          <w:szCs w:val="24"/>
        </w:rPr>
        <w:t xml:space="preserve">e failed </w:t>
      </w:r>
      <w:r w:rsidR="00485053">
        <w:rPr>
          <w:rFonts w:cstheme="minorHAnsi"/>
          <w:sz w:val="24"/>
          <w:szCs w:val="24"/>
        </w:rPr>
        <w:t>to explain</w:t>
      </w:r>
      <w:r w:rsidR="0042057B" w:rsidRPr="009100B8">
        <w:rPr>
          <w:rFonts w:cstheme="minorHAnsi"/>
          <w:sz w:val="24"/>
          <w:szCs w:val="24"/>
        </w:rPr>
        <w:t xml:space="preserve"> the reason for the injury’s predominance</w:t>
      </w:r>
      <w:r w:rsidR="00545202">
        <w:rPr>
          <w:rFonts w:cstheme="minorHAnsi"/>
          <w:sz w:val="24"/>
          <w:szCs w:val="24"/>
        </w:rPr>
        <w:t xml:space="preserve"> in </w:t>
      </w:r>
      <w:r w:rsidR="00261903">
        <w:rPr>
          <w:rFonts w:cstheme="minorHAnsi"/>
          <w:sz w:val="24"/>
          <w:szCs w:val="24"/>
        </w:rPr>
        <w:t>this</w:t>
      </w:r>
      <w:r w:rsidR="00545202">
        <w:rPr>
          <w:rFonts w:cstheme="minorHAnsi"/>
          <w:sz w:val="24"/>
          <w:szCs w:val="24"/>
        </w:rPr>
        <w:t xml:space="preserve"> population as well as the</w:t>
      </w:r>
      <w:r w:rsidR="0042057B" w:rsidRPr="009100B8">
        <w:rPr>
          <w:rFonts w:cstheme="minorHAnsi"/>
          <w:sz w:val="24"/>
          <w:szCs w:val="24"/>
        </w:rPr>
        <w:t xml:space="preserve"> more pronounced injury type in </w:t>
      </w:r>
      <w:r w:rsidR="00545202">
        <w:rPr>
          <w:rFonts w:cstheme="minorHAnsi"/>
          <w:sz w:val="24"/>
          <w:szCs w:val="24"/>
        </w:rPr>
        <w:t>children of Black women</w:t>
      </w:r>
      <w:r w:rsidR="003919BA">
        <w:rPr>
          <w:rFonts w:cstheme="minorHAnsi"/>
          <w:sz w:val="24"/>
          <w:szCs w:val="24"/>
        </w:rPr>
        <w:t xml:space="preserve">. </w:t>
      </w:r>
      <w:r w:rsidR="00261903">
        <w:rPr>
          <w:rFonts w:cstheme="minorHAnsi"/>
          <w:sz w:val="24"/>
          <w:szCs w:val="24"/>
        </w:rPr>
        <w:t>Being non-white</w:t>
      </w:r>
      <w:r w:rsidR="003919BA">
        <w:rPr>
          <w:rFonts w:cstheme="minorHAnsi"/>
          <w:sz w:val="24"/>
          <w:szCs w:val="24"/>
        </w:rPr>
        <w:t xml:space="preserve"> s</w:t>
      </w:r>
      <w:r w:rsidR="0042057B" w:rsidRPr="009100B8">
        <w:rPr>
          <w:rFonts w:cstheme="minorHAnsi"/>
          <w:sz w:val="24"/>
          <w:szCs w:val="24"/>
        </w:rPr>
        <w:t xml:space="preserve">hould be considered </w:t>
      </w:r>
      <w:r w:rsidR="00A54E2B">
        <w:rPr>
          <w:rFonts w:cstheme="minorHAnsi"/>
          <w:sz w:val="24"/>
          <w:szCs w:val="24"/>
        </w:rPr>
        <w:t xml:space="preserve">as </w:t>
      </w:r>
      <w:r w:rsidR="00EE5486">
        <w:rPr>
          <w:rFonts w:cstheme="minorHAnsi"/>
          <w:sz w:val="24"/>
          <w:szCs w:val="24"/>
        </w:rPr>
        <w:t xml:space="preserve">a </w:t>
      </w:r>
      <w:r w:rsidR="0042057B" w:rsidRPr="009100B8">
        <w:rPr>
          <w:rFonts w:cstheme="minorHAnsi"/>
          <w:sz w:val="24"/>
          <w:szCs w:val="24"/>
        </w:rPr>
        <w:t>risk factor</w:t>
      </w:r>
      <w:r w:rsidR="00292CCA">
        <w:rPr>
          <w:rFonts w:cstheme="minorHAnsi"/>
          <w:sz w:val="24"/>
          <w:szCs w:val="24"/>
        </w:rPr>
        <w:t xml:space="preserve"> for a birth injury</w:t>
      </w:r>
      <w:r w:rsidR="00261903">
        <w:rPr>
          <w:rFonts w:cstheme="minorHAnsi"/>
          <w:sz w:val="24"/>
          <w:szCs w:val="24"/>
        </w:rPr>
        <w:t xml:space="preserve"> and 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>care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EE5486">
        <w:rPr>
          <w:rStyle w:val="cf01"/>
          <w:rFonts w:asciiTheme="minorHAnsi" w:hAnsiTheme="minorHAnsi" w:cstheme="minorHAnsi"/>
          <w:sz w:val="24"/>
          <w:szCs w:val="24"/>
        </w:rPr>
        <w:t xml:space="preserve">should be 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>taken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>,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especially in 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>this population, to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 xml:space="preserve">prevent and promptly 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>recognize and treat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 xml:space="preserve"> known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 xml:space="preserve"> risk factors leading to </w:t>
      </w:r>
      <w:r w:rsidR="00261903">
        <w:rPr>
          <w:rStyle w:val="cf01"/>
          <w:rFonts w:asciiTheme="minorHAnsi" w:hAnsiTheme="minorHAnsi" w:cstheme="minorHAnsi"/>
          <w:sz w:val="24"/>
          <w:szCs w:val="24"/>
        </w:rPr>
        <w:t xml:space="preserve">severe </w:t>
      </w:r>
      <w:r w:rsidR="00261903" w:rsidRPr="009100B8">
        <w:rPr>
          <w:rStyle w:val="cf01"/>
          <w:rFonts w:asciiTheme="minorHAnsi" w:hAnsiTheme="minorHAnsi" w:cstheme="minorHAnsi"/>
          <w:sz w:val="24"/>
          <w:szCs w:val="24"/>
        </w:rPr>
        <w:t>birth complications</w:t>
      </w:r>
      <w:r w:rsidR="00EE5486">
        <w:rPr>
          <w:rStyle w:val="cf01"/>
          <w:rFonts w:asciiTheme="minorHAnsi" w:hAnsiTheme="minorHAnsi" w:cstheme="minorHAnsi"/>
          <w:sz w:val="24"/>
          <w:szCs w:val="24"/>
        </w:rPr>
        <w:t>.</w:t>
      </w:r>
      <w:r w:rsidR="00333BB0" w:rsidRPr="00AA21F1">
        <w:rPr>
          <w:b/>
          <w:sz w:val="24"/>
          <w:szCs w:val="24"/>
        </w:rPr>
        <w:br w:type="page"/>
      </w:r>
    </w:p>
    <w:p w14:paraId="4D48F74F" w14:textId="00F3C1D3" w:rsidR="00A74B35" w:rsidRPr="00625317" w:rsidRDefault="00A74B35" w:rsidP="00A74B35">
      <w:pPr>
        <w:spacing w:line="480" w:lineRule="auto"/>
        <w:rPr>
          <w:rFonts w:eastAsia="Times New Roman" w:cstheme="minorHAnsi"/>
          <w:sz w:val="24"/>
          <w:szCs w:val="24"/>
          <w:lang w:eastAsia="fi-FI"/>
        </w:rPr>
      </w:pPr>
      <w:bookmarkStart w:id="1" w:name="_Hlk131604678"/>
      <w:r w:rsidRPr="00625317">
        <w:rPr>
          <w:b/>
          <w:sz w:val="24"/>
          <w:szCs w:val="24"/>
        </w:rPr>
        <w:t>References</w:t>
      </w:r>
    </w:p>
    <w:p w14:paraId="03447103" w14:textId="77777777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Kekki M, Salonen A, </w:t>
      </w:r>
      <w:proofErr w:type="spellStart"/>
      <w:r w:rsidRPr="00625317">
        <w:rPr>
          <w:sz w:val="24"/>
          <w:szCs w:val="24"/>
        </w:rPr>
        <w:t>Tihtonen</w:t>
      </w:r>
      <w:proofErr w:type="spellEnd"/>
      <w:r w:rsidRPr="00625317">
        <w:rPr>
          <w:sz w:val="24"/>
          <w:szCs w:val="24"/>
        </w:rPr>
        <w:t xml:space="preserve"> K, Mattila V, Gissler M, Huttunen T. The incidence of birth injuries decreased in Finland between 1997 and 2017: A nationwide register study. Acta </w:t>
      </w:r>
      <w:proofErr w:type="spellStart"/>
      <w:r w:rsidRPr="00625317">
        <w:rPr>
          <w:sz w:val="24"/>
          <w:szCs w:val="24"/>
        </w:rPr>
        <w:t>Paediatr</w:t>
      </w:r>
      <w:proofErr w:type="spellEnd"/>
      <w:r w:rsidRPr="00625317">
        <w:rPr>
          <w:sz w:val="24"/>
          <w:szCs w:val="24"/>
        </w:rPr>
        <w:t>. 2020;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109</w:t>
      </w:r>
      <w:r>
        <w:rPr>
          <w:sz w:val="24"/>
          <w:szCs w:val="24"/>
        </w:rPr>
        <w:t>(12)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2562–2569.</w:t>
      </w:r>
    </w:p>
    <w:p w14:paraId="73B0355C" w14:textId="6C1E864E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Laurent J, Lee R, </w:t>
      </w:r>
      <w:proofErr w:type="spellStart"/>
      <w:r w:rsidRPr="00625317">
        <w:rPr>
          <w:sz w:val="24"/>
          <w:szCs w:val="24"/>
        </w:rPr>
        <w:t>Shenaq</w:t>
      </w:r>
      <w:proofErr w:type="spellEnd"/>
      <w:r w:rsidRPr="00625317">
        <w:rPr>
          <w:sz w:val="24"/>
          <w:szCs w:val="24"/>
        </w:rPr>
        <w:t xml:space="preserve"> S, Parke J, Solis I, Kowalik L. Neurosurgical correction of upper brachial plexus birth injuries. J </w:t>
      </w:r>
      <w:proofErr w:type="spellStart"/>
      <w:r w:rsidRPr="00625317">
        <w:rPr>
          <w:sz w:val="24"/>
          <w:szCs w:val="24"/>
        </w:rPr>
        <w:t>Neurosurg</w:t>
      </w:r>
      <w:proofErr w:type="spellEnd"/>
      <w:r w:rsidRPr="00625317">
        <w:rPr>
          <w:sz w:val="24"/>
          <w:szCs w:val="24"/>
        </w:rPr>
        <w:t>. 1993;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79</w:t>
      </w:r>
      <w:r>
        <w:rPr>
          <w:sz w:val="24"/>
          <w:szCs w:val="24"/>
        </w:rPr>
        <w:t>(2)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197–203.</w:t>
      </w:r>
    </w:p>
    <w:p w14:paraId="49FC103F" w14:textId="225F5DAC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A74B35">
        <w:rPr>
          <w:sz w:val="24"/>
          <w:szCs w:val="24"/>
        </w:rPr>
        <w:t>Hoeksma</w:t>
      </w:r>
      <w:proofErr w:type="spellEnd"/>
      <w:r w:rsidRPr="00A74B35">
        <w:rPr>
          <w:sz w:val="24"/>
          <w:szCs w:val="24"/>
        </w:rPr>
        <w:t xml:space="preserve"> A, </w:t>
      </w:r>
      <w:proofErr w:type="spellStart"/>
      <w:r w:rsidRPr="00A74B35">
        <w:rPr>
          <w:sz w:val="24"/>
          <w:szCs w:val="24"/>
        </w:rPr>
        <w:t>ter</w:t>
      </w:r>
      <w:proofErr w:type="spellEnd"/>
      <w:r w:rsidRPr="00A74B35">
        <w:rPr>
          <w:sz w:val="24"/>
          <w:szCs w:val="24"/>
        </w:rPr>
        <w:t xml:space="preserve"> Steeg A, Nelissen R, van Ouwerkerk W, </w:t>
      </w:r>
      <w:proofErr w:type="spellStart"/>
      <w:r w:rsidRPr="00A74B35">
        <w:rPr>
          <w:sz w:val="24"/>
          <w:szCs w:val="24"/>
        </w:rPr>
        <w:t>Lankhorst</w:t>
      </w:r>
      <w:proofErr w:type="spellEnd"/>
      <w:r w:rsidRPr="00A74B35">
        <w:rPr>
          <w:sz w:val="24"/>
          <w:szCs w:val="24"/>
        </w:rPr>
        <w:t xml:space="preserve"> G, de Jong B. </w:t>
      </w:r>
      <w:r w:rsidRPr="00625317">
        <w:rPr>
          <w:sz w:val="24"/>
          <w:szCs w:val="24"/>
        </w:rPr>
        <w:t>Neurological recovery in obstetric brachial plexus injuries: a historical cohort study. Dev Med Child Neurol. 2004;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46</w:t>
      </w:r>
      <w:r>
        <w:rPr>
          <w:sz w:val="24"/>
          <w:szCs w:val="24"/>
        </w:rPr>
        <w:t>(2)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76–83.</w:t>
      </w:r>
    </w:p>
    <w:p w14:paraId="66081B2C" w14:textId="00AF04CB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625317">
        <w:rPr>
          <w:sz w:val="24"/>
          <w:szCs w:val="24"/>
        </w:rPr>
        <w:t>Pondaag</w:t>
      </w:r>
      <w:proofErr w:type="spellEnd"/>
      <w:r w:rsidRPr="00625317">
        <w:rPr>
          <w:sz w:val="24"/>
          <w:szCs w:val="24"/>
        </w:rPr>
        <w:t xml:space="preserve"> W, </w:t>
      </w:r>
      <w:proofErr w:type="spellStart"/>
      <w:r w:rsidRPr="00625317">
        <w:rPr>
          <w:sz w:val="24"/>
          <w:szCs w:val="24"/>
        </w:rPr>
        <w:t>Malessy</w:t>
      </w:r>
      <w:proofErr w:type="spellEnd"/>
      <w:r w:rsidRPr="00625317">
        <w:rPr>
          <w:sz w:val="24"/>
          <w:szCs w:val="24"/>
        </w:rPr>
        <w:t xml:space="preserve"> M, Gert van Dijk J, </w:t>
      </w:r>
      <w:proofErr w:type="spellStart"/>
      <w:r w:rsidRPr="00625317">
        <w:rPr>
          <w:sz w:val="24"/>
          <w:szCs w:val="24"/>
        </w:rPr>
        <w:t>Thomeer</w:t>
      </w:r>
      <w:proofErr w:type="spellEnd"/>
      <w:r w:rsidRPr="00625317">
        <w:rPr>
          <w:sz w:val="24"/>
          <w:szCs w:val="24"/>
        </w:rPr>
        <w:t xml:space="preserve"> R. Natural history of obstetric brachial plexus palsy: a systematic review. Dev Med Child Neurol. 2004; 46(2): 138– 44.</w:t>
      </w:r>
    </w:p>
    <w:p w14:paraId="60076277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>Waters P, Smith G, Jaramillo D. Glenohum</w:t>
      </w:r>
      <w:r>
        <w:rPr>
          <w:sz w:val="24"/>
          <w:szCs w:val="24"/>
        </w:rPr>
        <w:t>e</w:t>
      </w:r>
      <w:r w:rsidRPr="00625317">
        <w:rPr>
          <w:sz w:val="24"/>
          <w:szCs w:val="24"/>
        </w:rPr>
        <w:t>ral deformity secondary to brachial plexus birth palsy. J Bone Joint Surg Am. 1998, 80</w:t>
      </w:r>
      <w:r>
        <w:rPr>
          <w:sz w:val="24"/>
          <w:szCs w:val="24"/>
        </w:rPr>
        <w:t>(5)</w:t>
      </w:r>
      <w:r w:rsidRPr="00625317">
        <w:rPr>
          <w:sz w:val="24"/>
          <w:szCs w:val="24"/>
        </w:rPr>
        <w:t>: 668–77.</w:t>
      </w:r>
    </w:p>
    <w:p w14:paraId="16595642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Waters P. Comparison of the natural history, the outcome of microsurgical repair, and the outcome of operative reconstruction in brachial plexus birth palsy.</w:t>
      </w:r>
      <w:r w:rsidRPr="00625317">
        <w:rPr>
          <w:sz w:val="24"/>
          <w:szCs w:val="24"/>
        </w:rPr>
        <w:t xml:space="preserve"> J Bone Joint Surg Am. </w:t>
      </w:r>
      <w:r>
        <w:rPr>
          <w:sz w:val="24"/>
          <w:szCs w:val="24"/>
        </w:rPr>
        <w:t>1999; 81(5): 649</w:t>
      </w:r>
      <w:r w:rsidRPr="00625317">
        <w:rPr>
          <w:sz w:val="24"/>
          <w:szCs w:val="24"/>
        </w:rPr>
        <w:t>–</w:t>
      </w:r>
      <w:r>
        <w:rPr>
          <w:sz w:val="24"/>
          <w:szCs w:val="24"/>
        </w:rPr>
        <w:t>59.</w:t>
      </w:r>
    </w:p>
    <w:p w14:paraId="7C4EF272" w14:textId="77777777" w:rsidR="00A74B35" w:rsidRPr="00443DA0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625317">
        <w:rPr>
          <w:sz w:val="24"/>
          <w:szCs w:val="24"/>
        </w:rPr>
        <w:t>Michelow</w:t>
      </w:r>
      <w:proofErr w:type="spellEnd"/>
      <w:r w:rsidRPr="00625317">
        <w:rPr>
          <w:sz w:val="24"/>
          <w:szCs w:val="24"/>
        </w:rPr>
        <w:t xml:space="preserve"> B, Clarke H, Curtis C, Zuker R, Seifu Y, Andrews D. The natural history of obstetrical brachial plexus palsy. </w:t>
      </w:r>
      <w:proofErr w:type="spellStart"/>
      <w:r w:rsidRPr="00625317">
        <w:rPr>
          <w:sz w:val="24"/>
          <w:szCs w:val="24"/>
        </w:rPr>
        <w:t>Plast</w:t>
      </w:r>
      <w:proofErr w:type="spellEnd"/>
      <w:r w:rsidRPr="00625317">
        <w:rPr>
          <w:sz w:val="24"/>
          <w:szCs w:val="24"/>
        </w:rPr>
        <w:t xml:space="preserve"> </w:t>
      </w:r>
      <w:proofErr w:type="spellStart"/>
      <w:r w:rsidRPr="00625317">
        <w:rPr>
          <w:sz w:val="24"/>
          <w:szCs w:val="24"/>
        </w:rPr>
        <w:t>Reconstr</w:t>
      </w:r>
      <w:proofErr w:type="spellEnd"/>
      <w:r w:rsidRPr="00625317">
        <w:rPr>
          <w:sz w:val="24"/>
          <w:szCs w:val="24"/>
        </w:rPr>
        <w:t xml:space="preserve"> Surg. 1994, 93</w:t>
      </w:r>
      <w:r>
        <w:rPr>
          <w:sz w:val="24"/>
          <w:szCs w:val="24"/>
        </w:rPr>
        <w:t>(4)</w:t>
      </w:r>
      <w:r w:rsidRPr="00625317">
        <w:rPr>
          <w:sz w:val="24"/>
          <w:szCs w:val="24"/>
        </w:rPr>
        <w:t>: 675–80.</w:t>
      </w:r>
    </w:p>
    <w:p w14:paraId="7BB802C3" w14:textId="77777777" w:rsidR="00A74B35" w:rsidRPr="00B011C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Bae </w:t>
      </w:r>
      <w:r>
        <w:rPr>
          <w:sz w:val="24"/>
          <w:szCs w:val="24"/>
        </w:rPr>
        <w:t xml:space="preserve">D, Ferretti M, Waters P. </w:t>
      </w:r>
      <w:r w:rsidRPr="00625317">
        <w:rPr>
          <w:sz w:val="24"/>
          <w:szCs w:val="24"/>
        </w:rPr>
        <w:t>Upper extremity s</w:t>
      </w:r>
      <w:r>
        <w:rPr>
          <w:sz w:val="24"/>
          <w:szCs w:val="24"/>
        </w:rPr>
        <w:t xml:space="preserve">ize difference in brachial plexus birth palsy. </w:t>
      </w:r>
      <w:r w:rsidRPr="00B011C6">
        <w:rPr>
          <w:sz w:val="24"/>
          <w:szCs w:val="24"/>
        </w:rPr>
        <w:t>Hand (N Y). 2008;</w:t>
      </w:r>
      <w:r>
        <w:rPr>
          <w:sz w:val="24"/>
          <w:szCs w:val="24"/>
        </w:rPr>
        <w:t xml:space="preserve"> </w:t>
      </w:r>
      <w:r w:rsidRPr="00B011C6">
        <w:rPr>
          <w:sz w:val="24"/>
          <w:szCs w:val="24"/>
        </w:rPr>
        <w:t>3(4):</w:t>
      </w:r>
      <w:r>
        <w:rPr>
          <w:sz w:val="24"/>
          <w:szCs w:val="24"/>
        </w:rPr>
        <w:t xml:space="preserve"> </w:t>
      </w:r>
      <w:r w:rsidRPr="00B011C6">
        <w:rPr>
          <w:sz w:val="24"/>
          <w:szCs w:val="24"/>
        </w:rPr>
        <w:t>297</w:t>
      </w:r>
      <w:r w:rsidRPr="00EC1006">
        <w:rPr>
          <w:sz w:val="24"/>
          <w:szCs w:val="24"/>
        </w:rPr>
        <w:t>–</w:t>
      </w:r>
      <w:r w:rsidRPr="00B011C6">
        <w:rPr>
          <w:sz w:val="24"/>
          <w:szCs w:val="24"/>
        </w:rPr>
        <w:t>303</w:t>
      </w:r>
      <w:r>
        <w:rPr>
          <w:sz w:val="24"/>
          <w:szCs w:val="24"/>
        </w:rPr>
        <w:t>.</w:t>
      </w:r>
    </w:p>
    <w:p w14:paraId="5D4EDCB6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C1726A">
        <w:rPr>
          <w:sz w:val="24"/>
          <w:szCs w:val="24"/>
        </w:rPr>
        <w:t xml:space="preserve">J. </w:t>
      </w:r>
      <w:proofErr w:type="spellStart"/>
      <w:r w:rsidRPr="00C1726A">
        <w:rPr>
          <w:sz w:val="24"/>
          <w:szCs w:val="24"/>
        </w:rPr>
        <w:t>Bruxelle</w:t>
      </w:r>
      <w:proofErr w:type="spellEnd"/>
      <w:r w:rsidRPr="00C1726A">
        <w:rPr>
          <w:sz w:val="24"/>
          <w:szCs w:val="24"/>
        </w:rPr>
        <w:t>, V. Travers, J. Thiebaut</w:t>
      </w:r>
      <w:r>
        <w:rPr>
          <w:sz w:val="24"/>
          <w:szCs w:val="24"/>
        </w:rPr>
        <w:t xml:space="preserve">. </w:t>
      </w:r>
      <w:r w:rsidRPr="00C1726A">
        <w:rPr>
          <w:sz w:val="24"/>
          <w:szCs w:val="24"/>
        </w:rPr>
        <w:t>Occurrence and treatment of pain after brachial plexus injury</w:t>
      </w:r>
      <w:r>
        <w:rPr>
          <w:sz w:val="24"/>
          <w:szCs w:val="24"/>
        </w:rPr>
        <w:t xml:space="preserve">. </w:t>
      </w:r>
      <w:r w:rsidRPr="00C1726A">
        <w:rPr>
          <w:sz w:val="24"/>
          <w:szCs w:val="24"/>
        </w:rPr>
        <w:t xml:space="preserve">Clin </w:t>
      </w:r>
      <w:proofErr w:type="spellStart"/>
      <w:r w:rsidRPr="00C1726A">
        <w:rPr>
          <w:sz w:val="24"/>
          <w:szCs w:val="24"/>
        </w:rPr>
        <w:t>Orthop</w:t>
      </w:r>
      <w:proofErr w:type="spellEnd"/>
      <w:r w:rsidRPr="00C1726A">
        <w:rPr>
          <w:sz w:val="24"/>
          <w:szCs w:val="24"/>
        </w:rPr>
        <w:t xml:space="preserve"> </w:t>
      </w:r>
      <w:proofErr w:type="spellStart"/>
      <w:r w:rsidRPr="00C1726A">
        <w:rPr>
          <w:sz w:val="24"/>
          <w:szCs w:val="24"/>
        </w:rPr>
        <w:t>Relat</w:t>
      </w:r>
      <w:proofErr w:type="spellEnd"/>
      <w:r w:rsidRPr="00C1726A">
        <w:rPr>
          <w:sz w:val="24"/>
          <w:szCs w:val="24"/>
        </w:rPr>
        <w:t xml:space="preserve"> Res</w:t>
      </w:r>
      <w:r>
        <w:rPr>
          <w:sz w:val="24"/>
          <w:szCs w:val="24"/>
        </w:rPr>
        <w:t>.</w:t>
      </w:r>
      <w:r w:rsidRPr="00C1726A">
        <w:rPr>
          <w:sz w:val="24"/>
          <w:szCs w:val="24"/>
        </w:rPr>
        <w:t xml:space="preserve"> 1988</w:t>
      </w:r>
      <w:r>
        <w:rPr>
          <w:sz w:val="24"/>
          <w:szCs w:val="24"/>
        </w:rPr>
        <w:t>; 237:</w:t>
      </w:r>
      <w:r w:rsidRPr="00C1726A">
        <w:rPr>
          <w:sz w:val="24"/>
          <w:szCs w:val="24"/>
        </w:rPr>
        <w:t xml:space="preserve"> 87</w:t>
      </w:r>
      <w:r w:rsidRPr="00625317">
        <w:rPr>
          <w:sz w:val="24"/>
          <w:szCs w:val="24"/>
        </w:rPr>
        <w:t>–</w:t>
      </w:r>
      <w:r w:rsidRPr="00C1726A">
        <w:rPr>
          <w:sz w:val="24"/>
          <w:szCs w:val="24"/>
        </w:rPr>
        <w:t>95</w:t>
      </w:r>
      <w:r>
        <w:rPr>
          <w:sz w:val="24"/>
          <w:szCs w:val="24"/>
        </w:rPr>
        <w:t>.</w:t>
      </w:r>
    </w:p>
    <w:p w14:paraId="35762548" w14:textId="77777777" w:rsidR="00A74B35" w:rsidRPr="00443DA0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443DA0">
        <w:rPr>
          <w:sz w:val="24"/>
          <w:szCs w:val="24"/>
        </w:rPr>
        <w:t>Pöyhiä</w:t>
      </w:r>
      <w:proofErr w:type="spellEnd"/>
      <w:r w:rsidRPr="00443DA0">
        <w:rPr>
          <w:sz w:val="24"/>
          <w:szCs w:val="24"/>
        </w:rPr>
        <w:t xml:space="preserve"> T, Lamminen A, Peltonen J, Kirjavainen M, </w:t>
      </w:r>
      <w:proofErr w:type="spellStart"/>
      <w:r w:rsidRPr="00443DA0">
        <w:rPr>
          <w:sz w:val="24"/>
          <w:szCs w:val="24"/>
        </w:rPr>
        <w:t>Willamo</w:t>
      </w:r>
      <w:proofErr w:type="spellEnd"/>
      <w:r w:rsidRPr="00443DA0">
        <w:rPr>
          <w:sz w:val="24"/>
          <w:szCs w:val="24"/>
        </w:rPr>
        <w:t xml:space="preserve"> P, Nietosvaara Y. Brachial </w:t>
      </w:r>
      <w:r>
        <w:rPr>
          <w:sz w:val="24"/>
          <w:szCs w:val="24"/>
        </w:rPr>
        <w:t>p</w:t>
      </w:r>
      <w:r w:rsidRPr="00443DA0">
        <w:rPr>
          <w:sz w:val="24"/>
          <w:szCs w:val="24"/>
        </w:rPr>
        <w:t xml:space="preserve">lexus </w:t>
      </w:r>
      <w:r>
        <w:rPr>
          <w:sz w:val="24"/>
          <w:szCs w:val="24"/>
        </w:rPr>
        <w:t>b</w:t>
      </w:r>
      <w:r w:rsidRPr="00443DA0">
        <w:rPr>
          <w:sz w:val="24"/>
          <w:szCs w:val="24"/>
        </w:rPr>
        <w:t xml:space="preserve">irth </w:t>
      </w:r>
      <w:r>
        <w:rPr>
          <w:sz w:val="24"/>
          <w:szCs w:val="24"/>
        </w:rPr>
        <w:t>i</w:t>
      </w:r>
      <w:r w:rsidRPr="00443DA0">
        <w:rPr>
          <w:sz w:val="24"/>
          <w:szCs w:val="24"/>
        </w:rPr>
        <w:t xml:space="preserve">njury: US </w:t>
      </w:r>
      <w:r>
        <w:rPr>
          <w:sz w:val="24"/>
          <w:szCs w:val="24"/>
        </w:rPr>
        <w:t>s</w:t>
      </w:r>
      <w:r w:rsidRPr="00443DA0">
        <w:rPr>
          <w:sz w:val="24"/>
          <w:szCs w:val="24"/>
        </w:rPr>
        <w:t xml:space="preserve">creening for </w:t>
      </w:r>
      <w:r>
        <w:rPr>
          <w:sz w:val="24"/>
          <w:szCs w:val="24"/>
        </w:rPr>
        <w:t>g</w:t>
      </w:r>
      <w:r w:rsidRPr="00443DA0">
        <w:rPr>
          <w:sz w:val="24"/>
          <w:szCs w:val="24"/>
        </w:rPr>
        <w:t xml:space="preserve">lenohumeral </w:t>
      </w:r>
      <w:r>
        <w:rPr>
          <w:sz w:val="24"/>
          <w:szCs w:val="24"/>
        </w:rPr>
        <w:t>j</w:t>
      </w:r>
      <w:r w:rsidRPr="00443DA0">
        <w:rPr>
          <w:sz w:val="24"/>
          <w:szCs w:val="24"/>
        </w:rPr>
        <w:t xml:space="preserve">oint </w:t>
      </w:r>
      <w:r>
        <w:rPr>
          <w:sz w:val="24"/>
          <w:szCs w:val="24"/>
        </w:rPr>
        <w:t>i</w:t>
      </w:r>
      <w:r w:rsidRPr="00443DA0">
        <w:rPr>
          <w:sz w:val="24"/>
          <w:szCs w:val="24"/>
        </w:rPr>
        <w:t>nstability. Radiology. 2010;</w:t>
      </w:r>
      <w:r>
        <w:rPr>
          <w:sz w:val="24"/>
          <w:szCs w:val="24"/>
        </w:rPr>
        <w:t xml:space="preserve"> </w:t>
      </w:r>
      <w:r w:rsidRPr="00443DA0">
        <w:rPr>
          <w:sz w:val="24"/>
          <w:szCs w:val="24"/>
        </w:rPr>
        <w:t>254</w:t>
      </w:r>
      <w:r>
        <w:rPr>
          <w:sz w:val="24"/>
          <w:szCs w:val="24"/>
        </w:rPr>
        <w:t>(1)</w:t>
      </w:r>
      <w:r w:rsidRPr="00443DA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443DA0">
        <w:rPr>
          <w:sz w:val="24"/>
          <w:szCs w:val="24"/>
        </w:rPr>
        <w:t>253</w:t>
      </w:r>
      <w:r w:rsidRPr="00625317">
        <w:rPr>
          <w:sz w:val="24"/>
          <w:szCs w:val="24"/>
        </w:rPr>
        <w:t>–</w:t>
      </w:r>
      <w:r w:rsidRPr="00443DA0">
        <w:rPr>
          <w:sz w:val="24"/>
          <w:szCs w:val="24"/>
        </w:rPr>
        <w:t>60.</w:t>
      </w:r>
    </w:p>
    <w:p w14:paraId="10811BF8" w14:textId="77777777" w:rsidR="00A74B35" w:rsidRPr="00C1726A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Chauhan S, Blackwell S, Ananth C. Neonatal brachial plexus palsy: </w:t>
      </w:r>
      <w:r>
        <w:rPr>
          <w:sz w:val="24"/>
          <w:szCs w:val="24"/>
        </w:rPr>
        <w:t>i</w:t>
      </w:r>
      <w:r w:rsidRPr="00625317">
        <w:rPr>
          <w:sz w:val="24"/>
          <w:szCs w:val="24"/>
        </w:rPr>
        <w:t xml:space="preserve">ncidence, prevalence, and temporal trends. Semin </w:t>
      </w:r>
      <w:proofErr w:type="spellStart"/>
      <w:r w:rsidRPr="00625317">
        <w:rPr>
          <w:sz w:val="24"/>
          <w:szCs w:val="24"/>
        </w:rPr>
        <w:t>Perinatol</w:t>
      </w:r>
      <w:proofErr w:type="spellEnd"/>
      <w:r w:rsidRPr="00625317">
        <w:rPr>
          <w:sz w:val="24"/>
          <w:szCs w:val="24"/>
        </w:rPr>
        <w:t>. 2014;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38</w:t>
      </w:r>
      <w:r>
        <w:rPr>
          <w:sz w:val="24"/>
          <w:szCs w:val="24"/>
        </w:rPr>
        <w:t>(4)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210–8.</w:t>
      </w:r>
    </w:p>
    <w:p w14:paraId="441AA048" w14:textId="7AEF7E85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>Evans-Jones G</w:t>
      </w:r>
      <w:r>
        <w:rPr>
          <w:sz w:val="24"/>
          <w:szCs w:val="24"/>
        </w:rPr>
        <w:t xml:space="preserve">, Kay S, </w:t>
      </w:r>
      <w:proofErr w:type="spellStart"/>
      <w:r>
        <w:rPr>
          <w:sz w:val="24"/>
          <w:szCs w:val="24"/>
        </w:rPr>
        <w:t>Weindling</w:t>
      </w:r>
      <w:proofErr w:type="spellEnd"/>
      <w:r>
        <w:rPr>
          <w:sz w:val="24"/>
          <w:szCs w:val="24"/>
        </w:rPr>
        <w:t xml:space="preserve"> A, et al.</w:t>
      </w:r>
      <w:r w:rsidRPr="00625317">
        <w:rPr>
          <w:sz w:val="24"/>
          <w:szCs w:val="24"/>
        </w:rPr>
        <w:t xml:space="preserve"> Congenital brachial palsy: incidence, causes, and outcome in the United Kingdom and Republic of Ireland. Arch Dis Child Fetal Neonatal Ed. 2003;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88</w:t>
      </w:r>
      <w:r>
        <w:rPr>
          <w:sz w:val="24"/>
          <w:szCs w:val="24"/>
        </w:rPr>
        <w:t>(3)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185–9.</w:t>
      </w:r>
    </w:p>
    <w:p w14:paraId="4C83C3EB" w14:textId="77777777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DeFrancesco C, Shah D, Rogers B, Shah A. The </w:t>
      </w:r>
      <w:r>
        <w:rPr>
          <w:sz w:val="24"/>
          <w:szCs w:val="24"/>
        </w:rPr>
        <w:t>e</w:t>
      </w:r>
      <w:r w:rsidRPr="00625317">
        <w:rPr>
          <w:sz w:val="24"/>
          <w:szCs w:val="24"/>
        </w:rPr>
        <w:t xml:space="preserve">pidemiology of </w:t>
      </w:r>
      <w:r>
        <w:rPr>
          <w:sz w:val="24"/>
          <w:szCs w:val="24"/>
        </w:rPr>
        <w:t>b</w:t>
      </w:r>
      <w:r w:rsidRPr="00625317">
        <w:rPr>
          <w:sz w:val="24"/>
          <w:szCs w:val="24"/>
        </w:rPr>
        <w:t xml:space="preserve">rachial </w:t>
      </w:r>
      <w:r>
        <w:rPr>
          <w:sz w:val="24"/>
          <w:szCs w:val="24"/>
        </w:rPr>
        <w:t>p</w:t>
      </w:r>
      <w:r w:rsidRPr="00625317">
        <w:rPr>
          <w:sz w:val="24"/>
          <w:szCs w:val="24"/>
        </w:rPr>
        <w:t xml:space="preserve">lexus </w:t>
      </w:r>
      <w:r>
        <w:rPr>
          <w:sz w:val="24"/>
          <w:szCs w:val="24"/>
        </w:rPr>
        <w:t>b</w:t>
      </w:r>
      <w:r w:rsidRPr="00625317">
        <w:rPr>
          <w:sz w:val="24"/>
          <w:szCs w:val="24"/>
        </w:rPr>
        <w:t xml:space="preserve">irth </w:t>
      </w:r>
      <w:r>
        <w:rPr>
          <w:sz w:val="24"/>
          <w:szCs w:val="24"/>
        </w:rPr>
        <w:t>p</w:t>
      </w:r>
      <w:r w:rsidRPr="00625317">
        <w:rPr>
          <w:sz w:val="24"/>
          <w:szCs w:val="24"/>
        </w:rPr>
        <w:t>alsy in the United States</w:t>
      </w:r>
      <w:r>
        <w:rPr>
          <w:sz w:val="24"/>
          <w:szCs w:val="24"/>
        </w:rPr>
        <w:t>: Declining incidence and evolving risk factors</w:t>
      </w:r>
      <w:r w:rsidRPr="00625317">
        <w:rPr>
          <w:sz w:val="24"/>
          <w:szCs w:val="24"/>
        </w:rPr>
        <w:t xml:space="preserve">. J </w:t>
      </w:r>
      <w:proofErr w:type="spellStart"/>
      <w:r w:rsidRPr="00625317">
        <w:rPr>
          <w:sz w:val="24"/>
          <w:szCs w:val="24"/>
        </w:rPr>
        <w:t>Pediatr</w:t>
      </w:r>
      <w:proofErr w:type="spellEnd"/>
      <w:r w:rsidRPr="00625317">
        <w:rPr>
          <w:sz w:val="24"/>
          <w:szCs w:val="24"/>
        </w:rPr>
        <w:t xml:space="preserve"> </w:t>
      </w:r>
      <w:proofErr w:type="spellStart"/>
      <w:r w:rsidRPr="00625317">
        <w:rPr>
          <w:sz w:val="24"/>
          <w:szCs w:val="24"/>
        </w:rPr>
        <w:t>Orthop</w:t>
      </w:r>
      <w:proofErr w:type="spellEnd"/>
      <w:r w:rsidRPr="00625317">
        <w:rPr>
          <w:sz w:val="24"/>
          <w:szCs w:val="24"/>
        </w:rPr>
        <w:t>. 2019;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39</w:t>
      </w:r>
      <w:r>
        <w:rPr>
          <w:sz w:val="24"/>
          <w:szCs w:val="24"/>
        </w:rPr>
        <w:t>(2)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134–40.</w:t>
      </w:r>
    </w:p>
    <w:p w14:paraId="75FFFF6F" w14:textId="3F9954CB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Lalka A, Gralla J, </w:t>
      </w:r>
      <w:proofErr w:type="spellStart"/>
      <w:r w:rsidRPr="00625317">
        <w:rPr>
          <w:sz w:val="24"/>
          <w:szCs w:val="24"/>
        </w:rPr>
        <w:t>Sibbel</w:t>
      </w:r>
      <w:proofErr w:type="spellEnd"/>
      <w:r w:rsidRPr="00625317">
        <w:rPr>
          <w:sz w:val="24"/>
          <w:szCs w:val="24"/>
        </w:rPr>
        <w:t xml:space="preserve"> S. Brachial </w:t>
      </w:r>
      <w:r>
        <w:rPr>
          <w:sz w:val="24"/>
          <w:szCs w:val="24"/>
        </w:rPr>
        <w:t>p</w:t>
      </w:r>
      <w:r w:rsidRPr="00625317">
        <w:rPr>
          <w:sz w:val="24"/>
          <w:szCs w:val="24"/>
        </w:rPr>
        <w:t xml:space="preserve">lexus </w:t>
      </w:r>
      <w:r>
        <w:rPr>
          <w:sz w:val="24"/>
          <w:szCs w:val="24"/>
        </w:rPr>
        <w:t>b</w:t>
      </w:r>
      <w:r w:rsidRPr="00625317">
        <w:rPr>
          <w:sz w:val="24"/>
          <w:szCs w:val="24"/>
        </w:rPr>
        <w:t xml:space="preserve">irth </w:t>
      </w:r>
      <w:r>
        <w:rPr>
          <w:sz w:val="24"/>
          <w:szCs w:val="24"/>
        </w:rPr>
        <w:t>i</w:t>
      </w:r>
      <w:r w:rsidRPr="00625317">
        <w:rPr>
          <w:sz w:val="24"/>
          <w:szCs w:val="24"/>
        </w:rPr>
        <w:t xml:space="preserve">njury: </w:t>
      </w:r>
      <w:r>
        <w:rPr>
          <w:sz w:val="24"/>
          <w:szCs w:val="24"/>
        </w:rPr>
        <w:t>e</w:t>
      </w:r>
      <w:r w:rsidRPr="00625317">
        <w:rPr>
          <w:sz w:val="24"/>
          <w:szCs w:val="24"/>
        </w:rPr>
        <w:t xml:space="preserve">pidemiology and </w:t>
      </w:r>
      <w:r>
        <w:rPr>
          <w:sz w:val="24"/>
          <w:szCs w:val="24"/>
        </w:rPr>
        <w:t>b</w:t>
      </w:r>
      <w:r w:rsidRPr="00625317">
        <w:rPr>
          <w:sz w:val="24"/>
          <w:szCs w:val="24"/>
        </w:rPr>
        <w:t xml:space="preserve">irth </w:t>
      </w:r>
      <w:r>
        <w:rPr>
          <w:sz w:val="24"/>
          <w:szCs w:val="24"/>
        </w:rPr>
        <w:t>w</w:t>
      </w:r>
      <w:r w:rsidRPr="00625317">
        <w:rPr>
          <w:sz w:val="24"/>
          <w:szCs w:val="24"/>
        </w:rPr>
        <w:t xml:space="preserve">eight </w:t>
      </w:r>
      <w:r>
        <w:rPr>
          <w:sz w:val="24"/>
          <w:szCs w:val="24"/>
        </w:rPr>
        <w:t>i</w:t>
      </w:r>
      <w:r w:rsidRPr="00625317">
        <w:rPr>
          <w:sz w:val="24"/>
          <w:szCs w:val="24"/>
        </w:rPr>
        <w:t xml:space="preserve">mpact on </w:t>
      </w:r>
      <w:r>
        <w:rPr>
          <w:sz w:val="24"/>
          <w:szCs w:val="24"/>
        </w:rPr>
        <w:t>r</w:t>
      </w:r>
      <w:r w:rsidRPr="00625317">
        <w:rPr>
          <w:sz w:val="24"/>
          <w:szCs w:val="24"/>
        </w:rPr>
        <w:t xml:space="preserve">isk </w:t>
      </w:r>
      <w:r>
        <w:rPr>
          <w:sz w:val="24"/>
          <w:szCs w:val="24"/>
        </w:rPr>
        <w:t>f</w:t>
      </w:r>
      <w:r w:rsidRPr="00625317">
        <w:rPr>
          <w:sz w:val="24"/>
          <w:szCs w:val="24"/>
        </w:rPr>
        <w:t xml:space="preserve">actors. J </w:t>
      </w:r>
      <w:proofErr w:type="spellStart"/>
      <w:r w:rsidRPr="00625317">
        <w:rPr>
          <w:sz w:val="24"/>
          <w:szCs w:val="24"/>
        </w:rPr>
        <w:t>Pediatr</w:t>
      </w:r>
      <w:proofErr w:type="spellEnd"/>
      <w:r w:rsidRPr="00625317">
        <w:rPr>
          <w:sz w:val="24"/>
          <w:szCs w:val="24"/>
        </w:rPr>
        <w:t xml:space="preserve"> </w:t>
      </w:r>
      <w:proofErr w:type="spellStart"/>
      <w:r w:rsidR="00485053">
        <w:rPr>
          <w:sz w:val="24"/>
          <w:szCs w:val="24"/>
        </w:rPr>
        <w:t>O</w:t>
      </w:r>
      <w:r w:rsidRPr="00625317">
        <w:rPr>
          <w:sz w:val="24"/>
          <w:szCs w:val="24"/>
        </w:rPr>
        <w:t>rthop</w:t>
      </w:r>
      <w:proofErr w:type="spellEnd"/>
      <w:r w:rsidRPr="00625317">
        <w:rPr>
          <w:sz w:val="24"/>
          <w:szCs w:val="24"/>
        </w:rPr>
        <w:t>. 2020;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40</w:t>
      </w:r>
      <w:r>
        <w:rPr>
          <w:sz w:val="24"/>
          <w:szCs w:val="24"/>
        </w:rPr>
        <w:t>(6)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460–5.</w:t>
      </w:r>
    </w:p>
    <w:p w14:paraId="78F74932" w14:textId="77777777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625317">
        <w:rPr>
          <w:sz w:val="24"/>
          <w:szCs w:val="24"/>
        </w:rPr>
        <w:t>Merrison</w:t>
      </w:r>
      <w:proofErr w:type="spellEnd"/>
      <w:r w:rsidRPr="00625317">
        <w:rPr>
          <w:sz w:val="24"/>
          <w:szCs w:val="24"/>
        </w:rPr>
        <w:t xml:space="preserve"> H, </w:t>
      </w:r>
      <w:proofErr w:type="spellStart"/>
      <w:r w:rsidRPr="00625317">
        <w:rPr>
          <w:sz w:val="24"/>
          <w:szCs w:val="24"/>
        </w:rPr>
        <w:t>Mangtani</w:t>
      </w:r>
      <w:proofErr w:type="spellEnd"/>
      <w:r w:rsidRPr="00625317">
        <w:rPr>
          <w:sz w:val="24"/>
          <w:szCs w:val="24"/>
        </w:rPr>
        <w:t xml:space="preserve"> A, Quick T. The shifting demographics of birth-related brachial plexus injury: </w:t>
      </w:r>
      <w:r>
        <w:rPr>
          <w:sz w:val="24"/>
          <w:szCs w:val="24"/>
        </w:rPr>
        <w:t>T</w:t>
      </w:r>
      <w:r w:rsidRPr="00625317">
        <w:rPr>
          <w:sz w:val="24"/>
          <w:szCs w:val="24"/>
        </w:rPr>
        <w:t xml:space="preserve">he impact of socio-economic status and ethnic groups. J </w:t>
      </w:r>
      <w:proofErr w:type="spellStart"/>
      <w:r w:rsidRPr="00625317">
        <w:rPr>
          <w:sz w:val="24"/>
          <w:szCs w:val="24"/>
        </w:rPr>
        <w:t>Plast</w:t>
      </w:r>
      <w:proofErr w:type="spellEnd"/>
      <w:r w:rsidRPr="00625317">
        <w:rPr>
          <w:sz w:val="24"/>
          <w:szCs w:val="24"/>
        </w:rPr>
        <w:t xml:space="preserve"> </w:t>
      </w:r>
      <w:proofErr w:type="spellStart"/>
      <w:r w:rsidRPr="00625317">
        <w:rPr>
          <w:sz w:val="24"/>
          <w:szCs w:val="24"/>
        </w:rPr>
        <w:t>Reconstr</w:t>
      </w:r>
      <w:proofErr w:type="spellEnd"/>
      <w:r w:rsidRPr="00625317">
        <w:rPr>
          <w:sz w:val="24"/>
          <w:szCs w:val="24"/>
        </w:rPr>
        <w:t xml:space="preserve"> </w:t>
      </w:r>
      <w:proofErr w:type="spellStart"/>
      <w:r w:rsidRPr="00625317">
        <w:rPr>
          <w:sz w:val="24"/>
          <w:szCs w:val="24"/>
        </w:rPr>
        <w:t>Aesthet</w:t>
      </w:r>
      <w:proofErr w:type="spellEnd"/>
      <w:r w:rsidRPr="00625317">
        <w:rPr>
          <w:sz w:val="24"/>
          <w:szCs w:val="24"/>
        </w:rPr>
        <w:t xml:space="preserve"> Surg. 2021;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74</w:t>
      </w:r>
      <w:r>
        <w:rPr>
          <w:sz w:val="24"/>
          <w:szCs w:val="24"/>
        </w:rPr>
        <w:t>(3)</w:t>
      </w:r>
      <w:r w:rsidRPr="0062531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25317">
        <w:rPr>
          <w:sz w:val="24"/>
          <w:szCs w:val="24"/>
        </w:rPr>
        <w:t>560–8.</w:t>
      </w:r>
    </w:p>
    <w:p w14:paraId="41BFF761" w14:textId="77777777" w:rsidR="00A74B35" w:rsidRPr="0039414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Kaijomaa</w:t>
      </w:r>
      <w:proofErr w:type="spellEnd"/>
      <w:r>
        <w:rPr>
          <w:sz w:val="24"/>
          <w:szCs w:val="24"/>
        </w:rPr>
        <w:t xml:space="preserve"> M, Gissler M, </w:t>
      </w:r>
      <w:proofErr w:type="spellStart"/>
      <w:r>
        <w:rPr>
          <w:sz w:val="24"/>
          <w:szCs w:val="24"/>
        </w:rPr>
        <w:t>Äyräs</w:t>
      </w:r>
      <w:proofErr w:type="spellEnd"/>
      <w:r>
        <w:rPr>
          <w:sz w:val="24"/>
          <w:szCs w:val="24"/>
        </w:rPr>
        <w:t xml:space="preserve"> O, Sten A, Grahn P. </w:t>
      </w:r>
      <w:r w:rsidRPr="00CD71F7">
        <w:rPr>
          <w:sz w:val="24"/>
          <w:szCs w:val="24"/>
        </w:rPr>
        <w:t>Impact of simulation training on the management of shoulder dystocia and incidence of permanent brachial plexus birth injury: An observational study</w:t>
      </w:r>
      <w:r>
        <w:rPr>
          <w:sz w:val="24"/>
          <w:szCs w:val="24"/>
        </w:rPr>
        <w:t xml:space="preserve">. </w:t>
      </w:r>
      <w:r w:rsidRPr="00394146">
        <w:rPr>
          <w:sz w:val="24"/>
          <w:szCs w:val="24"/>
        </w:rPr>
        <w:t>BJOG. 2023;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130(1):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70</w:t>
      </w:r>
      <w:r w:rsidRPr="00625317">
        <w:rPr>
          <w:sz w:val="24"/>
          <w:szCs w:val="24"/>
        </w:rPr>
        <w:t>–</w:t>
      </w:r>
      <w:r w:rsidRPr="00394146">
        <w:rPr>
          <w:sz w:val="24"/>
          <w:szCs w:val="24"/>
        </w:rPr>
        <w:t>7.</w:t>
      </w:r>
    </w:p>
    <w:p w14:paraId="7C821395" w14:textId="3282DC1C" w:rsidR="00A74B35" w:rsidRPr="0039414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>Crofts</w:t>
      </w:r>
      <w:r>
        <w:rPr>
          <w:sz w:val="24"/>
          <w:szCs w:val="24"/>
        </w:rPr>
        <w:t xml:space="preserve"> J</w:t>
      </w:r>
      <w:r w:rsidRPr="00625317">
        <w:rPr>
          <w:sz w:val="24"/>
          <w:szCs w:val="24"/>
        </w:rPr>
        <w:t>, </w:t>
      </w:r>
      <w:proofErr w:type="spellStart"/>
      <w:r w:rsidRPr="00625317">
        <w:rPr>
          <w:sz w:val="24"/>
          <w:szCs w:val="24"/>
        </w:rPr>
        <w:t>Lenguerrand</w:t>
      </w:r>
      <w:proofErr w:type="spellEnd"/>
      <w:r>
        <w:rPr>
          <w:sz w:val="24"/>
          <w:szCs w:val="24"/>
        </w:rPr>
        <w:t xml:space="preserve"> E</w:t>
      </w:r>
      <w:r w:rsidRPr="00625317">
        <w:rPr>
          <w:sz w:val="24"/>
          <w:szCs w:val="24"/>
        </w:rPr>
        <w:t>, Bentham</w:t>
      </w:r>
      <w:r>
        <w:rPr>
          <w:sz w:val="24"/>
          <w:szCs w:val="24"/>
        </w:rPr>
        <w:t xml:space="preserve"> G, et al.</w:t>
      </w:r>
      <w:r w:rsidRPr="00625317">
        <w:rPr>
          <w:sz w:val="24"/>
          <w:szCs w:val="24"/>
        </w:rPr>
        <w:t xml:space="preserve"> Prevention of brachial plexus injury—12 years of shoulder dystocia training: an interrupted time‐series study</w:t>
      </w:r>
      <w:r>
        <w:rPr>
          <w:sz w:val="24"/>
          <w:szCs w:val="24"/>
        </w:rPr>
        <w:t xml:space="preserve">. </w:t>
      </w:r>
      <w:r w:rsidRPr="00394146">
        <w:rPr>
          <w:sz w:val="24"/>
          <w:szCs w:val="24"/>
        </w:rPr>
        <w:t>BJOG. 2016;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123(1):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111</w:t>
      </w:r>
      <w:r w:rsidRPr="00EC1006">
        <w:rPr>
          <w:sz w:val="24"/>
          <w:szCs w:val="24"/>
        </w:rPr>
        <w:t>–</w:t>
      </w:r>
      <w:r w:rsidRPr="00394146">
        <w:rPr>
          <w:sz w:val="24"/>
          <w:szCs w:val="24"/>
        </w:rPr>
        <w:t>8.</w:t>
      </w:r>
    </w:p>
    <w:p w14:paraId="2536490C" w14:textId="7856D5C2" w:rsidR="00A74B35" w:rsidRPr="00EC100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Tang J, Giddins G. Why and how to report surgeons’ levels of expertise. J Hand Surg </w:t>
      </w:r>
      <w:proofErr w:type="spellStart"/>
      <w:r w:rsidRPr="00EC1006">
        <w:rPr>
          <w:sz w:val="24"/>
          <w:szCs w:val="24"/>
        </w:rPr>
        <w:t>Eur</w:t>
      </w:r>
      <w:proofErr w:type="spellEnd"/>
      <w:r w:rsidRPr="00EC1006">
        <w:rPr>
          <w:sz w:val="24"/>
          <w:szCs w:val="24"/>
        </w:rPr>
        <w:t xml:space="preserve"> Vol. 2016; 41(4): 365–6.</w:t>
      </w:r>
    </w:p>
    <w:p w14:paraId="2E9D0609" w14:textId="77777777" w:rsidR="00A74B35" w:rsidRPr="00EC100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EC1006">
        <w:rPr>
          <w:sz w:val="24"/>
          <w:szCs w:val="24"/>
        </w:rPr>
        <w:t xml:space="preserve">Grahn P, Sommarhem A, Nietosvaara Y. A protocol-based treatment plan to improve shoulder function in children with brachial plexus birth injury: a comparative study. J Hand Surg </w:t>
      </w:r>
      <w:proofErr w:type="spellStart"/>
      <w:r w:rsidRPr="00EC1006">
        <w:rPr>
          <w:sz w:val="24"/>
          <w:szCs w:val="24"/>
        </w:rPr>
        <w:t>Eur</w:t>
      </w:r>
      <w:proofErr w:type="spellEnd"/>
      <w:r w:rsidRPr="00EC1006">
        <w:rPr>
          <w:sz w:val="24"/>
          <w:szCs w:val="24"/>
        </w:rPr>
        <w:t xml:space="preserve"> Vol. 2022; 47(3): 248–56.</w:t>
      </w:r>
    </w:p>
    <w:p w14:paraId="58FD5558" w14:textId="77777777" w:rsidR="00A74B35" w:rsidRPr="00394146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CC5B59">
        <w:rPr>
          <w:sz w:val="24"/>
          <w:szCs w:val="24"/>
        </w:rPr>
        <w:t xml:space="preserve">Gissler M, </w:t>
      </w:r>
      <w:proofErr w:type="spellStart"/>
      <w:r w:rsidRPr="00CC5B59">
        <w:rPr>
          <w:sz w:val="24"/>
          <w:szCs w:val="24"/>
        </w:rPr>
        <w:t>Teperi</w:t>
      </w:r>
      <w:proofErr w:type="spellEnd"/>
      <w:r w:rsidRPr="00CC5B59">
        <w:rPr>
          <w:sz w:val="24"/>
          <w:szCs w:val="24"/>
        </w:rPr>
        <w:t xml:space="preserve"> J, Hemminki E, Meriläinen J</w:t>
      </w:r>
      <w:r>
        <w:rPr>
          <w:sz w:val="24"/>
          <w:szCs w:val="24"/>
        </w:rPr>
        <w:t>.</w:t>
      </w:r>
      <w:r w:rsidRPr="00CC5B59">
        <w:rPr>
          <w:sz w:val="24"/>
          <w:szCs w:val="24"/>
        </w:rPr>
        <w:t xml:space="preserve"> Data quality after restructuring a nationwide medical birth registry. </w:t>
      </w:r>
      <w:r w:rsidRPr="00394146">
        <w:rPr>
          <w:sz w:val="24"/>
          <w:szCs w:val="24"/>
        </w:rPr>
        <w:t>Scand J Soc Med. 1995;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23(1):</w:t>
      </w:r>
      <w:r>
        <w:rPr>
          <w:sz w:val="24"/>
          <w:szCs w:val="24"/>
        </w:rPr>
        <w:t xml:space="preserve"> </w:t>
      </w:r>
      <w:r w:rsidRPr="00394146">
        <w:rPr>
          <w:sz w:val="24"/>
          <w:szCs w:val="24"/>
        </w:rPr>
        <w:t>75</w:t>
      </w:r>
      <w:r w:rsidRPr="00625317">
        <w:rPr>
          <w:sz w:val="24"/>
          <w:szCs w:val="24"/>
        </w:rPr>
        <w:t>–</w:t>
      </w:r>
      <w:r w:rsidRPr="00394146">
        <w:rPr>
          <w:sz w:val="24"/>
          <w:szCs w:val="24"/>
        </w:rPr>
        <w:t>80</w:t>
      </w:r>
      <w:r>
        <w:rPr>
          <w:sz w:val="24"/>
          <w:szCs w:val="24"/>
        </w:rPr>
        <w:t>.</w:t>
      </w:r>
    </w:p>
    <w:p w14:paraId="09BFF527" w14:textId="77777777" w:rsidR="00A74B35" w:rsidRPr="00CC5B59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rStyle w:val="Hyperlink"/>
          <w:color w:val="auto"/>
          <w:sz w:val="24"/>
          <w:szCs w:val="24"/>
          <w:u w:val="none"/>
        </w:rPr>
      </w:pPr>
      <w:r w:rsidRPr="00625317">
        <w:rPr>
          <w:rFonts w:cstheme="minorHAnsi"/>
          <w:sz w:val="24"/>
          <w:szCs w:val="24"/>
        </w:rPr>
        <w:t>National Health Service (NHS) Maternity Statistics 2021</w:t>
      </w:r>
      <w:r w:rsidRPr="00625317">
        <w:rPr>
          <w:sz w:val="24"/>
          <w:szCs w:val="24"/>
        </w:rPr>
        <w:t>–</w:t>
      </w:r>
      <w:r w:rsidRPr="00625317">
        <w:rPr>
          <w:rFonts w:cstheme="minorHAnsi"/>
          <w:sz w:val="24"/>
          <w:szCs w:val="24"/>
        </w:rPr>
        <w:t xml:space="preserve">2022 published November 2022 on </w:t>
      </w:r>
      <w:hyperlink r:id="rId13" w:history="1">
        <w:r w:rsidRPr="00625317">
          <w:rPr>
            <w:rStyle w:val="Hyperlink"/>
            <w:rFonts w:cstheme="minorHAnsi"/>
            <w:sz w:val="24"/>
            <w:szCs w:val="24"/>
          </w:rPr>
          <w:t>https://digital.nhs.uk/</w:t>
        </w:r>
      </w:hyperlink>
    </w:p>
    <w:p w14:paraId="242C8707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CC5B59">
        <w:rPr>
          <w:sz w:val="24"/>
          <w:szCs w:val="24"/>
        </w:rPr>
        <w:t>Hedderson</w:t>
      </w:r>
      <w:proofErr w:type="spellEnd"/>
      <w:r w:rsidRPr="00CC5B59">
        <w:rPr>
          <w:sz w:val="24"/>
          <w:szCs w:val="24"/>
        </w:rPr>
        <w:t xml:space="preserve"> M, Darbinian J, Ferrara A. Disparities in the risk of gestational diabetes by race-ethnicity and country of birth. </w:t>
      </w:r>
      <w:proofErr w:type="spellStart"/>
      <w:r w:rsidRPr="00CC5B59">
        <w:rPr>
          <w:sz w:val="24"/>
          <w:szCs w:val="24"/>
        </w:rPr>
        <w:t>Paediatr</w:t>
      </w:r>
      <w:proofErr w:type="spellEnd"/>
      <w:r w:rsidRPr="00CC5B59">
        <w:rPr>
          <w:sz w:val="24"/>
          <w:szCs w:val="24"/>
        </w:rPr>
        <w:t xml:space="preserve"> Perinat Epidemiol. 2010;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24(5):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441</w:t>
      </w:r>
      <w:r w:rsidRPr="00625317">
        <w:rPr>
          <w:sz w:val="24"/>
          <w:szCs w:val="24"/>
        </w:rPr>
        <w:t>–</w:t>
      </w:r>
      <w:r w:rsidRPr="00CC5B59">
        <w:rPr>
          <w:sz w:val="24"/>
          <w:szCs w:val="24"/>
        </w:rPr>
        <w:t>8.</w:t>
      </w:r>
    </w:p>
    <w:p w14:paraId="5B44D150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CC5B59">
        <w:rPr>
          <w:sz w:val="24"/>
          <w:szCs w:val="24"/>
        </w:rPr>
        <w:t xml:space="preserve">Salvador S, Bertozzi S, </w:t>
      </w:r>
      <w:proofErr w:type="spellStart"/>
      <w:r w:rsidRPr="00CC5B59">
        <w:rPr>
          <w:sz w:val="24"/>
          <w:szCs w:val="24"/>
        </w:rPr>
        <w:t>Londero</w:t>
      </w:r>
      <w:proofErr w:type="spellEnd"/>
      <w:r w:rsidRPr="00CC5B59">
        <w:rPr>
          <w:sz w:val="24"/>
          <w:szCs w:val="24"/>
        </w:rPr>
        <w:t xml:space="preserve"> A, </w:t>
      </w:r>
      <w:proofErr w:type="spellStart"/>
      <w:r w:rsidRPr="00CC5B59">
        <w:rPr>
          <w:sz w:val="24"/>
          <w:szCs w:val="24"/>
        </w:rPr>
        <w:t>Driul</w:t>
      </w:r>
      <w:proofErr w:type="spellEnd"/>
      <w:r w:rsidRPr="00CC5B59">
        <w:rPr>
          <w:sz w:val="24"/>
          <w:szCs w:val="24"/>
        </w:rPr>
        <w:t xml:space="preserve"> L, Da Riol R, </w:t>
      </w:r>
      <w:proofErr w:type="spellStart"/>
      <w:r w:rsidRPr="00CC5B59">
        <w:rPr>
          <w:sz w:val="24"/>
          <w:szCs w:val="24"/>
        </w:rPr>
        <w:t>Marchesoni</w:t>
      </w:r>
      <w:proofErr w:type="spellEnd"/>
      <w:r w:rsidRPr="00CC5B59">
        <w:rPr>
          <w:sz w:val="24"/>
          <w:szCs w:val="24"/>
        </w:rPr>
        <w:t xml:space="preserve"> D. </w:t>
      </w:r>
      <w:proofErr w:type="spellStart"/>
      <w:r w:rsidRPr="00CC5B59">
        <w:rPr>
          <w:sz w:val="24"/>
          <w:szCs w:val="24"/>
        </w:rPr>
        <w:t>L'outcome</w:t>
      </w:r>
      <w:proofErr w:type="spellEnd"/>
      <w:r w:rsidRPr="00CC5B59">
        <w:rPr>
          <w:sz w:val="24"/>
          <w:szCs w:val="24"/>
        </w:rPr>
        <w:t xml:space="preserve"> </w:t>
      </w:r>
      <w:proofErr w:type="spellStart"/>
      <w:r w:rsidRPr="00CC5B59">
        <w:rPr>
          <w:sz w:val="24"/>
          <w:szCs w:val="24"/>
        </w:rPr>
        <w:t>della</w:t>
      </w:r>
      <w:proofErr w:type="spellEnd"/>
      <w:r w:rsidRPr="00CC5B59">
        <w:rPr>
          <w:sz w:val="24"/>
          <w:szCs w:val="24"/>
        </w:rPr>
        <w:t xml:space="preserve"> </w:t>
      </w:r>
      <w:proofErr w:type="spellStart"/>
      <w:r w:rsidRPr="00CC5B59">
        <w:rPr>
          <w:sz w:val="24"/>
          <w:szCs w:val="24"/>
        </w:rPr>
        <w:t>gravidanza</w:t>
      </w:r>
      <w:proofErr w:type="spellEnd"/>
      <w:r w:rsidRPr="00CC5B59">
        <w:rPr>
          <w:sz w:val="24"/>
          <w:szCs w:val="24"/>
        </w:rPr>
        <w:t xml:space="preserve"> </w:t>
      </w:r>
      <w:proofErr w:type="spellStart"/>
      <w:r w:rsidRPr="00CC5B59">
        <w:rPr>
          <w:sz w:val="24"/>
          <w:szCs w:val="24"/>
        </w:rPr>
        <w:t>nella</w:t>
      </w:r>
      <w:proofErr w:type="spellEnd"/>
      <w:r w:rsidRPr="00CC5B59">
        <w:rPr>
          <w:sz w:val="24"/>
          <w:szCs w:val="24"/>
        </w:rPr>
        <w:t xml:space="preserve"> donna </w:t>
      </w:r>
      <w:proofErr w:type="spellStart"/>
      <w:r w:rsidRPr="00CC5B59">
        <w:rPr>
          <w:sz w:val="24"/>
          <w:szCs w:val="24"/>
        </w:rPr>
        <w:t>immigrata</w:t>
      </w:r>
      <w:proofErr w:type="spellEnd"/>
      <w:r w:rsidRPr="00CC5B59">
        <w:rPr>
          <w:sz w:val="24"/>
          <w:szCs w:val="24"/>
        </w:rPr>
        <w:t xml:space="preserve">: studio </w:t>
      </w:r>
      <w:proofErr w:type="spellStart"/>
      <w:r w:rsidRPr="00CC5B59">
        <w:rPr>
          <w:sz w:val="24"/>
          <w:szCs w:val="24"/>
        </w:rPr>
        <w:t>retrospettivo</w:t>
      </w:r>
      <w:proofErr w:type="spellEnd"/>
      <w:r w:rsidRPr="00CC5B59">
        <w:rPr>
          <w:sz w:val="24"/>
          <w:szCs w:val="24"/>
        </w:rPr>
        <w:t xml:space="preserve"> [Outcome of pregnancy for immigrant women: a retrospective study]. Minerva </w:t>
      </w:r>
      <w:proofErr w:type="spellStart"/>
      <w:r w:rsidRPr="00CC5B59">
        <w:rPr>
          <w:sz w:val="24"/>
          <w:szCs w:val="24"/>
        </w:rPr>
        <w:t>Ginecol</w:t>
      </w:r>
      <w:proofErr w:type="spellEnd"/>
      <w:r w:rsidRPr="00CC5B59">
        <w:rPr>
          <w:sz w:val="24"/>
          <w:szCs w:val="24"/>
        </w:rPr>
        <w:t>. 2010;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62(4):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277</w:t>
      </w:r>
      <w:r w:rsidRPr="00625317">
        <w:rPr>
          <w:sz w:val="24"/>
          <w:szCs w:val="24"/>
        </w:rPr>
        <w:t>–</w:t>
      </w:r>
      <w:r w:rsidRPr="00CC5B59">
        <w:rPr>
          <w:sz w:val="24"/>
          <w:szCs w:val="24"/>
        </w:rPr>
        <w:t>85.</w:t>
      </w:r>
    </w:p>
    <w:p w14:paraId="7A1EC59F" w14:textId="77777777" w:rsidR="00A74B35" w:rsidRPr="00443DA0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CC5B59">
        <w:rPr>
          <w:sz w:val="24"/>
          <w:szCs w:val="24"/>
        </w:rPr>
        <w:t xml:space="preserve">Innes K, Byers T, Marshall J, </w:t>
      </w:r>
      <w:proofErr w:type="spellStart"/>
      <w:r w:rsidRPr="00CC5B59">
        <w:rPr>
          <w:sz w:val="24"/>
          <w:szCs w:val="24"/>
        </w:rPr>
        <w:t>Barón</w:t>
      </w:r>
      <w:proofErr w:type="spellEnd"/>
      <w:r w:rsidRPr="00CC5B59">
        <w:rPr>
          <w:sz w:val="24"/>
          <w:szCs w:val="24"/>
        </w:rPr>
        <w:t xml:space="preserve"> A, Orleans M, Hamman R. Association of a woman's own birth weight with subsequent risk for gestational diabetes. JAMA. 2002</w:t>
      </w:r>
      <w:r>
        <w:rPr>
          <w:sz w:val="24"/>
          <w:szCs w:val="24"/>
        </w:rPr>
        <w:t xml:space="preserve">; </w:t>
      </w:r>
      <w:r w:rsidRPr="00CC5B59">
        <w:rPr>
          <w:sz w:val="24"/>
          <w:szCs w:val="24"/>
        </w:rPr>
        <w:t>287(19):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2534</w:t>
      </w:r>
      <w:r w:rsidRPr="00625317">
        <w:rPr>
          <w:sz w:val="24"/>
          <w:szCs w:val="24"/>
        </w:rPr>
        <w:t>–</w:t>
      </w:r>
      <w:r w:rsidRPr="00CC5B59">
        <w:rPr>
          <w:sz w:val="24"/>
          <w:szCs w:val="24"/>
        </w:rPr>
        <w:t>41. Erratum in: JAMA 2002;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>287(24):</w:t>
      </w:r>
      <w:r>
        <w:rPr>
          <w:sz w:val="24"/>
          <w:szCs w:val="24"/>
        </w:rPr>
        <w:t xml:space="preserve"> </w:t>
      </w:r>
      <w:r w:rsidRPr="00CC5B59">
        <w:rPr>
          <w:sz w:val="24"/>
          <w:szCs w:val="24"/>
        </w:rPr>
        <w:t xml:space="preserve">3212. </w:t>
      </w:r>
    </w:p>
    <w:p w14:paraId="0990639E" w14:textId="39675918" w:rsidR="00A74B35" w:rsidRPr="007A6BA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Nair M, </w:t>
      </w:r>
      <w:proofErr w:type="spellStart"/>
      <w:r w:rsidRPr="00625317">
        <w:rPr>
          <w:sz w:val="24"/>
          <w:szCs w:val="24"/>
        </w:rPr>
        <w:t>Kurinczuk</w:t>
      </w:r>
      <w:proofErr w:type="spellEnd"/>
      <w:r w:rsidRPr="00625317">
        <w:rPr>
          <w:sz w:val="24"/>
          <w:szCs w:val="24"/>
        </w:rPr>
        <w:t xml:space="preserve"> J, Knight M. 2014 Ethnic variations in severe maternal morbidity in the UK—a case</w:t>
      </w:r>
      <w:r w:rsidR="00485053">
        <w:rPr>
          <w:sz w:val="24"/>
          <w:szCs w:val="24"/>
        </w:rPr>
        <w:t>-</w:t>
      </w:r>
      <w:r w:rsidRPr="00625317">
        <w:rPr>
          <w:sz w:val="24"/>
          <w:szCs w:val="24"/>
        </w:rPr>
        <w:t xml:space="preserve">control study. </w:t>
      </w:r>
      <w:proofErr w:type="spellStart"/>
      <w:r w:rsidRPr="007A6BA7">
        <w:rPr>
          <w:sz w:val="24"/>
          <w:szCs w:val="24"/>
        </w:rPr>
        <w:t>PLoS</w:t>
      </w:r>
      <w:proofErr w:type="spellEnd"/>
      <w:r w:rsidRPr="007A6BA7">
        <w:rPr>
          <w:sz w:val="24"/>
          <w:szCs w:val="24"/>
        </w:rPr>
        <w:t xml:space="preserve"> One. 2014;</w:t>
      </w:r>
      <w:r>
        <w:rPr>
          <w:sz w:val="24"/>
          <w:szCs w:val="24"/>
        </w:rPr>
        <w:t xml:space="preserve"> </w:t>
      </w:r>
      <w:r w:rsidRPr="007A6BA7">
        <w:rPr>
          <w:sz w:val="24"/>
          <w:szCs w:val="24"/>
        </w:rPr>
        <w:t>9(4):</w:t>
      </w:r>
      <w:r>
        <w:rPr>
          <w:sz w:val="24"/>
          <w:szCs w:val="24"/>
        </w:rPr>
        <w:t xml:space="preserve"> </w:t>
      </w:r>
      <w:r w:rsidRPr="007A6BA7">
        <w:rPr>
          <w:sz w:val="24"/>
          <w:szCs w:val="24"/>
        </w:rPr>
        <w:t>e95086</w:t>
      </w:r>
      <w:r>
        <w:rPr>
          <w:sz w:val="24"/>
          <w:szCs w:val="24"/>
        </w:rPr>
        <w:t>.</w:t>
      </w:r>
    </w:p>
    <w:p w14:paraId="034A6BCF" w14:textId="1BD6425A" w:rsidR="00A74B35" w:rsidRPr="00625317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625317">
        <w:rPr>
          <w:sz w:val="24"/>
          <w:szCs w:val="24"/>
        </w:rPr>
        <w:t xml:space="preserve">Knight M, Bunch K, </w:t>
      </w:r>
      <w:proofErr w:type="spellStart"/>
      <w:r w:rsidRPr="00625317">
        <w:rPr>
          <w:sz w:val="24"/>
          <w:szCs w:val="24"/>
        </w:rPr>
        <w:t>Tuffnell</w:t>
      </w:r>
      <w:proofErr w:type="spellEnd"/>
      <w:r w:rsidRPr="00625317">
        <w:rPr>
          <w:sz w:val="24"/>
          <w:szCs w:val="24"/>
        </w:rPr>
        <w:t xml:space="preserve"> D</w:t>
      </w:r>
      <w:r>
        <w:rPr>
          <w:sz w:val="24"/>
          <w:szCs w:val="24"/>
        </w:rPr>
        <w:t>, et al.</w:t>
      </w:r>
      <w:r w:rsidRPr="00625317">
        <w:rPr>
          <w:sz w:val="24"/>
          <w:szCs w:val="24"/>
        </w:rPr>
        <w:t xml:space="preserve"> on behalf of MBRRACE-UK. 2018 Saving lives, improving mothers’ care – lessons learned to inform maternity care from the UK and Ireland confidential enquiries into maternal deaths and morbidity 2014–16. Oxford, UK: National Perinatal Epidemiology Unit, University of Oxford.</w:t>
      </w:r>
    </w:p>
    <w:p w14:paraId="59169BA5" w14:textId="68EEB7F6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24"/>
          <w:szCs w:val="24"/>
        </w:rPr>
      </w:pPr>
      <w:r w:rsidRPr="00E13918">
        <w:rPr>
          <w:sz w:val="24"/>
          <w:szCs w:val="24"/>
        </w:rPr>
        <w:t>Fleszar L, Bryant A, Johnson C</w:t>
      </w:r>
      <w:r>
        <w:rPr>
          <w:sz w:val="24"/>
          <w:szCs w:val="24"/>
        </w:rPr>
        <w:t>, et al</w:t>
      </w:r>
      <w:r w:rsidRPr="00E13918">
        <w:rPr>
          <w:sz w:val="24"/>
          <w:szCs w:val="24"/>
        </w:rPr>
        <w:t>. Trends in state-level maternal mortality by racial and ethnic group in the United States. JAMA. 2023;</w:t>
      </w:r>
      <w:r>
        <w:rPr>
          <w:sz w:val="24"/>
          <w:szCs w:val="24"/>
        </w:rPr>
        <w:t xml:space="preserve"> </w:t>
      </w:r>
      <w:r w:rsidRPr="00E13918">
        <w:rPr>
          <w:sz w:val="24"/>
          <w:szCs w:val="24"/>
        </w:rPr>
        <w:t>330(1):</w:t>
      </w:r>
      <w:r>
        <w:rPr>
          <w:sz w:val="24"/>
          <w:szCs w:val="24"/>
        </w:rPr>
        <w:t xml:space="preserve"> </w:t>
      </w:r>
      <w:r w:rsidRPr="00E13918">
        <w:rPr>
          <w:sz w:val="24"/>
          <w:szCs w:val="24"/>
        </w:rPr>
        <w:t>52</w:t>
      </w:r>
      <w:r w:rsidRPr="00625317">
        <w:rPr>
          <w:sz w:val="24"/>
          <w:szCs w:val="24"/>
        </w:rPr>
        <w:t>–</w:t>
      </w:r>
      <w:r w:rsidRPr="00E13918">
        <w:rPr>
          <w:sz w:val="24"/>
          <w:szCs w:val="24"/>
        </w:rPr>
        <w:t>6.</w:t>
      </w:r>
    </w:p>
    <w:p w14:paraId="535DF2AB" w14:textId="77777777" w:rsidR="00A74B35" w:rsidRPr="00E13918" w:rsidRDefault="00A74B35" w:rsidP="00A74B3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24"/>
          <w:szCs w:val="24"/>
        </w:rPr>
      </w:pPr>
      <w:r w:rsidRPr="00E13918">
        <w:rPr>
          <w:sz w:val="24"/>
          <w:szCs w:val="24"/>
        </w:rPr>
        <w:t xml:space="preserve">Caldwell W, </w:t>
      </w:r>
      <w:proofErr w:type="spellStart"/>
      <w:r w:rsidRPr="00E13918">
        <w:rPr>
          <w:sz w:val="24"/>
          <w:szCs w:val="24"/>
        </w:rPr>
        <w:t>Moloy</w:t>
      </w:r>
      <w:proofErr w:type="spellEnd"/>
      <w:r w:rsidRPr="00E13918">
        <w:rPr>
          <w:sz w:val="24"/>
          <w:szCs w:val="24"/>
        </w:rPr>
        <w:t xml:space="preserve"> H. Anatomical variations in the female pelvis: their classification and obstetrical significance. Proc R Soc Med. </w:t>
      </w:r>
      <w:r>
        <w:rPr>
          <w:sz w:val="24"/>
          <w:szCs w:val="24"/>
        </w:rPr>
        <w:t xml:space="preserve">1938; </w:t>
      </w:r>
      <w:r w:rsidRPr="00E13918">
        <w:rPr>
          <w:sz w:val="24"/>
          <w:szCs w:val="24"/>
        </w:rPr>
        <w:t>32</w:t>
      </w:r>
      <w:r>
        <w:rPr>
          <w:sz w:val="24"/>
          <w:szCs w:val="24"/>
        </w:rPr>
        <w:t>(1):</w:t>
      </w:r>
      <w:r w:rsidRPr="00E13918">
        <w:rPr>
          <w:sz w:val="24"/>
          <w:szCs w:val="24"/>
        </w:rPr>
        <w:t xml:space="preserve"> 1</w:t>
      </w:r>
      <w:r w:rsidRPr="00625317">
        <w:rPr>
          <w:sz w:val="24"/>
          <w:szCs w:val="24"/>
        </w:rPr>
        <w:t>–</w:t>
      </w:r>
      <w:r w:rsidRPr="00E13918">
        <w:rPr>
          <w:sz w:val="24"/>
          <w:szCs w:val="24"/>
        </w:rPr>
        <w:t>30</w:t>
      </w:r>
      <w:r>
        <w:rPr>
          <w:sz w:val="24"/>
          <w:szCs w:val="24"/>
        </w:rPr>
        <w:t>.</w:t>
      </w:r>
    </w:p>
    <w:p w14:paraId="56335FEA" w14:textId="77777777" w:rsidR="00A74B35" w:rsidRPr="003F6879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E13918">
        <w:rPr>
          <w:sz w:val="24"/>
          <w:szCs w:val="24"/>
        </w:rPr>
        <w:t xml:space="preserve">Kurki H. Bony pelvic canal size and shape in relation to body proportionality in </w:t>
      </w:r>
      <w:r w:rsidRPr="003F6879">
        <w:rPr>
          <w:sz w:val="24"/>
          <w:szCs w:val="24"/>
        </w:rPr>
        <w:t xml:space="preserve">humans. Am J Phys </w:t>
      </w:r>
      <w:proofErr w:type="spellStart"/>
      <w:r w:rsidRPr="003F6879">
        <w:rPr>
          <w:sz w:val="24"/>
          <w:szCs w:val="24"/>
        </w:rPr>
        <w:t>Anthropol</w:t>
      </w:r>
      <w:proofErr w:type="spellEnd"/>
      <w:r w:rsidRPr="003F6879">
        <w:rPr>
          <w:sz w:val="24"/>
          <w:szCs w:val="24"/>
        </w:rPr>
        <w:t>. 2013; 151(1): 88–101.</w:t>
      </w:r>
    </w:p>
    <w:p w14:paraId="0BF36D07" w14:textId="77777777" w:rsidR="00A74B35" w:rsidRPr="003F6879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F6879">
        <w:rPr>
          <w:sz w:val="24"/>
          <w:szCs w:val="24"/>
        </w:rPr>
        <w:t>Betti L, Manica A. Human variation in the shape of the birth canal is significant and geographically structured. Proc Biol Sci. 2018; 285(1889): 20181807.</w:t>
      </w:r>
    </w:p>
    <w:p w14:paraId="14AA50EE" w14:textId="77777777" w:rsidR="00A74B35" w:rsidRPr="003F6879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F6879">
        <w:rPr>
          <w:sz w:val="24"/>
          <w:szCs w:val="24"/>
        </w:rPr>
        <w:t xml:space="preserve">Cheng Y, Shaffer B, Caughey A. Associated factors and outcomes of persistent occiput posterior position: </w:t>
      </w:r>
      <w:r>
        <w:rPr>
          <w:sz w:val="24"/>
          <w:szCs w:val="24"/>
        </w:rPr>
        <w:t>A</w:t>
      </w:r>
      <w:r w:rsidRPr="003F6879">
        <w:rPr>
          <w:sz w:val="24"/>
          <w:szCs w:val="24"/>
        </w:rPr>
        <w:t xml:space="preserve"> retrospective cohort study from 1976 to 2001. J Matern Fetal Neonatal Med</w:t>
      </w:r>
      <w:r>
        <w:rPr>
          <w:sz w:val="24"/>
          <w:szCs w:val="24"/>
        </w:rPr>
        <w:t>.</w:t>
      </w:r>
      <w:r w:rsidRPr="003F6879">
        <w:rPr>
          <w:sz w:val="24"/>
          <w:szCs w:val="24"/>
        </w:rPr>
        <w:t xml:space="preserve"> 2006;</w:t>
      </w:r>
      <w:r>
        <w:rPr>
          <w:sz w:val="24"/>
          <w:szCs w:val="24"/>
        </w:rPr>
        <w:t xml:space="preserve"> </w:t>
      </w:r>
      <w:r w:rsidRPr="003F6879">
        <w:rPr>
          <w:sz w:val="24"/>
          <w:szCs w:val="24"/>
        </w:rPr>
        <w:t>19</w:t>
      </w:r>
      <w:r>
        <w:rPr>
          <w:sz w:val="24"/>
          <w:szCs w:val="24"/>
        </w:rPr>
        <w:t>(9)</w:t>
      </w:r>
      <w:r w:rsidRPr="003F687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F6879">
        <w:rPr>
          <w:sz w:val="24"/>
          <w:szCs w:val="24"/>
        </w:rPr>
        <w:t>563–8.</w:t>
      </w:r>
    </w:p>
    <w:p w14:paraId="64EF7474" w14:textId="77777777" w:rsidR="00A74B35" w:rsidRPr="003F6879" w:rsidRDefault="00A74B35" w:rsidP="00A74B3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F6879">
        <w:rPr>
          <w:sz w:val="24"/>
          <w:szCs w:val="24"/>
        </w:rPr>
        <w:t xml:space="preserve">Barth W. Persistent occiput posterior. </w:t>
      </w:r>
      <w:proofErr w:type="spellStart"/>
      <w:r w:rsidRPr="003F6879">
        <w:rPr>
          <w:sz w:val="24"/>
          <w:szCs w:val="24"/>
        </w:rPr>
        <w:t>Obstet</w:t>
      </w:r>
      <w:proofErr w:type="spellEnd"/>
      <w:r w:rsidRPr="003F6879">
        <w:rPr>
          <w:sz w:val="24"/>
          <w:szCs w:val="24"/>
        </w:rPr>
        <w:t xml:space="preserve"> Gynecol. 2015;</w:t>
      </w:r>
      <w:r>
        <w:rPr>
          <w:sz w:val="24"/>
          <w:szCs w:val="24"/>
        </w:rPr>
        <w:t xml:space="preserve"> </w:t>
      </w:r>
      <w:r w:rsidRPr="003F6879">
        <w:rPr>
          <w:sz w:val="24"/>
          <w:szCs w:val="24"/>
        </w:rPr>
        <w:t>125(3):</w:t>
      </w:r>
      <w:r>
        <w:rPr>
          <w:sz w:val="24"/>
          <w:szCs w:val="24"/>
        </w:rPr>
        <w:t xml:space="preserve"> </w:t>
      </w:r>
      <w:r w:rsidRPr="003F6879">
        <w:rPr>
          <w:sz w:val="24"/>
          <w:szCs w:val="24"/>
        </w:rPr>
        <w:t>695-709.</w:t>
      </w:r>
    </w:p>
    <w:p w14:paraId="5153769B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24"/>
          <w:szCs w:val="24"/>
        </w:rPr>
      </w:pPr>
      <w:r w:rsidRPr="00AD75BF">
        <w:rPr>
          <w:sz w:val="24"/>
          <w:szCs w:val="24"/>
        </w:rPr>
        <w:t>Smith L on behalf of MBRRACE-UK Perinatal Mortality Surveillance Report UK Perinatal Deaths for Births from January to December 2020. Oxford, UK: National Perinatal Epidemiology Unit, University of Oxford.</w:t>
      </w:r>
    </w:p>
    <w:p w14:paraId="09FA0ACD" w14:textId="77777777" w:rsidR="00A74B35" w:rsidRDefault="00A74B35" w:rsidP="00A74B3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Seddon H. Three types of nerve injury. </w:t>
      </w:r>
      <w:r w:rsidRPr="00AD75BF">
        <w:rPr>
          <w:sz w:val="24"/>
          <w:szCs w:val="24"/>
        </w:rPr>
        <w:t>Brain</w:t>
      </w:r>
      <w:r>
        <w:rPr>
          <w:sz w:val="24"/>
          <w:szCs w:val="24"/>
        </w:rPr>
        <w:t>. 143; 66(4):</w:t>
      </w:r>
      <w:r w:rsidRPr="00AD75BF">
        <w:rPr>
          <w:sz w:val="24"/>
          <w:szCs w:val="24"/>
        </w:rPr>
        <w:t xml:space="preserve"> 237–88</w:t>
      </w:r>
      <w:r>
        <w:rPr>
          <w:sz w:val="24"/>
          <w:szCs w:val="24"/>
        </w:rPr>
        <w:t>.</w:t>
      </w:r>
    </w:p>
    <w:p w14:paraId="587D22ED" w14:textId="77777777" w:rsidR="00A74B35" w:rsidRPr="00333BB0" w:rsidRDefault="00A74B35" w:rsidP="00A74B3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24"/>
          <w:szCs w:val="24"/>
        </w:rPr>
      </w:pPr>
      <w:r w:rsidRPr="00333BB0">
        <w:rPr>
          <w:rFonts w:cstheme="minorHAnsi"/>
          <w:sz w:val="24"/>
          <w:szCs w:val="24"/>
        </w:rPr>
        <w:br w:type="page"/>
      </w:r>
    </w:p>
    <w:p w14:paraId="7C852229" w14:textId="1D75A3C2" w:rsidR="0021122C" w:rsidRPr="0021122C" w:rsidRDefault="006D2EE5" w:rsidP="00AE2F17">
      <w:pPr>
        <w:spacing w:line="480" w:lineRule="auto"/>
        <w:rPr>
          <w:rFonts w:cstheme="minorHAnsi"/>
          <w:b/>
          <w:bCs/>
          <w:sz w:val="24"/>
          <w:szCs w:val="24"/>
        </w:rPr>
      </w:pPr>
      <w:r w:rsidRPr="00AA21F1">
        <w:rPr>
          <w:rFonts w:cstheme="minorHAnsi"/>
          <w:b/>
          <w:bCs/>
          <w:sz w:val="24"/>
          <w:szCs w:val="24"/>
        </w:rPr>
        <w:t>Ta</w:t>
      </w:r>
      <w:bookmarkEnd w:id="1"/>
      <w:r w:rsidR="0021122C" w:rsidRPr="00DC22BC">
        <w:rPr>
          <w:rFonts w:cstheme="minorHAnsi"/>
          <w:b/>
          <w:bCs/>
          <w:sz w:val="24"/>
          <w:szCs w:val="24"/>
        </w:rPr>
        <w:t>ble 1. Maternal and delivery characteristics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3220"/>
        <w:gridCol w:w="3220"/>
        <w:gridCol w:w="844"/>
      </w:tblGrid>
      <w:tr w:rsidR="0021122C" w:rsidRPr="0021122C" w14:paraId="745F2F82" w14:textId="77777777" w:rsidTr="0021122C">
        <w:trPr>
          <w:trHeight w:val="600"/>
        </w:trPr>
        <w:tc>
          <w:tcPr>
            <w:tcW w:w="3340" w:type="dxa"/>
            <w:hideMark/>
          </w:tcPr>
          <w:p w14:paraId="1A7C701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0" w:type="dxa"/>
            <w:hideMark/>
          </w:tcPr>
          <w:p w14:paraId="32E5CDB2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3220" w:type="dxa"/>
            <w:hideMark/>
          </w:tcPr>
          <w:p w14:paraId="3510F23E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BPBI</w:t>
            </w:r>
          </w:p>
        </w:tc>
        <w:tc>
          <w:tcPr>
            <w:tcW w:w="1120" w:type="dxa"/>
            <w:hideMark/>
          </w:tcPr>
          <w:p w14:paraId="662A006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p-value</w:t>
            </w:r>
          </w:p>
        </w:tc>
      </w:tr>
      <w:tr w:rsidR="0021122C" w:rsidRPr="0021122C" w14:paraId="7D990AF7" w14:textId="77777777" w:rsidTr="0021122C">
        <w:trPr>
          <w:trHeight w:val="600"/>
        </w:trPr>
        <w:tc>
          <w:tcPr>
            <w:tcW w:w="3340" w:type="dxa"/>
            <w:hideMark/>
          </w:tcPr>
          <w:p w14:paraId="02AE8D3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Deliveries/newborns</w:t>
            </w:r>
          </w:p>
        </w:tc>
        <w:tc>
          <w:tcPr>
            <w:tcW w:w="3220" w:type="dxa"/>
            <w:hideMark/>
          </w:tcPr>
          <w:p w14:paraId="7D6CE5C6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298428/299219</w:t>
            </w:r>
          </w:p>
        </w:tc>
        <w:tc>
          <w:tcPr>
            <w:tcW w:w="3220" w:type="dxa"/>
            <w:hideMark/>
          </w:tcPr>
          <w:p w14:paraId="55B7D8D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100/100</w:t>
            </w:r>
          </w:p>
        </w:tc>
        <w:tc>
          <w:tcPr>
            <w:tcW w:w="1120" w:type="dxa"/>
            <w:hideMark/>
          </w:tcPr>
          <w:p w14:paraId="0907717A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21122C" w:rsidRPr="0021122C" w14:paraId="7252181D" w14:textId="77777777" w:rsidTr="0021122C">
        <w:trPr>
          <w:trHeight w:val="600"/>
        </w:trPr>
        <w:tc>
          <w:tcPr>
            <w:tcW w:w="3340" w:type="dxa"/>
            <w:hideMark/>
          </w:tcPr>
          <w:p w14:paraId="7346A807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Age (years)</w:t>
            </w:r>
          </w:p>
        </w:tc>
        <w:tc>
          <w:tcPr>
            <w:tcW w:w="3220" w:type="dxa"/>
            <w:hideMark/>
          </w:tcPr>
          <w:p w14:paraId="78A90FF2" w14:textId="4518051F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31.4 </w:t>
            </w:r>
            <w:r w:rsidRPr="0021122C">
              <w:rPr>
                <w:rFonts w:cstheme="minorHAnsi"/>
                <w:sz w:val="20"/>
                <w:szCs w:val="20"/>
              </w:rPr>
              <w:t>(12.3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58.1, SD 5.2)</w:t>
            </w:r>
          </w:p>
        </w:tc>
        <w:tc>
          <w:tcPr>
            <w:tcW w:w="3220" w:type="dxa"/>
            <w:hideMark/>
          </w:tcPr>
          <w:p w14:paraId="08D5BD6A" w14:textId="4589403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31.0 </w:t>
            </w:r>
            <w:r w:rsidRPr="0021122C">
              <w:rPr>
                <w:rFonts w:cstheme="minorHAnsi"/>
                <w:sz w:val="20"/>
                <w:szCs w:val="20"/>
              </w:rPr>
              <w:t>(18.8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41.9, SD 5.2)</w:t>
            </w: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hideMark/>
          </w:tcPr>
          <w:p w14:paraId="0AD040C9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0.399</w:t>
            </w:r>
          </w:p>
        </w:tc>
      </w:tr>
      <w:tr w:rsidR="0021122C" w:rsidRPr="0021122C" w14:paraId="038042C5" w14:textId="77777777" w:rsidTr="0021122C">
        <w:trPr>
          <w:trHeight w:val="600"/>
        </w:trPr>
        <w:tc>
          <w:tcPr>
            <w:tcW w:w="3340" w:type="dxa"/>
            <w:hideMark/>
          </w:tcPr>
          <w:p w14:paraId="5273FA1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BMI</w:t>
            </w:r>
          </w:p>
        </w:tc>
        <w:tc>
          <w:tcPr>
            <w:tcW w:w="3220" w:type="dxa"/>
            <w:hideMark/>
          </w:tcPr>
          <w:p w14:paraId="464EDB77" w14:textId="3D716289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24.2 </w:t>
            </w:r>
            <w:r w:rsidRPr="0021122C">
              <w:rPr>
                <w:rFonts w:cstheme="minorHAnsi"/>
                <w:sz w:val="20"/>
                <w:szCs w:val="20"/>
              </w:rPr>
              <w:t>(12.0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68.0, SD 4.7)</w:t>
            </w:r>
          </w:p>
        </w:tc>
        <w:tc>
          <w:tcPr>
            <w:tcW w:w="3220" w:type="dxa"/>
            <w:hideMark/>
          </w:tcPr>
          <w:p w14:paraId="5A462F28" w14:textId="41DDF278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26.9 </w:t>
            </w:r>
            <w:r w:rsidRPr="0021122C">
              <w:rPr>
                <w:rFonts w:cstheme="minorHAnsi"/>
                <w:sz w:val="20"/>
                <w:szCs w:val="20"/>
              </w:rPr>
              <w:t>(17.5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41.5, SD 4.9)</w:t>
            </w:r>
          </w:p>
        </w:tc>
        <w:tc>
          <w:tcPr>
            <w:tcW w:w="1120" w:type="dxa"/>
            <w:hideMark/>
          </w:tcPr>
          <w:p w14:paraId="518C03F2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00AE4710" w14:textId="77777777" w:rsidTr="0021122C">
        <w:trPr>
          <w:trHeight w:val="600"/>
        </w:trPr>
        <w:tc>
          <w:tcPr>
            <w:tcW w:w="3340" w:type="dxa"/>
            <w:hideMark/>
          </w:tcPr>
          <w:p w14:paraId="6A8E2999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Nulliparity</w:t>
            </w:r>
          </w:p>
        </w:tc>
        <w:tc>
          <w:tcPr>
            <w:tcW w:w="3220" w:type="dxa"/>
            <w:hideMark/>
          </w:tcPr>
          <w:p w14:paraId="6ADECEF6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45.5% </w:t>
            </w:r>
            <w:r w:rsidRPr="0021122C">
              <w:rPr>
                <w:rFonts w:cstheme="minorHAnsi"/>
                <w:sz w:val="20"/>
                <w:szCs w:val="20"/>
              </w:rPr>
              <w:t>(n=134 553)</w:t>
            </w:r>
          </w:p>
        </w:tc>
        <w:tc>
          <w:tcPr>
            <w:tcW w:w="3220" w:type="dxa"/>
            <w:hideMark/>
          </w:tcPr>
          <w:p w14:paraId="00B6A14B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47.0% </w:t>
            </w:r>
            <w:r w:rsidRPr="0021122C">
              <w:rPr>
                <w:rFonts w:cstheme="minorHAnsi"/>
                <w:sz w:val="20"/>
                <w:szCs w:val="20"/>
              </w:rPr>
              <w:t>(n=47)</w:t>
            </w:r>
          </w:p>
        </w:tc>
        <w:tc>
          <w:tcPr>
            <w:tcW w:w="1120" w:type="dxa"/>
            <w:hideMark/>
          </w:tcPr>
          <w:p w14:paraId="79565957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0.770</w:t>
            </w:r>
          </w:p>
        </w:tc>
      </w:tr>
      <w:tr w:rsidR="0021122C" w:rsidRPr="0021122C" w14:paraId="4A51BD65" w14:textId="77777777" w:rsidTr="0021122C">
        <w:trPr>
          <w:trHeight w:val="600"/>
        </w:trPr>
        <w:tc>
          <w:tcPr>
            <w:tcW w:w="3340" w:type="dxa"/>
            <w:hideMark/>
          </w:tcPr>
          <w:p w14:paraId="38E8D168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Diabetes (all)</w:t>
            </w:r>
          </w:p>
        </w:tc>
        <w:tc>
          <w:tcPr>
            <w:tcW w:w="3220" w:type="dxa"/>
            <w:hideMark/>
          </w:tcPr>
          <w:p w14:paraId="56B65D25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12.3% </w:t>
            </w:r>
            <w:r w:rsidRPr="0021122C">
              <w:rPr>
                <w:rFonts w:cstheme="minorHAnsi"/>
                <w:sz w:val="20"/>
                <w:szCs w:val="20"/>
              </w:rPr>
              <w:t>(n=36 379)</w:t>
            </w:r>
          </w:p>
        </w:tc>
        <w:tc>
          <w:tcPr>
            <w:tcW w:w="3220" w:type="dxa"/>
            <w:hideMark/>
          </w:tcPr>
          <w:p w14:paraId="2D203BFE" w14:textId="27B6CFB3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28% </w:t>
            </w:r>
            <w:r w:rsidRPr="0021122C">
              <w:rPr>
                <w:rFonts w:cstheme="minorHAnsi"/>
                <w:sz w:val="20"/>
                <w:szCs w:val="20"/>
              </w:rPr>
              <w:t>(n=28)</w:t>
            </w:r>
          </w:p>
        </w:tc>
        <w:tc>
          <w:tcPr>
            <w:tcW w:w="1120" w:type="dxa"/>
            <w:hideMark/>
          </w:tcPr>
          <w:p w14:paraId="48AA5A29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&lt;0.001</w:t>
            </w:r>
          </w:p>
        </w:tc>
      </w:tr>
      <w:tr w:rsidR="0021122C" w:rsidRPr="0021122C" w14:paraId="5010CE3D" w14:textId="77777777" w:rsidTr="0021122C">
        <w:trPr>
          <w:trHeight w:val="300"/>
        </w:trPr>
        <w:tc>
          <w:tcPr>
            <w:tcW w:w="3340" w:type="dxa"/>
            <w:hideMark/>
          </w:tcPr>
          <w:p w14:paraId="3CDBB81D" w14:textId="2B4ACCFC" w:rsidR="0021122C" w:rsidRPr="0021122C" w:rsidRDefault="001E14C0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  <w:r w:rsidR="0021122C" w:rsidRPr="0021122C">
              <w:rPr>
                <w:rFonts w:cstheme="minorHAnsi"/>
                <w:sz w:val="20"/>
                <w:szCs w:val="20"/>
              </w:rPr>
              <w:t>estational diabetes</w:t>
            </w:r>
          </w:p>
        </w:tc>
        <w:tc>
          <w:tcPr>
            <w:tcW w:w="3220" w:type="dxa"/>
            <w:hideMark/>
          </w:tcPr>
          <w:p w14:paraId="54330401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11.3% (n=33 515)</w:t>
            </w:r>
          </w:p>
        </w:tc>
        <w:tc>
          <w:tcPr>
            <w:tcW w:w="3220" w:type="dxa"/>
            <w:hideMark/>
          </w:tcPr>
          <w:p w14:paraId="442D818A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24% (n=24)</w:t>
            </w:r>
          </w:p>
        </w:tc>
        <w:tc>
          <w:tcPr>
            <w:tcW w:w="1120" w:type="dxa"/>
            <w:hideMark/>
          </w:tcPr>
          <w:p w14:paraId="20CF698B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&lt;0.001</w:t>
            </w:r>
          </w:p>
        </w:tc>
      </w:tr>
      <w:tr w:rsidR="0021122C" w:rsidRPr="0021122C" w14:paraId="176CFDFD" w14:textId="77777777" w:rsidTr="0021122C">
        <w:trPr>
          <w:trHeight w:val="300"/>
        </w:trPr>
        <w:tc>
          <w:tcPr>
            <w:tcW w:w="3340" w:type="dxa"/>
            <w:hideMark/>
          </w:tcPr>
          <w:p w14:paraId="2FC4E4B6" w14:textId="6FA6B9E8" w:rsidR="0021122C" w:rsidRPr="0021122C" w:rsidRDefault="001E14C0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21122C" w:rsidRPr="0021122C">
              <w:rPr>
                <w:rFonts w:cstheme="minorHAnsi"/>
                <w:sz w:val="20"/>
                <w:szCs w:val="20"/>
              </w:rPr>
              <w:t>iabetes type I</w:t>
            </w:r>
          </w:p>
        </w:tc>
        <w:tc>
          <w:tcPr>
            <w:tcW w:w="3220" w:type="dxa"/>
            <w:hideMark/>
          </w:tcPr>
          <w:p w14:paraId="2F86D8D5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 xml:space="preserve"> 0.6% (n=1784)</w:t>
            </w:r>
          </w:p>
        </w:tc>
        <w:tc>
          <w:tcPr>
            <w:tcW w:w="3220" w:type="dxa"/>
            <w:noWrap/>
            <w:hideMark/>
          </w:tcPr>
          <w:p w14:paraId="63393E7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4% (n=4)</w:t>
            </w:r>
          </w:p>
        </w:tc>
        <w:tc>
          <w:tcPr>
            <w:tcW w:w="1120" w:type="dxa"/>
            <w:hideMark/>
          </w:tcPr>
          <w:p w14:paraId="261F3CD2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&lt;0.001</w:t>
            </w:r>
          </w:p>
        </w:tc>
      </w:tr>
      <w:tr w:rsidR="0021122C" w:rsidRPr="0021122C" w14:paraId="3790F6B1" w14:textId="77777777" w:rsidTr="0021122C">
        <w:trPr>
          <w:trHeight w:val="600"/>
        </w:trPr>
        <w:tc>
          <w:tcPr>
            <w:tcW w:w="3340" w:type="dxa"/>
            <w:hideMark/>
          </w:tcPr>
          <w:p w14:paraId="4B588124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Duration of pregnancy (weeks)</w:t>
            </w:r>
          </w:p>
        </w:tc>
        <w:tc>
          <w:tcPr>
            <w:tcW w:w="3220" w:type="dxa"/>
            <w:hideMark/>
          </w:tcPr>
          <w:p w14:paraId="1D5F1EB1" w14:textId="5A6417EA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39.8 </w:t>
            </w:r>
            <w:r w:rsidRPr="0021122C">
              <w:rPr>
                <w:rFonts w:cstheme="minorHAnsi"/>
                <w:sz w:val="20"/>
                <w:szCs w:val="20"/>
              </w:rPr>
              <w:t>(21.6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44.3, SD 1.8)</w:t>
            </w:r>
          </w:p>
        </w:tc>
        <w:tc>
          <w:tcPr>
            <w:tcW w:w="3220" w:type="dxa"/>
            <w:hideMark/>
          </w:tcPr>
          <w:p w14:paraId="65293342" w14:textId="4CF643D3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39.9 </w:t>
            </w:r>
            <w:r w:rsidRPr="0021122C">
              <w:rPr>
                <w:rFonts w:cstheme="minorHAnsi"/>
                <w:sz w:val="20"/>
                <w:szCs w:val="20"/>
              </w:rPr>
              <w:t>(28.9</w:t>
            </w:r>
            <w:r w:rsidR="00485053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42.1, SD 2.1)</w:t>
            </w:r>
          </w:p>
        </w:tc>
        <w:tc>
          <w:tcPr>
            <w:tcW w:w="1120" w:type="dxa"/>
            <w:hideMark/>
          </w:tcPr>
          <w:p w14:paraId="78A04556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0.648</w:t>
            </w:r>
          </w:p>
        </w:tc>
      </w:tr>
      <w:tr w:rsidR="0021122C" w:rsidRPr="0021122C" w14:paraId="5C2AC01C" w14:textId="77777777" w:rsidTr="0021122C">
        <w:trPr>
          <w:trHeight w:val="600"/>
        </w:trPr>
        <w:tc>
          <w:tcPr>
            <w:tcW w:w="3340" w:type="dxa"/>
            <w:hideMark/>
          </w:tcPr>
          <w:p w14:paraId="4F54C748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Cesarean delivery</w:t>
            </w:r>
          </w:p>
        </w:tc>
        <w:tc>
          <w:tcPr>
            <w:tcW w:w="3220" w:type="dxa"/>
            <w:hideMark/>
          </w:tcPr>
          <w:p w14:paraId="026DECFA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18.5% </w:t>
            </w:r>
            <w:r w:rsidRPr="0021122C">
              <w:rPr>
                <w:rFonts w:cstheme="minorHAnsi"/>
                <w:sz w:val="20"/>
                <w:szCs w:val="20"/>
              </w:rPr>
              <w:t>(n=54 788)</w:t>
            </w:r>
          </w:p>
        </w:tc>
        <w:tc>
          <w:tcPr>
            <w:tcW w:w="3220" w:type="dxa"/>
            <w:hideMark/>
          </w:tcPr>
          <w:p w14:paraId="4E28E1C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2%** </w:t>
            </w:r>
            <w:r w:rsidRPr="0021122C">
              <w:rPr>
                <w:rFonts w:cstheme="minorHAnsi"/>
                <w:sz w:val="20"/>
                <w:szCs w:val="20"/>
              </w:rPr>
              <w:t>(n=2)</w:t>
            </w:r>
          </w:p>
        </w:tc>
        <w:tc>
          <w:tcPr>
            <w:tcW w:w="1120" w:type="dxa"/>
            <w:hideMark/>
          </w:tcPr>
          <w:p w14:paraId="116B4B0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4BDF0E50" w14:textId="77777777" w:rsidTr="0021122C">
        <w:trPr>
          <w:trHeight w:val="600"/>
        </w:trPr>
        <w:tc>
          <w:tcPr>
            <w:tcW w:w="3340" w:type="dxa"/>
            <w:hideMark/>
          </w:tcPr>
          <w:p w14:paraId="6F18C737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Induction of labor</w:t>
            </w:r>
          </w:p>
        </w:tc>
        <w:tc>
          <w:tcPr>
            <w:tcW w:w="3220" w:type="dxa"/>
            <w:hideMark/>
          </w:tcPr>
          <w:p w14:paraId="249F690A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24.6% </w:t>
            </w:r>
            <w:r w:rsidRPr="0021122C">
              <w:rPr>
                <w:rFonts w:cstheme="minorHAnsi"/>
                <w:sz w:val="20"/>
                <w:szCs w:val="20"/>
              </w:rPr>
              <w:t>(67 575/274 893)</w:t>
            </w:r>
          </w:p>
        </w:tc>
        <w:tc>
          <w:tcPr>
            <w:tcW w:w="3220" w:type="dxa"/>
            <w:hideMark/>
          </w:tcPr>
          <w:p w14:paraId="128D7961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26% </w:t>
            </w:r>
            <w:r w:rsidRPr="0021122C">
              <w:rPr>
                <w:rFonts w:cstheme="minorHAnsi"/>
                <w:sz w:val="20"/>
                <w:szCs w:val="20"/>
              </w:rPr>
              <w:t>(n=26)</w:t>
            </w:r>
          </w:p>
        </w:tc>
        <w:tc>
          <w:tcPr>
            <w:tcW w:w="1120" w:type="dxa"/>
            <w:hideMark/>
          </w:tcPr>
          <w:p w14:paraId="5876426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0.115</w:t>
            </w:r>
          </w:p>
        </w:tc>
      </w:tr>
      <w:tr w:rsidR="0021122C" w:rsidRPr="0021122C" w14:paraId="36E8F590" w14:textId="77777777" w:rsidTr="0021122C">
        <w:trPr>
          <w:trHeight w:val="600"/>
        </w:trPr>
        <w:tc>
          <w:tcPr>
            <w:tcW w:w="3340" w:type="dxa"/>
            <w:hideMark/>
          </w:tcPr>
          <w:p w14:paraId="4734EE2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Breech delivery</w:t>
            </w:r>
          </w:p>
        </w:tc>
        <w:tc>
          <w:tcPr>
            <w:tcW w:w="3220" w:type="dxa"/>
            <w:hideMark/>
          </w:tcPr>
          <w:p w14:paraId="54A20964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0.7%</w:t>
            </w:r>
            <w:r w:rsidRPr="0021122C">
              <w:rPr>
                <w:rFonts w:cstheme="minorHAnsi"/>
                <w:sz w:val="20"/>
                <w:szCs w:val="20"/>
              </w:rPr>
              <w:t xml:space="preserve"> (n=2023)</w:t>
            </w:r>
          </w:p>
        </w:tc>
        <w:tc>
          <w:tcPr>
            <w:tcW w:w="3220" w:type="dxa"/>
            <w:hideMark/>
          </w:tcPr>
          <w:p w14:paraId="674F2162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6.1%</w:t>
            </w:r>
            <w:r w:rsidRPr="0021122C">
              <w:rPr>
                <w:rFonts w:cstheme="minorHAnsi"/>
                <w:sz w:val="20"/>
                <w:szCs w:val="20"/>
              </w:rPr>
              <w:t xml:space="preserve"> (n=6)</w:t>
            </w:r>
          </w:p>
        </w:tc>
        <w:tc>
          <w:tcPr>
            <w:tcW w:w="1120" w:type="dxa"/>
            <w:hideMark/>
          </w:tcPr>
          <w:p w14:paraId="61C0A78F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0B679D80" w14:textId="77777777" w:rsidTr="0021122C">
        <w:trPr>
          <w:trHeight w:val="600"/>
        </w:trPr>
        <w:tc>
          <w:tcPr>
            <w:tcW w:w="3340" w:type="dxa"/>
            <w:hideMark/>
          </w:tcPr>
          <w:p w14:paraId="22215C46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Stage II duration (minutes)</w:t>
            </w:r>
          </w:p>
        </w:tc>
        <w:tc>
          <w:tcPr>
            <w:tcW w:w="3220" w:type="dxa"/>
            <w:noWrap/>
            <w:hideMark/>
          </w:tcPr>
          <w:p w14:paraId="74DD9D6D" w14:textId="1E94CAFF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30.5</w:t>
            </w:r>
            <w:r w:rsidRPr="0021122C">
              <w:rPr>
                <w:rFonts w:cstheme="minorHAnsi"/>
                <w:sz w:val="20"/>
                <w:szCs w:val="20"/>
              </w:rPr>
              <w:t xml:space="preserve"> (0</w:t>
            </w:r>
            <w:r w:rsidR="00914FA7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90, SD 27.7)</w:t>
            </w:r>
          </w:p>
        </w:tc>
        <w:tc>
          <w:tcPr>
            <w:tcW w:w="3220" w:type="dxa"/>
            <w:hideMark/>
          </w:tcPr>
          <w:p w14:paraId="74ED610B" w14:textId="4D3C6E34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31.2</w:t>
            </w:r>
            <w:r w:rsidRPr="0021122C">
              <w:rPr>
                <w:rFonts w:cstheme="minorHAnsi"/>
                <w:sz w:val="20"/>
                <w:szCs w:val="20"/>
              </w:rPr>
              <w:t xml:space="preserve"> (4</w:t>
            </w:r>
            <w:r w:rsidR="00914FA7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81, SD 18.6)</w:t>
            </w:r>
          </w:p>
        </w:tc>
        <w:tc>
          <w:tcPr>
            <w:tcW w:w="1120" w:type="dxa"/>
            <w:hideMark/>
          </w:tcPr>
          <w:p w14:paraId="51B0EC57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0.07</w:t>
            </w:r>
          </w:p>
        </w:tc>
      </w:tr>
      <w:tr w:rsidR="0021122C" w:rsidRPr="0021122C" w14:paraId="7C7B7E0C" w14:textId="77777777" w:rsidTr="0021122C">
        <w:trPr>
          <w:trHeight w:val="600"/>
        </w:trPr>
        <w:tc>
          <w:tcPr>
            <w:tcW w:w="3340" w:type="dxa"/>
            <w:hideMark/>
          </w:tcPr>
          <w:p w14:paraId="2111ED73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Assisted delivery</w:t>
            </w:r>
          </w:p>
        </w:tc>
        <w:tc>
          <w:tcPr>
            <w:tcW w:w="3220" w:type="dxa"/>
            <w:hideMark/>
          </w:tcPr>
          <w:p w14:paraId="47CF2639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10.1%*</w:t>
            </w:r>
            <w:r w:rsidRPr="0021122C">
              <w:rPr>
                <w:rFonts w:cstheme="minorHAnsi"/>
                <w:sz w:val="20"/>
                <w:szCs w:val="20"/>
              </w:rPr>
              <w:t xml:space="preserve"> (29 704 vacuum 26 forceps)</w:t>
            </w:r>
          </w:p>
        </w:tc>
        <w:tc>
          <w:tcPr>
            <w:tcW w:w="3220" w:type="dxa"/>
            <w:hideMark/>
          </w:tcPr>
          <w:p w14:paraId="70FA438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44.6%* </w:t>
            </w:r>
            <w:r w:rsidRPr="0021122C">
              <w:rPr>
                <w:rFonts w:cstheme="minorHAnsi"/>
                <w:sz w:val="20"/>
                <w:szCs w:val="20"/>
              </w:rPr>
              <w:t>(41/92, all vacuum)</w:t>
            </w:r>
          </w:p>
        </w:tc>
        <w:tc>
          <w:tcPr>
            <w:tcW w:w="1120" w:type="dxa"/>
            <w:hideMark/>
          </w:tcPr>
          <w:p w14:paraId="4BFE792D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5D5C1F57" w14:textId="77777777" w:rsidTr="0021122C">
        <w:trPr>
          <w:trHeight w:val="600"/>
        </w:trPr>
        <w:tc>
          <w:tcPr>
            <w:tcW w:w="3340" w:type="dxa"/>
            <w:hideMark/>
          </w:tcPr>
          <w:p w14:paraId="289F963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Shoulder dystocia</w:t>
            </w:r>
          </w:p>
        </w:tc>
        <w:tc>
          <w:tcPr>
            <w:tcW w:w="3220" w:type="dxa"/>
            <w:hideMark/>
          </w:tcPr>
          <w:p w14:paraId="0D5349A7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0.3%*</w:t>
            </w:r>
            <w:r w:rsidRPr="0021122C">
              <w:rPr>
                <w:rFonts w:cstheme="minorHAnsi"/>
                <w:sz w:val="20"/>
                <w:szCs w:val="20"/>
              </w:rPr>
              <w:t xml:space="preserve"> (663/240 640)</w:t>
            </w:r>
          </w:p>
        </w:tc>
        <w:tc>
          <w:tcPr>
            <w:tcW w:w="3220" w:type="dxa"/>
            <w:hideMark/>
          </w:tcPr>
          <w:p w14:paraId="4F3D3494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57.6%* </w:t>
            </w:r>
            <w:r w:rsidRPr="0021122C">
              <w:rPr>
                <w:rFonts w:cstheme="minorHAnsi"/>
                <w:sz w:val="20"/>
                <w:szCs w:val="20"/>
              </w:rPr>
              <w:t>(n=53/92)</w:t>
            </w:r>
          </w:p>
        </w:tc>
        <w:tc>
          <w:tcPr>
            <w:tcW w:w="1120" w:type="dxa"/>
            <w:hideMark/>
          </w:tcPr>
          <w:p w14:paraId="7A16F258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68508848" w14:textId="77777777" w:rsidTr="0021122C">
        <w:trPr>
          <w:trHeight w:val="600"/>
        </w:trPr>
        <w:tc>
          <w:tcPr>
            <w:tcW w:w="3340" w:type="dxa"/>
            <w:hideMark/>
          </w:tcPr>
          <w:p w14:paraId="322B32B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Birth weight</w:t>
            </w:r>
          </w:p>
        </w:tc>
        <w:tc>
          <w:tcPr>
            <w:tcW w:w="3220" w:type="dxa"/>
            <w:hideMark/>
          </w:tcPr>
          <w:p w14:paraId="3E461FE0" w14:textId="225CAB5E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 3477 </w:t>
            </w:r>
            <w:r w:rsidRPr="0021122C">
              <w:rPr>
                <w:rFonts w:cstheme="minorHAnsi"/>
                <w:sz w:val="20"/>
                <w:szCs w:val="20"/>
              </w:rPr>
              <w:t>(400</w:t>
            </w:r>
            <w:r w:rsidR="00914FA7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6150, SD 573)</w:t>
            </w:r>
          </w:p>
        </w:tc>
        <w:tc>
          <w:tcPr>
            <w:tcW w:w="3220" w:type="dxa"/>
            <w:hideMark/>
          </w:tcPr>
          <w:p w14:paraId="2341BC74" w14:textId="5826ECE5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 xml:space="preserve">4107 </w:t>
            </w:r>
            <w:r w:rsidRPr="0021122C">
              <w:rPr>
                <w:rFonts w:cstheme="minorHAnsi"/>
                <w:sz w:val="20"/>
                <w:szCs w:val="20"/>
              </w:rPr>
              <w:t>(780</w:t>
            </w:r>
            <w:r w:rsidR="00914FA7">
              <w:rPr>
                <w:rFonts w:cstheme="minorHAnsi"/>
                <w:sz w:val="20"/>
                <w:szCs w:val="20"/>
              </w:rPr>
              <w:t>–</w:t>
            </w:r>
            <w:r w:rsidRPr="0021122C">
              <w:rPr>
                <w:rFonts w:cstheme="minorHAnsi"/>
                <w:sz w:val="20"/>
                <w:szCs w:val="20"/>
              </w:rPr>
              <w:t>5580, SD 677)</w:t>
            </w:r>
          </w:p>
        </w:tc>
        <w:tc>
          <w:tcPr>
            <w:tcW w:w="1120" w:type="dxa"/>
            <w:hideMark/>
          </w:tcPr>
          <w:p w14:paraId="2BE76D15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117F3233" w14:textId="77777777" w:rsidTr="0021122C">
        <w:trPr>
          <w:trHeight w:val="600"/>
        </w:trPr>
        <w:tc>
          <w:tcPr>
            <w:tcW w:w="3340" w:type="dxa"/>
            <w:hideMark/>
          </w:tcPr>
          <w:p w14:paraId="74892132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Immigrant mother</w:t>
            </w:r>
          </w:p>
        </w:tc>
        <w:tc>
          <w:tcPr>
            <w:tcW w:w="3220" w:type="dxa"/>
            <w:hideMark/>
          </w:tcPr>
          <w:p w14:paraId="4BCB82B5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17.6%</w:t>
            </w:r>
            <w:r w:rsidRPr="0021122C">
              <w:rPr>
                <w:rFonts w:cstheme="minorHAnsi"/>
                <w:sz w:val="20"/>
                <w:szCs w:val="20"/>
              </w:rPr>
              <w:t xml:space="preserve"> (n=52725)</w:t>
            </w:r>
          </w:p>
        </w:tc>
        <w:tc>
          <w:tcPr>
            <w:tcW w:w="3220" w:type="dxa"/>
            <w:hideMark/>
          </w:tcPr>
          <w:p w14:paraId="59624A38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32%</w:t>
            </w:r>
            <w:r w:rsidRPr="0021122C">
              <w:rPr>
                <w:rFonts w:cstheme="minorHAnsi"/>
                <w:sz w:val="20"/>
                <w:szCs w:val="20"/>
              </w:rPr>
              <w:t xml:space="preserve"> (n=32/100) </w:t>
            </w:r>
          </w:p>
        </w:tc>
        <w:tc>
          <w:tcPr>
            <w:tcW w:w="1120" w:type="dxa"/>
            <w:hideMark/>
          </w:tcPr>
          <w:p w14:paraId="2AC638D6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1122C">
              <w:rPr>
                <w:rFonts w:cstheme="minorHAnsi"/>
                <w:b/>
                <w:bCs/>
                <w:sz w:val="20"/>
                <w:szCs w:val="20"/>
              </w:rPr>
              <w:t> &lt;0.001</w:t>
            </w:r>
          </w:p>
        </w:tc>
      </w:tr>
      <w:tr w:rsidR="0021122C" w:rsidRPr="0021122C" w14:paraId="2D684FA7" w14:textId="77777777" w:rsidTr="0021122C">
        <w:trPr>
          <w:trHeight w:val="300"/>
        </w:trPr>
        <w:tc>
          <w:tcPr>
            <w:tcW w:w="3340" w:type="dxa"/>
            <w:hideMark/>
          </w:tcPr>
          <w:p w14:paraId="57B59ACE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African</w:t>
            </w:r>
          </w:p>
        </w:tc>
        <w:tc>
          <w:tcPr>
            <w:tcW w:w="3220" w:type="dxa"/>
            <w:hideMark/>
          </w:tcPr>
          <w:p w14:paraId="6D00A73A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3.9% (n=11738)</w:t>
            </w:r>
          </w:p>
        </w:tc>
        <w:tc>
          <w:tcPr>
            <w:tcW w:w="3220" w:type="dxa"/>
            <w:hideMark/>
          </w:tcPr>
          <w:p w14:paraId="4D1C4678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18% (18/100)</w:t>
            </w:r>
          </w:p>
        </w:tc>
        <w:tc>
          <w:tcPr>
            <w:tcW w:w="1120" w:type="dxa"/>
            <w:hideMark/>
          </w:tcPr>
          <w:p w14:paraId="50C840BC" w14:textId="77777777" w:rsidR="0021122C" w:rsidRPr="0021122C" w:rsidRDefault="0021122C" w:rsidP="0021122C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21122C">
              <w:rPr>
                <w:rFonts w:cstheme="minorHAnsi"/>
                <w:sz w:val="20"/>
                <w:szCs w:val="20"/>
              </w:rPr>
              <w:t>&lt;0.001</w:t>
            </w:r>
          </w:p>
        </w:tc>
      </w:tr>
    </w:tbl>
    <w:p w14:paraId="2D3BADB9" w14:textId="756D488C" w:rsidR="00A27C66" w:rsidRPr="00AA21F1" w:rsidRDefault="00A27C66" w:rsidP="00AE2F17">
      <w:pPr>
        <w:spacing w:line="480" w:lineRule="auto"/>
        <w:rPr>
          <w:rFonts w:cstheme="minorHAnsi"/>
          <w:sz w:val="20"/>
          <w:szCs w:val="20"/>
        </w:rPr>
      </w:pPr>
    </w:p>
    <w:p w14:paraId="4969913C" w14:textId="2AD5E0D8" w:rsidR="0021122C" w:rsidRPr="0021122C" w:rsidRDefault="006A13F3" w:rsidP="0021122C">
      <w:pPr>
        <w:spacing w:line="480" w:lineRule="auto"/>
        <w:rPr>
          <w:rFonts w:cstheme="minorHAnsi"/>
          <w:sz w:val="24"/>
          <w:szCs w:val="24"/>
        </w:rPr>
      </w:pPr>
      <w:r w:rsidRPr="00DC22BC">
        <w:rPr>
          <w:rFonts w:cstheme="minorHAnsi"/>
          <w:sz w:val="24"/>
          <w:szCs w:val="24"/>
        </w:rPr>
        <w:t>B</w:t>
      </w:r>
      <w:r w:rsidR="00470A70" w:rsidRPr="00DC22BC">
        <w:rPr>
          <w:rFonts w:cstheme="minorHAnsi"/>
          <w:sz w:val="24"/>
          <w:szCs w:val="24"/>
        </w:rPr>
        <w:t>irth data from the</w:t>
      </w:r>
      <w:r w:rsidR="00DC22BC">
        <w:rPr>
          <w:rFonts w:cstheme="minorHAnsi"/>
          <w:sz w:val="24"/>
          <w:szCs w:val="24"/>
        </w:rPr>
        <w:t xml:space="preserve"> reference</w:t>
      </w:r>
      <w:r w:rsidR="00DC22BC" w:rsidRPr="00DC22BC">
        <w:rPr>
          <w:rFonts w:cstheme="minorHAnsi"/>
          <w:sz w:val="24"/>
          <w:szCs w:val="24"/>
        </w:rPr>
        <w:t xml:space="preserve"> </w:t>
      </w:r>
      <w:r w:rsidR="00FE3198" w:rsidRPr="00DC22BC">
        <w:rPr>
          <w:rFonts w:cstheme="minorHAnsi"/>
          <w:sz w:val="24"/>
          <w:szCs w:val="24"/>
        </w:rPr>
        <w:t xml:space="preserve">and </w:t>
      </w:r>
      <w:r w:rsidR="00470A70" w:rsidRPr="00DC22BC">
        <w:rPr>
          <w:rFonts w:cstheme="minorHAnsi"/>
          <w:sz w:val="24"/>
          <w:szCs w:val="24"/>
        </w:rPr>
        <w:t xml:space="preserve">study population </w:t>
      </w:r>
      <w:r w:rsidR="00FE3198" w:rsidRPr="00DC22BC">
        <w:rPr>
          <w:rFonts w:cstheme="minorHAnsi"/>
          <w:sz w:val="24"/>
          <w:szCs w:val="24"/>
        </w:rPr>
        <w:t>between 2006 and 2022</w:t>
      </w:r>
      <w:r w:rsidR="00470A70" w:rsidRPr="00DC22BC">
        <w:rPr>
          <w:rFonts w:cstheme="minorHAnsi"/>
          <w:sz w:val="24"/>
          <w:szCs w:val="24"/>
        </w:rPr>
        <w:t xml:space="preserve">. </w:t>
      </w:r>
      <w:r w:rsidR="000D313F" w:rsidRPr="00DC22BC">
        <w:rPr>
          <w:rFonts w:cstheme="minorHAnsi"/>
          <w:sz w:val="24"/>
          <w:szCs w:val="24"/>
        </w:rPr>
        <w:t xml:space="preserve">Body mass index (BMI) as reported at </w:t>
      </w:r>
      <w:r w:rsidR="00485053">
        <w:rPr>
          <w:rFonts w:cstheme="minorHAnsi"/>
          <w:sz w:val="24"/>
          <w:szCs w:val="24"/>
        </w:rPr>
        <w:t xml:space="preserve">the </w:t>
      </w:r>
      <w:r w:rsidR="000D313F" w:rsidRPr="00DC22BC">
        <w:rPr>
          <w:rFonts w:cstheme="minorHAnsi"/>
          <w:sz w:val="24"/>
          <w:szCs w:val="24"/>
        </w:rPr>
        <w:t xml:space="preserve">start of </w:t>
      </w:r>
      <w:r w:rsidR="00485053">
        <w:rPr>
          <w:rFonts w:cstheme="minorHAnsi"/>
          <w:sz w:val="24"/>
          <w:szCs w:val="24"/>
        </w:rPr>
        <w:t xml:space="preserve">the </w:t>
      </w:r>
      <w:r w:rsidR="000D313F" w:rsidRPr="00DC22BC">
        <w:rPr>
          <w:rFonts w:cstheme="minorHAnsi"/>
          <w:sz w:val="24"/>
          <w:szCs w:val="24"/>
        </w:rPr>
        <w:t>pregnancy.</w:t>
      </w:r>
      <w:r w:rsidR="00557E20" w:rsidRPr="00DC22BC">
        <w:rPr>
          <w:rFonts w:cstheme="minorHAnsi"/>
          <w:sz w:val="24"/>
          <w:szCs w:val="24"/>
        </w:rPr>
        <w:t xml:space="preserve"> Comparison</w:t>
      </w:r>
      <w:r w:rsidR="00914FA7">
        <w:rPr>
          <w:rFonts w:cstheme="minorHAnsi"/>
          <w:sz w:val="24"/>
          <w:szCs w:val="24"/>
        </w:rPr>
        <w:t>s</w:t>
      </w:r>
      <w:r w:rsidR="00557E20" w:rsidRPr="00DC22BC">
        <w:rPr>
          <w:rFonts w:cstheme="minorHAnsi"/>
          <w:sz w:val="24"/>
          <w:szCs w:val="24"/>
        </w:rPr>
        <w:t xml:space="preserve"> between the groups w</w:t>
      </w:r>
      <w:r w:rsidR="000A40E5">
        <w:rPr>
          <w:rFonts w:cstheme="minorHAnsi"/>
          <w:sz w:val="24"/>
          <w:szCs w:val="24"/>
        </w:rPr>
        <w:t>ere</w:t>
      </w:r>
      <w:r w:rsidR="00557E20" w:rsidRPr="00DC22BC">
        <w:rPr>
          <w:rFonts w:cstheme="minorHAnsi"/>
          <w:sz w:val="24"/>
          <w:szCs w:val="24"/>
        </w:rPr>
        <w:t xml:space="preserve"> </w:t>
      </w:r>
      <w:r w:rsidR="00914FA7">
        <w:rPr>
          <w:rFonts w:cstheme="minorHAnsi"/>
          <w:sz w:val="24"/>
          <w:szCs w:val="24"/>
        </w:rPr>
        <w:t>made</w:t>
      </w:r>
      <w:r w:rsidR="00557E20" w:rsidRPr="00DC22BC">
        <w:rPr>
          <w:rFonts w:cstheme="minorHAnsi"/>
          <w:sz w:val="24"/>
          <w:szCs w:val="24"/>
        </w:rPr>
        <w:t xml:space="preserve"> using the chi</w:t>
      </w:r>
      <w:r w:rsidR="00485053">
        <w:rPr>
          <w:rFonts w:cstheme="minorHAnsi"/>
          <w:sz w:val="24"/>
          <w:szCs w:val="24"/>
        </w:rPr>
        <w:t>-</w:t>
      </w:r>
      <w:r w:rsidR="00557E20" w:rsidRPr="00DC22BC">
        <w:rPr>
          <w:rFonts w:cstheme="minorHAnsi"/>
          <w:sz w:val="24"/>
          <w:szCs w:val="24"/>
        </w:rPr>
        <w:t>square and t-test</w:t>
      </w:r>
      <w:r w:rsidR="001E14C0">
        <w:rPr>
          <w:rFonts w:cstheme="minorHAnsi"/>
          <w:sz w:val="24"/>
          <w:szCs w:val="24"/>
        </w:rPr>
        <w:t>s</w:t>
      </w:r>
      <w:r w:rsidR="00557E20" w:rsidRPr="00DC22BC">
        <w:rPr>
          <w:rFonts w:cstheme="minorHAnsi"/>
          <w:sz w:val="24"/>
          <w:szCs w:val="24"/>
        </w:rPr>
        <w:t xml:space="preserve">. </w:t>
      </w:r>
      <w:r w:rsidR="001A0A00">
        <w:rPr>
          <w:rFonts w:cstheme="minorHAnsi"/>
          <w:sz w:val="24"/>
          <w:szCs w:val="24"/>
        </w:rPr>
        <w:t xml:space="preserve">Results </w:t>
      </w:r>
      <w:r w:rsidR="00485053">
        <w:rPr>
          <w:rFonts w:cstheme="minorHAnsi"/>
          <w:sz w:val="24"/>
          <w:szCs w:val="24"/>
        </w:rPr>
        <w:t xml:space="preserve">are </w:t>
      </w:r>
      <w:r w:rsidR="001A0A00">
        <w:rPr>
          <w:rFonts w:cstheme="minorHAnsi"/>
          <w:sz w:val="24"/>
          <w:szCs w:val="24"/>
        </w:rPr>
        <w:t>expressed in mean with range and standard deviation (SD) or rate (%) and number (n).</w:t>
      </w:r>
      <w:r w:rsidR="000D313F" w:rsidRPr="00DC22BC">
        <w:rPr>
          <w:rFonts w:cstheme="minorHAnsi"/>
          <w:sz w:val="24"/>
          <w:szCs w:val="24"/>
        </w:rPr>
        <w:t xml:space="preserve"> </w:t>
      </w:r>
      <w:r w:rsidR="00C96AC6" w:rsidRPr="00DC22BC">
        <w:rPr>
          <w:rFonts w:cstheme="minorHAnsi"/>
          <w:sz w:val="20"/>
          <w:szCs w:val="20"/>
        </w:rPr>
        <w:t>*</w:t>
      </w:r>
      <w:r w:rsidR="00C96AC6" w:rsidRPr="00DC22BC">
        <w:rPr>
          <w:rFonts w:cstheme="minorHAnsi"/>
          <w:sz w:val="24"/>
          <w:szCs w:val="24"/>
        </w:rPr>
        <w:t>Breech and cesarean deliveries were excluded</w:t>
      </w:r>
      <w:r w:rsidR="00485053">
        <w:rPr>
          <w:rFonts w:cstheme="minorHAnsi"/>
          <w:sz w:val="24"/>
          <w:szCs w:val="24"/>
        </w:rPr>
        <w:t>;</w:t>
      </w:r>
      <w:r w:rsidR="002D709B" w:rsidRPr="00DC22BC">
        <w:rPr>
          <w:rFonts w:cstheme="minorHAnsi"/>
          <w:sz w:val="24"/>
          <w:szCs w:val="24"/>
        </w:rPr>
        <w:t xml:space="preserve"> </w:t>
      </w:r>
      <w:r w:rsidR="002D709B" w:rsidRPr="00DC22BC">
        <w:rPr>
          <w:rFonts w:cstheme="minorHAnsi"/>
          <w:sz w:val="20"/>
          <w:szCs w:val="20"/>
        </w:rPr>
        <w:t>**</w:t>
      </w:r>
      <w:r w:rsidR="002D709B" w:rsidRPr="00DC22BC">
        <w:rPr>
          <w:rFonts w:cstheme="minorHAnsi"/>
          <w:sz w:val="24"/>
          <w:szCs w:val="24"/>
        </w:rPr>
        <w:t xml:space="preserve">both were emergency cesarean deliveries (placental abruption and </w:t>
      </w:r>
      <w:r w:rsidR="00DC22BC">
        <w:rPr>
          <w:rFonts w:cstheme="minorHAnsi"/>
          <w:sz w:val="24"/>
          <w:szCs w:val="24"/>
        </w:rPr>
        <w:t>unexpected</w:t>
      </w:r>
      <w:r w:rsidR="002D709B" w:rsidRPr="00DC22BC">
        <w:rPr>
          <w:rFonts w:cstheme="minorHAnsi"/>
          <w:sz w:val="24"/>
          <w:szCs w:val="24"/>
        </w:rPr>
        <w:t xml:space="preserve"> breech in spontaneously started deliveries)</w:t>
      </w:r>
      <w:r w:rsidR="0021122C">
        <w:rPr>
          <w:rFonts w:cstheme="minorHAnsi"/>
          <w:sz w:val="24"/>
          <w:szCs w:val="24"/>
        </w:rPr>
        <w:t>.</w:t>
      </w:r>
      <w:r w:rsidR="0021122C">
        <w:rPr>
          <w:rFonts w:cstheme="minorHAnsi"/>
          <w:b/>
          <w:bCs/>
          <w:sz w:val="24"/>
          <w:szCs w:val="24"/>
        </w:rPr>
        <w:br w:type="page"/>
      </w:r>
    </w:p>
    <w:p w14:paraId="15AE9546" w14:textId="6A1F8978" w:rsidR="001A0A00" w:rsidRPr="00465F1D" w:rsidRDefault="00DB55E7" w:rsidP="00465F1D">
      <w:pPr>
        <w:spacing w:line="480" w:lineRule="auto"/>
        <w:rPr>
          <w:rFonts w:cstheme="minorHAnsi"/>
          <w:b/>
          <w:bCs/>
          <w:sz w:val="24"/>
          <w:szCs w:val="24"/>
        </w:rPr>
      </w:pPr>
      <w:r w:rsidRPr="00AA21F1">
        <w:rPr>
          <w:rFonts w:cstheme="minorHAnsi"/>
          <w:b/>
          <w:bCs/>
          <w:sz w:val="24"/>
          <w:szCs w:val="24"/>
        </w:rPr>
        <w:t>Table 2</w:t>
      </w:r>
      <w:r w:rsidR="00DE5A71">
        <w:rPr>
          <w:rFonts w:cstheme="minorHAnsi"/>
          <w:b/>
          <w:bCs/>
          <w:sz w:val="24"/>
          <w:szCs w:val="24"/>
        </w:rPr>
        <w:t xml:space="preserve">. </w:t>
      </w:r>
      <w:r w:rsidR="00EF7E4D">
        <w:rPr>
          <w:b/>
          <w:bCs/>
        </w:rPr>
        <w:t xml:space="preserve">Differences in delivery </w:t>
      </w:r>
      <w:r w:rsidR="00DE5A71" w:rsidRPr="00DC22BC">
        <w:rPr>
          <w:b/>
          <w:bCs/>
        </w:rPr>
        <w:t xml:space="preserve">characteristics </w:t>
      </w:r>
      <w:r w:rsidR="00465F1D">
        <w:rPr>
          <w:b/>
          <w:bCs/>
        </w:rPr>
        <w:t>between Caucasian and non-white mothers to children with a permanent brachial plexus birth injury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0"/>
        <w:gridCol w:w="2659"/>
        <w:gridCol w:w="2593"/>
        <w:gridCol w:w="1408"/>
      </w:tblGrid>
      <w:tr w:rsidR="001A0A00" w:rsidRPr="001A0A00" w14:paraId="1B197808" w14:textId="77777777" w:rsidTr="001A0A00">
        <w:trPr>
          <w:trHeight w:val="600"/>
        </w:trPr>
        <w:tc>
          <w:tcPr>
            <w:tcW w:w="3220" w:type="dxa"/>
            <w:hideMark/>
          </w:tcPr>
          <w:p w14:paraId="65A16A25" w14:textId="77777777" w:rsidR="001A0A00" w:rsidRPr="001A0A00" w:rsidRDefault="001A0A00" w:rsidP="001A0A00">
            <w:pPr>
              <w:spacing w:line="480" w:lineRule="auto"/>
            </w:pPr>
            <w:r w:rsidRPr="001A0A00">
              <w:t> </w:t>
            </w:r>
          </w:p>
        </w:tc>
        <w:tc>
          <w:tcPr>
            <w:tcW w:w="3220" w:type="dxa"/>
            <w:hideMark/>
          </w:tcPr>
          <w:p w14:paraId="7C71E91D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Caucasian</w:t>
            </w:r>
          </w:p>
        </w:tc>
        <w:tc>
          <w:tcPr>
            <w:tcW w:w="3220" w:type="dxa"/>
            <w:hideMark/>
          </w:tcPr>
          <w:p w14:paraId="3908F39F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Non-white</w:t>
            </w:r>
          </w:p>
        </w:tc>
        <w:tc>
          <w:tcPr>
            <w:tcW w:w="1660" w:type="dxa"/>
            <w:hideMark/>
          </w:tcPr>
          <w:p w14:paraId="2776FEC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p-value</w:t>
            </w:r>
          </w:p>
        </w:tc>
      </w:tr>
      <w:tr w:rsidR="001A0A00" w:rsidRPr="001A0A00" w14:paraId="5C36204A" w14:textId="77777777" w:rsidTr="001A0A00">
        <w:trPr>
          <w:trHeight w:val="600"/>
        </w:trPr>
        <w:tc>
          <w:tcPr>
            <w:tcW w:w="3220" w:type="dxa"/>
            <w:hideMark/>
          </w:tcPr>
          <w:p w14:paraId="3B1E8CE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Number of deliveries</w:t>
            </w:r>
          </w:p>
        </w:tc>
        <w:tc>
          <w:tcPr>
            <w:tcW w:w="3220" w:type="dxa"/>
            <w:hideMark/>
          </w:tcPr>
          <w:p w14:paraId="1E10EE30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76</w:t>
            </w:r>
          </w:p>
        </w:tc>
        <w:tc>
          <w:tcPr>
            <w:tcW w:w="3220" w:type="dxa"/>
            <w:hideMark/>
          </w:tcPr>
          <w:p w14:paraId="0A8E609D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24</w:t>
            </w:r>
          </w:p>
        </w:tc>
        <w:tc>
          <w:tcPr>
            <w:tcW w:w="1660" w:type="dxa"/>
            <w:hideMark/>
          </w:tcPr>
          <w:p w14:paraId="131D0AD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NA</w:t>
            </w:r>
          </w:p>
        </w:tc>
      </w:tr>
      <w:tr w:rsidR="001A0A00" w:rsidRPr="001A0A00" w14:paraId="5D532EC1" w14:textId="77777777" w:rsidTr="001A0A00">
        <w:trPr>
          <w:trHeight w:val="600"/>
        </w:trPr>
        <w:tc>
          <w:tcPr>
            <w:tcW w:w="3220" w:type="dxa"/>
            <w:hideMark/>
          </w:tcPr>
          <w:p w14:paraId="2381A195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Age</w:t>
            </w:r>
            <w:r w:rsidRPr="001A0A00">
              <w:t xml:space="preserve"> </w:t>
            </w:r>
            <w:r w:rsidRPr="001A0A00">
              <w:rPr>
                <w:b/>
                <w:bCs/>
              </w:rPr>
              <w:t>(years)</w:t>
            </w:r>
          </w:p>
        </w:tc>
        <w:tc>
          <w:tcPr>
            <w:tcW w:w="3220" w:type="dxa"/>
            <w:hideMark/>
          </w:tcPr>
          <w:p w14:paraId="3F209DC8" w14:textId="56E9B9FA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31.7 </w:t>
            </w:r>
            <w:r w:rsidRPr="001A0A00">
              <w:t>(19.4</w:t>
            </w:r>
            <w:r w:rsidR="00485053">
              <w:t>–</w:t>
            </w:r>
            <w:r w:rsidRPr="001A0A00">
              <w:t>41.9, SD 5.0)</w:t>
            </w:r>
          </w:p>
        </w:tc>
        <w:tc>
          <w:tcPr>
            <w:tcW w:w="3220" w:type="dxa"/>
            <w:hideMark/>
          </w:tcPr>
          <w:p w14:paraId="6151D486" w14:textId="5F908F8C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29.2 </w:t>
            </w:r>
            <w:r w:rsidRPr="001A0A00">
              <w:t>(18.8</w:t>
            </w:r>
            <w:r w:rsidR="00485053">
              <w:t>–</w:t>
            </w:r>
            <w:r w:rsidRPr="001A0A00">
              <w:t>40.3, SD 5.6)</w:t>
            </w:r>
          </w:p>
        </w:tc>
        <w:tc>
          <w:tcPr>
            <w:tcW w:w="1660" w:type="dxa"/>
            <w:hideMark/>
          </w:tcPr>
          <w:p w14:paraId="1B5314D7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0.08</w:t>
            </w:r>
          </w:p>
        </w:tc>
      </w:tr>
      <w:tr w:rsidR="001A0A00" w:rsidRPr="001A0A00" w14:paraId="6A318DF9" w14:textId="77777777" w:rsidTr="001A0A00">
        <w:trPr>
          <w:trHeight w:val="600"/>
        </w:trPr>
        <w:tc>
          <w:tcPr>
            <w:tcW w:w="3220" w:type="dxa"/>
            <w:hideMark/>
          </w:tcPr>
          <w:p w14:paraId="5B359A39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BMI</w:t>
            </w:r>
            <w:r w:rsidRPr="001A0A00">
              <w:t xml:space="preserve"> </w:t>
            </w:r>
          </w:p>
        </w:tc>
        <w:tc>
          <w:tcPr>
            <w:tcW w:w="3220" w:type="dxa"/>
            <w:hideMark/>
          </w:tcPr>
          <w:p w14:paraId="326A5D11" w14:textId="47DFE4FF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26.1 </w:t>
            </w:r>
            <w:r w:rsidRPr="001A0A00">
              <w:t>(19.3</w:t>
            </w:r>
            <w:r w:rsidR="00485053">
              <w:t>–</w:t>
            </w:r>
            <w:r w:rsidRPr="001A0A00">
              <w:t>41.5, SD 4.6)</w:t>
            </w:r>
          </w:p>
        </w:tc>
        <w:tc>
          <w:tcPr>
            <w:tcW w:w="3220" w:type="dxa"/>
            <w:hideMark/>
          </w:tcPr>
          <w:p w14:paraId="35811F48" w14:textId="7360DD21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28.3 </w:t>
            </w:r>
            <w:r w:rsidRPr="001A0A00">
              <w:t>(20.1</w:t>
            </w:r>
            <w:r w:rsidR="00485053">
              <w:t>–</w:t>
            </w:r>
            <w:r w:rsidRPr="001A0A00">
              <w:t>40.0, SD 5.3)</w:t>
            </w:r>
          </w:p>
        </w:tc>
        <w:tc>
          <w:tcPr>
            <w:tcW w:w="1660" w:type="dxa"/>
            <w:hideMark/>
          </w:tcPr>
          <w:p w14:paraId="3599D949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0.03</w:t>
            </w:r>
          </w:p>
        </w:tc>
      </w:tr>
      <w:tr w:rsidR="001A0A00" w:rsidRPr="001A0A00" w14:paraId="2E2F6AE2" w14:textId="77777777" w:rsidTr="001A0A00">
        <w:trPr>
          <w:trHeight w:val="600"/>
        </w:trPr>
        <w:tc>
          <w:tcPr>
            <w:tcW w:w="3220" w:type="dxa"/>
            <w:hideMark/>
          </w:tcPr>
          <w:p w14:paraId="0A207C1A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Nulliparity </w:t>
            </w:r>
          </w:p>
        </w:tc>
        <w:tc>
          <w:tcPr>
            <w:tcW w:w="3220" w:type="dxa"/>
            <w:hideMark/>
          </w:tcPr>
          <w:p w14:paraId="1B45A17A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47.4% </w:t>
            </w:r>
            <w:r w:rsidRPr="001A0A00">
              <w:t>(n=36)</w:t>
            </w:r>
          </w:p>
        </w:tc>
        <w:tc>
          <w:tcPr>
            <w:tcW w:w="3220" w:type="dxa"/>
            <w:hideMark/>
          </w:tcPr>
          <w:p w14:paraId="5950895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25% </w:t>
            </w:r>
            <w:r w:rsidRPr="001A0A00">
              <w:t>(n=6)</w:t>
            </w:r>
          </w:p>
        </w:tc>
        <w:tc>
          <w:tcPr>
            <w:tcW w:w="1660" w:type="dxa"/>
            <w:hideMark/>
          </w:tcPr>
          <w:p w14:paraId="01B23F34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0.012</w:t>
            </w:r>
          </w:p>
        </w:tc>
      </w:tr>
      <w:tr w:rsidR="001A0A00" w:rsidRPr="001A0A00" w14:paraId="4423EA49" w14:textId="77777777" w:rsidTr="001A0A00">
        <w:trPr>
          <w:trHeight w:val="600"/>
        </w:trPr>
        <w:tc>
          <w:tcPr>
            <w:tcW w:w="3220" w:type="dxa"/>
            <w:hideMark/>
          </w:tcPr>
          <w:p w14:paraId="6C243465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Diabetes (all) </w:t>
            </w:r>
          </w:p>
        </w:tc>
        <w:tc>
          <w:tcPr>
            <w:tcW w:w="3220" w:type="dxa"/>
            <w:hideMark/>
          </w:tcPr>
          <w:p w14:paraId="43FB04CC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26.3%</w:t>
            </w:r>
            <w:r w:rsidRPr="001A0A00">
              <w:t xml:space="preserve"> (n=20)</w:t>
            </w:r>
          </w:p>
        </w:tc>
        <w:tc>
          <w:tcPr>
            <w:tcW w:w="3220" w:type="dxa"/>
            <w:hideMark/>
          </w:tcPr>
          <w:p w14:paraId="0FF3D490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33.3%</w:t>
            </w:r>
            <w:r w:rsidRPr="001A0A00">
              <w:t xml:space="preserve"> (n=8)</w:t>
            </w:r>
          </w:p>
        </w:tc>
        <w:tc>
          <w:tcPr>
            <w:tcW w:w="1660" w:type="dxa"/>
            <w:hideMark/>
          </w:tcPr>
          <w:p w14:paraId="182E529C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0.54</w:t>
            </w:r>
          </w:p>
        </w:tc>
      </w:tr>
      <w:tr w:rsidR="001A0A00" w:rsidRPr="001A0A00" w14:paraId="3E3EDD07" w14:textId="77777777" w:rsidTr="001A0A00">
        <w:trPr>
          <w:trHeight w:val="300"/>
        </w:trPr>
        <w:tc>
          <w:tcPr>
            <w:tcW w:w="3220" w:type="dxa"/>
            <w:hideMark/>
          </w:tcPr>
          <w:p w14:paraId="30DFD487" w14:textId="77777777" w:rsidR="001A0A00" w:rsidRPr="001A0A00" w:rsidRDefault="001A0A00" w:rsidP="001A0A00">
            <w:pPr>
              <w:spacing w:line="480" w:lineRule="auto"/>
            </w:pPr>
            <w:r w:rsidRPr="001A0A00">
              <w:t>Gestational diabetes</w:t>
            </w:r>
          </w:p>
        </w:tc>
        <w:tc>
          <w:tcPr>
            <w:tcW w:w="3220" w:type="dxa"/>
            <w:hideMark/>
          </w:tcPr>
          <w:p w14:paraId="15E90900" w14:textId="77777777" w:rsidR="001A0A00" w:rsidRPr="001A0A00" w:rsidRDefault="001A0A00" w:rsidP="001A0A00">
            <w:pPr>
              <w:spacing w:line="480" w:lineRule="auto"/>
            </w:pPr>
            <w:r w:rsidRPr="001A0A00">
              <w:t>22.3% (n=17)</w:t>
            </w:r>
          </w:p>
        </w:tc>
        <w:tc>
          <w:tcPr>
            <w:tcW w:w="3220" w:type="dxa"/>
            <w:hideMark/>
          </w:tcPr>
          <w:p w14:paraId="280B0331" w14:textId="77777777" w:rsidR="001A0A00" w:rsidRPr="001A0A00" w:rsidRDefault="001A0A00" w:rsidP="001A0A00">
            <w:pPr>
              <w:spacing w:line="480" w:lineRule="auto"/>
            </w:pPr>
            <w:r w:rsidRPr="001A0A00">
              <w:t>29.2% (n=7)</w:t>
            </w:r>
          </w:p>
        </w:tc>
        <w:tc>
          <w:tcPr>
            <w:tcW w:w="1660" w:type="dxa"/>
            <w:hideMark/>
          </w:tcPr>
          <w:p w14:paraId="49863F80" w14:textId="77777777" w:rsidR="001A0A00" w:rsidRPr="001A0A00" w:rsidRDefault="001A0A00" w:rsidP="001A0A00">
            <w:pPr>
              <w:spacing w:line="480" w:lineRule="auto"/>
            </w:pPr>
            <w:r w:rsidRPr="001A0A00">
              <w:t>0.49</w:t>
            </w:r>
          </w:p>
        </w:tc>
      </w:tr>
      <w:tr w:rsidR="001A0A00" w:rsidRPr="001A0A00" w14:paraId="3A45CD6B" w14:textId="77777777" w:rsidTr="001A0A00">
        <w:trPr>
          <w:trHeight w:val="300"/>
        </w:trPr>
        <w:tc>
          <w:tcPr>
            <w:tcW w:w="3220" w:type="dxa"/>
            <w:hideMark/>
          </w:tcPr>
          <w:p w14:paraId="0CB232FB" w14:textId="77777777" w:rsidR="001A0A00" w:rsidRPr="001A0A00" w:rsidRDefault="001A0A00" w:rsidP="001A0A00">
            <w:pPr>
              <w:spacing w:line="480" w:lineRule="auto"/>
            </w:pPr>
            <w:r w:rsidRPr="001A0A00">
              <w:t>Diabetes type I</w:t>
            </w:r>
          </w:p>
        </w:tc>
        <w:tc>
          <w:tcPr>
            <w:tcW w:w="3220" w:type="dxa"/>
            <w:hideMark/>
          </w:tcPr>
          <w:p w14:paraId="2B5A8E11" w14:textId="77777777" w:rsidR="001A0A00" w:rsidRPr="001A0A00" w:rsidRDefault="001A0A00" w:rsidP="001A0A00">
            <w:pPr>
              <w:spacing w:line="480" w:lineRule="auto"/>
            </w:pPr>
            <w:r w:rsidRPr="001A0A00">
              <w:t>3.9% (n=3)</w:t>
            </w:r>
          </w:p>
        </w:tc>
        <w:tc>
          <w:tcPr>
            <w:tcW w:w="3220" w:type="dxa"/>
            <w:hideMark/>
          </w:tcPr>
          <w:p w14:paraId="4C08F592" w14:textId="77777777" w:rsidR="001A0A00" w:rsidRPr="001A0A00" w:rsidRDefault="001A0A00" w:rsidP="001A0A00">
            <w:pPr>
              <w:spacing w:line="480" w:lineRule="auto"/>
            </w:pPr>
            <w:r w:rsidRPr="001A0A00">
              <w:t>4,1% (n=1)</w:t>
            </w:r>
          </w:p>
        </w:tc>
        <w:tc>
          <w:tcPr>
            <w:tcW w:w="1660" w:type="dxa"/>
            <w:hideMark/>
          </w:tcPr>
          <w:p w14:paraId="0EC1C240" w14:textId="77777777" w:rsidR="001A0A00" w:rsidRPr="001A0A00" w:rsidRDefault="001A0A00" w:rsidP="001A0A00">
            <w:pPr>
              <w:spacing w:line="480" w:lineRule="auto"/>
            </w:pPr>
            <w:r w:rsidRPr="001A0A00">
              <w:t>0.9</w:t>
            </w:r>
          </w:p>
        </w:tc>
      </w:tr>
      <w:tr w:rsidR="001A0A00" w:rsidRPr="001A0A00" w14:paraId="4B2DFE59" w14:textId="77777777" w:rsidTr="001A0A00">
        <w:trPr>
          <w:trHeight w:val="600"/>
        </w:trPr>
        <w:tc>
          <w:tcPr>
            <w:tcW w:w="3220" w:type="dxa"/>
            <w:hideMark/>
          </w:tcPr>
          <w:p w14:paraId="22E6563E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Pregnancy duration (weeks)</w:t>
            </w:r>
          </w:p>
        </w:tc>
        <w:tc>
          <w:tcPr>
            <w:tcW w:w="3220" w:type="dxa"/>
            <w:hideMark/>
          </w:tcPr>
          <w:p w14:paraId="7987503A" w14:textId="66103AAA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40.0 </w:t>
            </w:r>
            <w:r w:rsidRPr="001A0A00">
              <w:t>(28.9</w:t>
            </w:r>
            <w:r w:rsidR="00485053">
              <w:t>–</w:t>
            </w:r>
            <w:r w:rsidRPr="001A0A00">
              <w:t>42.3, SD 1.9)</w:t>
            </w:r>
          </w:p>
        </w:tc>
        <w:tc>
          <w:tcPr>
            <w:tcW w:w="3220" w:type="dxa"/>
            <w:hideMark/>
          </w:tcPr>
          <w:p w14:paraId="571DBAC1" w14:textId="17A77961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39.8 </w:t>
            </w:r>
            <w:r w:rsidRPr="001A0A00">
              <w:t>(38.0</w:t>
            </w:r>
            <w:r w:rsidR="00485053">
              <w:t>–</w:t>
            </w:r>
            <w:r w:rsidRPr="001A0A00">
              <w:t>42.1, SD 2.6)</w:t>
            </w:r>
          </w:p>
        </w:tc>
        <w:tc>
          <w:tcPr>
            <w:tcW w:w="1660" w:type="dxa"/>
            <w:hideMark/>
          </w:tcPr>
          <w:p w14:paraId="2A92575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0.78</w:t>
            </w:r>
          </w:p>
        </w:tc>
      </w:tr>
      <w:tr w:rsidR="001A0A00" w:rsidRPr="001A0A00" w14:paraId="04B1DDD8" w14:textId="77777777" w:rsidTr="001A0A00">
        <w:trPr>
          <w:trHeight w:val="600"/>
        </w:trPr>
        <w:tc>
          <w:tcPr>
            <w:tcW w:w="3220" w:type="dxa"/>
            <w:hideMark/>
          </w:tcPr>
          <w:p w14:paraId="3E837054" w14:textId="1CA0211E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Induction of labor</w:t>
            </w:r>
          </w:p>
        </w:tc>
        <w:tc>
          <w:tcPr>
            <w:tcW w:w="3220" w:type="dxa"/>
            <w:hideMark/>
          </w:tcPr>
          <w:p w14:paraId="537911BE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26.3%</w:t>
            </w:r>
            <w:r w:rsidRPr="001A0A00">
              <w:t xml:space="preserve"> (n=20)</w:t>
            </w:r>
          </w:p>
        </w:tc>
        <w:tc>
          <w:tcPr>
            <w:tcW w:w="3220" w:type="dxa"/>
            <w:hideMark/>
          </w:tcPr>
          <w:p w14:paraId="66AA8DF2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25%</w:t>
            </w:r>
            <w:r w:rsidRPr="001A0A00">
              <w:t xml:space="preserve"> (n=6)</w:t>
            </w:r>
          </w:p>
        </w:tc>
        <w:tc>
          <w:tcPr>
            <w:tcW w:w="1660" w:type="dxa"/>
            <w:hideMark/>
          </w:tcPr>
          <w:p w14:paraId="38147AA5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0.89</w:t>
            </w:r>
          </w:p>
        </w:tc>
      </w:tr>
      <w:tr w:rsidR="001A0A00" w:rsidRPr="001A0A00" w14:paraId="5664DB14" w14:textId="77777777" w:rsidTr="001A0A00">
        <w:trPr>
          <w:trHeight w:val="600"/>
        </w:trPr>
        <w:tc>
          <w:tcPr>
            <w:tcW w:w="3220" w:type="dxa"/>
            <w:hideMark/>
          </w:tcPr>
          <w:p w14:paraId="3698490A" w14:textId="6D7534D1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Cesarean </w:t>
            </w:r>
            <w:r>
              <w:rPr>
                <w:b/>
                <w:bCs/>
              </w:rPr>
              <w:t>delivery</w:t>
            </w:r>
          </w:p>
        </w:tc>
        <w:tc>
          <w:tcPr>
            <w:tcW w:w="3220" w:type="dxa"/>
            <w:hideMark/>
          </w:tcPr>
          <w:p w14:paraId="0B36C680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2.6%** </w:t>
            </w:r>
            <w:r w:rsidRPr="001A0A00">
              <w:t>(n=2)</w:t>
            </w:r>
          </w:p>
        </w:tc>
        <w:tc>
          <w:tcPr>
            <w:tcW w:w="3220" w:type="dxa"/>
            <w:hideMark/>
          </w:tcPr>
          <w:p w14:paraId="4F69C303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n=0</w:t>
            </w:r>
          </w:p>
        </w:tc>
        <w:tc>
          <w:tcPr>
            <w:tcW w:w="1660" w:type="dxa"/>
            <w:hideMark/>
          </w:tcPr>
          <w:p w14:paraId="276B31DE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NA</w:t>
            </w:r>
          </w:p>
        </w:tc>
      </w:tr>
      <w:tr w:rsidR="001A0A00" w:rsidRPr="001A0A00" w14:paraId="2EC43AF2" w14:textId="77777777" w:rsidTr="001A0A00">
        <w:trPr>
          <w:trHeight w:val="600"/>
        </w:trPr>
        <w:tc>
          <w:tcPr>
            <w:tcW w:w="3220" w:type="dxa"/>
            <w:hideMark/>
          </w:tcPr>
          <w:p w14:paraId="76356867" w14:textId="7B245510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Breech delivery</w:t>
            </w:r>
          </w:p>
        </w:tc>
        <w:tc>
          <w:tcPr>
            <w:tcW w:w="3220" w:type="dxa"/>
            <w:hideMark/>
          </w:tcPr>
          <w:p w14:paraId="79F324F6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5.2%</w:t>
            </w:r>
            <w:r w:rsidRPr="001A0A00">
              <w:t xml:space="preserve"> (n=4)</w:t>
            </w:r>
          </w:p>
        </w:tc>
        <w:tc>
          <w:tcPr>
            <w:tcW w:w="3220" w:type="dxa"/>
            <w:hideMark/>
          </w:tcPr>
          <w:p w14:paraId="7FDDE0C8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8.3%</w:t>
            </w:r>
            <w:r w:rsidRPr="001A0A00">
              <w:t xml:space="preserve"> (n=2)</w:t>
            </w:r>
          </w:p>
        </w:tc>
        <w:tc>
          <w:tcPr>
            <w:tcW w:w="1660" w:type="dxa"/>
            <w:hideMark/>
          </w:tcPr>
          <w:p w14:paraId="7E055CC0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0.04</w:t>
            </w:r>
          </w:p>
        </w:tc>
      </w:tr>
      <w:tr w:rsidR="001A0A00" w:rsidRPr="001A0A00" w14:paraId="1C15980A" w14:textId="77777777" w:rsidTr="001A0A00">
        <w:trPr>
          <w:trHeight w:val="600"/>
        </w:trPr>
        <w:tc>
          <w:tcPr>
            <w:tcW w:w="3220" w:type="dxa"/>
            <w:hideMark/>
          </w:tcPr>
          <w:p w14:paraId="39161FDE" w14:textId="77701B5B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Assisted delivery</w:t>
            </w:r>
          </w:p>
        </w:tc>
        <w:tc>
          <w:tcPr>
            <w:tcW w:w="3220" w:type="dxa"/>
            <w:hideMark/>
          </w:tcPr>
          <w:p w14:paraId="20D16C34" w14:textId="0EE84E1D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46.4%*</w:t>
            </w:r>
            <w:r w:rsidRPr="001A0A00">
              <w:t xml:space="preserve"> (n=32)</w:t>
            </w:r>
          </w:p>
        </w:tc>
        <w:tc>
          <w:tcPr>
            <w:tcW w:w="3220" w:type="dxa"/>
            <w:hideMark/>
          </w:tcPr>
          <w:p w14:paraId="1D30D797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40.9%*</w:t>
            </w:r>
            <w:r w:rsidRPr="001A0A00">
              <w:t xml:space="preserve"> (n=9)</w:t>
            </w:r>
          </w:p>
        </w:tc>
        <w:tc>
          <w:tcPr>
            <w:tcW w:w="1660" w:type="dxa"/>
            <w:hideMark/>
          </w:tcPr>
          <w:p w14:paraId="75CB8761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0.69</w:t>
            </w:r>
          </w:p>
        </w:tc>
      </w:tr>
      <w:tr w:rsidR="001A0A00" w:rsidRPr="001A0A00" w14:paraId="65F7A071" w14:textId="77777777" w:rsidTr="001A0A00">
        <w:trPr>
          <w:trHeight w:val="300"/>
        </w:trPr>
        <w:tc>
          <w:tcPr>
            <w:tcW w:w="3220" w:type="dxa"/>
            <w:hideMark/>
          </w:tcPr>
          <w:p w14:paraId="03767E98" w14:textId="520EFA61" w:rsidR="001A0A00" w:rsidRPr="001A0A00" w:rsidRDefault="001A0A00" w:rsidP="001A0A00">
            <w:pPr>
              <w:spacing w:line="480" w:lineRule="auto"/>
            </w:pPr>
            <w:r w:rsidRPr="001A0A00">
              <w:t>Duration (min</w:t>
            </w:r>
            <w:r>
              <w:t>utes</w:t>
            </w:r>
            <w:r w:rsidRPr="001A0A00">
              <w:t>)</w:t>
            </w:r>
          </w:p>
        </w:tc>
        <w:tc>
          <w:tcPr>
            <w:tcW w:w="3220" w:type="dxa"/>
            <w:hideMark/>
          </w:tcPr>
          <w:p w14:paraId="73E34137" w14:textId="01097A24" w:rsidR="001A0A00" w:rsidRPr="001A0A00" w:rsidRDefault="001A0A00" w:rsidP="001A0A00">
            <w:pPr>
              <w:spacing w:line="480" w:lineRule="auto"/>
            </w:pPr>
            <w:r w:rsidRPr="001A0A00">
              <w:t>7.4 (1</w:t>
            </w:r>
            <w:r w:rsidR="00485053">
              <w:t>–</w:t>
            </w:r>
            <w:r w:rsidRPr="001A0A00">
              <w:t>20, SD 4.7)</w:t>
            </w:r>
          </w:p>
        </w:tc>
        <w:tc>
          <w:tcPr>
            <w:tcW w:w="3220" w:type="dxa"/>
            <w:hideMark/>
          </w:tcPr>
          <w:p w14:paraId="7049DD6E" w14:textId="639F751E" w:rsidR="001A0A00" w:rsidRPr="001A0A00" w:rsidRDefault="001A0A00" w:rsidP="001A0A00">
            <w:pPr>
              <w:spacing w:line="480" w:lineRule="auto"/>
            </w:pPr>
            <w:r w:rsidRPr="001A0A00">
              <w:t>8.8 (5</w:t>
            </w:r>
            <w:r w:rsidR="00485053">
              <w:t>–</w:t>
            </w:r>
            <w:r w:rsidRPr="001A0A00">
              <w:t>16, SD 3.7)</w:t>
            </w:r>
          </w:p>
        </w:tc>
        <w:tc>
          <w:tcPr>
            <w:tcW w:w="1660" w:type="dxa"/>
            <w:hideMark/>
          </w:tcPr>
          <w:p w14:paraId="5CC0A7F1" w14:textId="77777777" w:rsidR="001A0A00" w:rsidRPr="001A0A00" w:rsidRDefault="001A0A00" w:rsidP="001A0A00">
            <w:pPr>
              <w:spacing w:line="480" w:lineRule="auto"/>
            </w:pPr>
            <w:r w:rsidRPr="001A0A00">
              <w:t>0.51</w:t>
            </w:r>
          </w:p>
        </w:tc>
      </w:tr>
      <w:tr w:rsidR="001A0A00" w:rsidRPr="001A0A00" w14:paraId="0873F018" w14:textId="77777777" w:rsidTr="001A0A00">
        <w:trPr>
          <w:trHeight w:val="300"/>
        </w:trPr>
        <w:tc>
          <w:tcPr>
            <w:tcW w:w="3220" w:type="dxa"/>
            <w:hideMark/>
          </w:tcPr>
          <w:p w14:paraId="67D2EB5C" w14:textId="77777777" w:rsidR="001A0A00" w:rsidRPr="001A0A00" w:rsidRDefault="001A0A00" w:rsidP="001A0A00">
            <w:pPr>
              <w:spacing w:line="480" w:lineRule="auto"/>
            </w:pPr>
            <w:r w:rsidRPr="001A0A00">
              <w:t xml:space="preserve">Number of pulls </w:t>
            </w:r>
          </w:p>
        </w:tc>
        <w:tc>
          <w:tcPr>
            <w:tcW w:w="3220" w:type="dxa"/>
            <w:hideMark/>
          </w:tcPr>
          <w:p w14:paraId="219C203C" w14:textId="775CE905" w:rsidR="001A0A00" w:rsidRPr="001A0A00" w:rsidRDefault="001A0A00" w:rsidP="001A0A00">
            <w:pPr>
              <w:spacing w:line="480" w:lineRule="auto"/>
            </w:pPr>
            <w:r w:rsidRPr="001A0A00">
              <w:t>3.4 (1</w:t>
            </w:r>
            <w:r w:rsidR="00485053">
              <w:t>–</w:t>
            </w:r>
            <w:r w:rsidRPr="001A0A00">
              <w:t>10, SD 2.0)</w:t>
            </w:r>
          </w:p>
        </w:tc>
        <w:tc>
          <w:tcPr>
            <w:tcW w:w="3220" w:type="dxa"/>
            <w:hideMark/>
          </w:tcPr>
          <w:p w14:paraId="7D8D6247" w14:textId="42646A6A" w:rsidR="001A0A00" w:rsidRPr="001A0A00" w:rsidRDefault="001A0A00" w:rsidP="001A0A00">
            <w:pPr>
              <w:spacing w:line="480" w:lineRule="auto"/>
            </w:pPr>
            <w:r w:rsidRPr="001A0A00">
              <w:t>4.7 (1</w:t>
            </w:r>
            <w:r w:rsidR="00485053">
              <w:t>–</w:t>
            </w:r>
            <w:r w:rsidRPr="001A0A00">
              <w:t>8, SD 2.2)</w:t>
            </w:r>
          </w:p>
        </w:tc>
        <w:tc>
          <w:tcPr>
            <w:tcW w:w="1660" w:type="dxa"/>
            <w:hideMark/>
          </w:tcPr>
          <w:p w14:paraId="34003EBF" w14:textId="77777777" w:rsidR="001A0A00" w:rsidRPr="001A0A00" w:rsidRDefault="001A0A00" w:rsidP="001A0A00">
            <w:pPr>
              <w:spacing w:line="480" w:lineRule="auto"/>
            </w:pPr>
            <w:r w:rsidRPr="001A0A00">
              <w:t>0.11</w:t>
            </w:r>
          </w:p>
        </w:tc>
      </w:tr>
      <w:tr w:rsidR="001A0A00" w:rsidRPr="001A0A00" w14:paraId="72E90A99" w14:textId="77777777" w:rsidTr="001A0A00">
        <w:trPr>
          <w:trHeight w:val="300"/>
        </w:trPr>
        <w:tc>
          <w:tcPr>
            <w:tcW w:w="3220" w:type="dxa"/>
            <w:hideMark/>
          </w:tcPr>
          <w:p w14:paraId="62CE7FDD" w14:textId="21533941" w:rsidR="001A0A00" w:rsidRPr="001A0A00" w:rsidRDefault="001A0A00" w:rsidP="001A0A00">
            <w:pPr>
              <w:spacing w:line="480" w:lineRule="auto"/>
            </w:pPr>
            <w:r w:rsidRPr="001A0A00">
              <w:t>Shoulder delivery difficulty (1</w:t>
            </w:r>
            <w:r w:rsidR="001E14C0">
              <w:t>–</w:t>
            </w:r>
            <w:r w:rsidRPr="001A0A00">
              <w:t>3)</w:t>
            </w:r>
          </w:p>
        </w:tc>
        <w:tc>
          <w:tcPr>
            <w:tcW w:w="3220" w:type="dxa"/>
            <w:hideMark/>
          </w:tcPr>
          <w:p w14:paraId="270C3580" w14:textId="10C836CD" w:rsidR="001A0A00" w:rsidRPr="001A0A00" w:rsidRDefault="001A0A00" w:rsidP="001A0A00">
            <w:pPr>
              <w:spacing w:line="480" w:lineRule="auto"/>
            </w:pPr>
            <w:r w:rsidRPr="001A0A00">
              <w:t>2.7 (1</w:t>
            </w:r>
            <w:r w:rsidR="00485053">
              <w:t>–</w:t>
            </w:r>
            <w:r w:rsidRPr="001A0A00">
              <w:t>3, SD 0.6)</w:t>
            </w:r>
          </w:p>
        </w:tc>
        <w:tc>
          <w:tcPr>
            <w:tcW w:w="3220" w:type="dxa"/>
            <w:hideMark/>
          </w:tcPr>
          <w:p w14:paraId="1A6D3EC7" w14:textId="6BEB152F" w:rsidR="001A0A00" w:rsidRPr="001A0A00" w:rsidRDefault="001A0A00" w:rsidP="001A0A00">
            <w:pPr>
              <w:spacing w:line="480" w:lineRule="auto"/>
            </w:pPr>
            <w:r w:rsidRPr="001A0A00">
              <w:t>2.6 (1</w:t>
            </w:r>
            <w:r w:rsidR="00485053">
              <w:t>–</w:t>
            </w:r>
            <w:r w:rsidRPr="001A0A00">
              <w:t>3, SD 0.6)</w:t>
            </w:r>
          </w:p>
        </w:tc>
        <w:tc>
          <w:tcPr>
            <w:tcW w:w="1660" w:type="dxa"/>
            <w:hideMark/>
          </w:tcPr>
          <w:p w14:paraId="6C0E1283" w14:textId="77777777" w:rsidR="001A0A00" w:rsidRPr="001A0A00" w:rsidRDefault="001A0A00" w:rsidP="001A0A00">
            <w:pPr>
              <w:spacing w:line="480" w:lineRule="auto"/>
            </w:pPr>
            <w:r w:rsidRPr="001A0A00">
              <w:t>0.74</w:t>
            </w:r>
          </w:p>
        </w:tc>
      </w:tr>
      <w:tr w:rsidR="001A0A00" w:rsidRPr="001A0A00" w14:paraId="72F9867A" w14:textId="77777777" w:rsidTr="001A0A00">
        <w:trPr>
          <w:trHeight w:val="300"/>
        </w:trPr>
        <w:tc>
          <w:tcPr>
            <w:tcW w:w="3220" w:type="dxa"/>
            <w:hideMark/>
          </w:tcPr>
          <w:p w14:paraId="714875B5" w14:textId="3498AD8D" w:rsidR="001A0A00" w:rsidRPr="001A0A00" w:rsidRDefault="001A0A00" w:rsidP="001A0A00">
            <w:pPr>
              <w:spacing w:line="480" w:lineRule="auto"/>
            </w:pPr>
            <w:r w:rsidRPr="001A0A00">
              <w:t>Overall difficulty (1</w:t>
            </w:r>
            <w:r w:rsidR="001E14C0">
              <w:t>–</w:t>
            </w:r>
            <w:r w:rsidRPr="001A0A00">
              <w:t>3)</w:t>
            </w:r>
          </w:p>
        </w:tc>
        <w:tc>
          <w:tcPr>
            <w:tcW w:w="3220" w:type="dxa"/>
            <w:hideMark/>
          </w:tcPr>
          <w:p w14:paraId="03D890C7" w14:textId="6046CF44" w:rsidR="001A0A00" w:rsidRPr="001A0A00" w:rsidRDefault="001A0A00" w:rsidP="001A0A00">
            <w:pPr>
              <w:spacing w:line="480" w:lineRule="auto"/>
            </w:pPr>
            <w:r w:rsidRPr="001A0A00">
              <w:t>1.6 (1</w:t>
            </w:r>
            <w:r w:rsidR="00485053">
              <w:t>–</w:t>
            </w:r>
            <w:r w:rsidRPr="001A0A00">
              <w:t>3, SD 0.7)</w:t>
            </w:r>
          </w:p>
        </w:tc>
        <w:tc>
          <w:tcPr>
            <w:tcW w:w="3220" w:type="dxa"/>
            <w:hideMark/>
          </w:tcPr>
          <w:p w14:paraId="2636C4B0" w14:textId="178A43C4" w:rsidR="001A0A00" w:rsidRPr="001A0A00" w:rsidRDefault="001A0A00" w:rsidP="001A0A00">
            <w:pPr>
              <w:spacing w:line="480" w:lineRule="auto"/>
            </w:pPr>
            <w:r w:rsidRPr="001A0A00">
              <w:t>2.3 (1</w:t>
            </w:r>
            <w:r w:rsidR="00485053">
              <w:t>–</w:t>
            </w:r>
            <w:r w:rsidRPr="001A0A00">
              <w:t>3, SD 1.0)</w:t>
            </w:r>
          </w:p>
        </w:tc>
        <w:tc>
          <w:tcPr>
            <w:tcW w:w="1660" w:type="dxa"/>
            <w:hideMark/>
          </w:tcPr>
          <w:p w14:paraId="1E2455BA" w14:textId="77777777" w:rsidR="001A0A00" w:rsidRPr="001A0A00" w:rsidRDefault="001A0A00" w:rsidP="001A0A00">
            <w:pPr>
              <w:spacing w:line="480" w:lineRule="auto"/>
            </w:pPr>
            <w:r w:rsidRPr="001A0A00">
              <w:t>0.046</w:t>
            </w:r>
          </w:p>
        </w:tc>
      </w:tr>
      <w:tr w:rsidR="001A0A00" w:rsidRPr="001A0A00" w14:paraId="7DF17F18" w14:textId="77777777" w:rsidTr="001A0A00">
        <w:trPr>
          <w:trHeight w:val="600"/>
        </w:trPr>
        <w:tc>
          <w:tcPr>
            <w:tcW w:w="3220" w:type="dxa"/>
            <w:hideMark/>
          </w:tcPr>
          <w:p w14:paraId="69A8E237" w14:textId="765CC8EC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Stage II </w:t>
            </w:r>
            <w:r>
              <w:rPr>
                <w:b/>
                <w:bCs/>
              </w:rPr>
              <w:t>duration</w:t>
            </w:r>
            <w:r w:rsidRPr="001A0A00">
              <w:rPr>
                <w:b/>
                <w:bCs/>
              </w:rPr>
              <w:t xml:space="preserve"> (min</w:t>
            </w:r>
            <w:r>
              <w:rPr>
                <w:b/>
                <w:bCs/>
              </w:rPr>
              <w:t>utes</w:t>
            </w:r>
            <w:r w:rsidRPr="001A0A00">
              <w:rPr>
                <w:b/>
                <w:bCs/>
              </w:rPr>
              <w:t>)</w:t>
            </w:r>
          </w:p>
        </w:tc>
        <w:tc>
          <w:tcPr>
            <w:tcW w:w="3220" w:type="dxa"/>
            <w:hideMark/>
          </w:tcPr>
          <w:p w14:paraId="0EFB4767" w14:textId="2E56646F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32.6 </w:t>
            </w:r>
            <w:r w:rsidRPr="001A0A00">
              <w:t>(4</w:t>
            </w:r>
            <w:r w:rsidR="00485053">
              <w:t>–</w:t>
            </w:r>
            <w:r w:rsidRPr="001A0A00">
              <w:t>81, SD18.3)</w:t>
            </w:r>
          </w:p>
        </w:tc>
        <w:tc>
          <w:tcPr>
            <w:tcW w:w="3220" w:type="dxa"/>
            <w:hideMark/>
          </w:tcPr>
          <w:p w14:paraId="58EEF1B7" w14:textId="4357D2F0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25.6</w:t>
            </w:r>
            <w:r w:rsidRPr="001A0A00">
              <w:t xml:space="preserve"> (4</w:t>
            </w:r>
            <w:r w:rsidR="00485053">
              <w:t>–</w:t>
            </w:r>
            <w:r w:rsidRPr="001A0A00">
              <w:t>65, SD 17.1)</w:t>
            </w:r>
          </w:p>
        </w:tc>
        <w:tc>
          <w:tcPr>
            <w:tcW w:w="1660" w:type="dxa"/>
            <w:hideMark/>
          </w:tcPr>
          <w:p w14:paraId="61BBD544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0.09</w:t>
            </w:r>
          </w:p>
        </w:tc>
      </w:tr>
      <w:tr w:rsidR="001A0A00" w:rsidRPr="001A0A00" w14:paraId="77DF1F8B" w14:textId="77777777" w:rsidTr="001A0A00">
        <w:trPr>
          <w:trHeight w:val="600"/>
        </w:trPr>
        <w:tc>
          <w:tcPr>
            <w:tcW w:w="3220" w:type="dxa"/>
            <w:hideMark/>
          </w:tcPr>
          <w:p w14:paraId="34A5C36A" w14:textId="4F87516A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Shoulder dystocia</w:t>
            </w:r>
          </w:p>
        </w:tc>
        <w:tc>
          <w:tcPr>
            <w:tcW w:w="3220" w:type="dxa"/>
            <w:hideMark/>
          </w:tcPr>
          <w:p w14:paraId="5646918C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57.9%*</w:t>
            </w:r>
            <w:r w:rsidRPr="001A0A00">
              <w:t xml:space="preserve"> (n=40)</w:t>
            </w:r>
          </w:p>
        </w:tc>
        <w:tc>
          <w:tcPr>
            <w:tcW w:w="3220" w:type="dxa"/>
            <w:hideMark/>
          </w:tcPr>
          <w:p w14:paraId="6C4A921B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59.1%*</w:t>
            </w:r>
            <w:r w:rsidRPr="001A0A00">
              <w:t xml:space="preserve"> (n=13)</w:t>
            </w:r>
          </w:p>
        </w:tc>
        <w:tc>
          <w:tcPr>
            <w:tcW w:w="1660" w:type="dxa"/>
            <w:hideMark/>
          </w:tcPr>
          <w:p w14:paraId="03D40561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0.87</w:t>
            </w:r>
          </w:p>
        </w:tc>
      </w:tr>
      <w:tr w:rsidR="001A0A00" w:rsidRPr="001A0A00" w14:paraId="3D67FEE6" w14:textId="77777777" w:rsidTr="001A0A00">
        <w:trPr>
          <w:trHeight w:val="600"/>
        </w:trPr>
        <w:tc>
          <w:tcPr>
            <w:tcW w:w="3220" w:type="dxa"/>
            <w:hideMark/>
          </w:tcPr>
          <w:p w14:paraId="45CA185F" w14:textId="60F394A8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Birth weight (g</w:t>
            </w:r>
            <w:r>
              <w:rPr>
                <w:b/>
                <w:bCs/>
              </w:rPr>
              <w:t>rams</w:t>
            </w:r>
            <w:r w:rsidRPr="001A0A00">
              <w:rPr>
                <w:b/>
                <w:bCs/>
              </w:rPr>
              <w:t>)</w:t>
            </w:r>
            <w:r w:rsidRPr="001A0A00">
              <w:t xml:space="preserve"> </w:t>
            </w:r>
          </w:p>
        </w:tc>
        <w:tc>
          <w:tcPr>
            <w:tcW w:w="3220" w:type="dxa"/>
            <w:hideMark/>
          </w:tcPr>
          <w:p w14:paraId="7515DE88" w14:textId="1B440826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4062.3 </w:t>
            </w:r>
            <w:r w:rsidRPr="001A0A00">
              <w:t>(780</w:t>
            </w:r>
            <w:r w:rsidR="00D92770">
              <w:t>–</w:t>
            </w:r>
            <w:r w:rsidRPr="001A0A00">
              <w:t>5010, SD 656.46)</w:t>
            </w:r>
          </w:p>
        </w:tc>
        <w:tc>
          <w:tcPr>
            <w:tcW w:w="3220" w:type="dxa"/>
            <w:hideMark/>
          </w:tcPr>
          <w:p w14:paraId="6307086E" w14:textId="1BF94DCF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 xml:space="preserve">3913.1 </w:t>
            </w:r>
            <w:r w:rsidRPr="001A0A00">
              <w:t>(1510</w:t>
            </w:r>
            <w:r w:rsidR="00D92770">
              <w:t>–</w:t>
            </w:r>
            <w:r w:rsidRPr="001A0A00">
              <w:t>5580, SD 743.1)</w:t>
            </w:r>
          </w:p>
        </w:tc>
        <w:tc>
          <w:tcPr>
            <w:tcW w:w="1660" w:type="dxa"/>
            <w:hideMark/>
          </w:tcPr>
          <w:p w14:paraId="1FDB5C13" w14:textId="77777777" w:rsidR="001A0A00" w:rsidRPr="001A0A00" w:rsidRDefault="001A0A00" w:rsidP="001A0A00">
            <w:pPr>
              <w:spacing w:line="480" w:lineRule="auto"/>
              <w:rPr>
                <w:b/>
                <w:bCs/>
              </w:rPr>
            </w:pPr>
            <w:r w:rsidRPr="001A0A00">
              <w:rPr>
                <w:b/>
                <w:bCs/>
              </w:rPr>
              <w:t>0.38</w:t>
            </w:r>
          </w:p>
        </w:tc>
      </w:tr>
    </w:tbl>
    <w:p w14:paraId="1A4FAB2E" w14:textId="77777777" w:rsidR="007B1149" w:rsidRPr="00DC22BC" w:rsidRDefault="007B1149" w:rsidP="00333BB0">
      <w:pPr>
        <w:spacing w:line="480" w:lineRule="auto"/>
      </w:pPr>
    </w:p>
    <w:p w14:paraId="57761050" w14:textId="005A4224" w:rsidR="00A822D8" w:rsidRPr="00AA21F1" w:rsidRDefault="00CA3AFF" w:rsidP="00333BB0">
      <w:pPr>
        <w:spacing w:line="480" w:lineRule="auto"/>
        <w:rPr>
          <w:sz w:val="24"/>
          <w:szCs w:val="24"/>
        </w:rPr>
      </w:pPr>
      <w:r w:rsidRPr="00DC22BC">
        <w:rPr>
          <w:sz w:val="24"/>
          <w:szCs w:val="24"/>
        </w:rPr>
        <w:t>T</w:t>
      </w:r>
      <w:r w:rsidR="006A13F3" w:rsidRPr="00DC22BC">
        <w:rPr>
          <w:sz w:val="24"/>
          <w:szCs w:val="24"/>
        </w:rPr>
        <w:t>he d</w:t>
      </w:r>
      <w:r w:rsidRPr="00DC22BC">
        <w:rPr>
          <w:sz w:val="24"/>
          <w:szCs w:val="24"/>
        </w:rPr>
        <w:t>ifferences</w:t>
      </w:r>
      <w:r w:rsidRPr="00AA21F1">
        <w:rPr>
          <w:sz w:val="24"/>
          <w:szCs w:val="24"/>
        </w:rPr>
        <w:t xml:space="preserve"> in pregnancy and delivery characteristics between Caucasian and non-</w:t>
      </w:r>
      <w:r w:rsidR="000A40E5">
        <w:rPr>
          <w:sz w:val="24"/>
          <w:szCs w:val="24"/>
        </w:rPr>
        <w:t>w</w:t>
      </w:r>
      <w:r w:rsidRPr="00AA21F1">
        <w:rPr>
          <w:sz w:val="24"/>
          <w:szCs w:val="24"/>
        </w:rPr>
        <w:t>hite mothers.</w:t>
      </w:r>
      <w:r w:rsidR="00557E20" w:rsidRPr="00AA21F1">
        <w:rPr>
          <w:sz w:val="24"/>
          <w:szCs w:val="24"/>
        </w:rPr>
        <w:t xml:space="preserve"> </w:t>
      </w:r>
      <w:r w:rsidR="00557E20" w:rsidRPr="00AA21F1">
        <w:rPr>
          <w:rFonts w:cstheme="minorHAnsi"/>
          <w:sz w:val="24"/>
          <w:szCs w:val="24"/>
        </w:rPr>
        <w:t>Comparison</w:t>
      </w:r>
      <w:r w:rsidR="00914FA7">
        <w:rPr>
          <w:rFonts w:cstheme="minorHAnsi"/>
          <w:sz w:val="24"/>
          <w:szCs w:val="24"/>
        </w:rPr>
        <w:t>s</w:t>
      </w:r>
      <w:r w:rsidR="00557E20" w:rsidRPr="00AA21F1">
        <w:rPr>
          <w:rFonts w:cstheme="minorHAnsi"/>
          <w:sz w:val="24"/>
          <w:szCs w:val="24"/>
        </w:rPr>
        <w:t xml:space="preserve"> between the groups w</w:t>
      </w:r>
      <w:r w:rsidR="000A40E5">
        <w:rPr>
          <w:rFonts w:cstheme="minorHAnsi"/>
          <w:sz w:val="24"/>
          <w:szCs w:val="24"/>
        </w:rPr>
        <w:t>ere</w:t>
      </w:r>
      <w:r w:rsidR="00557E20" w:rsidRPr="00AA21F1">
        <w:rPr>
          <w:rFonts w:cstheme="minorHAnsi"/>
          <w:sz w:val="24"/>
          <w:szCs w:val="24"/>
        </w:rPr>
        <w:t xml:space="preserve"> </w:t>
      </w:r>
      <w:r w:rsidR="00914FA7">
        <w:rPr>
          <w:rFonts w:cstheme="minorHAnsi"/>
          <w:sz w:val="24"/>
          <w:szCs w:val="24"/>
        </w:rPr>
        <w:t>made</w:t>
      </w:r>
      <w:r w:rsidR="00557E20" w:rsidRPr="00AA21F1">
        <w:rPr>
          <w:rFonts w:cstheme="minorHAnsi"/>
          <w:sz w:val="24"/>
          <w:szCs w:val="24"/>
        </w:rPr>
        <w:t xml:space="preserve"> using the chi</w:t>
      </w:r>
      <w:r w:rsidR="00D92770">
        <w:rPr>
          <w:rFonts w:cstheme="minorHAnsi"/>
          <w:sz w:val="24"/>
          <w:szCs w:val="24"/>
        </w:rPr>
        <w:t>-</w:t>
      </w:r>
      <w:r w:rsidR="00557E20" w:rsidRPr="00AA21F1">
        <w:rPr>
          <w:rFonts w:cstheme="minorHAnsi"/>
          <w:sz w:val="24"/>
          <w:szCs w:val="24"/>
        </w:rPr>
        <w:t>square and t-test</w:t>
      </w:r>
      <w:r w:rsidR="001E14C0">
        <w:rPr>
          <w:rFonts w:cstheme="minorHAnsi"/>
          <w:sz w:val="24"/>
          <w:szCs w:val="24"/>
        </w:rPr>
        <w:t>s</w:t>
      </w:r>
      <w:r w:rsidR="00557E20" w:rsidRPr="00AA21F1">
        <w:rPr>
          <w:rFonts w:cstheme="minorHAnsi"/>
          <w:sz w:val="24"/>
          <w:szCs w:val="24"/>
        </w:rPr>
        <w:t xml:space="preserve">. </w:t>
      </w:r>
      <w:r w:rsidR="001A0A00">
        <w:rPr>
          <w:rFonts w:cstheme="minorHAnsi"/>
          <w:sz w:val="24"/>
          <w:szCs w:val="24"/>
        </w:rPr>
        <w:t>Results</w:t>
      </w:r>
      <w:r w:rsidR="00914FA7">
        <w:rPr>
          <w:rFonts w:cstheme="minorHAnsi"/>
          <w:sz w:val="24"/>
          <w:szCs w:val="24"/>
        </w:rPr>
        <w:t xml:space="preserve"> were</w:t>
      </w:r>
      <w:r w:rsidR="001A0A00">
        <w:rPr>
          <w:rFonts w:cstheme="minorHAnsi"/>
          <w:sz w:val="24"/>
          <w:szCs w:val="24"/>
        </w:rPr>
        <w:t xml:space="preserve"> expressed in mean with range and standard deviation (SD) or rate (%) and number (n).</w:t>
      </w:r>
      <w:r w:rsidR="001A0A00" w:rsidRPr="00DC22BC">
        <w:rPr>
          <w:rFonts w:cstheme="minorHAnsi"/>
          <w:sz w:val="24"/>
          <w:szCs w:val="24"/>
        </w:rPr>
        <w:t xml:space="preserve"> </w:t>
      </w:r>
      <w:r w:rsidR="00AE2F17" w:rsidRPr="00AA21F1">
        <w:rPr>
          <w:sz w:val="24"/>
          <w:szCs w:val="24"/>
        </w:rPr>
        <w:t>*</w:t>
      </w:r>
      <w:r w:rsidR="00AA21F1">
        <w:rPr>
          <w:sz w:val="24"/>
          <w:szCs w:val="24"/>
        </w:rPr>
        <w:t xml:space="preserve">Breech and </w:t>
      </w:r>
      <w:r w:rsidR="00AE2F17" w:rsidRPr="00AA21F1">
        <w:rPr>
          <w:sz w:val="24"/>
          <w:szCs w:val="24"/>
        </w:rPr>
        <w:t xml:space="preserve">Cesarean deliveries </w:t>
      </w:r>
      <w:r w:rsidR="00D92770">
        <w:rPr>
          <w:sz w:val="24"/>
          <w:szCs w:val="24"/>
        </w:rPr>
        <w:t xml:space="preserve">were </w:t>
      </w:r>
      <w:r w:rsidR="000A40E5" w:rsidRPr="00AA21F1">
        <w:rPr>
          <w:sz w:val="24"/>
          <w:szCs w:val="24"/>
        </w:rPr>
        <w:t>excluded;</w:t>
      </w:r>
      <w:r w:rsidR="00AE2F17" w:rsidRPr="00AA21F1">
        <w:rPr>
          <w:sz w:val="24"/>
          <w:szCs w:val="24"/>
        </w:rPr>
        <w:t xml:space="preserve"> </w:t>
      </w:r>
      <w:r w:rsidR="00557E20" w:rsidRPr="00AA21F1">
        <w:rPr>
          <w:sz w:val="24"/>
          <w:szCs w:val="24"/>
        </w:rPr>
        <w:t>a</w:t>
      </w:r>
      <w:r w:rsidR="00AE2F17" w:rsidRPr="00AA21F1">
        <w:rPr>
          <w:sz w:val="24"/>
          <w:szCs w:val="24"/>
        </w:rPr>
        <w:t xml:space="preserve">ll assisted deliveries were vacuum </w:t>
      </w:r>
      <w:r w:rsidR="00C2288F" w:rsidRPr="00AA21F1">
        <w:rPr>
          <w:sz w:val="24"/>
          <w:szCs w:val="24"/>
        </w:rPr>
        <w:t>extractions.</w:t>
      </w:r>
      <w:r w:rsidR="001A0A00">
        <w:rPr>
          <w:sz w:val="24"/>
          <w:szCs w:val="24"/>
        </w:rPr>
        <w:t xml:space="preserve"> </w:t>
      </w:r>
      <w:r w:rsidR="00A822D8" w:rsidRPr="00AA21F1">
        <w:rPr>
          <w:b/>
          <w:bCs/>
          <w:sz w:val="24"/>
          <w:szCs w:val="24"/>
        </w:rPr>
        <w:br w:type="page"/>
      </w:r>
    </w:p>
    <w:p w14:paraId="191939E7" w14:textId="4835BF40" w:rsidR="00A822D8" w:rsidRPr="0021122C" w:rsidRDefault="00A822D8" w:rsidP="007B1149">
      <w:pPr>
        <w:spacing w:line="480" w:lineRule="auto"/>
        <w:rPr>
          <w:b/>
          <w:bCs/>
          <w:sz w:val="24"/>
          <w:szCs w:val="24"/>
        </w:rPr>
      </w:pPr>
      <w:r w:rsidRPr="0021122C">
        <w:rPr>
          <w:b/>
          <w:bCs/>
          <w:sz w:val="24"/>
          <w:szCs w:val="24"/>
        </w:rPr>
        <w:t>Table 3</w:t>
      </w:r>
      <w:r w:rsidR="007B1149" w:rsidRPr="0021122C">
        <w:rPr>
          <w:b/>
          <w:bCs/>
          <w:sz w:val="24"/>
          <w:szCs w:val="24"/>
        </w:rPr>
        <w:t xml:space="preserve">. </w:t>
      </w:r>
      <w:r w:rsidR="0021122C" w:rsidRPr="0021122C">
        <w:rPr>
          <w:b/>
          <w:bCs/>
          <w:sz w:val="24"/>
          <w:szCs w:val="24"/>
        </w:rPr>
        <w:t>I</w:t>
      </w:r>
      <w:r w:rsidR="007B1149" w:rsidRPr="0021122C">
        <w:rPr>
          <w:b/>
          <w:bCs/>
          <w:sz w:val="24"/>
          <w:szCs w:val="24"/>
        </w:rPr>
        <w:t xml:space="preserve">ncidence of </w:t>
      </w:r>
      <w:r w:rsidR="0021122C">
        <w:rPr>
          <w:b/>
          <w:bCs/>
          <w:sz w:val="24"/>
          <w:szCs w:val="24"/>
        </w:rPr>
        <w:t xml:space="preserve">permanent </w:t>
      </w:r>
      <w:r w:rsidR="0021122C" w:rsidRPr="0021122C">
        <w:rPr>
          <w:b/>
          <w:bCs/>
          <w:sz w:val="24"/>
          <w:szCs w:val="24"/>
        </w:rPr>
        <w:t>brachial plexus</w:t>
      </w:r>
      <w:r w:rsidR="0021122C">
        <w:rPr>
          <w:b/>
          <w:bCs/>
          <w:sz w:val="24"/>
          <w:szCs w:val="24"/>
        </w:rPr>
        <w:t xml:space="preserve"> birth injury</w:t>
      </w:r>
      <w:r w:rsidR="007B1149" w:rsidRPr="0021122C">
        <w:rPr>
          <w:b/>
          <w:bCs/>
          <w:sz w:val="24"/>
          <w:szCs w:val="24"/>
        </w:rPr>
        <w:t xml:space="preserve"> </w:t>
      </w:r>
      <w:r w:rsidR="0021122C">
        <w:rPr>
          <w:b/>
          <w:bCs/>
          <w:sz w:val="24"/>
          <w:szCs w:val="24"/>
        </w:rPr>
        <w:t>by</w:t>
      </w:r>
      <w:r w:rsidR="007B1149" w:rsidRPr="0021122C">
        <w:rPr>
          <w:b/>
          <w:bCs/>
          <w:sz w:val="24"/>
          <w:szCs w:val="24"/>
        </w:rPr>
        <w:t xml:space="preserve"> birth continent</w:t>
      </w:r>
      <w:r w:rsidRPr="00AA21F1">
        <w:fldChar w:fldCharType="begin"/>
      </w:r>
      <w:r w:rsidRPr="0021122C">
        <w:instrText xml:space="preserve"> LINK </w:instrText>
      </w:r>
      <w:r w:rsidR="00DF3FD8" w:rsidRPr="0021122C">
        <w:instrText xml:space="preserve">Excel.Sheet.12 "\\\\husfs01\\users$\\grahnpe\\Insidenssi BPBI\\Insidenssi laskut korjattu 2006.xlsx" "Insidenssi maanosittain!R1S1:R20S6" </w:instrText>
      </w:r>
      <w:r w:rsidRPr="0021122C">
        <w:instrText xml:space="preserve">\a \f 4 \h </w:instrText>
      </w:r>
      <w:r w:rsidR="00DF3FD8" w:rsidRPr="0021122C">
        <w:instrText xml:space="preserve"> \* MERGEFORMAT </w:instrText>
      </w:r>
      <w:r w:rsidRPr="00AA21F1">
        <w:fldChar w:fldCharType="separate"/>
      </w:r>
    </w:p>
    <w:tbl>
      <w:tblPr>
        <w:tblW w:w="7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877"/>
        <w:gridCol w:w="1497"/>
        <w:gridCol w:w="1266"/>
        <w:gridCol w:w="954"/>
        <w:gridCol w:w="1702"/>
      </w:tblGrid>
      <w:tr w:rsidR="00A822D8" w:rsidRPr="00AA21F1" w14:paraId="43FA9753" w14:textId="77777777" w:rsidTr="00465F1D">
        <w:trPr>
          <w:trHeight w:val="4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1F8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702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Native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A0D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Immigrants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6C0C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European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C47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 xml:space="preserve">African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638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Non-white**</w:t>
            </w:r>
          </w:p>
        </w:tc>
      </w:tr>
      <w:tr w:rsidR="00A822D8" w:rsidRPr="00AA21F1" w14:paraId="7053A593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1E1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81D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108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51A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21E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2,61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512C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1,19</w:t>
            </w:r>
          </w:p>
        </w:tc>
      </w:tr>
      <w:tr w:rsidR="00A822D8" w:rsidRPr="00AA21F1" w14:paraId="3F54FFA6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F92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2007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5A2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6AF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C66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0446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4,87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E27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2,15</w:t>
            </w:r>
          </w:p>
        </w:tc>
      </w:tr>
      <w:tr w:rsidR="00A822D8" w:rsidRPr="00AA21F1" w14:paraId="2CD2FF51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512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3AC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0,19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D16C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D4E2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A1D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999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1,00</w:t>
            </w:r>
          </w:p>
        </w:tc>
      </w:tr>
      <w:tr w:rsidR="00A822D8" w:rsidRPr="00AA21F1" w14:paraId="215DA261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9F4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2009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541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00C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B22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0,93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5BC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C4B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</w:tr>
      <w:tr w:rsidR="00A822D8" w:rsidRPr="00AA21F1" w14:paraId="7E0B87E6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224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83D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0B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E466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09E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A00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0,88</w:t>
            </w:r>
          </w:p>
        </w:tc>
      </w:tr>
      <w:tr w:rsidR="00A822D8" w:rsidRPr="00AA21F1" w14:paraId="6B55410F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899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B28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D4FC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AFA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4C1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F1D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0,77</w:t>
            </w:r>
          </w:p>
        </w:tc>
      </w:tr>
      <w:tr w:rsidR="00A822D8" w:rsidRPr="00AA21F1" w14:paraId="33AFC784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BDA2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B9F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B82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B8C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97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3,40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3B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1,50</w:t>
            </w:r>
          </w:p>
        </w:tc>
      </w:tr>
      <w:tr w:rsidR="00A822D8" w:rsidRPr="00AA21F1" w14:paraId="6219C13F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EA1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7E1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735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EC0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D7ED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78B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</w:tr>
      <w:tr w:rsidR="00A822D8" w:rsidRPr="00AA21F1" w14:paraId="68E8A1F7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73A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27A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148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627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0,66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973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225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</w:tr>
      <w:tr w:rsidR="00A822D8" w:rsidRPr="00AA21F1" w14:paraId="01FCA631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C7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AA42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6A16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AC1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40A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27F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0,58</w:t>
            </w:r>
          </w:p>
        </w:tc>
      </w:tr>
      <w:tr w:rsidR="00A822D8" w:rsidRPr="00AA21F1" w14:paraId="3BD34DA1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648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F71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333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E8B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F072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21F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0,53</w:t>
            </w:r>
          </w:p>
        </w:tc>
      </w:tr>
      <w:tr w:rsidR="00A822D8" w:rsidRPr="00AA21F1" w14:paraId="3DC01556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F82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A6E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16D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A93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99E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A3C8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1,01</w:t>
            </w:r>
          </w:p>
        </w:tc>
      </w:tr>
      <w:tr w:rsidR="00A822D8" w:rsidRPr="00AA21F1" w14:paraId="17CBDFC0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4A61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1F5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231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14A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4ECB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BE0D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0,46</w:t>
            </w:r>
          </w:p>
        </w:tc>
      </w:tr>
      <w:tr w:rsidR="00A822D8" w:rsidRPr="00AA21F1" w14:paraId="1AEDF3F0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993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FCB2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0,34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FC1B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4E3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1C2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2,29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AFE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1,38</w:t>
            </w:r>
          </w:p>
        </w:tc>
      </w:tr>
      <w:tr w:rsidR="00A822D8" w:rsidRPr="00AA21F1" w14:paraId="1F47C5C3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F3B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4F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F86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396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B77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4,31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960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1,77</w:t>
            </w:r>
          </w:p>
        </w:tc>
      </w:tr>
      <w:tr w:rsidR="00A822D8" w:rsidRPr="00AA21F1" w14:paraId="6C39A93C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870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0D4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844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B08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2CB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1,11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6ED4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0,43</w:t>
            </w:r>
          </w:p>
        </w:tc>
      </w:tr>
      <w:tr w:rsidR="00A822D8" w:rsidRPr="00AA21F1" w14:paraId="0ADC8DE3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4420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2022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7E07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BCD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60D3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3FC5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2,13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161F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0,85</w:t>
            </w:r>
          </w:p>
        </w:tc>
      </w:tr>
      <w:tr w:rsidR="00A822D8" w:rsidRPr="00AA21F1" w14:paraId="1A003F90" w14:textId="77777777" w:rsidTr="00A822D8">
        <w:trPr>
          <w:trHeight w:val="4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0339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p-value*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7FA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946A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9DC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0,551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206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0F0E" w14:textId="77777777" w:rsidR="00A822D8" w:rsidRPr="00AA21F1" w:rsidRDefault="00A822D8" w:rsidP="00A82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AA21F1">
              <w:rPr>
                <w:rFonts w:ascii="Calibri" w:eastAsia="Times New Roman" w:hAnsi="Calibri" w:cs="Calibri"/>
                <w:color w:val="000000"/>
                <w:lang w:eastAsia="fi-FI"/>
              </w:rPr>
              <w:t>0,003</w:t>
            </w:r>
          </w:p>
        </w:tc>
      </w:tr>
    </w:tbl>
    <w:p w14:paraId="335C7CDF" w14:textId="5FC8802F" w:rsidR="007B1149" w:rsidRDefault="00A822D8" w:rsidP="007B1149">
      <w:pPr>
        <w:rPr>
          <w:rFonts w:cstheme="minorHAnsi"/>
          <w:sz w:val="24"/>
          <w:szCs w:val="24"/>
        </w:rPr>
      </w:pPr>
      <w:r w:rsidRPr="00AA21F1">
        <w:rPr>
          <w:rFonts w:cstheme="minorHAnsi"/>
          <w:sz w:val="24"/>
          <w:szCs w:val="24"/>
        </w:rPr>
        <w:fldChar w:fldCharType="end"/>
      </w:r>
    </w:p>
    <w:p w14:paraId="18197F65" w14:textId="77777777" w:rsidR="007B1149" w:rsidRPr="00A46B8F" w:rsidRDefault="007B1149" w:rsidP="007B1149">
      <w:pPr>
        <w:rPr>
          <w:rFonts w:cstheme="minorHAnsi"/>
          <w:sz w:val="24"/>
          <w:szCs w:val="24"/>
        </w:rPr>
      </w:pPr>
    </w:p>
    <w:p w14:paraId="02AA4320" w14:textId="73671FFC" w:rsidR="00DB55E7" w:rsidRPr="00AA21F1" w:rsidRDefault="00A822D8" w:rsidP="00A822D8">
      <w:pPr>
        <w:spacing w:line="480" w:lineRule="auto"/>
        <w:rPr>
          <w:rFonts w:cstheme="minorHAnsi"/>
          <w:sz w:val="24"/>
          <w:szCs w:val="24"/>
        </w:rPr>
      </w:pPr>
      <w:r w:rsidRPr="00A46B8F">
        <w:rPr>
          <w:rFonts w:cstheme="minorHAnsi"/>
          <w:sz w:val="24"/>
          <w:szCs w:val="24"/>
        </w:rPr>
        <w:t>T</w:t>
      </w:r>
      <w:r w:rsidR="00CB3016" w:rsidRPr="00A46B8F">
        <w:rPr>
          <w:rFonts w:cstheme="minorHAnsi"/>
          <w:sz w:val="24"/>
          <w:szCs w:val="24"/>
        </w:rPr>
        <w:t>he d</w:t>
      </w:r>
      <w:r w:rsidRPr="00A46B8F">
        <w:rPr>
          <w:rFonts w:cstheme="minorHAnsi"/>
          <w:sz w:val="24"/>
          <w:szCs w:val="24"/>
        </w:rPr>
        <w:t>ifference in</w:t>
      </w:r>
      <w:r w:rsidR="00914FA7">
        <w:rPr>
          <w:rFonts w:cstheme="minorHAnsi"/>
          <w:sz w:val="24"/>
          <w:szCs w:val="24"/>
        </w:rPr>
        <w:t xml:space="preserve"> the</w:t>
      </w:r>
      <w:r w:rsidRPr="00A46B8F">
        <w:rPr>
          <w:rFonts w:cstheme="minorHAnsi"/>
          <w:sz w:val="24"/>
          <w:szCs w:val="24"/>
        </w:rPr>
        <w:t xml:space="preserve"> incidence of permanent </w:t>
      </w:r>
      <w:r w:rsidR="0021122C">
        <w:rPr>
          <w:rFonts w:cstheme="minorHAnsi"/>
          <w:sz w:val="24"/>
          <w:szCs w:val="24"/>
        </w:rPr>
        <w:t>brachial plexus birth injury</w:t>
      </w:r>
      <w:r w:rsidRPr="00A46B8F">
        <w:rPr>
          <w:rFonts w:cstheme="minorHAnsi"/>
          <w:sz w:val="24"/>
          <w:szCs w:val="24"/>
        </w:rPr>
        <w:t xml:space="preserve"> by mothers’ migrant status and background continent. </w:t>
      </w:r>
      <w:r w:rsidRPr="00A46B8F">
        <w:rPr>
          <w:sz w:val="24"/>
          <w:szCs w:val="24"/>
        </w:rPr>
        <w:t xml:space="preserve">Cesarean deliveries have not been removed as ethnicity is not gathered in the database of the </w:t>
      </w:r>
      <w:r w:rsidRPr="00A46B8F">
        <w:rPr>
          <w:rFonts w:cstheme="minorHAnsi"/>
          <w:sz w:val="24"/>
          <w:szCs w:val="24"/>
        </w:rPr>
        <w:t>Finnish Institute of Health and Welfare.</w:t>
      </w:r>
      <w:r w:rsidRPr="00A46B8F">
        <w:rPr>
          <w:sz w:val="24"/>
          <w:szCs w:val="24"/>
        </w:rPr>
        <w:t xml:space="preserve"> </w:t>
      </w:r>
      <w:r w:rsidRPr="00A46B8F">
        <w:rPr>
          <w:rFonts w:cstheme="minorHAnsi"/>
          <w:sz w:val="24"/>
          <w:szCs w:val="24"/>
        </w:rPr>
        <w:t>*The p-value has been calculated with the native births as the reference</w:t>
      </w:r>
      <w:r w:rsidR="001E14C0">
        <w:rPr>
          <w:rFonts w:cstheme="minorHAnsi"/>
          <w:sz w:val="24"/>
          <w:szCs w:val="24"/>
        </w:rPr>
        <w:t>.</w:t>
      </w:r>
      <w:r w:rsidRPr="00A46B8F">
        <w:rPr>
          <w:rFonts w:cstheme="minorHAnsi"/>
          <w:sz w:val="24"/>
          <w:szCs w:val="24"/>
        </w:rPr>
        <w:t xml:space="preserve"> **Non-</w:t>
      </w:r>
      <w:r w:rsidR="00D92770">
        <w:rPr>
          <w:rFonts w:cstheme="minorHAnsi"/>
          <w:sz w:val="24"/>
          <w:szCs w:val="24"/>
        </w:rPr>
        <w:t>w</w:t>
      </w:r>
      <w:r w:rsidRPr="00A46B8F">
        <w:rPr>
          <w:rFonts w:cstheme="minorHAnsi"/>
          <w:sz w:val="24"/>
          <w:szCs w:val="24"/>
        </w:rPr>
        <w:t>hite=23 mothers (18 from the African continent and</w:t>
      </w:r>
      <w:r w:rsidRPr="00AA21F1">
        <w:rPr>
          <w:rFonts w:cstheme="minorHAnsi"/>
          <w:sz w:val="24"/>
          <w:szCs w:val="24"/>
        </w:rPr>
        <w:t xml:space="preserve"> </w:t>
      </w:r>
      <w:r w:rsidR="00D92770">
        <w:rPr>
          <w:rFonts w:cstheme="minorHAnsi"/>
          <w:sz w:val="24"/>
          <w:szCs w:val="24"/>
        </w:rPr>
        <w:t>five</w:t>
      </w:r>
      <w:r w:rsidRPr="00AA21F1">
        <w:rPr>
          <w:rFonts w:cstheme="minorHAnsi"/>
          <w:sz w:val="24"/>
          <w:szCs w:val="24"/>
        </w:rPr>
        <w:t xml:space="preserve"> from the </w:t>
      </w:r>
      <w:r w:rsidR="00914FA7">
        <w:rPr>
          <w:rFonts w:cstheme="minorHAnsi"/>
          <w:sz w:val="24"/>
          <w:szCs w:val="24"/>
        </w:rPr>
        <w:t>continent of Asia</w:t>
      </w:r>
      <w:r w:rsidR="001E14C0">
        <w:rPr>
          <w:rFonts w:cstheme="minorHAnsi"/>
          <w:sz w:val="24"/>
          <w:szCs w:val="24"/>
        </w:rPr>
        <w:t>)</w:t>
      </w:r>
      <w:r w:rsidRPr="00AA21F1">
        <w:rPr>
          <w:rFonts w:cstheme="minorHAnsi"/>
          <w:sz w:val="24"/>
          <w:szCs w:val="24"/>
        </w:rPr>
        <w:t xml:space="preserve">. </w:t>
      </w:r>
      <w:r w:rsidR="00D92770">
        <w:rPr>
          <w:rFonts w:cstheme="minorHAnsi"/>
          <w:sz w:val="24"/>
          <w:szCs w:val="24"/>
        </w:rPr>
        <w:t>One</w:t>
      </w:r>
      <w:r w:rsidRPr="00AA21F1">
        <w:rPr>
          <w:rFonts w:cstheme="minorHAnsi"/>
          <w:sz w:val="24"/>
          <w:szCs w:val="24"/>
        </w:rPr>
        <w:t xml:space="preserve"> Hispanic</w:t>
      </w:r>
      <w:r w:rsidR="001E14C0">
        <w:rPr>
          <w:rFonts w:cstheme="minorHAnsi"/>
          <w:sz w:val="24"/>
          <w:szCs w:val="24"/>
        </w:rPr>
        <w:t xml:space="preserve"> was</w:t>
      </w:r>
      <w:r w:rsidRPr="00AA21F1">
        <w:rPr>
          <w:rFonts w:cstheme="minorHAnsi"/>
          <w:sz w:val="24"/>
          <w:szCs w:val="24"/>
        </w:rPr>
        <w:t xml:space="preserve"> removed as birth data from South America is combined </w:t>
      </w:r>
      <w:r w:rsidR="00D92770">
        <w:rPr>
          <w:rFonts w:cstheme="minorHAnsi"/>
          <w:sz w:val="24"/>
          <w:szCs w:val="24"/>
        </w:rPr>
        <w:t>with</w:t>
      </w:r>
      <w:r w:rsidRPr="00AA21F1">
        <w:rPr>
          <w:rFonts w:cstheme="minorHAnsi"/>
          <w:sz w:val="24"/>
          <w:szCs w:val="24"/>
        </w:rPr>
        <w:t xml:space="preserve"> </w:t>
      </w:r>
      <w:r w:rsidR="001315D3">
        <w:rPr>
          <w:rFonts w:cstheme="minorHAnsi"/>
          <w:sz w:val="24"/>
          <w:szCs w:val="24"/>
        </w:rPr>
        <w:t>Central</w:t>
      </w:r>
      <w:r w:rsidR="001315D3" w:rsidRPr="00AA21F1">
        <w:rPr>
          <w:rFonts w:cstheme="minorHAnsi"/>
          <w:sz w:val="24"/>
          <w:szCs w:val="24"/>
        </w:rPr>
        <w:t xml:space="preserve"> </w:t>
      </w:r>
      <w:r w:rsidRPr="00AA21F1">
        <w:rPr>
          <w:rFonts w:cstheme="minorHAnsi"/>
          <w:sz w:val="24"/>
          <w:szCs w:val="24"/>
        </w:rPr>
        <w:t>and North in the Statistics Finland database.</w:t>
      </w:r>
      <w:r w:rsidR="00DB55E7" w:rsidRPr="00AA21F1">
        <w:rPr>
          <w:rFonts w:cstheme="minorHAnsi"/>
          <w:sz w:val="24"/>
          <w:szCs w:val="24"/>
        </w:rPr>
        <w:br w:type="page"/>
      </w:r>
    </w:p>
    <w:p w14:paraId="12C83E2F" w14:textId="56430660" w:rsidR="00D87891" w:rsidRPr="00A46B8F" w:rsidRDefault="005F0FA5" w:rsidP="00697650">
      <w:pPr>
        <w:spacing w:line="480" w:lineRule="auto"/>
        <w:rPr>
          <w:rFonts w:cstheme="minorHAnsi"/>
          <w:b/>
          <w:bCs/>
          <w:sz w:val="24"/>
          <w:szCs w:val="24"/>
        </w:rPr>
      </w:pPr>
      <w:r w:rsidRPr="00A46B8F">
        <w:rPr>
          <w:rFonts w:cstheme="minorHAnsi"/>
          <w:b/>
          <w:bCs/>
          <w:sz w:val="24"/>
          <w:szCs w:val="24"/>
        </w:rPr>
        <w:t xml:space="preserve">Figure </w:t>
      </w:r>
      <w:r w:rsidR="001521DE" w:rsidRPr="00A46B8F">
        <w:rPr>
          <w:rFonts w:cstheme="minorHAnsi"/>
          <w:b/>
          <w:bCs/>
          <w:sz w:val="24"/>
          <w:szCs w:val="24"/>
        </w:rPr>
        <w:t>1</w:t>
      </w:r>
      <w:r w:rsidR="00A46B8F" w:rsidRPr="00A46B8F">
        <w:rPr>
          <w:rFonts w:cstheme="minorHAnsi"/>
          <w:b/>
          <w:bCs/>
          <w:sz w:val="24"/>
          <w:szCs w:val="24"/>
        </w:rPr>
        <w:t>.</w:t>
      </w:r>
      <w:r w:rsidR="001521DE" w:rsidRPr="00A46B8F">
        <w:rPr>
          <w:rFonts w:cstheme="minorHAnsi"/>
          <w:b/>
          <w:bCs/>
          <w:sz w:val="24"/>
          <w:szCs w:val="24"/>
        </w:rPr>
        <w:t xml:space="preserve"> </w:t>
      </w:r>
      <w:r w:rsidR="00A46B8F" w:rsidRPr="00A46B8F">
        <w:rPr>
          <w:rFonts w:cstheme="minorHAnsi"/>
          <w:b/>
          <w:bCs/>
          <w:sz w:val="24"/>
          <w:szCs w:val="24"/>
        </w:rPr>
        <w:t>I</w:t>
      </w:r>
      <w:r w:rsidR="001521DE" w:rsidRPr="00A46B8F">
        <w:rPr>
          <w:rFonts w:cstheme="minorHAnsi"/>
          <w:b/>
          <w:bCs/>
          <w:sz w:val="24"/>
          <w:szCs w:val="24"/>
        </w:rPr>
        <w:t>ncidence</w:t>
      </w:r>
      <w:r w:rsidR="006B3328" w:rsidRPr="00A46B8F">
        <w:rPr>
          <w:rFonts w:cstheme="minorHAnsi"/>
          <w:b/>
          <w:bCs/>
          <w:sz w:val="24"/>
          <w:szCs w:val="24"/>
        </w:rPr>
        <w:t xml:space="preserve"> </w:t>
      </w:r>
      <w:r w:rsidR="00A46B8F" w:rsidRPr="00A46B8F">
        <w:rPr>
          <w:rFonts w:cstheme="minorHAnsi"/>
          <w:b/>
          <w:bCs/>
          <w:sz w:val="24"/>
          <w:szCs w:val="24"/>
        </w:rPr>
        <w:t>of permanent brachial plexus birth i</w:t>
      </w:r>
      <w:r w:rsidR="00A46B8F">
        <w:rPr>
          <w:rFonts w:cstheme="minorHAnsi"/>
          <w:b/>
          <w:bCs/>
          <w:sz w:val="24"/>
          <w:szCs w:val="24"/>
        </w:rPr>
        <w:t>njuries in native vs. immigrant births</w:t>
      </w:r>
    </w:p>
    <w:p w14:paraId="69CFF7BE" w14:textId="02FFB866" w:rsidR="001521DE" w:rsidRPr="00AA21F1" w:rsidRDefault="006322F9" w:rsidP="00697650">
      <w:pPr>
        <w:spacing w:line="480" w:lineRule="auto"/>
        <w:rPr>
          <w:rFonts w:cstheme="minorHAnsi"/>
          <w:b/>
          <w:bCs/>
          <w:sz w:val="24"/>
          <w:szCs w:val="24"/>
        </w:rPr>
      </w:pPr>
      <w:r w:rsidRPr="00AA21F1">
        <w:rPr>
          <w:noProof/>
          <w:lang w:val="fi-FI" w:eastAsia="fi-FI"/>
        </w:rPr>
        <w:drawing>
          <wp:inline distT="0" distB="0" distL="0" distR="0" wp14:anchorId="41D5C6FD" wp14:editId="2BA933B6">
            <wp:extent cx="5305331" cy="3304515"/>
            <wp:effectExtent l="0" t="0" r="10160" b="10795"/>
            <wp:docPr id="1" name="Kaavio 1">
              <a:extLst xmlns:a="http://schemas.openxmlformats.org/drawingml/2006/main">
                <a:ext uri="{FF2B5EF4-FFF2-40B4-BE49-F238E27FC236}">
                  <a16:creationId xmlns:a16="http://schemas.microsoft.com/office/drawing/2014/main" id="{9F60491F-5CFD-5FF6-41A5-29B3DA3858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07BF259" w14:textId="6C2094F5" w:rsidR="006322F9" w:rsidRPr="00AA21F1" w:rsidRDefault="008273D9" w:rsidP="001521DE">
      <w:pPr>
        <w:spacing w:line="480" w:lineRule="auto"/>
        <w:rPr>
          <w:sz w:val="24"/>
          <w:szCs w:val="24"/>
        </w:rPr>
      </w:pPr>
      <w:r w:rsidRPr="00A46B8F">
        <w:rPr>
          <w:sz w:val="24"/>
          <w:szCs w:val="24"/>
        </w:rPr>
        <w:t>T</w:t>
      </w:r>
      <w:r w:rsidR="006322F9" w:rsidRPr="00A46B8F">
        <w:rPr>
          <w:sz w:val="24"/>
          <w:szCs w:val="24"/>
        </w:rPr>
        <w:t xml:space="preserve">he difference in incidence between immigrant </w:t>
      </w:r>
      <w:r w:rsidR="00C75399" w:rsidRPr="00A46B8F">
        <w:rPr>
          <w:sz w:val="24"/>
          <w:szCs w:val="24"/>
        </w:rPr>
        <w:t>(mean 0.</w:t>
      </w:r>
      <w:r w:rsidR="00470A70" w:rsidRPr="00A46B8F">
        <w:rPr>
          <w:sz w:val="24"/>
          <w:szCs w:val="24"/>
        </w:rPr>
        <w:t>8, range; 0</w:t>
      </w:r>
      <w:r w:rsidR="00F53AD8">
        <w:rPr>
          <w:sz w:val="24"/>
          <w:szCs w:val="24"/>
        </w:rPr>
        <w:t>–</w:t>
      </w:r>
      <w:r w:rsidR="00470A70" w:rsidRPr="00A46B8F">
        <w:rPr>
          <w:sz w:val="24"/>
          <w:szCs w:val="24"/>
        </w:rPr>
        <w:t>1.8, SD 0.49</w:t>
      </w:r>
      <w:r w:rsidR="00C75399" w:rsidRPr="00A46B8F">
        <w:rPr>
          <w:sz w:val="24"/>
          <w:szCs w:val="24"/>
        </w:rPr>
        <w:t xml:space="preserve">) </w:t>
      </w:r>
      <w:r w:rsidR="006322F9" w:rsidRPr="00A46B8F">
        <w:rPr>
          <w:sz w:val="24"/>
          <w:szCs w:val="24"/>
        </w:rPr>
        <w:t xml:space="preserve">and native </w:t>
      </w:r>
      <w:r w:rsidR="00C75399" w:rsidRPr="00A46B8F">
        <w:rPr>
          <w:sz w:val="24"/>
          <w:szCs w:val="24"/>
        </w:rPr>
        <w:t>(mean 0.3</w:t>
      </w:r>
      <w:r w:rsidR="00470A70" w:rsidRPr="00A46B8F">
        <w:rPr>
          <w:sz w:val="24"/>
          <w:szCs w:val="24"/>
        </w:rPr>
        <w:t>, range 0</w:t>
      </w:r>
      <w:r w:rsidR="00F53AD8">
        <w:rPr>
          <w:sz w:val="24"/>
          <w:szCs w:val="24"/>
        </w:rPr>
        <w:t>–</w:t>
      </w:r>
      <w:r w:rsidR="00470A70" w:rsidRPr="00A46B8F">
        <w:rPr>
          <w:sz w:val="24"/>
          <w:szCs w:val="24"/>
        </w:rPr>
        <w:t>0.6, SD 0.16</w:t>
      </w:r>
      <w:r w:rsidR="00C75399" w:rsidRPr="00A46B8F">
        <w:rPr>
          <w:sz w:val="24"/>
          <w:szCs w:val="24"/>
        </w:rPr>
        <w:t xml:space="preserve">) </w:t>
      </w:r>
      <w:r w:rsidR="006322F9" w:rsidRPr="00A46B8F">
        <w:rPr>
          <w:sz w:val="24"/>
          <w:szCs w:val="24"/>
        </w:rPr>
        <w:t>births over the study period</w:t>
      </w:r>
      <w:r w:rsidR="00C75399" w:rsidRPr="00A46B8F">
        <w:rPr>
          <w:sz w:val="24"/>
          <w:szCs w:val="24"/>
        </w:rPr>
        <w:t xml:space="preserve"> </w:t>
      </w:r>
      <w:r w:rsidR="00F53AD8">
        <w:rPr>
          <w:sz w:val="24"/>
          <w:szCs w:val="24"/>
        </w:rPr>
        <w:t>and</w:t>
      </w:r>
      <w:r w:rsidR="00C75399" w:rsidRPr="00A46B8F">
        <w:rPr>
          <w:sz w:val="24"/>
          <w:szCs w:val="24"/>
        </w:rPr>
        <w:t xml:space="preserve"> the total incidence (mean 0.</w:t>
      </w:r>
      <w:r w:rsidR="00470A70" w:rsidRPr="00A46B8F">
        <w:rPr>
          <w:sz w:val="24"/>
          <w:szCs w:val="24"/>
        </w:rPr>
        <w:t>3, range 0</w:t>
      </w:r>
      <w:r w:rsidR="00F53AD8">
        <w:rPr>
          <w:sz w:val="24"/>
          <w:szCs w:val="24"/>
        </w:rPr>
        <w:t>–</w:t>
      </w:r>
      <w:r w:rsidR="00470A70" w:rsidRPr="00A46B8F">
        <w:rPr>
          <w:sz w:val="24"/>
          <w:szCs w:val="24"/>
        </w:rPr>
        <w:t>1.8, SD 0.18</w:t>
      </w:r>
      <w:r w:rsidR="00C75399" w:rsidRPr="00A46B8F">
        <w:rPr>
          <w:sz w:val="24"/>
          <w:szCs w:val="24"/>
        </w:rPr>
        <w:t>)</w:t>
      </w:r>
      <w:r w:rsidR="006322F9" w:rsidRPr="00A46B8F">
        <w:rPr>
          <w:sz w:val="24"/>
          <w:szCs w:val="24"/>
        </w:rPr>
        <w:t xml:space="preserve">. Cesarean deliveries have not been removed as ethnicity is not </w:t>
      </w:r>
      <w:r w:rsidR="00F53AD8">
        <w:rPr>
          <w:sz w:val="24"/>
          <w:szCs w:val="24"/>
        </w:rPr>
        <w:t>collected</w:t>
      </w:r>
      <w:r w:rsidR="00F53AD8" w:rsidRPr="00A46B8F">
        <w:rPr>
          <w:sz w:val="24"/>
          <w:szCs w:val="24"/>
        </w:rPr>
        <w:t xml:space="preserve"> </w:t>
      </w:r>
      <w:r w:rsidR="006322F9" w:rsidRPr="00A46B8F">
        <w:rPr>
          <w:sz w:val="24"/>
          <w:szCs w:val="24"/>
        </w:rPr>
        <w:t xml:space="preserve">in the </w:t>
      </w:r>
      <w:r w:rsidR="006E7CA2" w:rsidRPr="00A46B8F">
        <w:rPr>
          <w:sz w:val="24"/>
          <w:szCs w:val="24"/>
        </w:rPr>
        <w:t>database</w:t>
      </w:r>
      <w:r w:rsidR="006322F9" w:rsidRPr="00A46B8F">
        <w:rPr>
          <w:sz w:val="24"/>
          <w:szCs w:val="24"/>
        </w:rPr>
        <w:t xml:space="preserve"> of the </w:t>
      </w:r>
      <w:r w:rsidR="006322F9" w:rsidRPr="00A46B8F">
        <w:rPr>
          <w:rFonts w:cstheme="minorHAnsi"/>
          <w:sz w:val="24"/>
          <w:szCs w:val="24"/>
        </w:rPr>
        <w:t>Finnish Institute of Health and Welfare.</w:t>
      </w:r>
      <w:r w:rsidR="006322F9" w:rsidRPr="00A46B8F">
        <w:rPr>
          <w:sz w:val="24"/>
          <w:szCs w:val="24"/>
        </w:rPr>
        <w:t xml:space="preserve"> The difference is statistically significant (p</w:t>
      </w:r>
      <w:r w:rsidR="00470A70" w:rsidRPr="00A46B8F">
        <w:rPr>
          <w:sz w:val="24"/>
          <w:szCs w:val="24"/>
        </w:rPr>
        <w:t>&lt;0.001</w:t>
      </w:r>
      <w:r w:rsidR="006322F9" w:rsidRPr="00A46B8F">
        <w:rPr>
          <w:sz w:val="24"/>
          <w:szCs w:val="24"/>
        </w:rPr>
        <w:t>).</w:t>
      </w:r>
      <w:r w:rsidR="00C75399" w:rsidRPr="00AA21F1">
        <w:rPr>
          <w:sz w:val="24"/>
          <w:szCs w:val="24"/>
        </w:rPr>
        <w:t xml:space="preserve"> </w:t>
      </w:r>
    </w:p>
    <w:p w14:paraId="0ABA830B" w14:textId="38FF7609" w:rsidR="006322F9" w:rsidRPr="00AA21F1" w:rsidRDefault="006322F9" w:rsidP="000F40D5">
      <w:pPr>
        <w:rPr>
          <w:b/>
          <w:bCs/>
          <w:sz w:val="24"/>
          <w:szCs w:val="24"/>
        </w:rPr>
      </w:pPr>
      <w:r w:rsidRPr="00AA21F1">
        <w:rPr>
          <w:b/>
          <w:bCs/>
          <w:sz w:val="24"/>
          <w:szCs w:val="24"/>
        </w:rPr>
        <w:br w:type="page"/>
      </w:r>
      <w:r w:rsidR="001521DE" w:rsidRPr="00AA21F1">
        <w:rPr>
          <w:b/>
          <w:bCs/>
          <w:sz w:val="24"/>
          <w:szCs w:val="24"/>
        </w:rPr>
        <w:t>Figure 2</w:t>
      </w:r>
      <w:r w:rsidR="00A46B8F">
        <w:rPr>
          <w:b/>
          <w:bCs/>
          <w:sz w:val="24"/>
          <w:szCs w:val="24"/>
        </w:rPr>
        <w:t>.</w:t>
      </w:r>
      <w:r w:rsidR="001521DE" w:rsidRPr="00AA21F1">
        <w:rPr>
          <w:b/>
          <w:bCs/>
          <w:sz w:val="24"/>
          <w:szCs w:val="24"/>
        </w:rPr>
        <w:t xml:space="preserve"> </w:t>
      </w:r>
      <w:r w:rsidR="00A46B8F">
        <w:rPr>
          <w:b/>
          <w:bCs/>
          <w:sz w:val="24"/>
          <w:szCs w:val="24"/>
        </w:rPr>
        <w:t>Rate of permanent brachial plexus birth injury in immigrants</w:t>
      </w:r>
    </w:p>
    <w:p w14:paraId="38A751F2" w14:textId="20B03DCB" w:rsidR="006E7CA2" w:rsidRPr="00AA21F1" w:rsidRDefault="006E7CA2" w:rsidP="006322F9">
      <w:pPr>
        <w:spacing w:line="480" w:lineRule="auto"/>
        <w:rPr>
          <w:sz w:val="24"/>
          <w:szCs w:val="24"/>
        </w:rPr>
      </w:pPr>
      <w:r w:rsidRPr="00AA21F1">
        <w:rPr>
          <w:noProof/>
          <w:lang w:val="fi-FI" w:eastAsia="fi-FI"/>
        </w:rPr>
        <w:drawing>
          <wp:inline distT="0" distB="0" distL="0" distR="0" wp14:anchorId="243F59C2" wp14:editId="368D6418">
            <wp:extent cx="5943600" cy="3466465"/>
            <wp:effectExtent l="0" t="0" r="0" b="635"/>
            <wp:docPr id="4" name="Kaavio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CAB7D4D" w14:textId="3B601B00" w:rsidR="006322F9" w:rsidRPr="00AA21F1" w:rsidRDefault="00CD4BEC" w:rsidP="006322F9">
      <w:pPr>
        <w:spacing w:line="480" w:lineRule="auto"/>
        <w:rPr>
          <w:rFonts w:cstheme="minorHAnsi"/>
          <w:sz w:val="24"/>
          <w:szCs w:val="24"/>
        </w:rPr>
      </w:pPr>
      <w:r w:rsidRPr="00A46B8F">
        <w:rPr>
          <w:sz w:val="24"/>
          <w:szCs w:val="24"/>
        </w:rPr>
        <w:t>R</w:t>
      </w:r>
      <w:r w:rsidR="006322F9" w:rsidRPr="00A46B8F">
        <w:rPr>
          <w:sz w:val="24"/>
          <w:szCs w:val="24"/>
        </w:rPr>
        <w:t xml:space="preserve">ate (%) </w:t>
      </w:r>
      <w:r w:rsidR="00915D6B" w:rsidRPr="00A46B8F">
        <w:rPr>
          <w:sz w:val="24"/>
          <w:szCs w:val="24"/>
        </w:rPr>
        <w:t xml:space="preserve">per year </w:t>
      </w:r>
      <w:r w:rsidR="006322F9" w:rsidRPr="00A46B8F">
        <w:rPr>
          <w:sz w:val="24"/>
          <w:szCs w:val="24"/>
        </w:rPr>
        <w:t xml:space="preserve">of </w:t>
      </w:r>
      <w:r w:rsidR="00915D6B" w:rsidRPr="00A46B8F">
        <w:rPr>
          <w:sz w:val="24"/>
          <w:szCs w:val="24"/>
        </w:rPr>
        <w:t>children born with a permanent brachial plexus birth injury</w:t>
      </w:r>
      <w:r w:rsidR="00333BB0" w:rsidRPr="00A46B8F">
        <w:rPr>
          <w:sz w:val="24"/>
          <w:szCs w:val="24"/>
        </w:rPr>
        <w:t xml:space="preserve"> (BPBI)</w:t>
      </w:r>
      <w:r w:rsidR="00915D6B" w:rsidRPr="00A46B8F">
        <w:rPr>
          <w:sz w:val="24"/>
          <w:szCs w:val="24"/>
        </w:rPr>
        <w:t xml:space="preserve"> to immigrant mothers</w:t>
      </w:r>
      <w:r w:rsidR="000651B6" w:rsidRPr="00A46B8F">
        <w:rPr>
          <w:sz w:val="24"/>
          <w:szCs w:val="24"/>
        </w:rPr>
        <w:t xml:space="preserve"> and t</w:t>
      </w:r>
      <w:r w:rsidR="00915D6B" w:rsidRPr="00A46B8F">
        <w:rPr>
          <w:sz w:val="24"/>
          <w:szCs w:val="24"/>
        </w:rPr>
        <w:t xml:space="preserve">he rate (%) of </w:t>
      </w:r>
      <w:r w:rsidR="000651B6" w:rsidRPr="00A46B8F">
        <w:rPr>
          <w:sz w:val="24"/>
          <w:szCs w:val="24"/>
        </w:rPr>
        <w:t xml:space="preserve">the </w:t>
      </w:r>
      <w:r w:rsidR="00915D6B" w:rsidRPr="00A46B8F">
        <w:rPr>
          <w:sz w:val="24"/>
          <w:szCs w:val="24"/>
        </w:rPr>
        <w:t xml:space="preserve">immigrant population in </w:t>
      </w:r>
      <w:r w:rsidR="006E7CA2" w:rsidRPr="00A46B8F">
        <w:rPr>
          <w:sz w:val="24"/>
          <w:szCs w:val="24"/>
        </w:rPr>
        <w:t>South</w:t>
      </w:r>
      <w:r w:rsidR="008273D9" w:rsidRPr="00A46B8F">
        <w:rPr>
          <w:sz w:val="24"/>
          <w:szCs w:val="24"/>
        </w:rPr>
        <w:t>ern</w:t>
      </w:r>
      <w:r w:rsidR="006E7CA2" w:rsidRPr="00A46B8F">
        <w:rPr>
          <w:sz w:val="24"/>
          <w:szCs w:val="24"/>
        </w:rPr>
        <w:t xml:space="preserve"> Finland during the study period</w:t>
      </w:r>
      <w:r w:rsidR="006418EC" w:rsidRPr="00A46B8F">
        <w:rPr>
          <w:sz w:val="24"/>
          <w:szCs w:val="24"/>
        </w:rPr>
        <w:t xml:space="preserve"> (mean </w:t>
      </w:r>
      <w:r w:rsidR="00C75399" w:rsidRPr="00A46B8F">
        <w:rPr>
          <w:sz w:val="24"/>
          <w:szCs w:val="24"/>
        </w:rPr>
        <w:t>7.1 %, range, 4.1</w:t>
      </w:r>
      <w:r w:rsidR="00F53AD8">
        <w:rPr>
          <w:sz w:val="24"/>
          <w:szCs w:val="24"/>
        </w:rPr>
        <w:t>–</w:t>
      </w:r>
      <w:r w:rsidR="00C75399" w:rsidRPr="00A46B8F">
        <w:rPr>
          <w:sz w:val="24"/>
          <w:szCs w:val="24"/>
        </w:rPr>
        <w:t>9.9, SD 1.8)</w:t>
      </w:r>
      <w:r w:rsidR="006E7CA2" w:rsidRPr="00A46B8F">
        <w:rPr>
          <w:sz w:val="24"/>
          <w:szCs w:val="24"/>
        </w:rPr>
        <w:t>.</w:t>
      </w:r>
      <w:r w:rsidR="006E7CA2" w:rsidRPr="00AA21F1">
        <w:rPr>
          <w:sz w:val="24"/>
          <w:szCs w:val="24"/>
        </w:rPr>
        <w:t xml:space="preserve"> </w:t>
      </w:r>
    </w:p>
    <w:p w14:paraId="32CE854C" w14:textId="70F89FC5" w:rsidR="008D3FE6" w:rsidRPr="00AA21F1" w:rsidRDefault="001521DE" w:rsidP="00697650">
      <w:pPr>
        <w:spacing w:line="480" w:lineRule="auto"/>
        <w:rPr>
          <w:rFonts w:cstheme="minorHAnsi"/>
          <w:b/>
          <w:bCs/>
          <w:sz w:val="28"/>
          <w:szCs w:val="28"/>
        </w:rPr>
      </w:pPr>
      <w:r w:rsidRPr="00AA21F1">
        <w:rPr>
          <w:rFonts w:cstheme="minorHAnsi"/>
          <w:b/>
          <w:bCs/>
          <w:sz w:val="24"/>
          <w:szCs w:val="24"/>
        </w:rPr>
        <w:br w:type="page"/>
      </w:r>
      <w:r w:rsidR="008D3FE6" w:rsidRPr="00AA21F1">
        <w:rPr>
          <w:b/>
          <w:bCs/>
          <w:sz w:val="24"/>
          <w:szCs w:val="24"/>
        </w:rPr>
        <w:t xml:space="preserve">Figure </w:t>
      </w:r>
      <w:r w:rsidRPr="00AA21F1">
        <w:rPr>
          <w:b/>
          <w:bCs/>
          <w:sz w:val="24"/>
          <w:szCs w:val="24"/>
        </w:rPr>
        <w:t>3</w:t>
      </w:r>
      <w:r w:rsidR="00A46B8F">
        <w:rPr>
          <w:b/>
          <w:bCs/>
          <w:sz w:val="24"/>
          <w:szCs w:val="24"/>
        </w:rPr>
        <w:t>. The 3-month Toronto test score in the study population</w:t>
      </w:r>
    </w:p>
    <w:p w14:paraId="6E990908" w14:textId="766AAF06" w:rsidR="00AF3899" w:rsidRPr="00AA21F1" w:rsidRDefault="00837760" w:rsidP="008D3FE6">
      <w:pPr>
        <w:spacing w:line="480" w:lineRule="auto"/>
        <w:rPr>
          <w:rFonts w:cstheme="minorHAnsi"/>
          <w:sz w:val="24"/>
          <w:szCs w:val="24"/>
        </w:rPr>
      </w:pPr>
      <w:r w:rsidRPr="00AA21F1">
        <w:rPr>
          <w:noProof/>
          <w:lang w:val="fi-FI" w:eastAsia="fi-FI"/>
        </w:rPr>
        <mc:AlternateContent>
          <mc:Choice Requires="cx1">
            <w:drawing>
              <wp:inline distT="0" distB="0" distL="0" distR="0" wp14:anchorId="395D29D3" wp14:editId="2F4C3DC0">
                <wp:extent cx="5943600" cy="4399915"/>
                <wp:effectExtent l="0" t="0" r="0" b="635"/>
                <wp:docPr id="7" name="Kaavio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34CE19-264F-4F42-9E4F-CA02D6983F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6"/>
                  </a:graphicData>
                </a:graphic>
              </wp:inline>
            </w:drawing>
          </mc:Choice>
          <mc:Fallback xmlns:w16du="http://schemas.microsoft.com/office/word/2023/wordml/word16du">
            <w:drawing>
              <wp:inline distT="0" distB="0" distL="0" distR="0" wp14:anchorId="395D29D3" wp14:editId="2F4C3DC0">
                <wp:extent cx="5943600" cy="4399915"/>
                <wp:effectExtent l="0" t="0" r="0" b="635"/>
                <wp:docPr id="7" name="Kaavio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34CE19-264F-4F42-9E4F-CA02D6983FF1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Kaavio 7">
                          <a:extLst>
                            <a:ext uri="{FF2B5EF4-FFF2-40B4-BE49-F238E27FC236}">
                              <a16:creationId xmlns:a16="http://schemas.microsoft.com/office/drawing/2014/main" id="{2A34CE19-264F-4F42-9E4F-CA02D6983FF1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439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52C57656" w14:textId="4CCC0B59" w:rsidR="00186DE2" w:rsidRDefault="000651B6" w:rsidP="00697650">
      <w:pPr>
        <w:spacing w:line="480" w:lineRule="auto"/>
        <w:rPr>
          <w:rFonts w:cstheme="minorHAnsi"/>
          <w:sz w:val="24"/>
          <w:szCs w:val="24"/>
        </w:rPr>
      </w:pPr>
      <w:r w:rsidRPr="00AA21F1">
        <w:rPr>
          <w:rFonts w:cstheme="minorHAnsi"/>
          <w:sz w:val="24"/>
          <w:szCs w:val="24"/>
        </w:rPr>
        <w:t>Box-plot figure showing the difference in the 3-month</w:t>
      </w:r>
      <w:r w:rsidR="00A46B8F">
        <w:rPr>
          <w:rFonts w:cstheme="minorHAnsi"/>
          <w:sz w:val="24"/>
          <w:szCs w:val="24"/>
        </w:rPr>
        <w:t xml:space="preserve"> Toronto</w:t>
      </w:r>
      <w:r w:rsidRPr="00AA21F1">
        <w:rPr>
          <w:rFonts w:cstheme="minorHAnsi"/>
          <w:sz w:val="24"/>
          <w:szCs w:val="24"/>
        </w:rPr>
        <w:t xml:space="preserve"> test score between Caucasian and Black (p=0.003).</w:t>
      </w:r>
    </w:p>
    <w:p w14:paraId="7AEF35D7" w14:textId="77777777" w:rsidR="00DF7F1C" w:rsidRPr="00DF7F1C" w:rsidRDefault="00DF7F1C" w:rsidP="002C6A22">
      <w:pPr>
        <w:rPr>
          <w:rFonts w:cstheme="minorHAnsi"/>
          <w:sz w:val="24"/>
          <w:szCs w:val="24"/>
        </w:rPr>
      </w:pPr>
    </w:p>
    <w:p w14:paraId="5A96EB27" w14:textId="77777777" w:rsidR="00DF7F1C" w:rsidRPr="00DF7F1C" w:rsidRDefault="00DF7F1C" w:rsidP="002C6A22">
      <w:pPr>
        <w:rPr>
          <w:rFonts w:cstheme="minorHAnsi"/>
          <w:sz w:val="24"/>
          <w:szCs w:val="24"/>
        </w:rPr>
      </w:pPr>
    </w:p>
    <w:p w14:paraId="1B74868B" w14:textId="77777777" w:rsidR="00DF7F1C" w:rsidRPr="00DF7F1C" w:rsidRDefault="00DF7F1C" w:rsidP="002C6A22">
      <w:pPr>
        <w:rPr>
          <w:rFonts w:cstheme="minorHAnsi"/>
          <w:sz w:val="24"/>
          <w:szCs w:val="24"/>
        </w:rPr>
      </w:pPr>
    </w:p>
    <w:p w14:paraId="01FD4A4D" w14:textId="77777777" w:rsidR="00DF7F1C" w:rsidRPr="00DF7F1C" w:rsidRDefault="00DF7F1C" w:rsidP="002C6A22">
      <w:pPr>
        <w:rPr>
          <w:rFonts w:cstheme="minorHAnsi"/>
          <w:sz w:val="24"/>
          <w:szCs w:val="24"/>
        </w:rPr>
      </w:pPr>
    </w:p>
    <w:p w14:paraId="5391F865" w14:textId="77777777" w:rsidR="00DF7F1C" w:rsidRPr="00DF7F1C" w:rsidRDefault="00DF7F1C" w:rsidP="002C6A22">
      <w:pPr>
        <w:rPr>
          <w:rFonts w:cstheme="minorHAnsi"/>
          <w:sz w:val="24"/>
          <w:szCs w:val="24"/>
        </w:rPr>
      </w:pPr>
    </w:p>
    <w:p w14:paraId="08E84EBB" w14:textId="77777777" w:rsidR="00DF7F1C" w:rsidRDefault="00DF7F1C" w:rsidP="00DF7F1C">
      <w:pPr>
        <w:rPr>
          <w:rFonts w:cstheme="minorHAnsi"/>
          <w:sz w:val="24"/>
          <w:szCs w:val="24"/>
        </w:rPr>
      </w:pPr>
    </w:p>
    <w:p w14:paraId="3910A185" w14:textId="4E1144DB" w:rsidR="00DF7F1C" w:rsidRPr="00DF7F1C" w:rsidRDefault="00DF7F1C" w:rsidP="002C6A22">
      <w:pPr>
        <w:tabs>
          <w:tab w:val="left" w:pos="8471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DF7F1C" w:rsidRPr="00DF7F1C" w:rsidSect="006402CE">
      <w:pgSz w:w="12240" w:h="15840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D7E0" w14:textId="77777777" w:rsidR="00185507" w:rsidRDefault="00185507" w:rsidP="009A4F71">
      <w:pPr>
        <w:spacing w:after="0" w:line="240" w:lineRule="auto"/>
      </w:pPr>
      <w:r>
        <w:separator/>
      </w:r>
    </w:p>
  </w:endnote>
  <w:endnote w:type="continuationSeparator" w:id="0">
    <w:p w14:paraId="439CA6C7" w14:textId="77777777" w:rsidR="00185507" w:rsidRDefault="00185507" w:rsidP="009A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02206" w14:textId="77777777" w:rsidR="00185507" w:rsidRDefault="00185507" w:rsidP="009A4F71">
      <w:pPr>
        <w:spacing w:after="0" w:line="240" w:lineRule="auto"/>
      </w:pPr>
      <w:r>
        <w:separator/>
      </w:r>
    </w:p>
  </w:footnote>
  <w:footnote w:type="continuationSeparator" w:id="0">
    <w:p w14:paraId="5FF760B7" w14:textId="77777777" w:rsidR="00185507" w:rsidRDefault="00185507" w:rsidP="009A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340547"/>
      <w:docPartObj>
        <w:docPartGallery w:val="Page Numbers (Top of Page)"/>
        <w:docPartUnique/>
      </w:docPartObj>
    </w:sdtPr>
    <w:sdtContent>
      <w:p w14:paraId="70C0DB66" w14:textId="10AAF84B" w:rsidR="009A4F71" w:rsidRDefault="009A4F71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FFE" w:rsidRPr="00BA1FFE">
          <w:rPr>
            <w:noProof/>
            <w:lang w:val="fi-FI"/>
          </w:rPr>
          <w:t>1</w:t>
        </w:r>
        <w:r>
          <w:fldChar w:fldCharType="end"/>
        </w:r>
      </w:p>
    </w:sdtContent>
  </w:sdt>
  <w:p w14:paraId="161D35B4" w14:textId="77777777" w:rsidR="009A4F71" w:rsidRDefault="009A4F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37D3"/>
    <w:multiLevelType w:val="hybridMultilevel"/>
    <w:tmpl w:val="439E5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E3E78"/>
    <w:multiLevelType w:val="hybridMultilevel"/>
    <w:tmpl w:val="6BC6E2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D4575"/>
    <w:multiLevelType w:val="singleLevel"/>
    <w:tmpl w:val="769A9402"/>
    <w:lvl w:ilvl="0">
      <w:start w:val="1"/>
      <w:numFmt w:val="decimal"/>
      <w:lvlText w:val="%1)"/>
      <w:lvlJc w:val="left"/>
      <w:pPr>
        <w:ind w:left="720" w:hanging="360"/>
      </w:pPr>
      <w:rPr>
        <w:lang w:val="fi-FI"/>
      </w:rPr>
    </w:lvl>
  </w:abstractNum>
  <w:num w:numId="1" w16cid:durableId="959459490">
    <w:abstractNumId w:val="0"/>
  </w:num>
  <w:num w:numId="2" w16cid:durableId="923298149">
    <w:abstractNumId w:val="2"/>
  </w:num>
  <w:num w:numId="3" w16cid:durableId="545223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209"/>
    <w:rsid w:val="00000909"/>
    <w:rsid w:val="0001558D"/>
    <w:rsid w:val="00020E48"/>
    <w:rsid w:val="00021957"/>
    <w:rsid w:val="00023B5A"/>
    <w:rsid w:val="0002784E"/>
    <w:rsid w:val="0003296E"/>
    <w:rsid w:val="00033A24"/>
    <w:rsid w:val="00033BFF"/>
    <w:rsid w:val="00035E2F"/>
    <w:rsid w:val="00052679"/>
    <w:rsid w:val="00061AF2"/>
    <w:rsid w:val="000651B6"/>
    <w:rsid w:val="00066DEA"/>
    <w:rsid w:val="00072FC6"/>
    <w:rsid w:val="00074F73"/>
    <w:rsid w:val="0007629C"/>
    <w:rsid w:val="000770C5"/>
    <w:rsid w:val="00085D59"/>
    <w:rsid w:val="00090874"/>
    <w:rsid w:val="00093379"/>
    <w:rsid w:val="00097178"/>
    <w:rsid w:val="000A0EAE"/>
    <w:rsid w:val="000A40E5"/>
    <w:rsid w:val="000A56BB"/>
    <w:rsid w:val="000B2943"/>
    <w:rsid w:val="000B6F1C"/>
    <w:rsid w:val="000C5118"/>
    <w:rsid w:val="000D259E"/>
    <w:rsid w:val="000D313F"/>
    <w:rsid w:val="000E2217"/>
    <w:rsid w:val="000E75F4"/>
    <w:rsid w:val="000F40D5"/>
    <w:rsid w:val="001078B5"/>
    <w:rsid w:val="00110EB7"/>
    <w:rsid w:val="001110D5"/>
    <w:rsid w:val="00111587"/>
    <w:rsid w:val="00121F5D"/>
    <w:rsid w:val="00126521"/>
    <w:rsid w:val="00127C31"/>
    <w:rsid w:val="001315D3"/>
    <w:rsid w:val="0013728C"/>
    <w:rsid w:val="00137D05"/>
    <w:rsid w:val="0014562C"/>
    <w:rsid w:val="00145D2E"/>
    <w:rsid w:val="001521DE"/>
    <w:rsid w:val="00153967"/>
    <w:rsid w:val="00155965"/>
    <w:rsid w:val="001626D8"/>
    <w:rsid w:val="00166A88"/>
    <w:rsid w:val="001708C0"/>
    <w:rsid w:val="00171EB8"/>
    <w:rsid w:val="00173623"/>
    <w:rsid w:val="00174129"/>
    <w:rsid w:val="001810B6"/>
    <w:rsid w:val="00181ED8"/>
    <w:rsid w:val="00185507"/>
    <w:rsid w:val="0018670E"/>
    <w:rsid w:val="00186DE2"/>
    <w:rsid w:val="00187743"/>
    <w:rsid w:val="0019097D"/>
    <w:rsid w:val="00197F5D"/>
    <w:rsid w:val="001A0A00"/>
    <w:rsid w:val="001A44F0"/>
    <w:rsid w:val="001A4EDA"/>
    <w:rsid w:val="001A5265"/>
    <w:rsid w:val="001A7479"/>
    <w:rsid w:val="001B4AF8"/>
    <w:rsid w:val="001C24D8"/>
    <w:rsid w:val="001C5470"/>
    <w:rsid w:val="001C65A3"/>
    <w:rsid w:val="001C72D2"/>
    <w:rsid w:val="001D2BBD"/>
    <w:rsid w:val="001E0DC9"/>
    <w:rsid w:val="001E14C0"/>
    <w:rsid w:val="001E173F"/>
    <w:rsid w:val="001F3FC3"/>
    <w:rsid w:val="001F7649"/>
    <w:rsid w:val="00202FBB"/>
    <w:rsid w:val="0021122C"/>
    <w:rsid w:val="00213674"/>
    <w:rsid w:val="00217251"/>
    <w:rsid w:val="0022012F"/>
    <w:rsid w:val="00225836"/>
    <w:rsid w:val="002266E3"/>
    <w:rsid w:val="002411A1"/>
    <w:rsid w:val="002438D8"/>
    <w:rsid w:val="00252E4B"/>
    <w:rsid w:val="002543C9"/>
    <w:rsid w:val="002555B1"/>
    <w:rsid w:val="00261903"/>
    <w:rsid w:val="002628C9"/>
    <w:rsid w:val="00267C13"/>
    <w:rsid w:val="00280A4F"/>
    <w:rsid w:val="002829B2"/>
    <w:rsid w:val="00284D88"/>
    <w:rsid w:val="002904B5"/>
    <w:rsid w:val="00292CCA"/>
    <w:rsid w:val="0029307F"/>
    <w:rsid w:val="002947F1"/>
    <w:rsid w:val="00296C0E"/>
    <w:rsid w:val="00296E5A"/>
    <w:rsid w:val="002A0790"/>
    <w:rsid w:val="002A4E1E"/>
    <w:rsid w:val="002B2134"/>
    <w:rsid w:val="002B52BE"/>
    <w:rsid w:val="002C053B"/>
    <w:rsid w:val="002C23F6"/>
    <w:rsid w:val="002C6A22"/>
    <w:rsid w:val="002D0731"/>
    <w:rsid w:val="002D39C8"/>
    <w:rsid w:val="002D709B"/>
    <w:rsid w:val="002E0210"/>
    <w:rsid w:val="002E7589"/>
    <w:rsid w:val="002E77A6"/>
    <w:rsid w:val="002F0144"/>
    <w:rsid w:val="002F7131"/>
    <w:rsid w:val="00302C0D"/>
    <w:rsid w:val="003066E2"/>
    <w:rsid w:val="00310470"/>
    <w:rsid w:val="00315F63"/>
    <w:rsid w:val="00317D59"/>
    <w:rsid w:val="00323EB9"/>
    <w:rsid w:val="003311A4"/>
    <w:rsid w:val="00331301"/>
    <w:rsid w:val="00331DCF"/>
    <w:rsid w:val="00333B16"/>
    <w:rsid w:val="00333BB0"/>
    <w:rsid w:val="00342561"/>
    <w:rsid w:val="00343C10"/>
    <w:rsid w:val="00362755"/>
    <w:rsid w:val="0037622F"/>
    <w:rsid w:val="00381D56"/>
    <w:rsid w:val="003820D4"/>
    <w:rsid w:val="0038270C"/>
    <w:rsid w:val="003919BA"/>
    <w:rsid w:val="003957DA"/>
    <w:rsid w:val="00396587"/>
    <w:rsid w:val="003978B2"/>
    <w:rsid w:val="003A0DB5"/>
    <w:rsid w:val="003A56C4"/>
    <w:rsid w:val="003B05F6"/>
    <w:rsid w:val="003B3A88"/>
    <w:rsid w:val="003B49CF"/>
    <w:rsid w:val="003B62BC"/>
    <w:rsid w:val="003C018A"/>
    <w:rsid w:val="003C6B20"/>
    <w:rsid w:val="003D0F53"/>
    <w:rsid w:val="003D2067"/>
    <w:rsid w:val="003D2C23"/>
    <w:rsid w:val="003D3A09"/>
    <w:rsid w:val="003D45D5"/>
    <w:rsid w:val="003D4F9D"/>
    <w:rsid w:val="003E200D"/>
    <w:rsid w:val="003E7790"/>
    <w:rsid w:val="003F7576"/>
    <w:rsid w:val="004004E9"/>
    <w:rsid w:val="00401AF9"/>
    <w:rsid w:val="00406462"/>
    <w:rsid w:val="004113E3"/>
    <w:rsid w:val="00411B69"/>
    <w:rsid w:val="0042057B"/>
    <w:rsid w:val="0042116B"/>
    <w:rsid w:val="00421549"/>
    <w:rsid w:val="00427B0B"/>
    <w:rsid w:val="00432494"/>
    <w:rsid w:val="004364B1"/>
    <w:rsid w:val="00436EED"/>
    <w:rsid w:val="004373C7"/>
    <w:rsid w:val="004376F4"/>
    <w:rsid w:val="00437A27"/>
    <w:rsid w:val="0044378D"/>
    <w:rsid w:val="00443DB1"/>
    <w:rsid w:val="00452370"/>
    <w:rsid w:val="00465F1D"/>
    <w:rsid w:val="004707C6"/>
    <w:rsid w:val="00470A70"/>
    <w:rsid w:val="004714AC"/>
    <w:rsid w:val="0047618D"/>
    <w:rsid w:val="00483861"/>
    <w:rsid w:val="00484C3C"/>
    <w:rsid w:val="00485053"/>
    <w:rsid w:val="00485BB9"/>
    <w:rsid w:val="004873E8"/>
    <w:rsid w:val="00487604"/>
    <w:rsid w:val="00494D02"/>
    <w:rsid w:val="00496D2F"/>
    <w:rsid w:val="004A0AE2"/>
    <w:rsid w:val="004B07EF"/>
    <w:rsid w:val="004B18C5"/>
    <w:rsid w:val="004B2681"/>
    <w:rsid w:val="004B29A0"/>
    <w:rsid w:val="004B4E61"/>
    <w:rsid w:val="004B7A2A"/>
    <w:rsid w:val="004C1AD6"/>
    <w:rsid w:val="004C5893"/>
    <w:rsid w:val="004D670C"/>
    <w:rsid w:val="004E6274"/>
    <w:rsid w:val="004F1FFF"/>
    <w:rsid w:val="004F280A"/>
    <w:rsid w:val="004F2FC1"/>
    <w:rsid w:val="004F5133"/>
    <w:rsid w:val="004F528F"/>
    <w:rsid w:val="004F6517"/>
    <w:rsid w:val="005005F0"/>
    <w:rsid w:val="005148D0"/>
    <w:rsid w:val="00523D38"/>
    <w:rsid w:val="005407E6"/>
    <w:rsid w:val="00545202"/>
    <w:rsid w:val="00557E20"/>
    <w:rsid w:val="00563016"/>
    <w:rsid w:val="00563A4B"/>
    <w:rsid w:val="005702AA"/>
    <w:rsid w:val="00573303"/>
    <w:rsid w:val="00587ADB"/>
    <w:rsid w:val="005A61A5"/>
    <w:rsid w:val="005A6BA5"/>
    <w:rsid w:val="005A75DD"/>
    <w:rsid w:val="005B205A"/>
    <w:rsid w:val="005B3479"/>
    <w:rsid w:val="005C27F1"/>
    <w:rsid w:val="005C42C6"/>
    <w:rsid w:val="005C5FD0"/>
    <w:rsid w:val="005C605A"/>
    <w:rsid w:val="005C60B0"/>
    <w:rsid w:val="005C73F6"/>
    <w:rsid w:val="005D5BC7"/>
    <w:rsid w:val="005E1F47"/>
    <w:rsid w:val="005E3FEB"/>
    <w:rsid w:val="005E530D"/>
    <w:rsid w:val="005F0FA5"/>
    <w:rsid w:val="005F54F2"/>
    <w:rsid w:val="005F5744"/>
    <w:rsid w:val="0060055F"/>
    <w:rsid w:val="0060066E"/>
    <w:rsid w:val="006016B0"/>
    <w:rsid w:val="00601828"/>
    <w:rsid w:val="00603299"/>
    <w:rsid w:val="00611EDE"/>
    <w:rsid w:val="00612BCC"/>
    <w:rsid w:val="00623560"/>
    <w:rsid w:val="00625C4B"/>
    <w:rsid w:val="0062643A"/>
    <w:rsid w:val="006322F9"/>
    <w:rsid w:val="0063551A"/>
    <w:rsid w:val="00637BBE"/>
    <w:rsid w:val="006402CE"/>
    <w:rsid w:val="006418EC"/>
    <w:rsid w:val="006419C6"/>
    <w:rsid w:val="0064336C"/>
    <w:rsid w:val="00646FBF"/>
    <w:rsid w:val="00650B7E"/>
    <w:rsid w:val="00654389"/>
    <w:rsid w:val="00655876"/>
    <w:rsid w:val="00656354"/>
    <w:rsid w:val="0066060D"/>
    <w:rsid w:val="00661E8B"/>
    <w:rsid w:val="006677DF"/>
    <w:rsid w:val="0067395C"/>
    <w:rsid w:val="00676D62"/>
    <w:rsid w:val="00680DE1"/>
    <w:rsid w:val="00687548"/>
    <w:rsid w:val="00693E19"/>
    <w:rsid w:val="00697650"/>
    <w:rsid w:val="00697F32"/>
    <w:rsid w:val="006A13F3"/>
    <w:rsid w:val="006A564E"/>
    <w:rsid w:val="006B3328"/>
    <w:rsid w:val="006B485D"/>
    <w:rsid w:val="006B61FA"/>
    <w:rsid w:val="006B6E81"/>
    <w:rsid w:val="006C32D3"/>
    <w:rsid w:val="006D10F4"/>
    <w:rsid w:val="006D2440"/>
    <w:rsid w:val="006D2EE5"/>
    <w:rsid w:val="006E3A1E"/>
    <w:rsid w:val="006E5698"/>
    <w:rsid w:val="006E7CA2"/>
    <w:rsid w:val="007065B7"/>
    <w:rsid w:val="0070672F"/>
    <w:rsid w:val="00716F19"/>
    <w:rsid w:val="00722CA1"/>
    <w:rsid w:val="00723224"/>
    <w:rsid w:val="00726DDF"/>
    <w:rsid w:val="007304FA"/>
    <w:rsid w:val="00731885"/>
    <w:rsid w:val="007424C7"/>
    <w:rsid w:val="00744D7E"/>
    <w:rsid w:val="007461A1"/>
    <w:rsid w:val="00755933"/>
    <w:rsid w:val="00757DC6"/>
    <w:rsid w:val="00760203"/>
    <w:rsid w:val="007623B8"/>
    <w:rsid w:val="007676C3"/>
    <w:rsid w:val="00777BEB"/>
    <w:rsid w:val="0079673D"/>
    <w:rsid w:val="007972AC"/>
    <w:rsid w:val="007A1372"/>
    <w:rsid w:val="007A1A43"/>
    <w:rsid w:val="007A688F"/>
    <w:rsid w:val="007B1149"/>
    <w:rsid w:val="007B4232"/>
    <w:rsid w:val="007C05C1"/>
    <w:rsid w:val="007C0F01"/>
    <w:rsid w:val="007C4FB4"/>
    <w:rsid w:val="007C57FB"/>
    <w:rsid w:val="007C59F5"/>
    <w:rsid w:val="007C7A5D"/>
    <w:rsid w:val="007D399E"/>
    <w:rsid w:val="007D40BC"/>
    <w:rsid w:val="007D57A1"/>
    <w:rsid w:val="007D7209"/>
    <w:rsid w:val="007D7F8D"/>
    <w:rsid w:val="007E0BBE"/>
    <w:rsid w:val="007E30AC"/>
    <w:rsid w:val="007E5EBD"/>
    <w:rsid w:val="00812054"/>
    <w:rsid w:val="00813C10"/>
    <w:rsid w:val="0082418B"/>
    <w:rsid w:val="00826D29"/>
    <w:rsid w:val="008273D9"/>
    <w:rsid w:val="00827528"/>
    <w:rsid w:val="0082763E"/>
    <w:rsid w:val="00837760"/>
    <w:rsid w:val="008377AE"/>
    <w:rsid w:val="0086730E"/>
    <w:rsid w:val="00883E57"/>
    <w:rsid w:val="00890A48"/>
    <w:rsid w:val="0089226F"/>
    <w:rsid w:val="008959C5"/>
    <w:rsid w:val="008A1FA9"/>
    <w:rsid w:val="008A7D87"/>
    <w:rsid w:val="008B1F61"/>
    <w:rsid w:val="008B4869"/>
    <w:rsid w:val="008B5424"/>
    <w:rsid w:val="008D3D20"/>
    <w:rsid w:val="008D3FE6"/>
    <w:rsid w:val="008D4606"/>
    <w:rsid w:val="008E1B4E"/>
    <w:rsid w:val="008E4B83"/>
    <w:rsid w:val="008E7E42"/>
    <w:rsid w:val="008F5B76"/>
    <w:rsid w:val="009100B8"/>
    <w:rsid w:val="009118B5"/>
    <w:rsid w:val="00912B6A"/>
    <w:rsid w:val="00913631"/>
    <w:rsid w:val="00914FA7"/>
    <w:rsid w:val="00915D6B"/>
    <w:rsid w:val="009163A6"/>
    <w:rsid w:val="00916731"/>
    <w:rsid w:val="00920F0D"/>
    <w:rsid w:val="00921E3D"/>
    <w:rsid w:val="00930029"/>
    <w:rsid w:val="00935A5B"/>
    <w:rsid w:val="00936FF9"/>
    <w:rsid w:val="00937E06"/>
    <w:rsid w:val="009417E1"/>
    <w:rsid w:val="00946437"/>
    <w:rsid w:val="00950E00"/>
    <w:rsid w:val="009542B8"/>
    <w:rsid w:val="0095473D"/>
    <w:rsid w:val="009553D4"/>
    <w:rsid w:val="0095613A"/>
    <w:rsid w:val="00957958"/>
    <w:rsid w:val="00965D17"/>
    <w:rsid w:val="009670A2"/>
    <w:rsid w:val="0097238D"/>
    <w:rsid w:val="00987577"/>
    <w:rsid w:val="00992AE1"/>
    <w:rsid w:val="00995F15"/>
    <w:rsid w:val="009970C5"/>
    <w:rsid w:val="00997850"/>
    <w:rsid w:val="009A2E3D"/>
    <w:rsid w:val="009A438D"/>
    <w:rsid w:val="009A4F71"/>
    <w:rsid w:val="009B41E1"/>
    <w:rsid w:val="009B4514"/>
    <w:rsid w:val="009C2486"/>
    <w:rsid w:val="009C39BE"/>
    <w:rsid w:val="009D0C88"/>
    <w:rsid w:val="009D6A19"/>
    <w:rsid w:val="009E0DE9"/>
    <w:rsid w:val="009E5995"/>
    <w:rsid w:val="009F0BB5"/>
    <w:rsid w:val="00A0613B"/>
    <w:rsid w:val="00A10F5A"/>
    <w:rsid w:val="00A164B1"/>
    <w:rsid w:val="00A172E3"/>
    <w:rsid w:val="00A23564"/>
    <w:rsid w:val="00A27C66"/>
    <w:rsid w:val="00A27CD0"/>
    <w:rsid w:val="00A306FF"/>
    <w:rsid w:val="00A36FCD"/>
    <w:rsid w:val="00A405F3"/>
    <w:rsid w:val="00A40B4A"/>
    <w:rsid w:val="00A4254A"/>
    <w:rsid w:val="00A42F92"/>
    <w:rsid w:val="00A44B9B"/>
    <w:rsid w:val="00A45644"/>
    <w:rsid w:val="00A46B8F"/>
    <w:rsid w:val="00A47DFD"/>
    <w:rsid w:val="00A54E2B"/>
    <w:rsid w:val="00A56698"/>
    <w:rsid w:val="00A6030D"/>
    <w:rsid w:val="00A618B1"/>
    <w:rsid w:val="00A63292"/>
    <w:rsid w:val="00A72EC3"/>
    <w:rsid w:val="00A73EC5"/>
    <w:rsid w:val="00A74B35"/>
    <w:rsid w:val="00A822AC"/>
    <w:rsid w:val="00A822D8"/>
    <w:rsid w:val="00A86010"/>
    <w:rsid w:val="00A905F6"/>
    <w:rsid w:val="00A92D0D"/>
    <w:rsid w:val="00AA1040"/>
    <w:rsid w:val="00AA11D5"/>
    <w:rsid w:val="00AA213E"/>
    <w:rsid w:val="00AA21F1"/>
    <w:rsid w:val="00AA4A8F"/>
    <w:rsid w:val="00AB108F"/>
    <w:rsid w:val="00AB564B"/>
    <w:rsid w:val="00AB5B59"/>
    <w:rsid w:val="00AB718D"/>
    <w:rsid w:val="00AB721C"/>
    <w:rsid w:val="00AC2DD4"/>
    <w:rsid w:val="00AC7EED"/>
    <w:rsid w:val="00AD2651"/>
    <w:rsid w:val="00AD4DF2"/>
    <w:rsid w:val="00AD5541"/>
    <w:rsid w:val="00AE1287"/>
    <w:rsid w:val="00AE2F17"/>
    <w:rsid w:val="00AF330D"/>
    <w:rsid w:val="00AF3899"/>
    <w:rsid w:val="00AF75DC"/>
    <w:rsid w:val="00B023B1"/>
    <w:rsid w:val="00B129A8"/>
    <w:rsid w:val="00B16120"/>
    <w:rsid w:val="00B223AE"/>
    <w:rsid w:val="00B34262"/>
    <w:rsid w:val="00B43349"/>
    <w:rsid w:val="00B57DDF"/>
    <w:rsid w:val="00B60379"/>
    <w:rsid w:val="00B64810"/>
    <w:rsid w:val="00B657C6"/>
    <w:rsid w:val="00B70C44"/>
    <w:rsid w:val="00B8141A"/>
    <w:rsid w:val="00B8222A"/>
    <w:rsid w:val="00B87472"/>
    <w:rsid w:val="00B91F11"/>
    <w:rsid w:val="00BA0EA0"/>
    <w:rsid w:val="00BA1FFE"/>
    <w:rsid w:val="00BA4D93"/>
    <w:rsid w:val="00BA6238"/>
    <w:rsid w:val="00BA704D"/>
    <w:rsid w:val="00BB015E"/>
    <w:rsid w:val="00BB690E"/>
    <w:rsid w:val="00BC5EB7"/>
    <w:rsid w:val="00BC7620"/>
    <w:rsid w:val="00BD2AE4"/>
    <w:rsid w:val="00BD425E"/>
    <w:rsid w:val="00BE58F8"/>
    <w:rsid w:val="00BF0A7D"/>
    <w:rsid w:val="00BF1659"/>
    <w:rsid w:val="00BF2F58"/>
    <w:rsid w:val="00BF39CC"/>
    <w:rsid w:val="00BF49AE"/>
    <w:rsid w:val="00C03A49"/>
    <w:rsid w:val="00C03F01"/>
    <w:rsid w:val="00C06931"/>
    <w:rsid w:val="00C07A4A"/>
    <w:rsid w:val="00C109EC"/>
    <w:rsid w:val="00C171A5"/>
    <w:rsid w:val="00C17564"/>
    <w:rsid w:val="00C2288F"/>
    <w:rsid w:val="00C22D1D"/>
    <w:rsid w:val="00C231F7"/>
    <w:rsid w:val="00C24AA5"/>
    <w:rsid w:val="00C24B28"/>
    <w:rsid w:val="00C30568"/>
    <w:rsid w:val="00C33FBA"/>
    <w:rsid w:val="00C36565"/>
    <w:rsid w:val="00C366F0"/>
    <w:rsid w:val="00C40F9B"/>
    <w:rsid w:val="00C51FCC"/>
    <w:rsid w:val="00C528DA"/>
    <w:rsid w:val="00C63D4B"/>
    <w:rsid w:val="00C70E0F"/>
    <w:rsid w:val="00C752FA"/>
    <w:rsid w:val="00C75399"/>
    <w:rsid w:val="00C8094B"/>
    <w:rsid w:val="00C90F7A"/>
    <w:rsid w:val="00C96AC6"/>
    <w:rsid w:val="00C96FA4"/>
    <w:rsid w:val="00CA09A5"/>
    <w:rsid w:val="00CA3AFF"/>
    <w:rsid w:val="00CB3016"/>
    <w:rsid w:val="00CB3912"/>
    <w:rsid w:val="00CB5BD2"/>
    <w:rsid w:val="00CB6ACB"/>
    <w:rsid w:val="00CC32F8"/>
    <w:rsid w:val="00CC42F4"/>
    <w:rsid w:val="00CC6492"/>
    <w:rsid w:val="00CC745E"/>
    <w:rsid w:val="00CD4BEC"/>
    <w:rsid w:val="00CD5A3C"/>
    <w:rsid w:val="00CE1914"/>
    <w:rsid w:val="00CF55D4"/>
    <w:rsid w:val="00D20DE1"/>
    <w:rsid w:val="00D21212"/>
    <w:rsid w:val="00D22158"/>
    <w:rsid w:val="00D24971"/>
    <w:rsid w:val="00D25B5A"/>
    <w:rsid w:val="00D34E59"/>
    <w:rsid w:val="00D35081"/>
    <w:rsid w:val="00D40291"/>
    <w:rsid w:val="00D4156C"/>
    <w:rsid w:val="00D41828"/>
    <w:rsid w:val="00D418AF"/>
    <w:rsid w:val="00D4400E"/>
    <w:rsid w:val="00D44BC9"/>
    <w:rsid w:val="00D52BB5"/>
    <w:rsid w:val="00D55589"/>
    <w:rsid w:val="00D564BA"/>
    <w:rsid w:val="00D63FB0"/>
    <w:rsid w:val="00D677A4"/>
    <w:rsid w:val="00D72F26"/>
    <w:rsid w:val="00D765EB"/>
    <w:rsid w:val="00D7738B"/>
    <w:rsid w:val="00D87850"/>
    <w:rsid w:val="00D87891"/>
    <w:rsid w:val="00D92770"/>
    <w:rsid w:val="00DA18D9"/>
    <w:rsid w:val="00DA7328"/>
    <w:rsid w:val="00DB55E7"/>
    <w:rsid w:val="00DB7A3D"/>
    <w:rsid w:val="00DC1C4C"/>
    <w:rsid w:val="00DC1C73"/>
    <w:rsid w:val="00DC22BC"/>
    <w:rsid w:val="00DC4828"/>
    <w:rsid w:val="00DC6136"/>
    <w:rsid w:val="00DE3DDB"/>
    <w:rsid w:val="00DE483C"/>
    <w:rsid w:val="00DE51E2"/>
    <w:rsid w:val="00DE5612"/>
    <w:rsid w:val="00DE5A71"/>
    <w:rsid w:val="00DE64E0"/>
    <w:rsid w:val="00DE6758"/>
    <w:rsid w:val="00DF132E"/>
    <w:rsid w:val="00DF1368"/>
    <w:rsid w:val="00DF374A"/>
    <w:rsid w:val="00DF3FD8"/>
    <w:rsid w:val="00DF5A02"/>
    <w:rsid w:val="00DF6C5B"/>
    <w:rsid w:val="00DF7F1C"/>
    <w:rsid w:val="00E051ED"/>
    <w:rsid w:val="00E10B84"/>
    <w:rsid w:val="00E173A5"/>
    <w:rsid w:val="00E23EFD"/>
    <w:rsid w:val="00E251BC"/>
    <w:rsid w:val="00E35A47"/>
    <w:rsid w:val="00E41445"/>
    <w:rsid w:val="00E41F6C"/>
    <w:rsid w:val="00E4633A"/>
    <w:rsid w:val="00E51185"/>
    <w:rsid w:val="00E5696D"/>
    <w:rsid w:val="00E57F1D"/>
    <w:rsid w:val="00E674A5"/>
    <w:rsid w:val="00E678BD"/>
    <w:rsid w:val="00E70CE5"/>
    <w:rsid w:val="00E70E57"/>
    <w:rsid w:val="00E715A2"/>
    <w:rsid w:val="00E75643"/>
    <w:rsid w:val="00E83F96"/>
    <w:rsid w:val="00E9163F"/>
    <w:rsid w:val="00E91880"/>
    <w:rsid w:val="00E926D7"/>
    <w:rsid w:val="00E96AAB"/>
    <w:rsid w:val="00EA3173"/>
    <w:rsid w:val="00EA7A69"/>
    <w:rsid w:val="00EB0CF5"/>
    <w:rsid w:val="00EB2BFA"/>
    <w:rsid w:val="00EC4246"/>
    <w:rsid w:val="00EC7B5F"/>
    <w:rsid w:val="00ED0123"/>
    <w:rsid w:val="00EE0CDC"/>
    <w:rsid w:val="00EE3090"/>
    <w:rsid w:val="00EE3553"/>
    <w:rsid w:val="00EE441D"/>
    <w:rsid w:val="00EE5486"/>
    <w:rsid w:val="00EF050A"/>
    <w:rsid w:val="00EF1345"/>
    <w:rsid w:val="00EF7E4D"/>
    <w:rsid w:val="00F00580"/>
    <w:rsid w:val="00F050A1"/>
    <w:rsid w:val="00F05559"/>
    <w:rsid w:val="00F06B45"/>
    <w:rsid w:val="00F13F06"/>
    <w:rsid w:val="00F15F3C"/>
    <w:rsid w:val="00F20EC8"/>
    <w:rsid w:val="00F226D3"/>
    <w:rsid w:val="00F22F64"/>
    <w:rsid w:val="00F24B3C"/>
    <w:rsid w:val="00F26383"/>
    <w:rsid w:val="00F31569"/>
    <w:rsid w:val="00F31D41"/>
    <w:rsid w:val="00F34E6D"/>
    <w:rsid w:val="00F36660"/>
    <w:rsid w:val="00F37B9B"/>
    <w:rsid w:val="00F430E0"/>
    <w:rsid w:val="00F53AD8"/>
    <w:rsid w:val="00F65AC7"/>
    <w:rsid w:val="00F671A7"/>
    <w:rsid w:val="00F72B19"/>
    <w:rsid w:val="00F84F50"/>
    <w:rsid w:val="00F87F29"/>
    <w:rsid w:val="00F95D83"/>
    <w:rsid w:val="00FA0098"/>
    <w:rsid w:val="00FA0EE8"/>
    <w:rsid w:val="00FA3750"/>
    <w:rsid w:val="00FA7E9B"/>
    <w:rsid w:val="00FB5073"/>
    <w:rsid w:val="00FC31F4"/>
    <w:rsid w:val="00FD191C"/>
    <w:rsid w:val="00FD4DAF"/>
    <w:rsid w:val="00FE2209"/>
    <w:rsid w:val="00FE237A"/>
    <w:rsid w:val="00FE3198"/>
    <w:rsid w:val="00FE3AB2"/>
    <w:rsid w:val="00FE4950"/>
    <w:rsid w:val="00FF2B3B"/>
    <w:rsid w:val="00FF52D8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25C1"/>
  <w15:docId w15:val="{54637BCE-7D28-4CF6-94B2-64871E2B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6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391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495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24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49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49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97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D2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E1B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A4F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F71"/>
  </w:style>
  <w:style w:type="paragraph" w:styleId="Footer">
    <w:name w:val="footer"/>
    <w:basedOn w:val="Normal"/>
    <w:link w:val="FooterChar"/>
    <w:uiPriority w:val="99"/>
    <w:unhideWhenUsed/>
    <w:rsid w:val="009A4F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F71"/>
  </w:style>
  <w:style w:type="character" w:styleId="LineNumber">
    <w:name w:val="line number"/>
    <w:basedOn w:val="DefaultParagraphFont"/>
    <w:uiPriority w:val="99"/>
    <w:semiHidden/>
    <w:unhideWhenUsed/>
    <w:rsid w:val="006402CE"/>
  </w:style>
  <w:style w:type="character" w:customStyle="1" w:styleId="cf01">
    <w:name w:val="cf01"/>
    <w:basedOn w:val="DefaultParagraphFont"/>
    <w:rsid w:val="00B6481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64810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B64810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F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grahn@hus.fi" TargetMode="External"/><Relationship Id="rId13" Type="http://schemas.openxmlformats.org/officeDocument/2006/relationships/hyperlink" Target="https://digital.nhs.uk/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http://www.stat.fi" TargetMode="External"/><Relationship Id="rId2" Type="http://schemas.openxmlformats.org/officeDocument/2006/relationships/numbering" Target="numbering.xml"/><Relationship Id="rId16" Type="http://schemas.microsoft.com/office/2014/relationships/chartEx" Target="charts/chartEx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t.fi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hyperlink" Target="http://www.thl.f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\\husfs01\users$\grahnpe\Insidenssi%20BPBI\3MTS%20ethnicity%20box%20plo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Maanosa!$K$46</c:f>
              <c:strCache>
                <c:ptCount val="1"/>
                <c:pt idx="0">
                  <c:v>incidence immigrant</c:v>
                </c:pt>
              </c:strCache>
            </c:strRef>
          </c:tx>
          <c:spPr>
            <a:ln w="22225" cap="rnd" cmpd="sng" algn="ctr">
              <a:solidFill>
                <a:srgbClr val="ED7D31"/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Maanosa!$J$47:$J$63</c:f>
              <c:numCache>
                <c:formatCode>General</c:formatCode>
                <c:ptCount val="1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  <c:pt idx="16">
                  <c:v>2022</c:v>
                </c:pt>
              </c:numCache>
            </c:numRef>
          </c:cat>
          <c:val>
            <c:numRef>
              <c:f>Maanosa!$K$47:$K$63</c:f>
              <c:numCache>
                <c:formatCode>General</c:formatCode>
                <c:ptCount val="17"/>
                <c:pt idx="0">
                  <c:v>1.1370096645821488</c:v>
                </c:pt>
                <c:pt idx="1">
                  <c:v>1.0775862068965516</c:v>
                </c:pt>
                <c:pt idx="2">
                  <c:v>0.98135426889106958</c:v>
                </c:pt>
                <c:pt idx="3">
                  <c:v>0.44503782821539828</c:v>
                </c:pt>
                <c:pt idx="4">
                  <c:v>0.83090984628167841</c:v>
                </c:pt>
                <c:pt idx="5">
                  <c:v>0.38446751249519417</c:v>
                </c:pt>
                <c:pt idx="6">
                  <c:v>1.779359430604982</c:v>
                </c:pt>
                <c:pt idx="7">
                  <c:v>0</c:v>
                </c:pt>
                <c:pt idx="8">
                  <c:v>0.30367446097783179</c:v>
                </c:pt>
                <c:pt idx="9">
                  <c:v>0.2957704821058858</c:v>
                </c:pt>
                <c:pt idx="10">
                  <c:v>0.27359781121751026</c:v>
                </c:pt>
                <c:pt idx="11">
                  <c:v>0.5421523448088913</c:v>
                </c:pt>
                <c:pt idx="12">
                  <c:v>0.25753283543651817</c:v>
                </c:pt>
                <c:pt idx="13">
                  <c:v>0.77041602465331283</c:v>
                </c:pt>
                <c:pt idx="14">
                  <c:v>1.2406947890818858</c:v>
                </c:pt>
                <c:pt idx="15">
                  <c:v>1.2406947890818858</c:v>
                </c:pt>
                <c:pt idx="16">
                  <c:v>1.2406947890818858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E6D-4FE3-931B-FE35CE09BA6E}"/>
            </c:ext>
          </c:extLst>
        </c:ser>
        <c:ser>
          <c:idx val="1"/>
          <c:order val="1"/>
          <c:tx>
            <c:strRef>
              <c:f>Maanosa!$L$46</c:f>
              <c:strCache>
                <c:ptCount val="1"/>
                <c:pt idx="0">
                  <c:v>Incidence native</c:v>
                </c:pt>
              </c:strCache>
            </c:strRef>
          </c:tx>
          <c:spPr>
            <a:ln w="22225" cap="rnd" cmpd="sng" algn="ctr">
              <a:solidFill>
                <a:srgbClr val="70AD47"/>
              </a:solidFill>
              <a:prstDash val="lgDash"/>
              <a:round/>
            </a:ln>
            <a:effectLst/>
          </c:spPr>
          <c:marker>
            <c:symbol val="none"/>
          </c:marker>
          <c:cat>
            <c:numRef>
              <c:f>Maanosa!$J$47:$J$63</c:f>
              <c:numCache>
                <c:formatCode>General</c:formatCode>
                <c:ptCount val="1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  <c:pt idx="16">
                  <c:v>2022</c:v>
                </c:pt>
              </c:numCache>
            </c:numRef>
          </c:cat>
          <c:val>
            <c:numRef>
              <c:f>Maanosa!$L$47:$L$63</c:f>
              <c:numCache>
                <c:formatCode>General</c:formatCode>
                <c:ptCount val="17"/>
                <c:pt idx="0">
                  <c:v>0.43306112348428605</c:v>
                </c:pt>
                <c:pt idx="1">
                  <c:v>0.44022388529023332</c:v>
                </c:pt>
                <c:pt idx="2">
                  <c:v>6.1816158743895649E-2</c:v>
                </c:pt>
                <c:pt idx="3">
                  <c:v>0.61873530503650542</c:v>
                </c:pt>
                <c:pt idx="4">
                  <c:v>0.18517375470649958</c:v>
                </c:pt>
                <c:pt idx="5">
                  <c:v>0.38299502106472616</c:v>
                </c:pt>
                <c:pt idx="6">
                  <c:v>0.45901639344262296</c:v>
                </c:pt>
                <c:pt idx="7">
                  <c:v>0.26586905948820211</c:v>
                </c:pt>
                <c:pt idx="8">
                  <c:v>0.36059859366548475</c:v>
                </c:pt>
                <c:pt idx="9">
                  <c:v>0</c:v>
                </c:pt>
                <c:pt idx="10">
                  <c:v>0.22070183182520417</c:v>
                </c:pt>
                <c:pt idx="11">
                  <c:v>0.15726979633561375</c:v>
                </c:pt>
                <c:pt idx="12">
                  <c:v>8.3703021679082612E-2</c:v>
                </c:pt>
                <c:pt idx="13">
                  <c:v>0.25795356835769562</c:v>
                </c:pt>
                <c:pt idx="14">
                  <c:v>0.33746730785455159</c:v>
                </c:pt>
                <c:pt idx="15">
                  <c:v>0.33746730785455159</c:v>
                </c:pt>
                <c:pt idx="16">
                  <c:v>0.33746730785455159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E6D-4FE3-931B-FE35CE09BA6E}"/>
            </c:ext>
          </c:extLst>
        </c:ser>
        <c:ser>
          <c:idx val="2"/>
          <c:order val="2"/>
          <c:tx>
            <c:strRef>
              <c:f>Maanosa!$M$46</c:f>
              <c:strCache>
                <c:ptCount val="1"/>
                <c:pt idx="0">
                  <c:v>Incidence all</c:v>
                </c:pt>
              </c:strCache>
            </c:strRef>
          </c:tx>
          <c:spPr>
            <a:ln w="22225" cap="rnd" cmpd="sng" algn="ctr">
              <a:solidFill>
                <a:srgbClr val="44546A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Maanosa!$J$47:$J$63</c:f>
              <c:numCache>
                <c:formatCode>General</c:formatCode>
                <c:ptCount val="1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  <c:pt idx="16">
                  <c:v>2022</c:v>
                </c:pt>
              </c:numCache>
            </c:numRef>
          </c:cat>
          <c:val>
            <c:numRef>
              <c:f>Maanosa!$M$47:$M$63</c:f>
              <c:numCache>
                <c:formatCode>General</c:formatCode>
                <c:ptCount val="17"/>
                <c:pt idx="0">
                  <c:v>0.50214807788874638</c:v>
                </c:pt>
                <c:pt idx="1">
                  <c:v>0.50684237202230109</c:v>
                </c:pt>
                <c:pt idx="2">
                  <c:v>0.16469942355201758</c:v>
                </c:pt>
                <c:pt idx="3">
                  <c:v>0.59753381498180236</c:v>
                </c:pt>
                <c:pt idx="4">
                  <c:v>0.26870163370593292</c:v>
                </c:pt>
                <c:pt idx="5">
                  <c:v>0.38320468604587504</c:v>
                </c:pt>
                <c:pt idx="6">
                  <c:v>0.66445182724252494</c:v>
                </c:pt>
                <c:pt idx="7">
                  <c:v>0.22217285047767163</c:v>
                </c:pt>
                <c:pt idx="8">
                  <c:v>0.35119405980333135</c:v>
                </c:pt>
                <c:pt idx="9">
                  <c:v>5.6663644605621032E-2</c:v>
                </c:pt>
                <c:pt idx="10">
                  <c:v>0.23191094619666047</c:v>
                </c:pt>
                <c:pt idx="11">
                  <c:v>0.24381323905888092</c:v>
                </c:pt>
                <c:pt idx="12">
                  <c:v>0.12634238787113078</c:v>
                </c:pt>
                <c:pt idx="13">
                  <c:v>0.38649832517392424</c:v>
                </c:pt>
                <c:pt idx="14">
                  <c:v>0.56664358118743308</c:v>
                </c:pt>
                <c:pt idx="15">
                  <c:v>0.23020257826887661</c:v>
                </c:pt>
                <c:pt idx="16">
                  <c:v>0.17265193370165746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E6D-4FE3-931B-FE35CE09BA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smooth val="0"/>
        <c:axId val="1000127344"/>
        <c:axId val="1000125048"/>
      </c:lineChart>
      <c:catAx>
        <c:axId val="10001273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i-FI"/>
                  <a:t>birth 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0125048"/>
        <c:crosses val="autoZero"/>
        <c:auto val="1"/>
        <c:lblAlgn val="ctr"/>
        <c:lblOffset val="100"/>
        <c:noMultiLvlLbl val="0"/>
      </c:catAx>
      <c:valAx>
        <c:axId val="10001250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i-FI"/>
                  <a:t>incidence per 1000  live births</a:t>
                </a:r>
                <a:r>
                  <a:rPr lang="fi-FI" baseline="0"/>
                  <a:t> </a:t>
                </a:r>
                <a:endParaRPr lang="fi-FI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0127344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Taul1!$E$53</c:f>
              <c:strCache>
                <c:ptCount val="1"/>
                <c:pt idx="0">
                  <c:v>Rate of children with permanent BPBI born to immigrant mothers</c:v>
                </c:pt>
              </c:strCache>
            </c:strRef>
          </c:tx>
          <c:spPr>
            <a:ln w="22225" cap="rnd" cmpd="sng" algn="ctr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trendline>
            <c:spPr>
              <a:ln w="9525" cap="rnd">
                <a:solidFill>
                  <a:schemeClr val="accent2"/>
                </a:solidFill>
                <a:prstDash val="dash"/>
              </a:ln>
              <a:effectLst/>
            </c:spPr>
            <c:trendlineType val="linear"/>
            <c:dispRSqr val="0"/>
            <c:dispEq val="0"/>
          </c:trendline>
          <c:cat>
            <c:numRef>
              <c:f>Taul1!$D$54:$D$70</c:f>
              <c:numCache>
                <c:formatCode>General</c:formatCode>
                <c:ptCount val="1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  <c:pt idx="16">
                  <c:v>2022</c:v>
                </c:pt>
              </c:numCache>
            </c:numRef>
          </c:cat>
          <c:val>
            <c:numRef>
              <c:f>Taul1!$E$54:$E$70</c:f>
              <c:numCache>
                <c:formatCode>0</c:formatCode>
                <c:ptCount val="17"/>
                <c:pt idx="0">
                  <c:v>22.222222222222221</c:v>
                </c:pt>
                <c:pt idx="1">
                  <c:v>22.222222222222221</c:v>
                </c:pt>
                <c:pt idx="2">
                  <c:v>66.666666666666657</c:v>
                </c:pt>
                <c:pt idx="3">
                  <c:v>9.0909090909090917</c:v>
                </c:pt>
                <c:pt idx="4">
                  <c:v>40</c:v>
                </c:pt>
                <c:pt idx="5">
                  <c:v>14.285714285714285</c:v>
                </c:pt>
                <c:pt idx="6">
                  <c:v>41.666666666666671</c:v>
                </c:pt>
                <c:pt idx="7">
                  <c:v>0</c:v>
                </c:pt>
                <c:pt idx="8">
                  <c:v>14.285714285714285</c:v>
                </c:pt>
                <c:pt idx="9">
                  <c:v>100</c:v>
                </c:pt>
                <c:pt idx="10">
                  <c:v>25</c:v>
                </c:pt>
                <c:pt idx="11">
                  <c:v>50</c:v>
                </c:pt>
                <c:pt idx="12">
                  <c:v>100</c:v>
                </c:pt>
                <c:pt idx="13">
                  <c:v>50</c:v>
                </c:pt>
                <c:pt idx="14">
                  <c:v>56</c:v>
                </c:pt>
                <c:pt idx="15">
                  <c:v>25</c:v>
                </c:pt>
                <c:pt idx="16">
                  <c:v>70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A5A-408F-B4CA-7ACA624983F3}"/>
            </c:ext>
          </c:extLst>
        </c:ser>
        <c:ser>
          <c:idx val="1"/>
          <c:order val="1"/>
          <c:tx>
            <c:strRef>
              <c:f>Taul1!$F$53</c:f>
              <c:strCache>
                <c:ptCount val="1"/>
                <c:pt idx="0">
                  <c:v>Immigrant population</c:v>
                </c:pt>
              </c:strCache>
            </c:strRef>
          </c:tx>
          <c:spPr>
            <a:ln w="22225" cap="rnd" cmpd="sng" algn="ctr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Taul1!$D$54:$D$70</c:f>
              <c:numCache>
                <c:formatCode>General</c:formatCode>
                <c:ptCount val="17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  <c:pt idx="16">
                  <c:v>2022</c:v>
                </c:pt>
              </c:numCache>
            </c:numRef>
          </c:cat>
          <c:val>
            <c:numRef>
              <c:f>Taul1!$F$54:$F$70</c:f>
              <c:numCache>
                <c:formatCode>General</c:formatCode>
                <c:ptCount val="17"/>
                <c:pt idx="0">
                  <c:v>4.2</c:v>
                </c:pt>
                <c:pt idx="1">
                  <c:v>4.5999999999999996</c:v>
                </c:pt>
                <c:pt idx="2">
                  <c:v>4.9000000000000004</c:v>
                </c:pt>
                <c:pt idx="3">
                  <c:v>5.3</c:v>
                </c:pt>
                <c:pt idx="4">
                  <c:v>5.7</c:v>
                </c:pt>
                <c:pt idx="5">
                  <c:v>6.1</c:v>
                </c:pt>
                <c:pt idx="6">
                  <c:v>6.5</c:v>
                </c:pt>
                <c:pt idx="7">
                  <c:v>6.9</c:v>
                </c:pt>
                <c:pt idx="8">
                  <c:v>7.3</c:v>
                </c:pt>
                <c:pt idx="9">
                  <c:v>7.6</c:v>
                </c:pt>
                <c:pt idx="10">
                  <c:v>8</c:v>
                </c:pt>
                <c:pt idx="11">
                  <c:v>8.1999999999999993</c:v>
                </c:pt>
                <c:pt idx="12">
                  <c:v>8.5</c:v>
                </c:pt>
                <c:pt idx="13">
                  <c:v>8.8000000000000007</c:v>
                </c:pt>
                <c:pt idx="14">
                  <c:v>9.1999999999999993</c:v>
                </c:pt>
                <c:pt idx="15">
                  <c:v>9.6999999999999993</c:v>
                </c:pt>
                <c:pt idx="16">
                  <c:v>9.9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A5A-408F-B4CA-7ACA624983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smooth val="0"/>
        <c:axId val="517724728"/>
        <c:axId val="517720136"/>
      </c:lineChart>
      <c:catAx>
        <c:axId val="5177247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Birth 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7720136"/>
        <c:crossesAt val="0"/>
        <c:auto val="1"/>
        <c:lblAlgn val="ctr"/>
        <c:lblOffset val="100"/>
        <c:noMultiLvlLbl val="0"/>
      </c:catAx>
      <c:valAx>
        <c:axId val="517720136"/>
        <c:scaling>
          <c:orientation val="minMax"/>
          <c:max val="1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Rate (%) of permanent BPBI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7724728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Taul1!$A$2:$A$102</cx:f>
        <cx:lvl ptCount="101" formatCode="0,0">
          <cx:pt idx="0">5.7999999999999998</cx:pt>
          <cx:pt idx="1">0.29999999999999999</cx:pt>
          <cx:pt idx="2">3.7999999999999998</cx:pt>
          <cx:pt idx="3">3.2000000000000002</cx:pt>
          <cx:pt idx="4">3.1000000000000001</cx:pt>
          <cx:pt idx="5">3.1000000000000001</cx:pt>
          <cx:pt idx="6">7.5999999999999996</cx:pt>
          <cx:pt idx="7">5.0999999999999996</cx:pt>
          <cx:pt idx="8">4.4000000000000004</cx:pt>
          <cx:pt idx="9">3.7999999999999998</cx:pt>
          <cx:pt idx="10">4.0999999999999996</cx:pt>
          <cx:pt idx="11">6.5</cx:pt>
          <cx:pt idx="12">3.1000000000000001</cx:pt>
          <cx:pt idx="13">2.1000000000000001</cx:pt>
          <cx:pt idx="14">2.1000000000000001</cx:pt>
          <cx:pt idx="15">5.0999999999999996</cx:pt>
          <cx:pt idx="16">4.7999999999999998</cx:pt>
          <cx:pt idx="17">6.5</cx:pt>
          <cx:pt idx="18">5.4000000000000004</cx:pt>
          <cx:pt idx="19">4.7000000000000002</cx:pt>
          <cx:pt idx="20">0</cx:pt>
          <cx:pt idx="21">6.9000000000000004</cx:pt>
          <cx:pt idx="22">4.5</cx:pt>
          <cx:pt idx="23">8.5999999999999996</cx:pt>
          <cx:pt idx="24">8.5999999999999996</cx:pt>
          <cx:pt idx="25">2.7999999999999998</cx:pt>
          <cx:pt idx="26">6.5</cx:pt>
          <cx:pt idx="27">0</cx:pt>
          <cx:pt idx="28">7.5999999999999996</cx:pt>
          <cx:pt idx="29">7.5999999999999996</cx:pt>
          <cx:pt idx="30">4.7999999999999998</cx:pt>
          <cx:pt idx="31">4.5</cx:pt>
          <cx:pt idx="32">6.5</cx:pt>
          <cx:pt idx="33">7.9000000000000004</cx:pt>
          <cx:pt idx="34">6.2000000000000002</cx:pt>
          <cx:pt idx="35">8.5999999999999996</cx:pt>
          <cx:pt idx="36">5.7999999999999998</cx:pt>
          <cx:pt idx="37">8.5999999999999996</cx:pt>
          <cx:pt idx="38">7.2000000000000002</cx:pt>
          <cx:pt idx="39">6.2000000000000002</cx:pt>
          <cx:pt idx="40">8.5999999999999996</cx:pt>
          <cx:pt idx="41">7.9000000000000004</cx:pt>
          <cx:pt idx="42">5.7999999999999998</cx:pt>
          <cx:pt idx="43">5.9000000000000004</cx:pt>
          <cx:pt idx="44">8.5999999999999996</cx:pt>
          <cx:pt idx="45">4.7999999999999998</cx:pt>
          <cx:pt idx="46">5.5</cx:pt>
          <cx:pt idx="47">7.5999999999999996</cx:pt>
          <cx:pt idx="48">6.5</cx:pt>
          <cx:pt idx="49">6.2000000000000002</cx:pt>
          <cx:pt idx="50">3.5</cx:pt>
          <cx:pt idx="51">7.9000000000000004</cx:pt>
          <cx:pt idx="52">0</cx:pt>
          <cx:pt idx="53">6.5</cx:pt>
          <cx:pt idx="54">3.7999999999999998</cx:pt>
          <cx:pt idx="55">2.5</cx:pt>
          <cx:pt idx="56">6.5999999999999996</cx:pt>
          <cx:pt idx="57">7.2000000000000002</cx:pt>
          <cx:pt idx="58">5.7999999999999998</cx:pt>
          <cx:pt idx="59">6.5999999999999996</cx:pt>
          <cx:pt idx="60">6.9000000000000004</cx:pt>
          <cx:pt idx="61">7.5999999999999996</cx:pt>
          <cx:pt idx="62">8.5999999999999996</cx:pt>
          <cx:pt idx="63">5.5</cx:pt>
          <cx:pt idx="64">7.9000000000000004</cx:pt>
          <cx:pt idx="65">9.3000000000000007</cx:pt>
          <cx:pt idx="66">2</cx:pt>
          <cx:pt idx="67">7.9000000000000004</cx:pt>
          <cx:pt idx="68">7.2000000000000002</cx:pt>
          <cx:pt idx="69">7.9000000000000004</cx:pt>
          <cx:pt idx="70">1.8</cx:pt>
          <cx:pt idx="71">7.5999999999999996</cx:pt>
          <cx:pt idx="72">4.5</cx:pt>
          <cx:pt idx="73">8.5999999999999996</cx:pt>
          <cx:pt idx="74">8.5999999999999996</cx:pt>
          <cx:pt idx="75">6.5999999999999996</cx:pt>
          <cx:pt idx="76">9.3000000000000007</cx:pt>
          <cx:pt idx="77">8.5999999999999996</cx:pt>
          <cx:pt idx="78">4.5</cx:pt>
          <cx:pt idx="79">2.5</cx:pt>
          <cx:pt idx="80">2.6000000000000001</cx:pt>
          <cx:pt idx="81">5.2000000000000002</cx:pt>
          <cx:pt idx="82">9.3000000000000007</cx:pt>
          <cx:pt idx="83">2.8999999999999999</cx:pt>
          <cx:pt idx="84">7.5999999999999996</cx:pt>
          <cx:pt idx="85">6.5</cx:pt>
          <cx:pt idx="86">0</cx:pt>
          <cx:pt idx="87">4.7000000000000002</cx:pt>
          <cx:pt idx="88">3.8999999999999999</cx:pt>
          <cx:pt idx="89">5</cx:pt>
          <cx:pt idx="90">5.5</cx:pt>
          <cx:pt idx="91">4.4000000000000004</cx:pt>
          <cx:pt idx="92">4</cx:pt>
          <cx:pt idx="93">4.5</cx:pt>
          <cx:pt idx="94">0</cx:pt>
          <cx:pt idx="95">4.4000000000000004</cx:pt>
          <cx:pt idx="96">7.2000000000000002</cx:pt>
          <cx:pt idx="97">3.7000000000000002</cx:pt>
          <cx:pt idx="98">4.0999999999999996</cx:pt>
          <cx:pt idx="99">6.4000000000000004</cx:pt>
          <cx:pt idx="100">4.4000000000000004</cx:pt>
        </cx:lvl>
      </cx:numDim>
    </cx:data>
    <cx:data id="1">
      <cx:numDim type="val">
        <cx:f>Taul1!$B$2:$B$102</cx:f>
        <cx:lvl ptCount="101" formatCode="0,0">
          <cx:pt idx="0">6.5</cx:pt>
          <cx:pt idx="1">0</cx:pt>
          <cx:pt idx="2">7.5999999999999996</cx:pt>
          <cx:pt idx="3">7.5999999999999996</cx:pt>
          <cx:pt idx="4">4.7999999999999998</cx:pt>
          <cx:pt idx="5">4.5</cx:pt>
          <cx:pt idx="6">6.5</cx:pt>
          <cx:pt idx="7">7.9000000000000004</cx:pt>
          <cx:pt idx="8">6.2000000000000002</cx:pt>
          <cx:pt idx="9">8.5999999999999996</cx:pt>
          <cx:pt idx="10">5.7999999999999998</cx:pt>
          <cx:pt idx="11">8.5999999999999996</cx:pt>
          <cx:pt idx="12">7.2000000000000002</cx:pt>
          <cx:pt idx="13">6.2000000000000002</cx:pt>
          <cx:pt idx="14">8.5999999999999996</cx:pt>
          <cx:pt idx="15">7.9000000000000004</cx:pt>
          <cx:pt idx="16">5.7999999999999998</cx:pt>
          <cx:pt idx="17">5.9000000000000004</cx:pt>
          <cx:pt idx="18">8.5999999999999996</cx:pt>
          <cx:pt idx="19">4.7999999999999998</cx:pt>
          <cx:pt idx="20">5.5</cx:pt>
          <cx:pt idx="21">7.5999999999999996</cx:pt>
          <cx:pt idx="22">6.5</cx:pt>
          <cx:pt idx="23">6.2000000000000002</cx:pt>
          <cx:pt idx="24">3.5</cx:pt>
          <cx:pt idx="25">7.9000000000000004</cx:pt>
          <cx:pt idx="26">0.29999999999999999</cx:pt>
          <cx:pt idx="27">6.5</cx:pt>
          <cx:pt idx="28">3.7999999999999998</cx:pt>
          <cx:pt idx="29">2.5</cx:pt>
          <cx:pt idx="30">6.5999999999999996</cx:pt>
          <cx:pt idx="31">7.2000000000000002</cx:pt>
          <cx:pt idx="32">5.7999999999999998</cx:pt>
          <cx:pt idx="33">6.5999999999999996</cx:pt>
          <cx:pt idx="34">6.9000000000000004</cx:pt>
          <cx:pt idx="35">7.5999999999999996</cx:pt>
          <cx:pt idx="36">8.5999999999999996</cx:pt>
          <cx:pt idx="37">5.5</cx:pt>
          <cx:pt idx="38">7.9000000000000004</cx:pt>
          <cx:pt idx="39">9.3000000000000007</cx:pt>
          <cx:pt idx="40">2</cx:pt>
          <cx:pt idx="41">7.9000000000000004</cx:pt>
          <cx:pt idx="42">7.2000000000000002</cx:pt>
          <cx:pt idx="43">7.9000000000000004</cx:pt>
          <cx:pt idx="44">1.8</cx:pt>
          <cx:pt idx="45">7.5999999999999996</cx:pt>
          <cx:pt idx="46">4.5</cx:pt>
          <cx:pt idx="47">8.5999999999999996</cx:pt>
          <cx:pt idx="48">8.5999999999999996</cx:pt>
          <cx:pt idx="49">6.5999999999999996</cx:pt>
          <cx:pt idx="50">9.3000000000000007</cx:pt>
          <cx:pt idx="51">8.5999999999999996</cx:pt>
          <cx:pt idx="52">4.5</cx:pt>
          <cx:pt idx="53">0.29999999999999999</cx:pt>
          <cx:pt idx="54">2.6000000000000001</cx:pt>
          <cx:pt idx="55">5.2000000000000002</cx:pt>
          <cx:pt idx="56">9.3000000000000007</cx:pt>
          <cx:pt idx="57">2.8999999999999999</cx:pt>
          <cx:pt idx="58">7.5999999999999996</cx:pt>
          <cx:pt idx="59">6.5</cx:pt>
          <cx:pt idx="60">0</cx:pt>
          <cx:pt idx="61">4.7000000000000002</cx:pt>
          <cx:pt idx="62">3.8999999999999999</cx:pt>
          <cx:pt idx="63">5</cx:pt>
          <cx:pt idx="64">5.5</cx:pt>
          <cx:pt idx="65">4.4000000000000004</cx:pt>
          <cx:pt idx="66">4</cx:pt>
          <cx:pt idx="67">4.5</cx:pt>
          <cx:pt idx="68">0</cx:pt>
          <cx:pt idx="69">4.4000000000000004</cx:pt>
          <cx:pt idx="70">7.2000000000000002</cx:pt>
          <cx:pt idx="71">3.7000000000000002</cx:pt>
          <cx:pt idx="72">4.0999999999999996</cx:pt>
          <cx:pt idx="73">6.4000000000000004</cx:pt>
          <cx:pt idx="74">4.4000000000000004</cx:pt>
          <cx:pt idx="75">2.5</cx:pt>
        </cx:lvl>
      </cx:numDim>
    </cx:data>
    <cx:data id="2">
      <cx:numDim type="val">
        <cx:f>Taul1!$C$2:$C$101</cx:f>
        <cx:lvl ptCount="100" formatCode="0,0">
          <cx:pt idx="0">5.7999999999999998</cx:pt>
          <cx:pt idx="1">0.29999999999999999</cx:pt>
          <cx:pt idx="2">3.7999999999999998</cx:pt>
          <cx:pt idx="3">3.2000000000000002</cx:pt>
          <cx:pt idx="4">3.1000000000000001</cx:pt>
          <cx:pt idx="5">3.1000000000000001</cx:pt>
          <cx:pt idx="6">5.0999999999999996</cx:pt>
          <cx:pt idx="7">4.4000000000000004</cx:pt>
          <cx:pt idx="8">3.7999999999999998</cx:pt>
          <cx:pt idx="9">4.0999999999999996</cx:pt>
          <cx:pt idx="10">6.5</cx:pt>
          <cx:pt idx="11">3.1000000000000001</cx:pt>
          <cx:pt idx="12">2.1000000000000001</cx:pt>
          <cx:pt idx="13">5.0999999999999996</cx:pt>
          <cx:pt idx="14">4.7999999999999998</cx:pt>
          <cx:pt idx="15">6.5</cx:pt>
          <cx:pt idx="16">5.4000000000000004</cx:pt>
          <cx:pt idx="17">4.7000000000000002</cx:pt>
        </cx:lvl>
      </cx:numDim>
    </cx:data>
  </cx:chartData>
  <cx:chart>
    <cx:plotArea>
      <cx:plotAreaRegion>
        <cx:series layoutId="boxWhisker" uniqueId="{878D31C7-0318-4308-A3F7-5FE218281415}">
          <cx:tx>
            <cx:txData>
              <cx:f>Taul1!$A$1</cx:f>
              <cx:v>All</cx:v>
            </cx:txData>
          </cx:tx>
          <cx:dataLabels>
            <cx:visibility seriesName="0" categoryName="0" value="1"/>
          </cx:dataLabels>
          <cx:dataId val="0"/>
          <cx:layoutPr>
            <cx:visibility meanLine="0" meanMarker="1" nonoutliers="0" outliers="1"/>
            <cx:statistics quartileMethod="exclusive"/>
          </cx:layoutPr>
        </cx:series>
        <cx:series layoutId="boxWhisker" uniqueId="{9E77FB88-A9A6-45EB-A26D-46C915932DE6}">
          <cx:tx>
            <cx:txData>
              <cx:f>Taul1!$B$1</cx:f>
              <cx:v>Caucasian</cx:v>
            </cx:txData>
          </cx:tx>
          <cx:dataLabels>
            <cx:visibility seriesName="0" categoryName="0" value="1"/>
          </cx:dataLabels>
          <cx:dataId val="1"/>
          <cx:layoutPr>
            <cx:visibility meanLine="0" meanMarker="1" nonoutliers="0" outliers="1"/>
            <cx:statistics quartileMethod="exclusive"/>
          </cx:layoutPr>
        </cx:series>
        <cx:series layoutId="boxWhisker" uniqueId="{68F77F44-239A-41E6-BD21-92F922D8921E}">
          <cx:tx>
            <cx:txData>
              <cx:f>Taul1!$C$1</cx:f>
              <cx:v>Black</cx:v>
            </cx:txData>
          </cx:tx>
          <cx:spPr>
            <a:solidFill>
              <a:srgbClr val="FF0000"/>
            </a:solidFill>
            <a:ln>
              <a:solidFill>
                <a:srgbClr val="C00000"/>
              </a:solidFill>
            </a:ln>
          </cx:spPr>
          <cx:dataLabels>
            <cx:visibility seriesName="0" categoryName="0" value="1"/>
          </cx:dataLabels>
          <cx:dataId val="2"/>
          <cx:layoutPr>
            <cx:visibility meanLine="0" meanMarker="1" nonoutliers="0" outliers="1"/>
            <cx:statistics quartileMethod="exclusive"/>
          </cx:layoutPr>
        </cx:series>
      </cx:plotAreaRegion>
      <cx:axis id="0" hidden="1">
        <cx:catScaling gapWidth="0.239999995"/>
        <cx:tickLabels/>
      </cx:axis>
      <cx:axis id="1">
        <cx:valScaling/>
        <cx:majorGridlines/>
        <cx:tickLabels/>
      </cx:axis>
    </cx:plotArea>
    <cx:legend pos="b" align="ctr" overlay="0">
      <cx:txPr>
        <a:bodyPr spcFirstLastPara="1" vertOverflow="ellipsis" horzOverflow="overflow" wrap="square" lIns="0" tIns="0" rIns="0" bIns="0" anchor="ctr" anchorCtr="1"/>
        <a:lstStyle/>
        <a:p>
          <a:pPr algn="ctr" rtl="0">
            <a:defRPr sz="1200"/>
          </a:pPr>
          <a:endParaRPr lang="fi-FI" sz="1200" b="0" i="0" u="none" strike="noStrike" baseline="0">
            <a:solidFill>
              <a:sysClr val="windowText" lastClr="000000">
                <a:lumMod val="65000"/>
                <a:lumOff val="35000"/>
              </a:sysClr>
            </a:solidFill>
            <a:latin typeface="Calibri" panose="020F0502020204030204"/>
          </a:endParaRPr>
        </a:p>
      </cx:txPr>
    </cx:legend>
  </cx:chart>
  <cx:clrMapOvr bg1="lt1" tx1="dk1" bg2="lt2" tx2="dk2" accent1="accent1" accent2="accent2" accent3="accent3" accent4="accent4" accent5="accent5" accent6="accent6" hlink="hlink" folHlink="folHlink"/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E1E9D-7F67-4022-9C4D-4001EF72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5123</Words>
  <Characters>29204</Characters>
  <Application>Microsoft Office Word</Application>
  <DocSecurity>0</DocSecurity>
  <Lines>243</Lines>
  <Paragraphs>68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HUS</Company>
  <LinksUpToDate>false</LinksUpToDate>
  <CharactersWithSpaces>34259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Grahn Petra</dc:creator>
  <cp:keywords/>
  <dc:description/>
  <cp:lastModifiedBy>Sharma, Arthi -</cp:lastModifiedBy>
  <cp:revision>3</cp:revision>
  <cp:lastPrinted>2023-08-05T06:29:00Z</cp:lastPrinted>
  <dcterms:created xsi:type="dcterms:W3CDTF">2023-08-12T09:23:00Z</dcterms:created>
  <dcterms:modified xsi:type="dcterms:W3CDTF">2023-08-14T18:44:00Z</dcterms:modified>
</cp:coreProperties>
</file>