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9.png" ContentType="image/png"/>
  <Override PartName="/word/media/rId34.png" ContentType="image/png"/>
  <Override PartName="/word/media/rId26.png" ContentType="image/png"/>
  <Override PartName="/word/media/rId40.png" ContentType="image/png"/>
  <Override PartName="/word/media/rId31.png" ContentType="image/png"/>
  <Override PartName="/word/media/rId39.png" ContentType="image/png"/>
  <Override PartName="/word/media/rId37.png" ContentType="image/png"/>
  <Override PartName="/word/media/rId33.png" ContentType="image/png"/>
  <Override PartName="/word/media/rId4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Asymmetric</w:t>
      </w:r>
      <w:r>
        <w:t xml:space="preserve"> </w:t>
      </w:r>
      <w:r>
        <w:t xml:space="preserve">Trust</w:t>
      </w:r>
      <w:r>
        <w:t xml:space="preserve"> </w:t>
      </w:r>
      <w:r>
        <w:t xml:space="preserve">and</w:t>
      </w:r>
      <w:r>
        <w:t xml:space="preserve"> </w:t>
      </w:r>
      <w:r>
        <w:t xml:space="preserve">Causal</w:t>
      </w:r>
      <w:r>
        <w:t xml:space="preserve"> </w:t>
      </w:r>
      <w:r>
        <w:t xml:space="preserve">Reasoning</w:t>
      </w:r>
      <w:r>
        <w:t xml:space="preserve"> </w:t>
      </w:r>
      <w:r>
        <w:t xml:space="preserve">in</w:t>
      </w:r>
      <w:r>
        <w:t xml:space="preserve"> </w:t>
      </w:r>
      <w:r>
        <w:t xml:space="preserve">Blockchain-based</w:t>
      </w:r>
      <w:r>
        <w:t xml:space="preserve"> </w:t>
      </w:r>
      <w:r>
        <w:t xml:space="preserve">AIs</w:t>
      </w:r>
    </w:p>
    <w:p>
      <w:pPr>
        <w:pStyle w:val="Author"/>
      </w:pPr>
      <w:r>
        <w:t xml:space="preserve">Percy</w:t>
      </w:r>
      <w:r>
        <w:t xml:space="preserve"> </w:t>
      </w:r>
      <w:r>
        <w:t xml:space="preserve">Venegas</w:t>
      </w:r>
    </w:p>
    <w:p>
      <w:pPr>
        <w:pStyle w:val="FirstParagraph"/>
      </w:pPr>
      <w:r>
        <w:t xml:space="preserve">We use genetic programming evolved networks, vector fields, and signal</w:t>
      </w:r>
      <w:r>
        <w:t xml:space="preserve"> </w:t>
      </w:r>
      <w:r>
        <w:t xml:space="preserve">processing to study time varying-exposures where trust is implied (e.g.</w:t>
      </w:r>
      <w:r>
        <w:t xml:space="preserve"> </w:t>
      </w:r>
      <w:r>
        <w:t xml:space="preserve">a conversion event from attention flow to financial commitment). The</w:t>
      </w:r>
      <w:r>
        <w:t xml:space="preserve"> </w:t>
      </w:r>
      <w:r>
        <w:t xml:space="preserve">datasets are behavioral finance time series (from on-chain data, such as</w:t>
      </w:r>
      <w:r>
        <w:t xml:space="preserve"> </w:t>
      </w:r>
      <w:r>
        <w:t xml:space="preserve">fees, and off-chain data, such as clickstreams), which we use to</w:t>
      </w:r>
      <w:r>
        <w:t xml:space="preserve"> </w:t>
      </w:r>
      <w:r>
        <w:t xml:space="preserve">elaborate on various complexity metrics of causality, through the</w:t>
      </w:r>
      <w:r>
        <w:t xml:space="preserve"> </w:t>
      </w:r>
      <w:r>
        <w:t xml:space="preserve">creation parametric network graphs. We discuss the related methods and</w:t>
      </w:r>
      <w:r>
        <w:t xml:space="preserve"> </w:t>
      </w:r>
      <w:r>
        <w:t xml:space="preserve">applications and conclude with the notion of social memory</w:t>
      </w:r>
      <w:r>
        <w:t xml:space="preserve"> </w:t>
      </w:r>
      <w:r>
        <w:t xml:space="preserve">irreversibility and value by memory as useful constructs that take</w:t>
      </w:r>
      <w:r>
        <w:t xml:space="preserve"> </w:t>
      </w:r>
      <w:r>
        <w:t xml:space="preserve">advantage of the natural fact of the existence of trust asymmetries,</w:t>
      </w:r>
      <w:r>
        <w:t xml:space="preserve"> </w:t>
      </w:r>
      <w:r>
        <w:t xml:space="preserve">that can be operationalized by embedded AIs that use distributed ledgers</w:t>
      </w:r>
      <w:r>
        <w:t xml:space="preserve"> </w:t>
      </w:r>
      <w:r>
        <w:t xml:space="preserve">both as the substrate of their intelligence and as social computers. </w:t>
      </w:r>
      <w:r>
        <w:t xml:space="preserve"> </w:t>
      </w:r>
      <w:r>
        <w:t xml:space="preserve"> By being context-aware, those intelligent agents are able to intervene</w:t>
      </w:r>
      <w:r>
        <w:t xml:space="preserve"> </w:t>
      </w:r>
      <w:r>
        <w:t xml:space="preserve">in problematic stressors and contribute to minimizing network fragility.</w:t>
      </w:r>
    </w:p>
    <w:p>
      <w:pPr>
        <w:pStyle w:val="BodyText"/>
      </w:pPr>
      <w:r>
        <w:br w:type="textWrapping"/>
      </w:r>
      <w:r>
        <w:rPr>
          <w:b/>
        </w:rPr>
        <w:t xml:space="preserve">Keywords</w:t>
      </w:r>
      <w:r>
        <w:t xml:space="preserve">: systemic risk, behavioral finance, economic</w:t>
      </w:r>
      <w:r>
        <w:t xml:space="preserve"> </w:t>
      </w:r>
      <w:r>
        <w:t xml:space="preserve">complexity, evolutionary computation, computational trust, the</w:t>
      </w:r>
      <w:r>
        <w:t xml:space="preserve"> </w:t>
      </w:r>
      <w:r>
        <w:t xml:space="preserve">blockchain,  cryptocurrencies, market microstructure, reality mining. </w:t>
      </w:r>
    </w:p>
    <w:p>
      <w:pPr>
        <w:pStyle w:val="BodyText"/>
      </w:pPr>
      <w:r>
        <w:rPr>
          <w:b/>
        </w:rPr>
        <w:t xml:space="preserve">JEL Classification:</w:t>
      </w:r>
      <w:r>
        <w:t xml:space="preserve"> G02, F63, B17, C53, C58</w:t>
      </w:r>
    </w:p>
    <w:p>
      <w:pPr>
        <w:pStyle w:val="BodyText"/>
      </w:pPr>
      <w:r>
        <w:br w:type="textWrapping"/>
      </w:r>
    </w:p>
    <w:p>
      <w:pPr>
        <w:pStyle w:val="BlockText"/>
      </w:pPr>
      <w:r>
        <w:t xml:space="preserve">There is none </w:t>
      </w:r>
      <w:r>
        <w:rPr>
          <w:i/>
        </w:rPr>
        <w:t xml:space="preserve">deceived</w:t>
      </w:r>
      <w:r>
        <w:t xml:space="preserve"> but he that </w:t>
      </w:r>
      <w:r>
        <w:rPr>
          <w:i/>
        </w:rPr>
        <w:t xml:space="preserve">trusts –Benjamin</w:t>
      </w:r>
      <w:r>
        <w:rPr>
          <w:i/>
        </w:rPr>
        <w:t xml:space="preserve"> </w:t>
      </w:r>
      <w:r>
        <w:rPr>
          <w:i/>
        </w:rPr>
        <w:t xml:space="preserve">Franklin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Given the current state of knowledge, it is relatively easy to have</w:t>
      </w:r>
      <w:r>
        <w:t xml:space="preserve"> </w:t>
      </w:r>
      <w:r>
        <w:t xml:space="preserve">artificial intelligent agents to find patterns and to formulate</w:t>
      </w:r>
      <w:r>
        <w:t xml:space="preserve"> </w:t>
      </w:r>
      <w:r>
        <w:t xml:space="preserve">predictions following some objective criteria. But to get become useful</w:t>
      </w:r>
      <w:r>
        <w:t xml:space="preserve"> </w:t>
      </w:r>
      <w:r>
        <w:t xml:space="preserve">in comparison with human intelligence, it is crucial that those agents</w:t>
      </w:r>
      <w:r>
        <w:t xml:space="preserve"> </w:t>
      </w:r>
      <w:r>
        <w:t xml:space="preserve">are able to ask: Why? Posing the question is an exercise on causal</w:t>
      </w:r>
      <w:r>
        <w:t xml:space="preserve"> </w:t>
      </w:r>
      <w:r>
        <w:t xml:space="preserve">reasoning, a realization of the awareness of cause and effect.  It is</w:t>
      </w:r>
      <w:r>
        <w:t xml:space="preserve"> </w:t>
      </w:r>
      <w:r>
        <w:t xml:space="preserve">also a matter beyond logic formalisms–  the interface matters. That is</w:t>
      </w:r>
      <w:r>
        <w:t xml:space="preserve"> </w:t>
      </w:r>
      <w:r>
        <w:t xml:space="preserve">because once the intelligent agent is able to ask why?, it will be also</w:t>
      </w:r>
      <w:r>
        <w:t xml:space="preserve"> </w:t>
      </w:r>
      <w:r>
        <w:t xml:space="preserve">in a position to ask counterfactual questions, such as how</w:t>
      </w:r>
      <w:r>
        <w:t xml:space="preserve"> </w:t>
      </w:r>
      <w:r>
        <w:t xml:space="preserve">an intervention may change the output, or even the causal relationship</w:t>
      </w:r>
      <w:r>
        <w:t xml:space="preserve"> </w:t>
      </w:r>
      <w:r>
        <w:t xml:space="preserve">itself (Kyburg and Pearl 1991). This is particularly important in the case of</w:t>
      </w:r>
      <w:r>
        <w:t xml:space="preserve"> </w:t>
      </w:r>
      <w:r>
        <w:t xml:space="preserve">blockchain-based AIs because directionality matters (causation works in</w:t>
      </w:r>
      <w:r>
        <w:t xml:space="preserve"> </w:t>
      </w:r>
      <w:r>
        <w:t xml:space="preserve">one way) and because the substrate of the AI is a fully or partially</w:t>
      </w:r>
      <w:r>
        <w:t xml:space="preserve"> </w:t>
      </w:r>
      <w:r>
        <w:t xml:space="preserve">immutable ledger. </w:t>
      </w:r>
    </w:p>
    <w:p>
      <w:pPr>
        <w:pStyle w:val="BodyText"/>
      </w:pPr>
      <w:r>
        <w:br w:type="textWrapping"/>
      </w:r>
      <w:r>
        <w:t xml:space="preserve">One may attempt to reduce the proposed solution to the problem to the</w:t>
      </w:r>
      <w:r>
        <w:t xml:space="preserve"> </w:t>
      </w:r>
      <w:r>
        <w:t xml:space="preserve">application of well-known methods, such as Bayesian networks; since</w:t>
      </w:r>
      <w:r>
        <w:t xml:space="preserve"> </w:t>
      </w:r>
      <w:r>
        <w:t xml:space="preserve">blockchain systems are deterministic and it is desirable that the</w:t>
      </w:r>
      <w:r>
        <w:t xml:space="preserve"> </w:t>
      </w:r>
      <w:r>
        <w:t xml:space="preserve">constructs operating on top of them (e.g. smart contracts) behave with</w:t>
      </w:r>
      <w:r>
        <w:t xml:space="preserve"> </w:t>
      </w:r>
      <w:r>
        <w:t xml:space="preserve">some degree of predictability, establishing an appropriate intuition of</w:t>
      </w:r>
      <w:r>
        <w:t xml:space="preserve"> </w:t>
      </w:r>
      <w:r>
        <w:t xml:space="preserve">the priors by access to on-chain data and some sort of data</w:t>
      </w:r>
      <w:r>
        <w:t xml:space="preserve"> </w:t>
      </w:r>
      <w:r>
        <w:t xml:space="preserve">integrity-verified artifacts (e.g oracles) may at least partially</w:t>
      </w:r>
      <w:r>
        <w:t xml:space="preserve"> </w:t>
      </w:r>
      <w:r>
        <w:t xml:space="preserve">achieve this purpose. However, such a simplistic approach would deprive</w:t>
      </w:r>
      <w:r>
        <w:t xml:space="preserve"> </w:t>
      </w:r>
      <w:r>
        <w:t xml:space="preserve">the AI of context: the world is not presented to us as a data feed, but</w:t>
      </w:r>
      <w:r>
        <w:t xml:space="preserve"> </w:t>
      </w:r>
      <w:r>
        <w:t xml:space="preserve">rather as a dynamical experience in which the embeddedness into a social</w:t>
      </w:r>
      <w:r>
        <w:t xml:space="preserve"> </w:t>
      </w:r>
      <w:r>
        <w:t xml:space="preserve">context (Wölfer, Cortina, and Baumert 2012) dictates the response, especially in the</w:t>
      </w:r>
      <w:r>
        <w:t xml:space="preserve"> </w:t>
      </w:r>
      <w:r>
        <w:t xml:space="preserve">forming stages of intelligence. Particularly, the repeated use of</w:t>
      </w:r>
      <w:r>
        <w:t xml:space="preserve"> </w:t>
      </w:r>
      <w:r>
        <w:t xml:space="preserve">metaphors such</w:t>
      </w:r>
      <w:r>
        <w:t xml:space="preserve"> </w:t>
      </w:r>
      <w:r>
        <w:t xml:space="preserve">“</w:t>
      </w:r>
      <w:r>
        <w:t xml:space="preserve">circles of trust</w:t>
      </w:r>
      <w:r>
        <w:t xml:space="preserve">”</w:t>
      </w:r>
      <w:r>
        <w:t xml:space="preserve"> </w:t>
      </w:r>
      <w:r>
        <w:t xml:space="preserve">in industry and personal relations</w:t>
      </w:r>
      <w:r>
        <w:t xml:space="preserve"> </w:t>
      </w:r>
      <w:r>
        <w:t xml:space="preserve">hints at the tendency that humans have to at least implicitly compute</w:t>
      </w:r>
      <w:r>
        <w:t xml:space="preserve"> </w:t>
      </w:r>
      <w:r>
        <w:t xml:space="preserve">similarity metrics (to define the boundaries of that circle or space)</w:t>
      </w:r>
      <w:r>
        <w:t xml:space="preserve"> </w:t>
      </w:r>
      <w:r>
        <w:t xml:space="preserve">and to elaborate mechanisms to detect violations to certain social laws</w:t>
      </w:r>
      <w:r>
        <w:t xml:space="preserve"> </w:t>
      </w:r>
      <w:r>
        <w:t xml:space="preserve">and descriptive models of economic behavior (Liu et al. 2014). In a</w:t>
      </w:r>
      <w:r>
        <w:t xml:space="preserve"> </w:t>
      </w:r>
      <w:r>
        <w:t xml:space="preserve">way, to engage in the world we require that other agents are</w:t>
      </w:r>
      <w:r>
        <w:t xml:space="preserve"> </w:t>
      </w:r>
      <w:r>
        <w:t xml:space="preserve">“</w:t>
      </w:r>
      <w:r>
        <w:t xml:space="preserve">trust</w:t>
      </w:r>
      <w:r>
        <w:t xml:space="preserve"> </w:t>
      </w:r>
      <w:r>
        <w:t xml:space="preserve">verified</w:t>
      </w:r>
      <w:r>
        <w:t xml:space="preserve">”</w:t>
      </w:r>
      <w:r>
        <w:t xml:space="preserve">.</w:t>
      </w:r>
    </w:p>
    <w:p>
      <w:pPr>
        <w:pStyle w:val="BodyText"/>
      </w:pPr>
      <w:r>
        <w:br w:type="textWrapping"/>
      </w:r>
      <w:r>
        <w:rPr>
          <w:i/>
        </w:rPr>
        <w:t xml:space="preserve">Trust</w:t>
      </w:r>
      <w:r>
        <w:t xml:space="preserve"> is fundamental to the human experience, yet it is little</w:t>
      </w:r>
      <w:r>
        <w:t xml:space="preserve"> </w:t>
      </w:r>
      <w:r>
        <w:t xml:space="preserve">understood. But AI, web analytics, and blockchain technology have come</w:t>
      </w:r>
      <w:r>
        <w:t xml:space="preserve"> </w:t>
      </w:r>
      <w:r>
        <w:t xml:space="preserve">to change that. For the first time in history, we have real-time data to</w:t>
      </w:r>
      <w:r>
        <w:t xml:space="preserve"> </w:t>
      </w:r>
      <w:r>
        <w:t xml:space="preserve">map how attention flows, and understand how people actually assess risk</w:t>
      </w:r>
      <w:r>
        <w:t xml:space="preserve"> </w:t>
      </w:r>
      <w:r>
        <w:t xml:space="preserve">and commit resources. And with AI we can augment our own intellect</w:t>
      </w:r>
      <w:r>
        <w:t xml:space="preserve"> </w:t>
      </w:r>
      <w:r>
        <w:t xml:space="preserve">(Engelbart 1995), to understand complex socio-technical systems. In</w:t>
      </w:r>
      <w:r>
        <w:t xml:space="preserve"> </w:t>
      </w:r>
      <w:r>
        <w:t xml:space="preserve">some cases, this is a full departure from the prevailing economic</w:t>
      </w:r>
      <w:r>
        <w:t xml:space="preserve"> </w:t>
      </w:r>
      <w:r>
        <w:t xml:space="preserve">theories, that were developed using experiments conducted on small</w:t>
      </w:r>
      <w:r>
        <w:t xml:space="preserve"> </w:t>
      </w:r>
      <w:r>
        <w:t xml:space="preserve">groups, incomplete and delayed macroeconomic data, or theoretical models</w:t>
      </w:r>
      <w:r>
        <w:t xml:space="preserve"> </w:t>
      </w:r>
      <w:r>
        <w:t xml:space="preserve">which are completely dissociated from reality. There is no reason why</w:t>
      </w:r>
      <w:r>
        <w:t xml:space="preserve"> </w:t>
      </w:r>
      <w:r>
        <w:t xml:space="preserve">economics and the social sciences have to be called</w:t>
      </w:r>
      <w:r>
        <w:t xml:space="preserve"> </w:t>
      </w:r>
      <w:r>
        <w:t xml:space="preserve">“</w:t>
      </w:r>
      <w:r>
        <w:t xml:space="preserve">soft</w:t>
      </w:r>
      <w:r>
        <w:t xml:space="preserve">”</w:t>
      </w:r>
      <w:r>
        <w:t xml:space="preserve"> </w:t>
      </w:r>
      <w:r>
        <w:t xml:space="preserve">anymore;</w:t>
      </w:r>
      <w:r>
        <w:t xml:space="preserve"> </w:t>
      </w:r>
      <w:r>
        <w:t xml:space="preserve">there is no such thing as hard and soft sciences, a scientist should</w:t>
      </w:r>
      <w:r>
        <w:t xml:space="preserve"> </w:t>
      </w:r>
      <w:r>
        <w:t xml:space="preserve">always operate in the realm of facts and quantitative evidence,</w:t>
      </w:r>
      <w:r>
        <w:t xml:space="preserve"> </w:t>
      </w:r>
      <w:r>
        <w:t xml:space="preserve">otherwise, he is only a commentator.</w:t>
      </w:r>
    </w:p>
    <w:p>
      <w:pPr>
        <w:pStyle w:val="BodyText"/>
      </w:pPr>
      <w:r>
        <w:br w:type="textWrapping"/>
      </w:r>
      <w:r>
        <w:t xml:space="preserve">Computationally, biologically, and socially, humans</w:t>
      </w:r>
      <w:r>
        <w:t xml:space="preserve"> </w:t>
      </w:r>
      <w:r>
        <w:t xml:space="preserve">“</w:t>
      </w:r>
      <w:r>
        <w:t xml:space="preserve">need</w:t>
      </w:r>
      <w:r>
        <w:t xml:space="preserve">”</w:t>
      </w:r>
      <w:r>
        <w:t xml:space="preserve"> </w:t>
      </w:r>
      <w:r>
        <w:t xml:space="preserve">to</w:t>
      </w:r>
      <w:r>
        <w:t xml:space="preserve"> </w:t>
      </w:r>
      <w:r>
        <w:t xml:space="preserve">trust (Fareri, Chang, and Delgado 2015). And even when dealing with</w:t>
      </w:r>
      <w:r>
        <w:t xml:space="preserve"> </w:t>
      </w:r>
      <w:r>
        <w:t xml:space="preserve">“</w:t>
      </w:r>
      <w:r>
        <w:t xml:space="preserve">trust-less</w:t>
      </w:r>
      <w:r>
        <w:t xml:space="preserve">”</w:t>
      </w:r>
      <w:r>
        <w:t xml:space="preserve"> </w:t>
      </w:r>
      <w:r>
        <w:t xml:space="preserve">systems such as distributed ledger technology, everyone (including AIs)</w:t>
      </w:r>
      <w:r>
        <w:t xml:space="preserve"> </w:t>
      </w:r>
      <w:r>
        <w:t xml:space="preserve">need to trust</w:t>
      </w:r>
      <w:r>
        <w:t xml:space="preserve"> </w:t>
      </w:r>
      <w:r>
        <w:t xml:space="preserve">“</w:t>
      </w:r>
      <w:r>
        <w:t xml:space="preserve">on the design</w:t>
      </w:r>
      <w:r>
        <w:t xml:space="preserve">”</w:t>
      </w:r>
      <w:r>
        <w:t xml:space="preserve">. This work is concerned with the role of</w:t>
      </w:r>
      <w:r>
        <w:t xml:space="preserve"> </w:t>
      </w:r>
      <w:r>
        <w:t xml:space="preserve">trust asymmetry (Venegas, n.d.) in the causal reasoning process of</w:t>
      </w:r>
      <w:r>
        <w:t xml:space="preserve"> </w:t>
      </w:r>
      <w:r>
        <w:t xml:space="preserve">blockchain-based AIs. We will approach it from the perspective of the</w:t>
      </w:r>
      <w:r>
        <w:t xml:space="preserve"> </w:t>
      </w:r>
      <w:r>
        <w:t xml:space="preserve">machine, of the method and apparatus needed for the intelligent agent to</w:t>
      </w:r>
      <w:r>
        <w:t xml:space="preserve"> </w:t>
      </w:r>
      <w:r>
        <w:t xml:space="preserve">make consequential decisions in the world: is there an asymmetry, then</w:t>
      </w:r>
      <w:r>
        <w:t xml:space="preserve"> </w:t>
      </w:r>
      <w:r>
        <w:t xml:space="preserve">why? And, where and when trust asymmetry breaks?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2" w:name="related-work"/>
      <w:bookmarkEnd w:id="22"/>
      <w:r>
        <w:t xml:space="preserve">Related work</w:t>
      </w:r>
    </w:p>
    <w:p>
      <w:pPr>
        <w:pStyle w:val="FirstParagraph"/>
      </w:pPr>
      <w:r>
        <w:t xml:space="preserve"> </w:t>
      </w:r>
    </w:p>
    <w:p>
      <w:pPr>
        <w:pStyle w:val="Heading2"/>
      </w:pPr>
      <w:bookmarkStart w:id="23" w:name="integrating-social-information-with-traditional-network-layers"/>
      <w:bookmarkEnd w:id="23"/>
      <w:r>
        <w:t xml:space="preserve">Integrating social information with traditional network</w:t>
      </w:r>
      <w:r>
        <w:t xml:space="preserve"> </w:t>
      </w:r>
      <w:r>
        <w:t xml:space="preserve">layers</w:t>
      </w:r>
    </w:p>
    <w:p>
      <w:pPr>
        <w:pStyle w:val="FirstParagraph"/>
      </w:pPr>
      <w:r>
        <w:t xml:space="preserve">A blockchain-based AI becomes aware of the environment via off-chain</w:t>
      </w:r>
      <w:r>
        <w:t xml:space="preserve"> </w:t>
      </w:r>
      <w:r>
        <w:t xml:space="preserve">data. To conceptualize this using the OSI model as a reference, we use a</w:t>
      </w:r>
      <w:r>
        <w:t xml:space="preserve"> </w:t>
      </w:r>
      <w:r>
        <w:t xml:space="preserve">cross-layer stack (layer 7 and layer 6).  In practice, the financial</w:t>
      </w:r>
      <w:r>
        <w:t xml:space="preserve"> </w:t>
      </w:r>
      <w:r>
        <w:t xml:space="preserve">activity logged in the blockchain is the expression (e.g. a conversion</w:t>
      </w:r>
      <w:r>
        <w:t xml:space="preserve"> </w:t>
      </w:r>
      <w:r>
        <w:t xml:space="preserve">event) of the consumption, flow of attention, and commitment of</w:t>
      </w:r>
      <w:r>
        <w:t xml:space="preserve"> </w:t>
      </w:r>
      <w:r>
        <w:t xml:space="preserve">resources in adjacent networks such as the web and mesh IoT. For</w:t>
      </w:r>
      <w:r>
        <w:t xml:space="preserve"> </w:t>
      </w:r>
      <w:r>
        <w:t xml:space="preserve">instance,  when a web browser creates a request (e.g. GET / HTTP)</w:t>
      </w:r>
      <w:r>
        <w:t xml:space="preserve"> </w:t>
      </w:r>
      <w:r>
        <w:t xml:space="preserve">a Java-based application could log the hits, detect the device type</w:t>
      </w:r>
      <w:r>
        <w:t xml:space="preserve"> </w:t>
      </w:r>
      <w:r>
        <w:t xml:space="preserve">(mobile or desktop), and other features included in the user-agent</w:t>
      </w:r>
      <w:r>
        <w:t xml:space="preserve"> </w:t>
      </w:r>
      <w:r>
        <w:t xml:space="preserve">header. Also by looking down in the stack to the routing level, ISP data</w:t>
      </w:r>
      <w:r>
        <w:t xml:space="preserve"> </w:t>
      </w:r>
      <w:r>
        <w:t xml:space="preserve">is used to obtain geographical origin, redirect path and destination.</w:t>
      </w:r>
      <w:r>
        <w:t xml:space="preserve"> </w:t>
      </w:r>
      <w:r>
        <w:t xml:space="preserve">This sort of</w:t>
      </w:r>
      <w:r>
        <w:t xml:space="preserve"> </w:t>
      </w:r>
      <w:r>
        <w:t xml:space="preserve">“</w:t>
      </w:r>
      <w:r>
        <w:t xml:space="preserve">alternative data</w:t>
      </w:r>
      <w:r>
        <w:t xml:space="preserve">”</w:t>
      </w:r>
      <w:r>
        <w:t xml:space="preserve"> </w:t>
      </w:r>
      <w:r>
        <w:t xml:space="preserve">becomes especially useful when</w:t>
      </w:r>
      <w:r>
        <w:t xml:space="preserve"> </w:t>
      </w:r>
      <w:r>
        <w:t xml:space="preserve">studying permissioned and semi-centralized networks, since not all data</w:t>
      </w:r>
      <w:r>
        <w:t xml:space="preserve"> </w:t>
      </w:r>
      <w:r>
        <w:t xml:space="preserve">is publicly available and suitable proxies are required.   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24" w:name="ripple"/>
      <w:bookmarkEnd w:id="24"/>
      <w:r>
        <w:t xml:space="preserve">Ripple</w:t>
      </w:r>
    </w:p>
    <w:p>
      <w:pPr>
        <w:pStyle w:val="FirstParagraph"/>
      </w:pPr>
      <w:r>
        <w:t xml:space="preserve">Formally, Ripple is not a blockchain, but a common ledger based on a</w:t>
      </w:r>
      <w:r>
        <w:t xml:space="preserve"> </w:t>
      </w:r>
      <w:r>
        <w:t xml:space="preserve">proprietary technology to cater to the privacy needs of the banking</w:t>
      </w:r>
      <w:r>
        <w:t xml:space="preserve"> </w:t>
      </w:r>
      <w:r>
        <w:t xml:space="preserve">industry –therefore, some transactional and network activity details</w:t>
      </w:r>
      <w:r>
        <w:t xml:space="preserve"> </w:t>
      </w:r>
      <w:r>
        <w:t xml:space="preserve">are unavailable to the public.  We tracked daily usage for the 100 most</w:t>
      </w:r>
      <w:r>
        <w:t xml:space="preserve"> </w:t>
      </w:r>
      <w:r>
        <w:t xml:space="preserve">popular services among prospect Ripple users over the course of 18</w:t>
      </w:r>
      <w:r>
        <w:t xml:space="preserve"> </w:t>
      </w:r>
      <w:r>
        <w:t xml:space="preserve">months (548 days in total). We use daily prices as target variable since</w:t>
      </w:r>
      <w:r>
        <w:t xml:space="preserve"> </w:t>
      </w:r>
      <w:r>
        <w:t xml:space="preserve">a general audience-prospect user will be inclined to look at the daily</w:t>
      </w:r>
      <w:r>
        <w:t xml:space="preserve"> </w:t>
      </w:r>
      <w:r>
        <w:t xml:space="preserve">prices, while professional investors usually focus on daily returns. The</w:t>
      </w:r>
      <w:r>
        <w:t xml:space="preserve"> </w:t>
      </w:r>
      <w:r>
        <w:t xml:space="preserve">services included those directly related to cross-border payments</w:t>
      </w:r>
      <w:r>
        <w:t xml:space="preserve"> </w:t>
      </w:r>
      <w:r>
        <w:t xml:space="preserve">operations (e.g. gateways) and other peripheral to the economy,</w:t>
      </w:r>
      <w:r>
        <w:t xml:space="preserve"> </w:t>
      </w:r>
      <w:r>
        <w:t xml:space="preserve">including price information services, wallets, and the like. We</w:t>
      </w:r>
      <w:r>
        <w:t xml:space="preserve"> </w:t>
      </w:r>
      <w:r>
        <w:t xml:space="preserve">investigate the long-term market structure, specifically the demand</w:t>
      </w:r>
      <w:r>
        <w:t xml:space="preserve"> </w:t>
      </w:r>
      <w:r>
        <w:t xml:space="preserve">signals from that segment of newcomers. We started with one hundred</w:t>
      </w:r>
      <w:r>
        <w:t xml:space="preserve"> </w:t>
      </w:r>
      <w:r>
        <w:t xml:space="preserve">services, and after many rounds of elimination making different formulas</w:t>
      </w:r>
      <w:r>
        <w:t xml:space="preserve"> </w:t>
      </w:r>
      <w:r>
        <w:t xml:space="preserve">compete with each other for accuracy (using symbolic regression), the</w:t>
      </w:r>
      <w:r>
        <w:t xml:space="preserve"> </w:t>
      </w:r>
      <w:r>
        <w:t xml:space="preserve">simplest and most meaningful relationship expresses price as a function</w:t>
      </w:r>
      <w:r>
        <w:t xml:space="preserve"> </w:t>
      </w:r>
      <w:r>
        <w:t xml:space="preserve">of two constant values and the demand for the services of a particular</w:t>
      </w:r>
      <w:r>
        <w:t xml:space="preserve"> </w:t>
      </w:r>
      <w:r>
        <w:t xml:space="preserve">exchange In other words, the simpler predictive model to provide any</w:t>
      </w:r>
      <w:r>
        <w:t xml:space="preserve"> </w:t>
      </w:r>
      <w:r>
        <w:t xml:space="preserve">insight traces back the rise of Ripple among this segment to the</w:t>
      </w:r>
      <w:r>
        <w:t xml:space="preserve"> </w:t>
      </w:r>
      <w:r>
        <w:t xml:space="preserve">popularity of one of the prominent exchanges (of the centralized type)</w:t>
      </w:r>
      <w:r>
        <w:t xml:space="preserve"> </w:t>
      </w:r>
      <w:r>
        <w:t xml:space="preserve">that listed the coin. One such predictive model can be expressed as </w:t>
      </w:r>
      <w:r>
        <w:t xml:space="preserve"> </w:t>
      </w:r>
      <w:r>
        <w:t xml:space="preserve">Price = a*exchange1 — b  </w:t>
      </w:r>
    </w:p>
    <w:p>
      <w:pPr>
        <w:pStyle w:val="BodyText"/>
      </w:pPr>
      <w:r>
        <w:br w:type="textWrapping"/>
      </w:r>
      <w:r>
        <w:t xml:space="preserve">A more complex model has the form Price = a + b*sma(wallet_users,</w:t>
      </w:r>
      <w:r>
        <w:t xml:space="preserve"> </w:t>
      </w:r>
      <w:r>
        <w:t xml:space="preserve">21)*sma(wallet_users, 37) + c*wallet_public² — d*exchange —</w:t>
      </w:r>
      <w:r>
        <w:t xml:space="preserve"> </w:t>
      </w:r>
      <w:r>
        <w:t xml:space="preserve">e*gateway*sma(wallet_users, 21)*sma(wallet_users, 37)</w:t>
      </w:r>
    </w:p>
    <w:p>
      <w:pPr>
        <w:pStyle w:val="BodyText"/>
      </w:pPr>
      <w:r>
        <w:br w:type="textWrapping"/>
      </w:r>
      <w:r>
        <w:t xml:space="preserve">According to this, from May 2017 to December the use of a</w:t>
      </w:r>
      <w:r>
        <w:t xml:space="preserve"> </w:t>
      </w:r>
      <w:r>
        <w:t xml:space="preserve">particular </w:t>
      </w:r>
      <w:r>
        <w:rPr>
          <w:i/>
        </w:rPr>
        <w:t xml:space="preserve">wallet</w:t>
      </w:r>
      <w:r>
        <w:t xml:space="preserve"> created support levels of 21 and 37 days (using</w:t>
      </w:r>
      <w:r>
        <w:t xml:space="preserve"> </w:t>
      </w:r>
      <w:r>
        <w:t xml:space="preserve">simple moving averages) and it had the bigger impact of all variables</w:t>
      </w:r>
      <w:r>
        <w:t xml:space="preserve"> </w:t>
      </w:r>
      <w:r>
        <w:t xml:space="preserve">discovered (increasing the use of this wallet has a positive impact on</w:t>
      </w:r>
      <w:r>
        <w:t xml:space="preserve"> </w:t>
      </w:r>
      <w:r>
        <w:t xml:space="preserve">price 100% of the times). This means that the usage of this service</w:t>
      </w:r>
      <w:r>
        <w:t xml:space="preserve"> </w:t>
      </w:r>
      <w:r>
        <w:t xml:space="preserve">serves as a</w:t>
      </w:r>
      <w:r>
        <w:t xml:space="preserve"> </w:t>
      </w:r>
      <w:r>
        <w:t xml:space="preserve">“</w:t>
      </w:r>
      <w:r>
        <w:t xml:space="preserve">canary in the mine</w:t>
      </w:r>
      <w:r>
        <w:t xml:space="preserve">”</w:t>
      </w:r>
      <w:r>
        <w:t xml:space="preserve">, i.e a prolonged decrease in usage</w:t>
      </w:r>
      <w:r>
        <w:t xml:space="preserve"> </w:t>
      </w:r>
      <w:r>
        <w:t xml:space="preserve">(being all conditions equal, such as not having a similar alternative</w:t>
      </w:r>
      <w:r>
        <w:t xml:space="preserve"> </w:t>
      </w:r>
      <w:r>
        <w:t xml:space="preserve">replacing the use of the wallet) will indicate weakening demand</w:t>
      </w:r>
      <w:r>
        <w:t xml:space="preserve"> </w:t>
      </w:r>
      <w:r>
        <w:t xml:space="preserve">fundamentals.</w:t>
      </w:r>
    </w:p>
    <w:p>
      <w:pPr>
        <w:pStyle w:val="BodyText"/>
      </w:pPr>
      <w:r>
        <w:br w:type="textWrapping"/>
      </w:r>
      <w:r>
        <w:t xml:space="preserve">The first negative term is a </w:t>
      </w:r>
      <w:r>
        <w:rPr>
          <w:i/>
        </w:rPr>
        <w:t xml:space="preserve">gateway</w:t>
      </w:r>
      <w:r>
        <w:t xml:space="preserve">, which in Ripple’s</w:t>
      </w:r>
      <w:r>
        <w:t xml:space="preserve"> </w:t>
      </w:r>
      <w:r>
        <w:t xml:space="preserve">architecture means</w:t>
      </w:r>
      <w:r>
        <w:t xml:space="preserve"> </w:t>
      </w:r>
      <w:r>
        <w:t xml:space="preserve">“</w:t>
      </w:r>
      <w:r>
        <w:t xml:space="preserve">businesses that provide a way for money and other</w:t>
      </w:r>
      <w:r>
        <w:t xml:space="preserve"> </w:t>
      </w:r>
      <w:r>
        <w:t xml:space="preserve">forms of value to move in and out of the XRP Ledger</w:t>
      </w:r>
      <w:r>
        <w:t xml:space="preserve">”</w:t>
      </w:r>
      <w:r>
        <w:t xml:space="preserve">. This particular</w:t>
      </w:r>
      <w:r>
        <w:t xml:space="preserve"> </w:t>
      </w:r>
      <w:r>
        <w:t xml:space="preserve">issuing gateway supports both Yuan/XRP and Yuan/Stellar pairs and</w:t>
      </w:r>
      <w:r>
        <w:t xml:space="preserve"> </w:t>
      </w:r>
      <w:r>
        <w:t xml:space="preserve">provides services mainly in China, and to a lesser extent in Japan and</w:t>
      </w:r>
      <w:r>
        <w:t xml:space="preserve"> </w:t>
      </w:r>
      <w:r>
        <w:t xml:space="preserve">the US. This same gateway’s popularity increased following the crackdown</w:t>
      </w:r>
      <w:r>
        <w:t xml:space="preserve"> </w:t>
      </w:r>
      <w:r>
        <w:t xml:space="preserve">on bitcoin exchanges in China.</w:t>
      </w:r>
    </w:p>
    <w:p>
      <w:pPr>
        <w:pStyle w:val="BodyText"/>
      </w:pPr>
      <w:r>
        <w:t xml:space="preserve">The second negative term is a Chinese </w:t>
      </w:r>
      <w:r>
        <w:rPr>
          <w:i/>
        </w:rPr>
        <w:t xml:space="preserve">exchange</w:t>
      </w:r>
      <w:r>
        <w:t xml:space="preserve">, of the</w:t>
      </w:r>
      <w:r>
        <w:t xml:space="preserve"> </w:t>
      </w:r>
      <w:r>
        <w:t xml:space="preserve">centralized type. That is, as demand for the exchange of CNY/digital</w:t>
      </w:r>
      <w:r>
        <w:t xml:space="preserve"> </w:t>
      </w:r>
      <w:r>
        <w:t xml:space="preserve">asset increases, this may be exercising some downward pressure on price.</w:t>
      </w:r>
      <w:r>
        <w:t xml:space="preserve"> </w:t>
      </w:r>
      <w:r>
        <w:t xml:space="preserve">The negative effect is slightly larger when people use the centralized</w:t>
      </w:r>
      <w:r>
        <w:t xml:space="preserve"> </w:t>
      </w:r>
      <w:r>
        <w:t xml:space="preserve">exchange, rather than a Ripple gateway. This may suggest that some</w:t>
      </w:r>
      <w:r>
        <w:t xml:space="preserve"> </w:t>
      </w:r>
      <w:r>
        <w:t xml:space="preserve">operatives turned to Ripple as a haven when the Bitcoin exchanges where</w:t>
      </w:r>
      <w:r>
        <w:t xml:space="preserve"> </w:t>
      </w:r>
      <w:r>
        <w:t xml:space="preserve">hit, although prices are still susceptible to movements of XRP assets in</w:t>
      </w:r>
      <w:r>
        <w:t xml:space="preserve"> </w:t>
      </w:r>
      <w:r>
        <w:t xml:space="preserve">and out of the economy via a gateway. But strong demand from the middle</w:t>
      </w:r>
      <w:r>
        <w:t xml:space="preserve"> </w:t>
      </w:r>
      <w:r>
        <w:t xml:space="preserve">market supersedes the fears of those uncomfortable with all-time-highs,</w:t>
      </w:r>
      <w:r>
        <w:t xml:space="preserve"> </w:t>
      </w:r>
      <w:r>
        <w:t xml:space="preserve">and this is why the usage of the Ripple wallet exploded on Dec 13–14th,</w:t>
      </w:r>
      <w:r>
        <w:t xml:space="preserve"> </w:t>
      </w:r>
      <w:r>
        <w:t xml:space="preserve">in tandem with the spike in price volatility of XRP — alongside with</w:t>
      </w:r>
      <w:r>
        <w:t xml:space="preserve"> </w:t>
      </w:r>
      <w:r>
        <w:t xml:space="preserve">attractive dynamics of the BTC/XRP pair. It is also important to note</w:t>
      </w:r>
      <w:r>
        <w:t xml:space="preserve"> </w:t>
      </w:r>
      <w:r>
        <w:t xml:space="preserve">what the AI does not see: the lack of any oscillatory term in the</w:t>
      </w:r>
      <w:r>
        <w:t xml:space="preserve"> </w:t>
      </w:r>
      <w:r>
        <w:t xml:space="preserve">formula (sin, cos) hints at the lack of strong regularities</w:t>
      </w:r>
      <w:r>
        <w:t xml:space="preserve"> </w:t>
      </w:r>
      <w:r>
        <w:t xml:space="preserve">(periodicities) during the eight months of the analysis. The other</w:t>
      </w:r>
      <w:r>
        <w:t xml:space="preserve"> </w:t>
      </w:r>
      <w:r>
        <w:t xml:space="preserve">valuable observation here is that in the absence of access to many of</w:t>
      </w:r>
      <w:r>
        <w:t xml:space="preserve"> </w:t>
      </w:r>
      <w:r>
        <w:t xml:space="preserve">the Ripple ledger statistics that will normally allow identifying large</w:t>
      </w:r>
      <w:r>
        <w:t xml:space="preserve"> </w:t>
      </w:r>
      <w:r>
        <w:t xml:space="preserve">holders, the usage of the wallet allows to single out the mid-market as</w:t>
      </w:r>
      <w:r>
        <w:t xml:space="preserve"> </w:t>
      </w:r>
      <w:r>
        <w:t xml:space="preserve">a force driving the market (and this wallet service is predominantly</w:t>
      </w:r>
      <w:r>
        <w:t xml:space="preserve"> </w:t>
      </w:r>
      <w:r>
        <w:t xml:space="preserve">accessed from the US).</w:t>
      </w:r>
    </w:p>
    <w:p>
      <w:pPr>
        <w:pStyle w:val="BodyText"/>
      </w:pPr>
      <w:r>
        <w:t xml:space="preserve"> </w:t>
      </w:r>
    </w:p>
    <w:p>
      <w:pPr>
        <w:pStyle w:val="Heading2"/>
      </w:pPr>
      <w:bookmarkStart w:id="25" w:name="time-series-analysis-and-prediction"/>
      <w:bookmarkEnd w:id="25"/>
      <w:r>
        <w:t xml:space="preserve">Time series analysis and</w:t>
      </w:r>
      <w:r>
        <w:t xml:space="preserve"> </w:t>
      </w:r>
      <w:r>
        <w:t xml:space="preserve">prediction</w:t>
      </w:r>
    </w:p>
    <w:p>
      <w:pPr>
        <w:pStyle w:val="FirstParagraph"/>
      </w:pPr>
      <w:r>
        <w:t xml:space="preserve">The application of genetic programming to the study of behavior and</w:t>
      </w:r>
      <w:r>
        <w:t xml:space="preserve"> </w:t>
      </w:r>
      <w:r>
        <w:t xml:space="preserve">causation in cryptocurrency markets is not only an analytic artifact,</w:t>
      </w:r>
      <w:r>
        <w:t xml:space="preserve"> </w:t>
      </w:r>
      <w:r>
        <w:t xml:space="preserve">but it is fundamentally aligned to the nature of the problem.   </w:t>
      </w:r>
    </w:p>
    <w:p>
      <w:pPr>
        <w:pStyle w:val="BodyText"/>
      </w:pPr>
      <w:r>
        <w:t xml:space="preserve">Taleb and Douady (Taleb and Douady 2013) explain that the natural selection</w:t>
      </w:r>
      <w:r>
        <w:t xml:space="preserve"> </w:t>
      </w:r>
      <w:r>
        <w:t xml:space="preserve">of an evolutionary process is particularly antifragile since a more</w:t>
      </w:r>
      <w:r>
        <w:t xml:space="preserve"> </w:t>
      </w:r>
      <w:r>
        <w:t xml:space="preserve">volatile environment increases the survival rate of robust species and</w:t>
      </w:r>
      <w:r>
        <w:t xml:space="preserve"> </w:t>
      </w:r>
      <w:r>
        <w:t xml:space="preserve">eliminates those whose superiority over other species is highly</w:t>
      </w:r>
      <w:r>
        <w:t xml:space="preserve"> </w:t>
      </w:r>
      <w:r>
        <w:t xml:space="preserve">dependent on environmental parameters. In the context of</w:t>
      </w:r>
      <w:r>
        <w:t xml:space="preserve"> </w:t>
      </w:r>
      <w:r>
        <w:t xml:space="preserve">cryptocurrencies, we could use temporal correlations in blockchain</w:t>
      </w:r>
      <w:r>
        <w:t xml:space="preserve"> </w:t>
      </w:r>
      <w:r>
        <w:t xml:space="preserve">traffic to gauge the response of a given object (e.g. fees) to the</w:t>
      </w:r>
      <w:r>
        <w:t xml:space="preserve"> </w:t>
      </w:r>
      <w:r>
        <w:t xml:space="preserve">volatility of an external stressor that affects it, but another approach</w:t>
      </w:r>
      <w:r>
        <w:t xml:space="preserve"> </w:t>
      </w:r>
      <w:r>
        <w:t xml:space="preserve">is to simply study the response of the market (as measured by a common</w:t>
      </w:r>
      <w:r>
        <w:t xml:space="preserve"> </w:t>
      </w:r>
      <w:r>
        <w:t xml:space="preserve">risk metric, such as volatility) to the actual market behavior (with the</w:t>
      </w:r>
      <w:r>
        <w:t xml:space="preserve"> </w:t>
      </w:r>
      <w:r>
        <w:t xml:space="preserve">consumption of services and information measured by HTTPs requests,</w:t>
      </w:r>
      <w:r>
        <w:t xml:space="preserve"> </w:t>
      </w:r>
      <w:r>
        <w:t xml:space="preserve">including endogenous variables such as the activity at the customer</w:t>
      </w:r>
      <w:r>
        <w:t xml:space="preserve"> </w:t>
      </w:r>
      <w:r>
        <w:t xml:space="preserve">service channels of the wallet and the exchange itself, mining pools,</w:t>
      </w:r>
      <w:r>
        <w:t xml:space="preserve"> </w:t>
      </w:r>
      <w:r>
        <w:t xml:space="preserve">mining profitability feeds, and so on; in this toy example we use just a</w:t>
      </w:r>
      <w:r>
        <w:t xml:space="preserve"> </w:t>
      </w:r>
      <w:r>
        <w:t xml:space="preserve">subset of those variables). The driving variables are modeled using</w:t>
      </w:r>
      <w:r>
        <w:t xml:space="preserve"> </w:t>
      </w:r>
      <w:r>
        <w:t xml:space="preserve">symbolic model ensembles, as in Figure 1, which is based in daily time</w:t>
      </w:r>
      <w:r>
        <w:t xml:space="preserve"> </w:t>
      </w:r>
      <w:r>
        <w:t xml:space="preserve">series for the period of November 1st, 2016 to May 9th, 2018. 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466800"/>
            <wp:effectExtent b="0" l="0" r="0" t="0"/>
            <wp:docPr descr="Volatility of BTC price in cryptocurrency exchange and environmental (demand) signals " title="" id="1" name="Picture"/>
            <a:graphic>
              <a:graphicData uri="http://schemas.openxmlformats.org/drawingml/2006/picture">
                <pic:pic>
                  <pic:nvPicPr>
                    <pic:cNvPr descr="figures/ModelAnalysisThu24May2018181245/volatility-of-volatilit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46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Volatility of BTC price in cryptocurrency exchange and environmental</w:t>
      </w:r>
      <w:r>
        <w:t xml:space="preserve"> </w:t>
      </w:r>
      <w:r>
        <w:t xml:space="preserve">(demand) signals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The nonlinearity in a source of stress is necessarily associated with</w:t>
      </w:r>
      <w:r>
        <w:t xml:space="preserve"> </w:t>
      </w:r>
      <w:r>
        <w:t xml:space="preserve">fragility. This is perhaps why low-quality coins fail –marketing</w:t>
      </w:r>
      <w:r>
        <w:t xml:space="preserve"> </w:t>
      </w:r>
      <w:r>
        <w:t xml:space="preserve">activity is an environmental variable only, while actual installed</w:t>
      </w:r>
      <w:r>
        <w:t xml:space="preserve"> </w:t>
      </w:r>
      <w:r>
        <w:t xml:space="preserve">capacity and operational infrastructure (i.e bitcoin’s) is a robustness</w:t>
      </w:r>
      <w:r>
        <w:t xml:space="preserve"> </w:t>
      </w:r>
      <w:r>
        <w:t xml:space="preserve">contributor factor. Once we have established the driving variables, we</w:t>
      </w:r>
      <w:r>
        <w:t xml:space="preserve"> </w:t>
      </w:r>
      <w:r>
        <w:t xml:space="preserve">need to study the volatility of those variables (and the non-linear</w:t>
      </w:r>
      <w:r>
        <w:t xml:space="preserve"> </w:t>
      </w:r>
      <w:r>
        <w:t xml:space="preserve">relationships). We see how with high volatility the predictor performs</w:t>
      </w:r>
      <w:r>
        <w:t xml:space="preserve"> </w:t>
      </w:r>
      <w:r>
        <w:t xml:space="preserve">poorly, at least with this small subset of variables, which are also all</w:t>
      </w:r>
      <w:r>
        <w:t xml:space="preserve"> </w:t>
      </w:r>
      <w:r>
        <w:t xml:space="preserve">highly correlated. A possible fragility test would be to derive the</w:t>
      </w:r>
      <w:r>
        <w:t xml:space="preserve"> </w:t>
      </w:r>
      <w:r>
        <w:t xml:space="preserve">“</w:t>
      </w:r>
      <w:r>
        <w:t xml:space="preserve">volatility of volatility</w:t>
      </w:r>
      <w:r>
        <w:t xml:space="preserve">”</w:t>
      </w:r>
      <w:r>
        <w:t xml:space="preserve"> </w:t>
      </w:r>
      <w:r>
        <w:t xml:space="preserve">where the price volatility prediction</w:t>
      </w:r>
      <w:r>
        <w:t xml:space="preserve"> </w:t>
      </w:r>
      <w:r>
        <w:t xml:space="preserve">becomes a traffic prediction problem. But the key realization, in</w:t>
      </w:r>
      <w:r>
        <w:t xml:space="preserve"> </w:t>
      </w:r>
      <w:r>
        <w:t xml:space="preserve">alignment with Taleb and Douady,  is that to be fragile the system has</w:t>
      </w:r>
      <w:r>
        <w:t xml:space="preserve"> </w:t>
      </w:r>
      <w:r>
        <w:t xml:space="preserve">to be non-linear to harm (has to be accelerated to harm). Since</w:t>
      </w:r>
      <w:r>
        <w:t xml:space="preserve"> </w:t>
      </w:r>
      <w:r>
        <w:t xml:space="preserve">fragility that comes from linearity is immediately visible, the hidden</w:t>
      </w:r>
      <w:r>
        <w:t xml:space="preserve"> </w:t>
      </w:r>
      <w:r>
        <w:t xml:space="preserve">risks and potential harm come from non-linearity. In this example, the</w:t>
      </w:r>
      <w:r>
        <w:t xml:space="preserve"> </w:t>
      </w:r>
      <w:r>
        <w:t xml:space="preserve">AI notes that the activity in a particular mining pool frequented by the</w:t>
      </w:r>
      <w:r>
        <w:t xml:space="preserve"> </w:t>
      </w:r>
      <w:r>
        <w:t xml:space="preserve">users of the exchange has a low correlation to volatility, and will use</w:t>
      </w:r>
      <w:r>
        <w:t xml:space="preserve"> </w:t>
      </w:r>
      <w:r>
        <w:t xml:space="preserve">the second derivative of volatility respect to the mining pool (usage</w:t>
      </w:r>
      <w:r>
        <w:t xml:space="preserve"> </w:t>
      </w:r>
      <w:r>
        <w:t xml:space="preserve">per day is the event size) as a</w:t>
      </w:r>
      <w:r>
        <w:t xml:space="preserve"> </w:t>
      </w:r>
      <w:r>
        <w:t xml:space="preserve">“</w:t>
      </w:r>
      <w:r>
        <w:t xml:space="preserve">trust</w:t>
      </w:r>
      <w:r>
        <w:t xml:space="preserve">”</w:t>
      </w:r>
      <w:r>
        <w:t xml:space="preserve"> </w:t>
      </w:r>
      <w:r>
        <w:t xml:space="preserve">distance metric. The formula</w:t>
      </w:r>
      <w:r>
        <w:t xml:space="preserve"> </w:t>
      </w:r>
      <w:r>
        <w:t xml:space="preserve">is obtained using symbolic regression as well, computing a smoothing</w:t>
      </w:r>
      <w:r>
        <w:t xml:space="preserve"> </w:t>
      </w:r>
      <w:r>
        <w:t xml:space="preserve">spline for volatility with respect to mining pool, and then, computing</w:t>
      </w:r>
      <w:r>
        <w:t xml:space="preserve"> </w:t>
      </w:r>
      <w:r>
        <w:t xml:space="preserve">the symbolic derivative of the spline functions (cubic polynomials), and</w:t>
      </w:r>
      <w:r>
        <w:t xml:space="preserve"> </w:t>
      </w:r>
      <w:r>
        <w:t xml:space="preserve">evaluating the expression at various data points. One of the possible</w:t>
      </w:r>
      <w:r>
        <w:t xml:space="preserve"> </w:t>
      </w:r>
      <w:r>
        <w:t xml:space="preserve">models has the form D(Volatility, (Mining pool), 2) =</w:t>
      </w:r>
      <w:r>
        <w:t xml:space="preserve"> </w:t>
      </w:r>
      <w:r>
        <w:t xml:space="preserve">(sin(1.27652458974758 + 1.63551681837977e-5*(Mining pool)) +</w:t>
      </w:r>
      <w:r>
        <w:t xml:space="preserve"> </w:t>
      </w:r>
      <w:r>
        <w:t xml:space="preserve">cos(3.2702109619178e-5*(Mining pool) + sin(2.14970699758616e-5*(Mining</w:t>
      </w:r>
      <w:r>
        <w:t xml:space="preserve"> </w:t>
      </w:r>
      <w:r>
        <w:t xml:space="preserve">pool))))/(Mining pool)</w:t>
      </w:r>
    </w:p>
    <w:p>
      <w:pPr>
        <w:pStyle w:val="BodyText"/>
      </w:pPr>
      <w:r>
        <w:br w:type="textWrapping"/>
      </w:r>
      <w:r>
        <w:t xml:space="preserve">Of course, the data set can be enhanced with multiple data sources, and</w:t>
      </w:r>
      <w:r>
        <w:t xml:space="preserve"> </w:t>
      </w:r>
      <w:r>
        <w:t xml:space="preserve">the prediction error reduced by combining additional methods (e.g.</w:t>
      </w:r>
      <w:r>
        <w:t xml:space="preserve"> </w:t>
      </w:r>
      <w:r>
        <w:t xml:space="preserve">de-noising with recurrent neural networks and convolutional neural</w:t>
      </w:r>
      <w:r>
        <w:t xml:space="preserve"> </w:t>
      </w:r>
      <w:r>
        <w:t xml:space="preserve">networks). But by providing a context of the environment to the</w:t>
      </w:r>
      <w:r>
        <w:t xml:space="preserve"> </w:t>
      </w:r>
      <w:r>
        <w:t xml:space="preserve">intelligent agent, the AI is in a better position to reason on the</w:t>
      </w:r>
      <w:r>
        <w:t xml:space="preserve"> </w:t>
      </w:r>
      <w:r>
        <w:t xml:space="preserve">trustability of the result.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27" w:name="spatio-temporal-patterns-in-blockchain-networks"/>
      <w:bookmarkEnd w:id="27"/>
      <w:r>
        <w:t xml:space="preserve">Spatio-temporal patterns in blockchain</w:t>
      </w:r>
      <w:r>
        <w:t xml:space="preserve"> </w:t>
      </w:r>
      <w:r>
        <w:t xml:space="preserve">networks</w:t>
      </w:r>
    </w:p>
    <w:p>
      <w:pPr>
        <w:pStyle w:val="Heading3"/>
      </w:pPr>
      <w:bookmarkStart w:id="28" w:name="spaceofproduction"/>
      <w:bookmarkEnd w:id="28"/>
      <w:r>
        <w:t xml:space="preserve">Space of Production </w:t>
      </w:r>
    </w:p>
    <w:p>
      <w:pPr>
        <w:pStyle w:val="FirstParagraph"/>
      </w:pPr>
      <w:r>
        <w:t xml:space="preserve">In one of the first studies of the disciple of Human Geography into</w:t>
      </w:r>
      <w:r>
        <w:t xml:space="preserve"> </w:t>
      </w:r>
      <w:r>
        <w:t xml:space="preserve">distributed shared ledgers, Blankenship (Blankenship 2017) conceives</w:t>
      </w:r>
      <w:r>
        <w:t xml:space="preserve"> </w:t>
      </w:r>
      <w:r>
        <w:t xml:space="preserve">blockchains as production spaces where developers are the dominant class</w:t>
      </w:r>
      <w:r>
        <w:t xml:space="preserve"> </w:t>
      </w:r>
      <w:r>
        <w:t xml:space="preserve">within the social and technical spaces of the technology, have</w:t>
      </w:r>
      <w:r>
        <w:t xml:space="preserve"> </w:t>
      </w:r>
      <w:r>
        <w:t xml:space="preserve">ultimately leveraged their knowledge and power dynamics to accumulate</w:t>
      </w:r>
      <w:r>
        <w:t xml:space="preserve"> </w:t>
      </w:r>
      <w:r>
        <w:t xml:space="preserve">wealth via the token value, and then shifted into the role of investors.</w:t>
      </w:r>
      <w:r>
        <w:t xml:space="preserve"> </w:t>
      </w:r>
      <w:r>
        <w:t xml:space="preserve">This necessarily involves automation (exploitation of automated robot</w:t>
      </w:r>
      <w:r>
        <w:t xml:space="preserve"> </w:t>
      </w:r>
      <w:r>
        <w:t xml:space="preserve">labor) and obfuscation of the mechanisms of production – geographic</w:t>
      </w:r>
      <w:r>
        <w:t xml:space="preserve"> </w:t>
      </w:r>
      <w:r>
        <w:t xml:space="preserve">borders are defined via conflicting abstract conditions (social,</w:t>
      </w:r>
      <w:r>
        <w:t xml:space="preserve"> </w:t>
      </w:r>
      <w:r>
        <w:t xml:space="preserve">political, and economic), and put within the qualitative context of</w:t>
      </w:r>
      <w:r>
        <w:t xml:space="preserve"> </w:t>
      </w:r>
      <w:r>
        <w:t xml:space="preserve">social dynamics. Humans not only trust in the source, but they also</w:t>
      </w:r>
      <w:r>
        <w:t xml:space="preserve"> </w:t>
      </w:r>
      <w:r>
        <w:t xml:space="preserve">trust the structure – you generally do not care about who wrote a diet</w:t>
      </w:r>
      <w:r>
        <w:t xml:space="preserve"> </w:t>
      </w:r>
      <w:r>
        <w:t xml:space="preserve">article (even if a change in lifestyle can have a lasting impact on</w:t>
      </w:r>
      <w:r>
        <w:t xml:space="preserve"> </w:t>
      </w:r>
      <w:r>
        <w:t xml:space="preserve">health) as long as</w:t>
      </w:r>
      <w:r>
        <w:t xml:space="preserve"> </w:t>
      </w:r>
      <w:r>
        <w:t xml:space="preserve">“</w:t>
      </w:r>
      <w:r>
        <w:t xml:space="preserve">structure</w:t>
      </w:r>
      <w:r>
        <w:t xml:space="preserve">”</w:t>
      </w:r>
      <w:r>
        <w:t xml:space="preserve"> </w:t>
      </w:r>
      <w:r>
        <w:t xml:space="preserve">suggest the writer is not a charlatan.</w:t>
      </w:r>
      <w:r>
        <w:t xml:space="preserve"> </w:t>
      </w:r>
      <w:r>
        <w:t xml:space="preserve">A similar behavior is observed in crypto markets, where traders and</w:t>
      </w:r>
      <w:r>
        <w:t xml:space="preserve"> </w:t>
      </w:r>
      <w:r>
        <w:t xml:space="preserve">investors keep lists of Twitter accounts that they trust on to relay</w:t>
      </w:r>
      <w:r>
        <w:t xml:space="preserve"> </w:t>
      </w:r>
      <w:r>
        <w:t xml:space="preserve">accurate information about the state of the market, and that is</w:t>
      </w:r>
      <w:r>
        <w:t xml:space="preserve"> </w:t>
      </w:r>
      <w:r>
        <w:t xml:space="preserve">facilitated by other traders: it does not count only who is saying it,</w:t>
      </w:r>
      <w:r>
        <w:t xml:space="preserve"> </w:t>
      </w:r>
      <w:r>
        <w:t xml:space="preserve">but who is following – this is part of the social fabric of crypto</w:t>
      </w:r>
      <w:r>
        <w:t xml:space="preserve"> </w:t>
      </w:r>
      <w:r>
        <w:t xml:space="preserve">markets, the structure of the network encodes tacit knowledge and</w:t>
      </w:r>
      <w:r>
        <w:t xml:space="preserve"> </w:t>
      </w:r>
      <w:r>
        <w:t xml:space="preserve">reflects abstract conditions and boundaries. The distance trust metrics</w:t>
      </w:r>
      <w:r>
        <w:t xml:space="preserve"> </w:t>
      </w:r>
      <w:r>
        <w:t xml:space="preserve">have very tangible implications for individual and corporate purposes;</w:t>
      </w:r>
      <w:r>
        <w:t xml:space="preserve"> </w:t>
      </w:r>
      <w:r>
        <w:t xml:space="preserve">“</w:t>
      </w:r>
      <w:r>
        <w:t xml:space="preserve">a member of my group said</w:t>
      </w:r>
      <w:r>
        <w:t xml:space="preserve"> </w:t>
      </w:r>
      <w:r>
        <w:t xml:space="preserve">”</w:t>
      </w:r>
      <w:r>
        <w:t xml:space="preserve"> </w:t>
      </w:r>
      <w:r>
        <w:t xml:space="preserve">(even if he had materially different</w:t>
      </w:r>
      <w:r>
        <w:t xml:space="preserve"> </w:t>
      </w:r>
      <w:r>
        <w:t xml:space="preserve">attributes) is generally better than what an outsider says. The</w:t>
      </w:r>
      <w:r>
        <w:t xml:space="preserve"> </w:t>
      </w:r>
      <w:r>
        <w:t xml:space="preserve">implications in terms of the theory of the firm (Dnes 2014): you</w:t>
      </w:r>
      <w:r>
        <w:t xml:space="preserve"> </w:t>
      </w:r>
      <w:r>
        <w:t xml:space="preserve">do business in the proximity of your circle (your trust space) where</w:t>
      </w:r>
      <w:r>
        <w:t xml:space="preserve"> </w:t>
      </w:r>
      <w:r>
        <w:t xml:space="preserve">trust is secured, even if it is more expensive to produce in your inner</w:t>
      </w:r>
      <w:r>
        <w:t xml:space="preserve"> </w:t>
      </w:r>
      <w:r>
        <w:t xml:space="preserve">circle, and it is cheaper to acquire in the boundary (e.g. potential</w:t>
      </w:r>
      <w:r>
        <w:t xml:space="preserve"> </w:t>
      </w:r>
      <w:r>
        <w:t xml:space="preserve">partners) – but going beyond that will require a significative leap of</w:t>
      </w:r>
      <w:r>
        <w:t xml:space="preserve"> </w:t>
      </w:r>
      <w:r>
        <w:t xml:space="preserve">faith and the associated risk should be priced-in. The AI will</w:t>
      </w:r>
      <w:r>
        <w:t xml:space="preserve"> </w:t>
      </w:r>
      <w:r>
        <w:t xml:space="preserve">understand this human inclination (as shown in Figure 2), as a trust</w:t>
      </w:r>
      <w:r>
        <w:t xml:space="preserve"> </w:t>
      </w:r>
      <w:r>
        <w:t xml:space="preserve">differential in terms of metric entropy.</w:t>
      </w:r>
    </w:p>
    <w:p>
      <w:pPr>
        <w:pStyle w:val="FigureWithCaption"/>
      </w:pPr>
      <w:r>
        <w:drawing>
          <wp:inline>
            <wp:extent cx="5334000" cy="5334000"/>
            <wp:effectExtent b="0" l="0" r="0" t="0"/>
            <wp:docPr descr="Trust spaces " title="" id="1" name="Picture"/>
            <a:graphic>
              <a:graphicData uri="http://schemas.openxmlformats.org/drawingml/2006/picture">
                <pic:pic>
                  <pic:nvPicPr>
                    <pic:cNvPr descr="figures/Blank-Diagram---Page-1/Trust-spa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Trust spaces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0" w:name="circles-of-trust-and-kolmogorov-entropy"/>
      <w:bookmarkEnd w:id="30"/>
      <w:r>
        <w:t xml:space="preserve">Circles of trust and Kolmogorov</w:t>
      </w:r>
      <w:r>
        <w:t xml:space="preserve"> </w:t>
      </w:r>
      <w:r>
        <w:t xml:space="preserve">entropy</w:t>
      </w:r>
    </w:p>
    <w:p>
      <w:pPr>
        <w:pStyle w:val="FirstParagraph"/>
      </w:pPr>
      <w:r>
        <w:t xml:space="preserve">Entropy is the price of structure  (Prigogine, Stengers, and Pagels 1985). While the models</w:t>
      </w:r>
      <w:r>
        <w:t xml:space="preserve"> </w:t>
      </w:r>
      <w:r>
        <w:t xml:space="preserve">obtained using genetic programming (Figure 1) have an associated</w:t>
      </w:r>
      <w:r>
        <w:t xml:space="preserve"> </w:t>
      </w:r>
      <w:r>
        <w:t xml:space="preserve">complexity which is strictly related to leaf tree structure (genotype),</w:t>
      </w:r>
      <w:r>
        <w:t xml:space="preserve"> </w:t>
      </w:r>
      <w:r>
        <w:t xml:space="preserve">as seen in Figure 3, the phenotype (the expression of the genotype in</w:t>
      </w:r>
      <w:r>
        <w:t xml:space="preserve"> </w:t>
      </w:r>
      <w:r>
        <w:t xml:space="preserve">mathematical formulae) itself serves as an indication of the level of</w:t>
      </w:r>
      <w:r>
        <w:t xml:space="preserve"> </w:t>
      </w:r>
      <w:r>
        <w:t xml:space="preserve">complexity.   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081200"/>
            <wp:effectExtent b="0" l="0" r="0" t="0"/>
            <wp:docPr descr="Models (BTC volatility in GDAX) " title="" id="1" name="Picture"/>
            <a:graphic>
              <a:graphicData uri="http://schemas.openxmlformats.org/drawingml/2006/picture">
                <pic:pic>
                  <pic:nvPicPr>
                    <pic:cNvPr descr="figures/ensambles-table/ensambles-tab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8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Models (BTC volatility in GDAX)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The Kolmogorov complexity measures the length of the shortest program</w:t>
      </w:r>
      <w:r>
        <w:t xml:space="preserve"> </w:t>
      </w:r>
      <w:r>
        <w:t xml:space="preserve">required to reproduce a pattern. We approximate the Kolmogorov</w:t>
      </w:r>
      <w:r>
        <w:t xml:space="preserve"> </w:t>
      </w:r>
      <w:r>
        <w:t xml:space="preserve">complexity using a lossless compression technique. In this way, we found</w:t>
      </w:r>
      <w:r>
        <w:t xml:space="preserve"> </w:t>
      </w:r>
      <w:r>
        <w:t xml:space="preserve">that model 1 and 2 have both an approximate byte count of 416 (despite</w:t>
      </w:r>
      <w:r>
        <w:t xml:space="preserve"> </w:t>
      </w:r>
      <w:r>
        <w:t xml:space="preserve">the delta in evolutionary model complexity), and model 15 has a byte</w:t>
      </w:r>
      <w:r>
        <w:t xml:space="preserve"> </w:t>
      </w:r>
      <w:r>
        <w:t xml:space="preserve">count 768. That is, in (metric) information theoretical terms the first</w:t>
      </w:r>
      <w:r>
        <w:t xml:space="preserve"> </w:t>
      </w:r>
      <w:r>
        <w:t xml:space="preserve">two simplest models present invariance with respect to affine</w:t>
      </w:r>
      <w:r>
        <w:t xml:space="preserve"> </w:t>
      </w:r>
      <w:r>
        <w:t xml:space="preserve">transformations in the trust space. This is a disambiguation aid that</w:t>
      </w:r>
      <w:r>
        <w:t xml:space="preserve"> </w:t>
      </w:r>
      <w:r>
        <w:t xml:space="preserve">the AI uses for decision making: a description of the world with a lower</w:t>
      </w:r>
      <w:r>
        <w:t xml:space="preserve"> </w:t>
      </w:r>
      <w:r>
        <w:t xml:space="preserve">error (model 2) can be encoded at the same level of computational</w:t>
      </w:r>
      <w:r>
        <w:t xml:space="preserve"> </w:t>
      </w:r>
      <w:r>
        <w:t xml:space="preserve">complexity as an inferior alternative.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configuring-blockchain-protocols-parameters-based-on-the-networks-topology-analysis"/>
      <w:bookmarkEnd w:id="32"/>
      <w:r>
        <w:t xml:space="preserve">Configuring blockchain protocols’ parameters based on the</w:t>
      </w:r>
      <w:r>
        <w:t xml:space="preserve"> </w:t>
      </w:r>
      <w:r>
        <w:t xml:space="preserve">networks’ topology</w:t>
      </w:r>
      <w:r>
        <w:t xml:space="preserve"> </w:t>
      </w:r>
      <w:r>
        <w:t xml:space="preserve">analysis</w:t>
      </w:r>
    </w:p>
    <w:p>
      <w:pPr>
        <w:pStyle w:val="FirstParagraph"/>
      </w:pPr>
      <w:r>
        <w:t xml:space="preserve">Authors have explored graph-based techniques to automatically detect</w:t>
      </w:r>
      <w:r>
        <w:t xml:space="preserve"> </w:t>
      </w:r>
      <w:r>
        <w:t xml:space="preserve">realistic decentralized network growth models from empirical</w:t>
      </w:r>
      <w:r>
        <w:t xml:space="preserve"> </w:t>
      </w:r>
      <w:r>
        <w:t xml:space="preserve">data (Menezes and Roth 2014)  and to study systemic risk in cryptocurrency</w:t>
      </w:r>
      <w:r>
        <w:t xml:space="preserve"> </w:t>
      </w:r>
      <w:r>
        <w:t xml:space="preserve">markets (Venegas, n.d.). The causal inference network in Figure 4</w:t>
      </w:r>
      <w:r>
        <w:t xml:space="preserve"> </w:t>
      </w:r>
      <w:r>
        <w:t xml:space="preserve">uses a parametric approach based on symbolic regression to derive the</w:t>
      </w:r>
      <w:r>
        <w:t xml:space="preserve"> </w:t>
      </w:r>
      <w:r>
        <w:t xml:space="preserve">relationship between nodes, starting from a sample of 2000 price and</w:t>
      </w:r>
      <w:r>
        <w:t xml:space="preserve"> </w:t>
      </w:r>
      <w:r>
        <w:t xml:space="preserve">consumption of services in the cryptocurrency markets during the period</w:t>
      </w:r>
      <w:r>
        <w:t xml:space="preserve"> </w:t>
      </w:r>
      <w:r>
        <w:t xml:space="preserve">of August 2016 to January 2018.      </w:t>
      </w:r>
    </w:p>
    <w:p>
      <w:pPr>
        <w:pStyle w:val="FigureWithCaption"/>
      </w:pPr>
      <w:r>
        <w:drawing>
          <wp:inline>
            <wp:extent cx="432000" cy="391200"/>
            <wp:effectExtent b="0" l="0" r="0" t="0"/>
            <wp:docPr descr="Causal inference network (BTC-ETH)     " title="" id="1" name="Picture"/>
            <a:graphic>
              <a:graphicData uri="http://schemas.openxmlformats.org/drawingml/2006/picture">
                <pic:pic>
                  <pic:nvPicPr>
                    <pic:cNvPr descr="figures/simple-system/simple-syste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39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Causal inference network (BTC-ETH)    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This approach is based on empirical data, is robust to error, and has</w:t>
      </w:r>
      <w:r>
        <w:t xml:space="preserve"> </w:t>
      </w:r>
      <w:r>
        <w:t xml:space="preserve">high explanatory power (all sensitivity and error-complexity figures are</w:t>
      </w:r>
      <w:r>
        <w:t xml:space="preserve"> </w:t>
      </w:r>
      <w:r>
        <w:t xml:space="preserve">accessible via the description of the symbolic regression evolutions).</w:t>
      </w:r>
      <w:r>
        <w:t xml:space="preserve"> </w:t>
      </w:r>
      <w:r>
        <w:t xml:space="preserve">However, to capture the full scope of causality, the</w:t>
      </w:r>
      <w:r>
        <w:t xml:space="preserve"> </w:t>
      </w:r>
      <w:r>
        <w:t xml:space="preserve">“</w:t>
      </w:r>
      <w:r>
        <w:t xml:space="preserve">inherited</w:t>
      </w:r>
      <w:r>
        <w:t xml:space="preserve"> </w:t>
      </w:r>
      <w:r>
        <w:t xml:space="preserve">fragility</w:t>
      </w:r>
      <w:r>
        <w:t xml:space="preserve">”</w:t>
      </w:r>
      <w:r>
        <w:t xml:space="preserve">, the AI makes use of signal processing and other techniques.</w:t>
      </w:r>
      <w:r>
        <w:t xml:space="preserve"> </w:t>
      </w:r>
      <w:r>
        <w:t xml:space="preserve">Figure 5 depicts the use of the wavelet coherence method, which has been</w:t>
      </w:r>
      <w:r>
        <w:t xml:space="preserve"> </w:t>
      </w:r>
      <w:r>
        <w:t xml:space="preserve">previously applied to the study commodities and financial time</w:t>
      </w:r>
      <w:r>
        <w:t xml:space="preserve"> </w:t>
      </w:r>
      <w:r>
        <w:t xml:space="preserve">series (el Alaoui et al. 2015) (Nagayev et al. 2016), to understand when and how</w:t>
      </w:r>
      <w:r>
        <w:t xml:space="preserve"> </w:t>
      </w:r>
      <w:r>
        <w:t xml:space="preserve">strongly an off-chain signal (in this case, the usage of a popular</w:t>
      </w:r>
      <w:r>
        <w:t xml:space="preserve"> </w:t>
      </w:r>
      <w:r>
        <w:t xml:space="preserve">Ethereum web wallet service) affects the price of the cryptocurrency,</w:t>
      </w:r>
      <w:r>
        <w:t xml:space="preserve"> </w:t>
      </w:r>
      <w:r>
        <w:t xml:space="preserve">ether. The AI uses this not only for disambiguation but to actually map</w:t>
      </w:r>
      <w:r>
        <w:t xml:space="preserve"> </w:t>
      </w:r>
      <w:r>
        <w:t xml:space="preserve">the causal relationship in time and frequency domain (i.e. learn when</w:t>
      </w:r>
      <w:r>
        <w:t xml:space="preserve"> </w:t>
      </w:r>
      <w:r>
        <w:t xml:space="preserve">one signal lags or leads the other).</w:t>
      </w:r>
    </w:p>
    <w:p>
      <w:pPr>
        <w:pStyle w:val="FigureWithCaption"/>
      </w:pPr>
      <w:r>
        <w:drawing>
          <wp:inline>
            <wp:extent cx="5334000" cy="3817319"/>
            <wp:effectExtent b="0" l="0" r="0" t="0"/>
            <wp:docPr descr="ETH wallet vs ETH price. July 7th 2016 to June 30th 2017. " title="" id="1" name="Picture"/>
            <a:graphic>
              <a:graphicData uri="http://schemas.openxmlformats.org/drawingml/2006/picture">
                <pic:pic>
                  <pic:nvPicPr>
                    <pic:cNvPr descr="figures/ETH-Wallets-vs-ETH-Price/ETH-Wallets-vs-ETH-Pri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7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ETH wallet vs ETH price. July 7th 2016 to June 30th 2017.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Here the wallet signal leads the price signal, on day 120 in a cycle of</w:t>
      </w:r>
      <w:r>
        <w:t xml:space="preserve"> </w:t>
      </w:r>
      <w:r>
        <w:t xml:space="preserve">approximately 4-6 days, where both signals are also strongly correlated.</w:t>
      </w:r>
      <w:r>
        <w:t xml:space="preserve"> </w:t>
      </w:r>
      <w:r>
        <w:t xml:space="preserve">In the case of unruly distributions, the results are enhanced in</w:t>
      </w:r>
      <w:r>
        <w:t xml:space="preserve"> </w:t>
      </w:r>
      <w:r>
        <w:t xml:space="preserve">combination with other methods (e.g. Granger</w:t>
      </w:r>
      <w:r>
        <w:t xml:space="preserve"> </w:t>
      </w:r>
      <w:r>
        <w:t xml:space="preserve">causality (Auinger 2015), Bayesian structural time series</w:t>
      </w:r>
      <w:r>
        <w:t xml:space="preserve"> </w:t>
      </w:r>
      <w:r>
        <w:t xml:space="preserve">models (Brodersen et al. 2015), among others). The key realization is</w:t>
      </w:r>
      <w:r>
        <w:t xml:space="preserve"> </w:t>
      </w:r>
      <w:r>
        <w:t xml:space="preserve">that although market behavior (network dynamics) is not the same as</w:t>
      </w:r>
      <w:r>
        <w:t xml:space="preserve"> </w:t>
      </w:r>
      <w:r>
        <w:t xml:space="preserve">market conditions (market structure), the intelligent agent can use the</w:t>
      </w:r>
      <w:r>
        <w:t xml:space="preserve"> </w:t>
      </w:r>
      <w:r>
        <w:t xml:space="preserve">same graphical metaphor to gain context, and predict the counterfactual</w:t>
      </w:r>
      <w:r>
        <w:t xml:space="preserve"> </w:t>
      </w:r>
      <w:r>
        <w:t xml:space="preserve">response. But the risk is that correlation at training time does not</w:t>
      </w:r>
      <w:r>
        <w:t xml:space="preserve"> </w:t>
      </w:r>
      <w:r>
        <w:t xml:space="preserve">ensure correlation at test time, the AI should therefore be aware of</w:t>
      </w:r>
      <w:r>
        <w:t xml:space="preserve"> </w:t>
      </w:r>
      <w:r>
        <w:t xml:space="preserve">divergences.  </w:t>
      </w:r>
    </w:p>
    <w:p>
      <w:pPr>
        <w:pStyle w:val="Heading2"/>
      </w:pPr>
      <w:bookmarkStart w:id="35" w:name="use-of-low-complexity-property-testing-methods-by-decentralized-blockchain-agents"/>
      <w:bookmarkEnd w:id="35"/>
      <w:r>
        <w:t xml:space="preserve">Use of low complexity property testing methods by</w:t>
      </w:r>
      <w:r>
        <w:t xml:space="preserve"> </w:t>
      </w:r>
      <w:r>
        <w:t xml:space="preserve">decentralized blockchain</w:t>
      </w:r>
      <w:r>
        <w:t xml:space="preserve"> </w:t>
      </w:r>
      <w:r>
        <w:t xml:space="preserve">agents</w:t>
      </w:r>
    </w:p>
    <w:p>
      <w:pPr>
        <w:pStyle w:val="Heading3"/>
      </w:pPr>
      <w:bookmarkStart w:id="36" w:name="neighborhood-asymmetry"/>
      <w:bookmarkEnd w:id="36"/>
      <w:r>
        <w:t xml:space="preserve">Neighborhood Asymmetry</w:t>
      </w:r>
    </w:p>
    <w:p>
      <w:pPr>
        <w:pStyle w:val="FirstParagraph"/>
      </w:pPr>
      <w:r>
        <w:t xml:space="preserve">Once the AI is context aware (of the trust space in terms of entities,</w:t>
      </w:r>
      <w:r>
        <w:t xml:space="preserve"> </w:t>
      </w:r>
      <w:r>
        <w:t xml:space="preserve">and of the relevant variables given various causality tests) information</w:t>
      </w:r>
      <w:r>
        <w:t xml:space="preserve"> </w:t>
      </w:r>
      <w:r>
        <w:t xml:space="preserve">metrics derived from the data space itself are utilized to measure the</w:t>
      </w:r>
      <w:r>
        <w:t xml:space="preserve"> </w:t>
      </w:r>
      <w:r>
        <w:t xml:space="preserve">actual information content of each sample. The neighborhood asymmetry</w:t>
      </w:r>
      <w:r>
        <w:t xml:space="preserve"> </w:t>
      </w:r>
      <w:r>
        <w:t xml:space="preserve">method (Vladislavleva, Smits, and Kotanchek 2015) sums the vectors from the data record to the</w:t>
      </w:r>
      <w:r>
        <w:t xml:space="preserve"> </w:t>
      </w:r>
      <w:r>
        <w:t xml:space="preserve">neighbors implicitly defined by the supplied data matrix and returns the</w:t>
      </w:r>
      <w:r>
        <w:t xml:space="preserve"> </w:t>
      </w:r>
      <w:r>
        <w:t xml:space="preserve">length of this resulting neighborhood directionality normalized by the</w:t>
      </w:r>
      <w:r>
        <w:t xml:space="preserve"> </w:t>
      </w:r>
      <w:r>
        <w:t xml:space="preserve">number of neighbors. In this way, this metric is primarily concerned</w:t>
      </w:r>
      <w:r>
        <w:t xml:space="preserve"> </w:t>
      </w:r>
      <w:r>
        <w:t xml:space="preserve">with the symmetry of the neighbor distribution but also contains a</w:t>
      </w:r>
      <w:r>
        <w:t xml:space="preserve"> </w:t>
      </w:r>
      <w:r>
        <w:t xml:space="preserve">contribution from the distance to each of the neighbors. Figure 6 shows</w:t>
      </w:r>
      <w:r>
        <w:t xml:space="preserve"> </w:t>
      </w:r>
      <w:r>
        <w:t xml:space="preserve">the symmetry for the BTC off-chain economy modeled in terms of on-chain</w:t>
      </w:r>
      <w:r>
        <w:t xml:space="preserve"> </w:t>
      </w:r>
      <w:r>
        <w:t xml:space="preserve">economy variables (fees) in the period of August 2nd, 2017 to January</w:t>
      </w:r>
      <w:r>
        <w:t xml:space="preserve"> </w:t>
      </w:r>
      <w:r>
        <w:t xml:space="preserve">24th, 2018; it tracks  over-the-counter exchanges (OTC), wallet</w:t>
      </w:r>
      <w:r>
        <w:t xml:space="preserve"> </w:t>
      </w:r>
      <w:r>
        <w:t xml:space="preserve">services, paper wallet generators, block explorers, among many others.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432000" cy="271200"/>
            <wp:effectExtent b="0" l="0" r="0" t="0"/>
            <wp:docPr descr="Histogram (BCH) " title="" id="1" name="Picture"/>
            <a:graphic>
              <a:graphicData uri="http://schemas.openxmlformats.org/drawingml/2006/picture">
                <pic:pic>
                  <pic:nvPicPr>
                    <pic:cNvPr descr="figures/maxdistance/maxdistan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27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 (BCH)</w:t>
      </w:r>
      <w:r>
        <w:t xml:space="preserve"> </w:t>
      </w:r>
    </w:p>
    <w:p>
      <w:pPr>
        <w:pStyle w:val="BodyText"/>
      </w:pPr>
      <w:r>
        <w:t xml:space="preserve">We are concerned with measuring the maximum distance (infinity-norm)</w:t>
      </w:r>
      <w:r>
        <w:t xml:space="preserve"> </w:t>
      </w:r>
      <w:r>
        <w:t xml:space="preserve">between any one of the variables. We see that most data points have</w:t>
      </w:r>
      <w:r>
        <w:t xml:space="preserve"> </w:t>
      </w:r>
      <w:r>
        <w:t xml:space="preserve">larger metrics, with a few points breaking the symmetry (e.g. 0.8-1</w:t>
      </w:r>
      <w:r>
        <w:t xml:space="preserve"> </w:t>
      </w:r>
      <w:r>
        <w:t xml:space="preserve">bin). Since we are interested in material connections between the</w:t>
      </w:r>
      <w:r>
        <w:t xml:space="preserve"> </w:t>
      </w:r>
      <w:r>
        <w:t xml:space="preserve">asymmetry of the neighborhood data space and actual trust asymmetry, we</w:t>
      </w:r>
      <w:r>
        <w:t xml:space="preserve"> </w:t>
      </w:r>
      <w:r>
        <w:t xml:space="preserve">use fees as response variable (an actual on-chain transaction metric),</w:t>
      </w:r>
      <w:r>
        <w:t xml:space="preserve"> </w:t>
      </w:r>
      <w:r>
        <w:t xml:space="preserve">alongside the behavioral signals of off-chain economic and investment</w:t>
      </w:r>
      <w:r>
        <w:t xml:space="preserve"> </w:t>
      </w:r>
      <w:r>
        <w:t xml:space="preserve">activity. 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8" w:name="mathematical-invariants"/>
      <w:bookmarkEnd w:id="38"/>
      <w:r>
        <w:t xml:space="preserve">Mathematical invariants</w:t>
      </w:r>
    </w:p>
    <w:p>
      <w:pPr>
        <w:pStyle w:val="FirstParagraph"/>
      </w:pPr>
      <w:r>
        <w:t xml:space="preserve">Ensembles of models of diverse but comparable performance and complexity</w:t>
      </w:r>
      <w:r>
        <w:t xml:space="preserve"> </w:t>
      </w:r>
      <w:r>
        <w:t xml:space="preserve">lead to a trust metric (Vladislavleva, Smits, and Kotanchek 2015). Figure 7 shows how the</w:t>
      </w:r>
      <w:r>
        <w:t xml:space="preserve"> </w:t>
      </w:r>
      <w:r>
        <w:t xml:space="preserve">intelligent agent </w:t>
      </w:r>
      <w:r>
        <w:rPr>
          <w:i/>
        </w:rPr>
        <w:t xml:space="preserve">perceives</w:t>
      </w:r>
      <w:r>
        <w:t xml:space="preserve"> </w:t>
      </w:r>
      <w:r>
        <w:t xml:space="preserve">the trustability of the prediction,</w:t>
      </w:r>
      <w:r>
        <w:t xml:space="preserve"> </w:t>
      </w:r>
      <w:r>
        <w:t xml:space="preserve">what may happen in regions of unknown parameter space (when it is</w:t>
      </w:r>
      <w:r>
        <w:t xml:space="preserve"> </w:t>
      </w:r>
      <w:r>
        <w:t xml:space="preserve">exposed to unseen data) or when the underlying system changes. The AI</w:t>
      </w:r>
      <w:r>
        <w:t xml:space="preserve"> </w:t>
      </w:r>
      <w:r>
        <w:t xml:space="preserve">naturally finds interesting those inputs that show invariance, as well</w:t>
      </w:r>
      <w:r>
        <w:t xml:space="preserve"> </w:t>
      </w:r>
      <w:r>
        <w:t xml:space="preserve">as the points where the symmetry breaks for the others.  </w:t>
      </w:r>
    </w:p>
    <w:p>
      <w:pPr>
        <w:pStyle w:val="FigureWithCaption"/>
      </w:pPr>
      <w:r>
        <w:drawing>
          <wp:inline>
            <wp:extent cx="1365600" cy="959999"/>
            <wp:effectExtent b="0" l="0" r="0" t="0"/>
            <wp:docPr descr="Ensemble response plot (BCH fees) " title="" id="1" name="Picture"/>
            <a:graphic>
              <a:graphicData uri="http://schemas.openxmlformats.org/drawingml/2006/picture">
                <pic:pic>
                  <pic:nvPicPr>
                    <pic:cNvPr descr="figures/ensemble-response-plot/ensemble-bc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00" cy="959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Ensemble response plot (BCH fees)</w:t>
      </w:r>
      <w:r>
        <w:t xml:space="preserve"> </w:t>
      </w:r>
    </w:p>
    <w:p>
      <w:pPr>
        <w:pStyle w:val="BodyText"/>
      </w:pPr>
      <w:r>
        <w:t xml:space="preserve">Ensembles are constrained to diverge. The trustability of the prediction</w:t>
      </w:r>
      <w:r>
        <w:t xml:space="preserve"> </w:t>
      </w:r>
      <w:r>
        <w:t xml:space="preserve">(i.e. an assessment of the confidence in the prediction) is measured</w:t>
      </w:r>
      <w:r>
        <w:t xml:space="preserve"> </w:t>
      </w:r>
      <w:r>
        <w:t xml:space="preserve">using an ensemble divergence function, which captures the response</w:t>
      </w:r>
      <w:r>
        <w:t xml:space="preserve"> </w:t>
      </w:r>
      <w:r>
        <w:t xml:space="preserve">consensus behavior of the supplied model ensemble. Figure 8 shows all</w:t>
      </w:r>
      <w:r>
        <w:t xml:space="preserve"> </w:t>
      </w:r>
      <w:r>
        <w:t xml:space="preserve">possible combinations of variables displayed as a 3D surface, with the</w:t>
      </w:r>
      <w:r>
        <w:t xml:space="preserve"> </w:t>
      </w:r>
      <w:r>
        <w:t xml:space="preserve">spread in the embedded models reported as 3 standard deviations. 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907200" cy="720000"/>
            <wp:effectExtent b="0" l="0" r="0" t="0"/>
            <wp:docPr descr="Divergence (BCH) " title="" id="1" name="Picture"/>
            <a:graphic>
              <a:graphicData uri="http://schemas.openxmlformats.org/drawingml/2006/picture">
                <pic:pic>
                  <pic:nvPicPr>
                    <pic:cNvPr descr="figures/divergence-surface-plot/divergence-surface-plot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Divergence (BCH)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1" w:name="behavioral-finance"/>
      <w:bookmarkEnd w:id="41"/>
      <w:r>
        <w:t xml:space="preserve">Behavioral finance</w:t>
      </w:r>
    </w:p>
    <w:p>
      <w:pPr>
        <w:pStyle w:val="FirstParagraph"/>
      </w:pPr>
      <w:r>
        <w:t xml:space="preserve">Mis-pricing due to non-rational decision making and market</w:t>
      </w:r>
      <w:r>
        <w:t xml:space="preserve"> </w:t>
      </w:r>
      <w:r>
        <w:t xml:space="preserve">inefficiencies offer arbitrage opportunities that an intelligent agent</w:t>
      </w:r>
      <w:r>
        <w:t xml:space="preserve"> </w:t>
      </w:r>
      <w:r>
        <w:t xml:space="preserve">would try to exploit. But an AI that is aware of the trust asymmetries</w:t>
      </w:r>
      <w:r>
        <w:t xml:space="preserve"> </w:t>
      </w:r>
      <w:r>
        <w:t xml:space="preserve">across its operational space is also able to compare intrinsic</w:t>
      </w:r>
      <w:r>
        <w:t xml:space="preserve"> </w:t>
      </w:r>
      <w:r>
        <w:t xml:space="preserve">fragilities, even if the distribution of problematic events are not</w:t>
      </w:r>
      <w:r>
        <w:t xml:space="preserve"> </w:t>
      </w:r>
      <w:r>
        <w:t xml:space="preserve">directly observable. In Taleb and Douady formulation, the risk measure</w:t>
      </w:r>
      <w:r>
        <w:t xml:space="preserve"> </w:t>
      </w:r>
      <w:r>
        <w:t xml:space="preserve">assumes certain extrapolation rules that have first-order consequences,</w:t>
      </w:r>
      <w:r>
        <w:t xml:space="preserve"> </w:t>
      </w:r>
      <w:r>
        <w:t xml:space="preserve">and these consequences are even more amplified when the risk measure</w:t>
      </w:r>
      <w:r>
        <w:t xml:space="preserve"> </w:t>
      </w:r>
      <w:r>
        <w:t xml:space="preserve">applies to a variable that is derived from the one used for estimation</w:t>
      </w:r>
      <w:r>
        <w:t xml:space="preserve"> </w:t>
      </w:r>
      <w:r>
        <w:t xml:space="preserve">– when the relation between the two variables is strongly</w:t>
      </w:r>
      <w:r>
        <w:t xml:space="preserve"> </w:t>
      </w:r>
      <w:r>
        <w:t xml:space="preserve">nonlinear. For (predictive) navigational purposes, the agent asks</w:t>
      </w:r>
      <w:r>
        <w:t xml:space="preserve"> </w:t>
      </w:r>
      <w:r>
        <w:t xml:space="preserve">whether people (or other AIs) have found a path of least resistance</w:t>
      </w:r>
      <w:r>
        <w:t xml:space="preserve"> </w:t>
      </w:r>
      <w:r>
        <w:t xml:space="preserve">(evidence of trust asymmetry) and what is its associated trustability.</w:t>
      </w:r>
      <w:r>
        <w:t xml:space="preserve"> </w:t>
      </w:r>
      <w:r>
        <w:t xml:space="preserve">This aspect is modeled using Forrester dynamics, and it captures the</w:t>
      </w:r>
      <w:r>
        <w:t xml:space="preserve"> </w:t>
      </w:r>
      <w:r>
        <w:t xml:space="preserve">response to changes satisfying both system modeling and risk modeling.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42" w:name="information-flow"/>
      <w:bookmarkEnd w:id="42"/>
      <w:r>
        <w:t xml:space="preserve">Information flow</w:t>
      </w:r>
    </w:p>
    <w:p>
      <w:pPr>
        <w:pStyle w:val="FirstParagraph"/>
      </w:pPr>
      <w:r>
        <w:t xml:space="preserve">The AI that seeks to optimize blockchain configurations, or simply</w:t>
      </w:r>
      <w:r>
        <w:t xml:space="preserve"> </w:t>
      </w:r>
      <w:r>
        <w:t xml:space="preserve">navigate the environment, is aware of the off-chain</w:t>
      </w:r>
      <w:r>
        <w:t xml:space="preserve"> </w:t>
      </w:r>
      <w:r>
        <w:t xml:space="preserve">“</w:t>
      </w:r>
      <w:r>
        <w:t xml:space="preserve">social fabric</w:t>
      </w:r>
      <w:r>
        <w:t xml:space="preserve">”</w:t>
      </w:r>
      <w:r>
        <w:t xml:space="preserve"> </w:t>
      </w:r>
      <w:r>
        <w:t xml:space="preserve">because it fills the role of communication: you can improve by</w:t>
      </w:r>
      <w:r>
        <w:t xml:space="preserve"> </w:t>
      </w:r>
      <w:r>
        <w:t xml:space="preserve">introspection if you communicate.</w:t>
      </w:r>
    </w:p>
    <w:p>
      <w:pPr>
        <w:pStyle w:val="BodyText"/>
      </w:pPr>
      <w:r>
        <w:br w:type="textWrapping"/>
      </w:r>
      <w:r>
        <w:t xml:space="preserve">To manage complexity several approaches are possible, including using</w:t>
      </w:r>
      <w:r>
        <w:t xml:space="preserve"> </w:t>
      </w:r>
      <w:r>
        <w:t xml:space="preserve">Lawyer’s expected force  (a centrality measure) (Lawyer 2015)  to</w:t>
      </w:r>
      <w:r>
        <w:t xml:space="preserve"> </w:t>
      </w:r>
      <w:r>
        <w:t xml:space="preserve">greatly simplify the problem. When node power is low, influence is a</w:t>
      </w:r>
      <w:r>
        <w:t xml:space="preserve"> </w:t>
      </w:r>
      <w:r>
        <w:t xml:space="preserve">function of neighbor degree. As power increases, a node’s own degree</w:t>
      </w:r>
      <w:r>
        <w:t xml:space="preserve"> </w:t>
      </w:r>
      <w:r>
        <w:t xml:space="preserve">becomes more important. The strength of this relationship is modulated</w:t>
      </w:r>
      <w:r>
        <w:t xml:space="preserve"> </w:t>
      </w:r>
      <w:r>
        <w:t xml:space="preserve">by network structure, so it is expected that it will be more pronounced</w:t>
      </w:r>
      <w:r>
        <w:t xml:space="preserve"> </w:t>
      </w:r>
      <w:r>
        <w:t xml:space="preserve">in narrow and dense networks such as social networking (e.g. Twitter</w:t>
      </w:r>
      <w:r>
        <w:t xml:space="preserve"> </w:t>
      </w:r>
      <w:r>
        <w:t xml:space="preserve">channels of bitcoin whales). The network effect, however, has two</w:t>
      </w:r>
      <w:r>
        <w:t xml:space="preserve"> </w:t>
      </w:r>
      <w:r>
        <w:t xml:space="preserve">levels: one is the on-chain\off- chain interplay</w:t>
      </w:r>
      <w:r>
        <w:t xml:space="preserve"> </w:t>
      </w:r>
      <w:r>
        <w:t xml:space="preserve">(symbolic regression model of active accounts/addresses driven by social</w:t>
      </w:r>
      <w:r>
        <w:t xml:space="preserve"> </w:t>
      </w:r>
      <w:r>
        <w:t xml:space="preserve">network activity), and the other is the off- chain\off-</w:t>
      </w:r>
      <w:r>
        <w:t xml:space="preserve"> </w:t>
      </w:r>
      <w:r>
        <w:t xml:space="preserve">chain interplay (for instance, of the dynamics between Twitter channels</w:t>
      </w:r>
      <w:r>
        <w:t xml:space="preserve"> </w:t>
      </w:r>
      <w:r>
        <w:t xml:space="preserve">and Telegram groups).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3" w:name="vector-fields-as-temporal-streams"/>
      <w:bookmarkEnd w:id="43"/>
      <w:r>
        <w:t xml:space="preserve">Vector fields as temporal</w:t>
      </w:r>
      <w:r>
        <w:t xml:space="preserve"> </w:t>
      </w:r>
      <w:r>
        <w:t xml:space="preserve">streams</w:t>
      </w:r>
    </w:p>
    <w:p>
      <w:pPr>
        <w:pStyle w:val="FirstParagraph"/>
      </w:pPr>
      <w:r>
        <w:t xml:space="preserve">An activity must be decoded sequentially over time. The intelligent</w:t>
      </w:r>
      <w:r>
        <w:t xml:space="preserve"> </w:t>
      </w:r>
      <w:r>
        <w:t xml:space="preserve">agent may do this by using a combination of genetic programming</w:t>
      </w:r>
      <w:r>
        <w:t xml:space="preserve"> </w:t>
      </w:r>
      <w:r>
        <w:t xml:space="preserve">techniques (after all, somewhat static DNA and its transcription pattern</w:t>
      </w:r>
      <w:r>
        <w:t xml:space="preserve"> </w:t>
      </w:r>
      <w:r>
        <w:t xml:space="preserve">over time creates biologically essential temporal patterns) and signal</w:t>
      </w:r>
      <w:r>
        <w:t xml:space="preserve"> </w:t>
      </w:r>
      <w:r>
        <w:t xml:space="preserve">processing (e.g. Kalman filter, for short-term streams), but a</w:t>
      </w:r>
      <w:r>
        <w:t xml:space="preserve"> </w:t>
      </w:r>
      <w:r>
        <w:t xml:space="preserve">complementary approach for fast evolving systems that are always in flux</w:t>
      </w:r>
      <w:r>
        <w:t xml:space="preserve"> </w:t>
      </w:r>
      <w:r>
        <w:t xml:space="preserve">is to use actual fields. In the case of economic systems such as</w:t>
      </w:r>
      <w:r>
        <w:t xml:space="preserve"> </w:t>
      </w:r>
      <w:r>
        <w:t xml:space="preserve">blockchains, standard signal processing analysis techniques and</w:t>
      </w:r>
      <w:r>
        <w:t xml:space="preserve"> </w:t>
      </w:r>
      <w:r>
        <w:t xml:space="preserve">information theoretical measurements help visualize the historic</w:t>
      </w:r>
      <w:r>
        <w:t xml:space="preserve"> </w:t>
      </w:r>
      <w:r>
        <w:t xml:space="preserve">correlations, but a sound investment strategy should also consider the</w:t>
      </w:r>
      <w:r>
        <w:t xml:space="preserve"> </w:t>
      </w:r>
      <w:r>
        <w:t xml:space="preserve">correlation migration –how the correlation changes (or not) over time.</w:t>
      </w:r>
      <w:r>
        <w:t xml:space="preserve"> </w:t>
      </w:r>
      <w:r>
        <w:t xml:space="preserve">While it is possible to plot a correlation graph for each point in time,</w:t>
      </w:r>
      <w:r>
        <w:t xml:space="preserve"> </w:t>
      </w:r>
      <w:r>
        <w:t xml:space="preserve">we find that using vector fields (</w:t>
      </w:r>
      <w:r>
        <w:t xml:space="preserve">Č</w:t>
      </w:r>
      <w:r>
        <w:t xml:space="preserve">i</w:t>
      </w:r>
      <w:r>
        <w:t xml:space="preserve">ž</w:t>
      </w:r>
      <w:r>
        <w:t xml:space="preserve">insk</w:t>
      </w:r>
      <w:r>
        <w:t xml:space="preserve">á</w:t>
      </w:r>
      <w:r>
        <w:t xml:space="preserve">, Krabec, and Venegas 2016) allows for mappings</w:t>
      </w:r>
      <w:r>
        <w:t xml:space="preserve"> </w:t>
      </w:r>
      <w:r>
        <w:t xml:space="preserve">with a higher information density, especially for portfolios of a large</w:t>
      </w:r>
      <w:r>
        <w:t xml:space="preserve"> </w:t>
      </w:r>
      <w:r>
        <w:t xml:space="preserve">size –for instance, consider that when tokenized Dapps are also viewed</w:t>
      </w:r>
      <w:r>
        <w:t xml:space="preserve"> </w:t>
      </w:r>
      <w:r>
        <w:t xml:space="preserve">as assets, we are facing prohibitory large portfolio sizes. To implement</w:t>
      </w:r>
      <w:r>
        <w:t xml:space="preserve"> </w:t>
      </w:r>
      <w:r>
        <w:t xml:space="preserve">the method we begin by defining the convention for the vector</w:t>
      </w:r>
      <w:r>
        <w:t xml:space="preserve"> </w:t>
      </w:r>
      <w:r>
        <w:t xml:space="preserve">components. From the possible traffic sources for a new project, we</w:t>
      </w:r>
      <w:r>
        <w:t xml:space="preserve"> </w:t>
      </w:r>
      <w:r>
        <w:t xml:space="preserve">found that referrals and social networks are the more prevalent,</w:t>
      </w:r>
      <w:r>
        <w:t xml:space="preserve"> </w:t>
      </w:r>
      <w:r>
        <w:t xml:space="preserve">especially in the early stages of a proposal listing when word of mouth</w:t>
      </w:r>
      <w:r>
        <w:t xml:space="preserve"> </w:t>
      </w:r>
      <w:r>
        <w:t xml:space="preserve">in social networks such as Reddit and the ability of the founding team</w:t>
      </w:r>
      <w:r>
        <w:t xml:space="preserve"> </w:t>
      </w:r>
      <w:r>
        <w:t xml:space="preserve">to generate buzz in media and news sites plays a role. The resulting</w:t>
      </w:r>
      <w:r>
        <w:t xml:space="preserve"> </w:t>
      </w:r>
      <w:r>
        <w:t xml:space="preserve">vector field gives rise to a flow. A fluid flow provides an effective</w:t>
      </w:r>
      <w:r>
        <w:t xml:space="preserve"> </w:t>
      </w:r>
      <w:r>
        <w:t xml:space="preserve">way to summarize the dynamics of a portfolio to include an arbitrarily</w:t>
      </w:r>
      <w:r>
        <w:t xml:space="preserve"> </w:t>
      </w:r>
      <w:r>
        <w:t xml:space="preserve">large number of entities, rather than simply scaling up the number and</w:t>
      </w:r>
      <w:r>
        <w:t xml:space="preserve"> </w:t>
      </w:r>
      <w:r>
        <w:t xml:space="preserve">size of correlation graphs (not to mention that for communication</w:t>
      </w:r>
      <w:r>
        <w:t xml:space="preserve"> </w:t>
      </w:r>
      <w:r>
        <w:t xml:space="preserve">purposes, a vector field is also a more intuitive representation of</w:t>
      </w:r>
      <w:r>
        <w:t xml:space="preserve"> </w:t>
      </w:r>
      <w:r>
        <w:t xml:space="preserve">cashflows equivalents). In one hand, the (total) vector magnitudes are a</w:t>
      </w:r>
      <w:r>
        <w:t xml:space="preserve"> </w:t>
      </w:r>
      <w:r>
        <w:t xml:space="preserve">measure of strength, in the other, the interaction between the different</w:t>
      </w:r>
      <w:r>
        <w:t xml:space="preserve"> </w:t>
      </w:r>
      <w:r>
        <w:t xml:space="preserve">assets (as revealed by singularities in the flow) present a portrait of</w:t>
      </w:r>
      <w:r>
        <w:t xml:space="preserve"> </w:t>
      </w:r>
      <w:r>
        <w:t xml:space="preserve">the system (the portfolio attention correlations). Figure 9 shows a</w:t>
      </w:r>
      <w:r>
        <w:t xml:space="preserve"> </w:t>
      </w:r>
      <w:r>
        <w:t xml:space="preserve">vector field for a 32-asset mapping in Ethereum during March, April, and</w:t>
      </w:r>
      <w:r>
        <w:t xml:space="preserve"> </w:t>
      </w:r>
      <w:r>
        <w:t xml:space="preserve">May 2016, rendered using 4 techniques to highlight different aspects of</w:t>
      </w:r>
      <w:r>
        <w:t xml:space="preserve"> </w:t>
      </w:r>
      <w:r>
        <w:t xml:space="preserve">the flow.</w:t>
      </w:r>
    </w:p>
    <w:p>
      <w:pPr>
        <w:pStyle w:val="FigureWithCaption"/>
      </w:pPr>
      <w:r>
        <w:drawing>
          <wp:inline>
            <wp:extent cx="1500000" cy="2254800"/>
            <wp:effectExtent b="0" l="0" r="0" t="0"/>
            <wp:docPr descr="Time variant vector field sequence " title="" id="1" name="Picture"/>
            <a:graphic>
              <a:graphicData uri="http://schemas.openxmlformats.org/drawingml/2006/picture">
                <pic:pic>
                  <pic:nvPicPr>
                    <pic:cNvPr descr="figures/time-variant-vector-field/time-variant-vector-fiel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00" cy="225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Time variant vector field sequence</w:t>
      </w:r>
      <w:r>
        <w:t xml:space="preserve"> </w:t>
      </w:r>
    </w:p>
    <w:p>
      <w:pPr>
        <w:pStyle w:val="BodyText"/>
      </w:pPr>
      <w:r>
        <w:t xml:space="preserve">Investors (and the intelligent agent) ascribe an intrinsic value to</w:t>
      </w:r>
      <w:r>
        <w:t xml:space="preserve"> </w:t>
      </w:r>
      <w:r>
        <w:t xml:space="preserve">stability. By using the mapping from Figure 9 and small multiples to</w:t>
      </w:r>
      <w:r>
        <w:t xml:space="preserve"> </w:t>
      </w:r>
      <w:r>
        <w:t xml:space="preserve">draw each month separately, every field snapshot is a moment in time,</w:t>
      </w:r>
      <w:r>
        <w:t xml:space="preserve"> </w:t>
      </w:r>
      <w:r>
        <w:t xml:space="preserve">and the apparent flow mobility shows progression in portfolio positions.</w:t>
      </w:r>
      <w:r>
        <w:t xml:space="preserve"> </w:t>
      </w:r>
      <w:r>
        <w:t xml:space="preserve">Therefore, one can easily identify which flow structures tend to remain</w:t>
      </w:r>
      <w:r>
        <w:t xml:space="preserve"> </w:t>
      </w:r>
      <w:r>
        <w:t xml:space="preserve">unchanged, and when a major event occurred; the streamlined plot (Figure</w:t>
      </w:r>
      <w:r>
        <w:t xml:space="preserve"> </w:t>
      </w:r>
      <w:r>
        <w:t xml:space="preserve">9.d) is ideal for such type of visual analysis. The vector plot (Figure</w:t>
      </w:r>
      <w:r>
        <w:t xml:space="preserve"> </w:t>
      </w:r>
      <w:r>
        <w:t xml:space="preserve">9.c) presents the</w:t>
      </w:r>
      <w:r>
        <w:t xml:space="preserve"> </w:t>
      </w:r>
      <w:r>
        <w:t xml:space="preserve">“</w:t>
      </w:r>
      <w:r>
        <w:t xml:space="preserve">intensity</w:t>
      </w:r>
      <w:r>
        <w:t xml:space="preserve">”</w:t>
      </w:r>
      <w:r>
        <w:t xml:space="preserve"> </w:t>
      </w:r>
      <w:r>
        <w:t xml:space="preserve">dimension lacking in the streams, which</w:t>
      </w:r>
      <w:r>
        <w:t xml:space="preserve"> </w:t>
      </w:r>
      <w:r>
        <w:t xml:space="preserve">are focused on directionality. The LIC (line integral convolution)</w:t>
      </w:r>
      <w:r>
        <w:t xml:space="preserve"> </w:t>
      </w:r>
      <w:r>
        <w:t xml:space="preserve">rendering (Figure 9.c) is a human friendly and aesthetically pleasant</w:t>
      </w:r>
      <w:r>
        <w:t xml:space="preserve"> </w:t>
      </w:r>
      <w:r>
        <w:t xml:space="preserve">format that helps reinforce the flow structure without losing analytical</w:t>
      </w:r>
      <w:r>
        <w:t xml:space="preserve"> </w:t>
      </w:r>
      <w:r>
        <w:t xml:space="preserve">capability, especially if one makes it overlap the vector map, or the</w:t>
      </w:r>
      <w:r>
        <w:t xml:space="preserve"> </w:t>
      </w:r>
      <w:r>
        <w:t xml:space="preserve">streamlines, depending on the data dimension to analyze (by using LIC</w:t>
      </w:r>
      <w:r>
        <w:t xml:space="preserve"> </w:t>
      </w:r>
      <w:r>
        <w:t xml:space="preserve">the entropy of the visualization increases, more information is</w:t>
      </w:r>
      <w:r>
        <w:t xml:space="preserve"> </w:t>
      </w:r>
      <w:r>
        <w:t xml:space="preserve">conveyed). The mesh network representation of the flow (Figure 9.d) is a</w:t>
      </w:r>
      <w:r>
        <w:t xml:space="preserve"> </w:t>
      </w:r>
      <w:r>
        <w:t xml:space="preserve">machine format that maintains some of the human friendly features of the</w:t>
      </w:r>
      <w:r>
        <w:t xml:space="preserve"> </w:t>
      </w:r>
      <w:r>
        <w:t xml:space="preserve">other visualizations –one can easily see how computation by clusters</w:t>
      </w:r>
      <w:r>
        <w:t xml:space="preserve"> </w:t>
      </w:r>
      <w:r>
        <w:t xml:space="preserve">might become a useful device to reveal equilibrium points in the vector</w:t>
      </w:r>
      <w:r>
        <w:t xml:space="preserve"> </w:t>
      </w:r>
      <w:r>
        <w:t xml:space="preserve">field topology: unstable nodes (sources or saddles), stable focus</w:t>
      </w:r>
      <w:r>
        <w:t xml:space="preserve"> </w:t>
      </w:r>
      <w:r>
        <w:t xml:space="preserve">(spiral sink), stable centers, etc. This representation is obtained by</w:t>
      </w:r>
      <w:r>
        <w:t xml:space="preserve"> </w:t>
      </w:r>
      <w:r>
        <w:t xml:space="preserve">drawing mesh divisions between every line or polygon generated by a</w:t>
      </w:r>
      <w:r>
        <w:t xml:space="preserve"> </w:t>
      </w:r>
      <w:r>
        <w:t xml:space="preserve">plotting function, in this case, the one obtained after the stream plot.</w:t>
      </w:r>
      <w:r>
        <w:t xml:space="preserve"> </w:t>
      </w:r>
      <w:r>
        <w:t xml:space="preserve">Finally, given the duality between singularities in vector fields and</w:t>
      </w:r>
      <w:r>
        <w:t xml:space="preserve"> </w:t>
      </w:r>
      <w:r>
        <w:t xml:space="preserve">network structure, the fields analysis is suitable to be implemented at</w:t>
      </w:r>
      <w:r>
        <w:t xml:space="preserve"> </w:t>
      </w:r>
      <w:r>
        <w:t xml:space="preserve">scale.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5" w:name="applications"/>
      <w:bookmarkEnd w:id="45"/>
      <w:r>
        <w:t xml:space="preserve">Applications</w:t>
      </w:r>
    </w:p>
    <w:p>
      <w:pPr>
        <w:pStyle w:val="Heading3"/>
      </w:pPr>
      <w:bookmarkStart w:id="46" w:name="intelligence-services"/>
      <w:bookmarkEnd w:id="46"/>
      <w:r>
        <w:t xml:space="preserve">Intelligence services</w:t>
      </w:r>
    </w:p>
    <w:p>
      <w:pPr>
        <w:pStyle w:val="FirstParagraph"/>
      </w:pPr>
      <w:r>
        <w:t xml:space="preserve">Although privacy coins offer desirable features in some settings, for</w:t>
      </w:r>
      <w:r>
        <w:t xml:space="preserve"> </w:t>
      </w:r>
      <w:r>
        <w:t xml:space="preserve">national security purposes is often needed to understand the user’s</w:t>
      </w:r>
      <w:r>
        <w:t xml:space="preserve"> </w:t>
      </w:r>
      <w:r>
        <w:t xml:space="preserve">clusters at least at a macro level. Trust asymmetry (in the blockchain /</w:t>
      </w:r>
      <w:r>
        <w:t xml:space="preserve"> </w:t>
      </w:r>
      <w:r>
        <w:t xml:space="preserve">off-chain boundaries) reveals information such as geography and</w:t>
      </w:r>
      <w:r>
        <w:t xml:space="preserve"> </w:t>
      </w:r>
      <w:r>
        <w:t xml:space="preserve">audiences, which allows to re-construct digital personae (groups’</w:t>
      </w:r>
      <w:r>
        <w:t xml:space="preserve"> </w:t>
      </w:r>
      <w:r>
        <w:t xml:space="preserve">identity profiles); it also provides insights into hidden states and</w:t>
      </w:r>
      <w:r>
        <w:t xml:space="preserve"> </w:t>
      </w:r>
      <w:r>
        <w:t xml:space="preserve">phase transitions within those multiplex networks. The applications</w:t>
      </w:r>
      <w:r>
        <w:t xml:space="preserve"> </w:t>
      </w:r>
      <w:r>
        <w:t xml:space="preserve">include mapping the character of Zcash and Monero communities and</w:t>
      </w:r>
      <w:r>
        <w:t xml:space="preserve"> </w:t>
      </w:r>
      <w:r>
        <w:t xml:space="preserve">providing partial source/destination metadata related to the use of</w:t>
      </w:r>
      <w:r>
        <w:t xml:space="preserve"> </w:t>
      </w:r>
      <w:r>
        <w:t xml:space="preserve">secret contracts and similar technologies that facilitate coin mixing</w:t>
      </w:r>
      <w:r>
        <w:t xml:space="preserve"> </w:t>
      </w:r>
      <w:r>
        <w:t xml:space="preserve">(which obscure the original source of cryptocurrency used within the</w:t>
      </w:r>
      <w:r>
        <w:t xml:space="preserve"> </w:t>
      </w:r>
      <w:r>
        <w:t xml:space="preserve">protocol). These applications are also relevant to market intelligence,</w:t>
      </w:r>
      <w:r>
        <w:t xml:space="preserve"> </w:t>
      </w:r>
      <w:r>
        <w:t xml:space="preserve">a practice that becomes more challenging as international privacy</w:t>
      </w:r>
      <w:r>
        <w:t xml:space="preserve"> </w:t>
      </w:r>
      <w:r>
        <w:t xml:space="preserve">standards strengthen.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7" w:name="financial-risk-prediction"/>
      <w:bookmarkEnd w:id="47"/>
      <w:r>
        <w:t xml:space="preserve">Financial Risk</w:t>
      </w:r>
      <w:r>
        <w:t xml:space="preserve"> </w:t>
      </w:r>
      <w:r>
        <w:t xml:space="preserve">prediction</w:t>
      </w:r>
    </w:p>
    <w:p>
      <w:pPr>
        <w:pStyle w:val="FirstParagraph"/>
      </w:pPr>
      <w:r>
        <w:t xml:space="preserve">Ensemble prediction with evolutionary computing augments both technical</w:t>
      </w:r>
      <w:r>
        <w:t xml:space="preserve"> </w:t>
      </w:r>
      <w:r>
        <w:t xml:space="preserve">analysis and time series ARNN results by providing context and by</w:t>
      </w:r>
      <w:r>
        <w:t xml:space="preserve"> </w:t>
      </w:r>
      <w:r>
        <w:t xml:space="preserve">providing explicit trustability ranges. The intelligent agent is thus</w:t>
      </w:r>
      <w:r>
        <w:t xml:space="preserve"> </w:t>
      </w:r>
      <w:r>
        <w:t xml:space="preserve">capable of reasoning about interventions: what if I change X? This is</w:t>
      </w:r>
      <w:r>
        <w:t xml:space="preserve"> </w:t>
      </w:r>
      <w:r>
        <w:t xml:space="preserve">the alternative to creating static models – rather, we create models</w:t>
      </w:r>
      <w:r>
        <w:t xml:space="preserve"> </w:t>
      </w:r>
      <w:r>
        <w:t xml:space="preserve">dynamically and perform spatiotemporal encoding of information using a</w:t>
      </w:r>
      <w:r>
        <w:t xml:space="preserve"> </w:t>
      </w:r>
      <w:r>
        <w:t xml:space="preserve">blockchain as a substrate for the intelligence. This also implies a sort</w:t>
      </w:r>
      <w:r>
        <w:t xml:space="preserve"> </w:t>
      </w:r>
      <w:r>
        <w:t xml:space="preserve">of</w:t>
      </w:r>
      <w:r>
        <w:t xml:space="preserve"> </w:t>
      </w:r>
      <w:r>
        <w:t xml:space="preserve">“</w:t>
      </w:r>
      <w:r>
        <w:t xml:space="preserve">value by memory</w:t>
      </w:r>
      <w:r>
        <w:t xml:space="preserve">”</w:t>
      </w:r>
      <w:r>
        <w:t xml:space="preserve"> </w:t>
      </w:r>
      <w:r>
        <w:t xml:space="preserve">where a system that has</w:t>
      </w:r>
      <w:r>
        <w:t xml:space="preserve"> </w:t>
      </w:r>
      <w:r>
        <w:rPr>
          <w:i/>
        </w:rPr>
        <w:t xml:space="preserve">experienced</w:t>
      </w:r>
      <w:r>
        <w:t xml:space="preserve"> </w:t>
      </w:r>
      <w:r>
        <w:t xml:space="preserve">more</w:t>
      </w:r>
      <w:r>
        <w:t xml:space="preserve"> </w:t>
      </w:r>
      <w:r>
        <w:t xml:space="preserve">about the world is more valuable than one that consists only of the</w:t>
      </w:r>
      <w:r>
        <w:t xml:space="preserve"> </w:t>
      </w:r>
      <w:r>
        <w:t xml:space="preserve">algorithm.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8" w:name="political-risk-prediction"/>
      <w:bookmarkEnd w:id="48"/>
      <w:r>
        <w:t xml:space="preserve">Political risk</w:t>
      </w:r>
      <w:r>
        <w:t xml:space="preserve"> </w:t>
      </w:r>
      <w:r>
        <w:t xml:space="preserve">prediction</w:t>
      </w:r>
    </w:p>
    <w:p>
      <w:pPr>
        <w:pStyle w:val="FirstParagraph"/>
      </w:pPr>
      <w:r>
        <w:t xml:space="preserve">The political economy is a contest for attention modulated by</w:t>
      </w:r>
      <w:r>
        <w:t xml:space="preserve"> </w:t>
      </w:r>
      <w:r>
        <w:t xml:space="preserve">reputation, and thus a perfect fit for context-aware AI. </w:t>
      </w:r>
    </w:p>
    <w:p>
      <w:pPr>
        <w:pStyle w:val="BodyText"/>
      </w:pPr>
      <w:r>
        <w:t xml:space="preserve">In multiples areas, from influencing public opinion to political</w:t>
      </w:r>
      <w:r>
        <w:t xml:space="preserve"> </w:t>
      </w:r>
      <w:r>
        <w:t xml:space="preserve">campaign financing, demand is influenced by the available supply (of</w:t>
      </w:r>
      <w:r>
        <w:t xml:space="preserve"> </w:t>
      </w:r>
      <w:r>
        <w:t xml:space="preserve">information). </w:t>
      </w:r>
    </w:p>
    <w:p>
      <w:pPr>
        <w:pStyle w:val="BodyText"/>
      </w:pPr>
      <w:r>
        <w:t xml:space="preserve">An AI that minimizes trust asymmetries on its objective function can use</w:t>
      </w:r>
      <w:r>
        <w:t xml:space="preserve"> </w:t>
      </w:r>
      <w:r>
        <w:t xml:space="preserve">well-known human biases (tendency to follow rules of thumb-credulity,</w:t>
      </w:r>
      <w:r>
        <w:t xml:space="preserve"> </w:t>
      </w:r>
      <w:r>
        <w:t xml:space="preserve">cognitive dissonance-double down on beliefs, human inclination to spread</w:t>
      </w:r>
      <w:r>
        <w:t xml:space="preserve"> </w:t>
      </w:r>
      <w:r>
        <w:t xml:space="preserve">pleasant-sounding lies) to asses provenance of the data and context, in</w:t>
      </w:r>
      <w:r>
        <w:t xml:space="preserve"> </w:t>
      </w:r>
      <w:r>
        <w:t xml:space="preserve">applications related to detection and mitigation of fake news and deep</w:t>
      </w:r>
      <w:r>
        <w:t xml:space="preserve"> </w:t>
      </w:r>
      <w:r>
        <w:t xml:space="preserve">fakes. The embedded Oracle can operate as a standalone feed, or as a</w:t>
      </w:r>
      <w:r>
        <w:t xml:space="preserve"> </w:t>
      </w:r>
      <w:r>
        <w:t xml:space="preserve">complement to specialized technologies that take advantage of blockchain</w:t>
      </w:r>
      <w:r>
        <w:t xml:space="preserve"> </w:t>
      </w:r>
      <w:r>
        <w:t xml:space="preserve">features for this purpose (no single arbiter of truth, public record).</w:t>
      </w:r>
      <w:r>
        <w:t xml:space="preserve"> </w:t>
      </w:r>
      <w:r>
        <w:t xml:space="preserve">In this application, the genetic programming provides an audit trail on</w:t>
      </w:r>
      <w:r>
        <w:t xml:space="preserve"> </w:t>
      </w:r>
      <w:r>
        <w:t xml:space="preserve">its genome (tree structures), and, an event-based notification function</w:t>
      </w:r>
      <w:r>
        <w:t xml:space="preserve"> </w:t>
      </w:r>
      <w:r>
        <w:t xml:space="preserve">(when a breakdown of trust symmetry occurs).</w:t>
      </w:r>
    </w:p>
    <w:p>
      <w:pPr>
        <w:pStyle w:val="BodyText"/>
      </w:pPr>
      <w:r>
        <w:br w:type="textWrapping"/>
      </w:r>
      <w:r>
        <w:t xml:space="preserve">Part of the tasks of the AI will deal with inferring intent: for</w:t>
      </w:r>
      <w:r>
        <w:t xml:space="preserve"> </w:t>
      </w:r>
      <w:r>
        <w:t xml:space="preserve">instance, an analysis of the Bernie Sanders and Gary Johnson campaigns</w:t>
      </w:r>
      <w:r>
        <w:t xml:space="preserve"> </w:t>
      </w:r>
      <w:r>
        <w:t xml:space="preserve">shows asymmetries at higher scales: the demand for information and</w:t>
      </w:r>
      <w:r>
        <w:t xml:space="preserve"> </w:t>
      </w:r>
      <w:r>
        <w:t xml:space="preserve">actual voter commitment do not correlate for the top contributors</w:t>
      </w:r>
      <w:r>
        <w:t xml:space="preserve"> </w:t>
      </w:r>
      <w:r>
        <w:t xml:space="preserve">(attention price). But It also pertains to crypto native applications:</w:t>
      </w:r>
      <w:r>
        <w:t xml:space="preserve"> </w:t>
      </w:r>
      <w:r>
        <w:t xml:space="preserve">the bitcoin donation adoption was found to be more prevalent among</w:t>
      </w:r>
      <w:r>
        <w:t xml:space="preserve"> </w:t>
      </w:r>
      <w:r>
        <w:t xml:space="preserve">libertarians, a group ideologically aligned to decentralization of</w:t>
      </w:r>
      <w:r>
        <w:t xml:space="preserve"> </w:t>
      </w:r>
      <w:r>
        <w:t xml:space="preserve">monetary policy.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9" w:name="conclusions"/>
      <w:bookmarkEnd w:id="49"/>
      <w:r>
        <w:t xml:space="preserve">Conclusions</w:t>
      </w:r>
    </w:p>
    <w:p>
      <w:pPr>
        <w:pStyle w:val="FirstParagraph"/>
      </w:pPr>
      <w:r>
        <w:t xml:space="preserve">The characteristics of blockchain-based AIs such as being incentivized</w:t>
      </w:r>
      <w:r>
        <w:t xml:space="preserve"> </w:t>
      </w:r>
      <w:r>
        <w:t xml:space="preserve">natively through the use of tokens of value, and not having a single</w:t>
      </w:r>
      <w:r>
        <w:t xml:space="preserve"> </w:t>
      </w:r>
      <w:r>
        <w:t xml:space="preserve">point of failure, are attractive propositions, but also mean</w:t>
      </w:r>
      <w:r>
        <w:t xml:space="preserve"> </w:t>
      </w:r>
      <w:r>
        <w:t xml:space="preserve">that decentralized intelligence will be hard to kill if something goes</w:t>
      </w:r>
      <w:r>
        <w:t xml:space="preserve"> </w:t>
      </w:r>
      <w:r>
        <w:t xml:space="preserve">wrong. And, depending on the stage of its development, such a decision</w:t>
      </w:r>
      <w:r>
        <w:t xml:space="preserve"> </w:t>
      </w:r>
      <w:r>
        <w:t xml:space="preserve">could meet ethic questioning. It is therefore imperative that those</w:t>
      </w:r>
      <w:r>
        <w:t xml:space="preserve"> </w:t>
      </w:r>
      <w:r>
        <w:t xml:space="preserve">intelligent agents go beyond the basic expectation (do not do harm to</w:t>
      </w:r>
      <w:r>
        <w:t xml:space="preserve"> </w:t>
      </w:r>
      <w:r>
        <w:t xml:space="preserve">humans, do the job, do not lose money) to actually solve the</w:t>
      </w:r>
      <w:r>
        <w:t xml:space="preserve"> </w:t>
      </w:r>
      <w:r>
        <w:t xml:space="preserve">vulnerability issues of humans systems (security) while easing human</w:t>
      </w:r>
      <w:r>
        <w:t xml:space="preserve"> </w:t>
      </w:r>
      <w:r>
        <w:t xml:space="preserve">anxieties by providing transparency (in the words of Manuela Veloso,</w:t>
      </w:r>
      <w:r>
        <w:t xml:space="preserve"> </w:t>
      </w:r>
      <w:r>
        <w:t xml:space="preserve">verifiable answers and consistency of answer) and operating under a set</w:t>
      </w:r>
      <w:r>
        <w:t xml:space="preserve"> </w:t>
      </w:r>
      <w:r>
        <w:t xml:space="preserve">of beliefs (</w:t>
      </w:r>
      <w:r>
        <w:t xml:space="preserve">“</w:t>
      </w:r>
      <w:r>
        <w:t xml:space="preserve">mental</w:t>
      </w:r>
      <w:r>
        <w:t xml:space="preserve">”</w:t>
      </w:r>
      <w:r>
        <w:t xml:space="preserve"> </w:t>
      </w:r>
      <w:r>
        <w:t xml:space="preserve">models) that are compatible with the human</w:t>
      </w:r>
      <w:r>
        <w:t xml:space="preserve"> </w:t>
      </w:r>
      <w:r>
        <w:t xml:space="preserve">experience. To do this, the AI needs to have an adequate degree of</w:t>
      </w:r>
      <w:r>
        <w:t xml:space="preserve"> </w:t>
      </w:r>
      <w:r>
        <w:t xml:space="preserve">trustworthiness on its own assessment, and trustable symbolic regression</w:t>
      </w:r>
      <w:r>
        <w:t xml:space="preserve"> </w:t>
      </w:r>
      <w:r>
        <w:t xml:space="preserve">provides a means to that – in the same way that humans augment their</w:t>
      </w:r>
      <w:r>
        <w:t xml:space="preserve"> </w:t>
      </w:r>
      <w:r>
        <w:t xml:space="preserve">intelligence with AIs, AIs can augment their intelligence with a</w:t>
      </w:r>
      <w:r>
        <w:t xml:space="preserve"> </w:t>
      </w:r>
      <w:r>
        <w:t xml:space="preserve">time-variant model of the environment created from off-chain signals.</w:t>
      </w:r>
      <w:r>
        <w:t xml:space="preserve"> </w:t>
      </w:r>
      <w:r>
        <w:t xml:space="preserve">This implies both operating with a reasonable degree of intuition about</w:t>
      </w:r>
      <w:r>
        <w:t xml:space="preserve"> </w:t>
      </w:r>
      <w:r>
        <w:t xml:space="preserve">cause and effect, and with the ability to deal with edge cases (even in</w:t>
      </w:r>
      <w:r>
        <w:t xml:space="preserve"> </w:t>
      </w:r>
      <w:r>
        <w:t xml:space="preserve">the case of narrow, purpose-specific AI).</w:t>
      </w:r>
    </w:p>
    <w:p>
      <w:pPr>
        <w:pStyle w:val="BodyText"/>
      </w:pPr>
      <w:r>
        <w:br w:type="textWrapping"/>
      </w:r>
      <w:r>
        <w:t xml:space="preserve">If we take a lesson from history, making a new weapon so terrifying that</w:t>
      </w:r>
      <w:r>
        <w:t xml:space="preserve"> </w:t>
      </w:r>
      <w:r>
        <w:t xml:space="preserve">it will be inconceivable to use (e.g. Leonardo’s battlefield tanks, von</w:t>
      </w:r>
      <w:r>
        <w:t xml:space="preserve"> </w:t>
      </w:r>
      <w:r>
        <w:t xml:space="preserve">Neumann’s mutual assured destruction nuclear doctrine), is itself a form</w:t>
      </w:r>
      <w:r>
        <w:t xml:space="preserve"> </w:t>
      </w:r>
      <w:r>
        <w:t xml:space="preserve">of deterrence. If blockchain is truly irreversible social</w:t>
      </w:r>
      <w:r>
        <w:t xml:space="preserve"> </w:t>
      </w:r>
      <w:r>
        <w:t xml:space="preserve">computing (Rao, n.d.), and being trust hard to earn and rebuilt,</w:t>
      </w:r>
      <w:r>
        <w:t xml:space="preserve"> </w:t>
      </w:r>
      <w:r>
        <w:t xml:space="preserve">memory itself could be a useful deterrent for misbehavior and</w:t>
      </w:r>
      <w:r>
        <w:t xml:space="preserve"> </w:t>
      </w:r>
      <w:r>
        <w:t xml:space="preserve">carelessness, for humans and machines alike. But it also means that</w:t>
      </w:r>
      <w:r>
        <w:t xml:space="preserve"> </w:t>
      </w:r>
      <w:r>
        <w:t xml:space="preserve">where there is a trust imbalance (usually in the periphery of the</w:t>
      </w:r>
      <w:r>
        <w:t xml:space="preserve"> </w:t>
      </w:r>
      <w:r>
        <w:t xml:space="preserve">blockchain, in the coupling with the off-chain systems that support it)</w:t>
      </w:r>
      <w:r>
        <w:t xml:space="preserve"> </w:t>
      </w:r>
      <w:r>
        <w:t xml:space="preserve">there are opportunities for either trust disintermediation or arbitrage,</w:t>
      </w:r>
      <w:r>
        <w:t xml:space="preserve"> </w:t>
      </w:r>
      <w:r>
        <w:t xml:space="preserve">and possibly, value creation. Moving forward, this combination of</w:t>
      </w:r>
      <w:r>
        <w:t xml:space="preserve"> </w:t>
      </w:r>
      <w:r>
        <w:t xml:space="preserve">awareness of irreversibility, value by memory, and reasoning about</w:t>
      </w:r>
      <w:r>
        <w:t xml:space="preserve"> </w:t>
      </w:r>
      <w:r>
        <w:t xml:space="preserve">introspection, perhaps implemented using non-ergodic variants of</w:t>
      </w:r>
      <w:r>
        <w:t xml:space="preserve"> </w:t>
      </w:r>
      <w:r>
        <w:t xml:space="preserve">cultural genetic algorithms (Reynolds and Liu 2011), could allow machines to</w:t>
      </w:r>
      <w:r>
        <w:t xml:space="preserve"> </w:t>
      </w:r>
      <w:r>
        <w:t xml:space="preserve">navigate the world using the same fundamental device that evolution has</w:t>
      </w:r>
      <w:r>
        <w:t xml:space="preserve"> </w:t>
      </w:r>
      <w:r>
        <w:t xml:space="preserve">provided to humans: trust. And ultimately, the question is not if we</w:t>
      </w:r>
      <w:r>
        <w:t xml:space="preserve"> </w:t>
      </w:r>
      <w:r>
        <w:t xml:space="preserve">should trust AIs, but rather how AIs will trust us.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50" w:name="references"/>
      <w:bookmarkEnd w:id="50"/>
      <w:r>
        <w:t xml:space="preserve">References</w:t>
      </w:r>
    </w:p>
    <w:p>
      <w:pPr>
        <w:pStyle w:val="FirstParagraph"/>
      </w:pPr>
      <w:r>
        <w:t xml:space="preserve">Kyburg, Henry E., and Judea Pearl. 1991.</w:t>
      </w:r>
      <w:r>
        <w:t xml:space="preserve"> </w:t>
      </w:r>
      <w:r>
        <w:t xml:space="preserve">“</w:t>
      </w:r>
      <w:r>
        <w:t xml:space="preserve">Probabilistic Reasoning in Intelligent Systems: Networks of Plausible Inference.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Philosophy</w:t>
      </w:r>
      <w:r>
        <w:t xml:space="preserve"> </w:t>
      </w:r>
      <w:r>
        <w:t xml:space="preserve">88 (8).</w:t>
      </w:r>
      <w:r>
        <w:t xml:space="preserve"> </w:t>
      </w:r>
      <w:r>
        <w:t xml:space="preserve">JSTOR</w:t>
      </w:r>
      <w:r>
        <w:t xml:space="preserve">: 434. doi:10.2307/2026705.</w:t>
      </w:r>
    </w:p>
    <w:p>
      <w:pPr>
        <w:pStyle w:val="BodyText"/>
      </w:pPr>
      <w:r>
        <w:t xml:space="preserve">Wölfer, Ralf, Kai S. Cortina, and Jürgen Baumert. 2012.</w:t>
      </w:r>
      <w:r>
        <w:t xml:space="preserve"> </w:t>
      </w:r>
      <w:r>
        <w:t xml:space="preserve">“</w:t>
      </w:r>
      <w:r>
        <w:t xml:space="preserve">Embeddedness and Empathy: How the Social Network Shapes Adolescents Social Understanding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Adolescence</w:t>
      </w:r>
      <w:r>
        <w:t xml:space="preserve"> </w:t>
      </w:r>
      <w:r>
        <w:t xml:space="preserve">35 (5). Elsevier</w:t>
      </w:r>
      <w:r>
        <w:t xml:space="preserve"> </w:t>
      </w:r>
      <w:r>
        <w:t xml:space="preserve">BV</w:t>
      </w:r>
      <w:r>
        <w:t xml:space="preserve">: 1295–1305. doi:10.1016/j.adolescence.2012.04.015.</w:t>
      </w:r>
    </w:p>
    <w:p>
      <w:pPr>
        <w:pStyle w:val="BodyText"/>
      </w:pPr>
      <w:r>
        <w:t xml:space="preserve">Liu, Yang-Yu, Jose C. Nacher, Tomoshiro Ochiai, Mauro Martino, and Yaniv Altshuler. 2014.</w:t>
      </w:r>
      <w:r>
        <w:t xml:space="preserve"> </w:t>
      </w:r>
      <w:r>
        <w:t xml:space="preserve">“</w:t>
      </w:r>
      <w:r>
        <w:t xml:space="preserve">Prospect Theory for Online Financial Trading</w:t>
      </w:r>
      <w:r>
        <w:t xml:space="preserve">”</w:t>
      </w:r>
      <w:r>
        <w:t xml:space="preserve">. Edited by Tobias Preis.</w:t>
      </w:r>
      <w:r>
        <w:t xml:space="preserve"> </w:t>
      </w:r>
      <w:r>
        <w:rPr>
          <w:i/>
        </w:rPr>
        <w:t xml:space="preserve">PLoS</w:t>
      </w:r>
      <w:r>
        <w:rPr>
          <w:i/>
        </w:rPr>
        <w:t xml:space="preserve"> </w:t>
      </w:r>
      <w:r>
        <w:rPr>
          <w:i/>
        </w:rPr>
        <w:t xml:space="preserve">ONE</w:t>
      </w:r>
      <w:r>
        <w:t xml:space="preserve"> </w:t>
      </w:r>
      <w:r>
        <w:t xml:space="preserve">9 (10). Public Library of Science (</w:t>
      </w:r>
      <w:r>
        <w:t xml:space="preserve">PLoS</w:t>
      </w:r>
      <w:r>
        <w:t xml:space="preserve">): e109458. doi:10.1371/journal.pone.0109458.</w:t>
      </w:r>
    </w:p>
    <w:p>
      <w:pPr>
        <w:pStyle w:val="BodyText"/>
      </w:pPr>
      <w:r>
        <w:t xml:space="preserve">Engelbart, Douglas C. 1995.</w:t>
      </w:r>
      <w:r>
        <w:t xml:space="preserve"> </w:t>
      </w:r>
      <w:r>
        <w:t xml:space="preserve">“</w:t>
      </w:r>
      <w:r>
        <w:t xml:space="preserve">Toward Augmenting the Human Intellect and Boosting Our Collective</w:t>
      </w:r>
      <w:r>
        <w:t xml:space="preserve"> </w:t>
      </w:r>
      <w:r>
        <w:t xml:space="preserve">IQ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Communications of the</w:t>
      </w:r>
      <w:r>
        <w:rPr>
          <w:i/>
        </w:rPr>
        <w:t xml:space="preserve"> </w:t>
      </w:r>
      <w:r>
        <w:rPr>
          <w:i/>
        </w:rPr>
        <w:t xml:space="preserve">ACM</w:t>
      </w:r>
      <w:r>
        <w:t xml:space="preserve"> </w:t>
      </w:r>
      <w:r>
        <w:t xml:space="preserve">38 (8). Association for Computing Machinery (</w:t>
      </w:r>
      <w:r>
        <w:t xml:space="preserve">ACM</w:t>
      </w:r>
      <w:r>
        <w:t xml:space="preserve">): 30–32. doi:10.1145/208344.208352.</w:t>
      </w:r>
    </w:p>
    <w:p>
      <w:pPr>
        <w:pStyle w:val="BodyText"/>
      </w:pPr>
      <w:r>
        <w:t xml:space="preserve">Fareri, DS, LJ Chang, and MR Delgado. 2015.</w:t>
      </w:r>
      <w:r>
        <w:t xml:space="preserve"> </w:t>
      </w:r>
      <w:r>
        <w:t xml:space="preserve">“</w:t>
      </w:r>
      <w:r>
        <w:t xml:space="preserve">Computational Substrates of Social Value in Interpersonal Collaboration.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Neurosci</w:t>
      </w:r>
      <w:r>
        <w:t xml:space="preserve"> </w:t>
      </w:r>
      <w:r>
        <w:t xml:space="preserve">35: 8170–80.</w:t>
      </w:r>
    </w:p>
    <w:p>
      <w:pPr>
        <w:pStyle w:val="BodyText"/>
      </w:pPr>
      <w:r>
        <w:t xml:space="preserve">Venegas, Percy. n.d.</w:t>
      </w:r>
      <w:r>
        <w:t xml:space="preserve"> </w:t>
      </w:r>
      <w:r>
        <w:t xml:space="preserve">“</w:t>
      </w:r>
      <w:r>
        <w:t xml:space="preserve">Trust Asymmetry</w:t>
      </w:r>
      <w:r>
        <w:t xml:space="preserve">”</w:t>
      </w:r>
      <w:r>
        <w:t xml:space="preserve">. Authorea Inc. doi:10.22541/au.151979448.82088697.</w:t>
      </w:r>
    </w:p>
    <w:p>
      <w:pPr>
        <w:pStyle w:val="BodyText"/>
      </w:pPr>
      <w:r>
        <w:t xml:space="preserve">Taleb, N. N., and R. Douady. 2013.</w:t>
      </w:r>
      <w:r>
        <w:t xml:space="preserve"> </w:t>
      </w:r>
      <w:r>
        <w:t xml:space="preserve">“</w:t>
      </w:r>
      <w:r>
        <w:t xml:space="preserve">Mathematical Definition Mapping, and Detection of (Anti)Fragility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Quantitative Finance</w:t>
      </w:r>
      <w:r>
        <w:t xml:space="preserve"> </w:t>
      </w:r>
      <w:r>
        <w:t xml:space="preserve">13 (11). Informa</w:t>
      </w:r>
      <w:r>
        <w:t xml:space="preserve"> </w:t>
      </w:r>
      <w:r>
        <w:t xml:space="preserve">UK</w:t>
      </w:r>
      <w:r>
        <w:t xml:space="preserve"> </w:t>
      </w:r>
      <w:r>
        <w:t xml:space="preserve">Limited: 1677–89. doi:10.1080/14697688.2013.800219.</w:t>
      </w:r>
    </w:p>
    <w:p>
      <w:pPr>
        <w:pStyle w:val="BodyText"/>
      </w:pPr>
      <w:r>
        <w:t xml:space="preserve">Blankenship, Joe. 2017.</w:t>
      </w:r>
      <w:r>
        <w:t xml:space="preserve"> </w:t>
      </w:r>
      <w:r>
        <w:t xml:space="preserve">“</w:t>
      </w:r>
      <w:r>
        <w:t xml:space="preserve">Forging Blockchains: Spatial Production and Political Economy of Decentralized Cryptocurrency Code Spaces</w:t>
      </w:r>
      <w:r>
        <w:t xml:space="preserve">”</w:t>
      </w:r>
      <w:r>
        <w:t xml:space="preserve">. Master’s thesis, University of South Florida.</w:t>
      </w:r>
    </w:p>
    <w:p>
      <w:pPr>
        <w:pStyle w:val="BodyText"/>
      </w:pPr>
      <w:r>
        <w:t xml:space="preserve">“</w:t>
      </w:r>
      <w:r>
        <w:t xml:space="preserve">Foreword: Coase and the Theory of the Firm</w:t>
      </w:r>
      <w:r>
        <w:t xml:space="preserve">”</w:t>
      </w:r>
      <w:r>
        <w:t xml:space="preserve">. 2014.</w:t>
      </w:r>
      <w:r>
        <w:t xml:space="preserve"> </w:t>
      </w:r>
      <w:r>
        <w:rPr>
          <w:i/>
        </w:rPr>
        <w:t xml:space="preserve">Managerial and Decision Economics</w:t>
      </w:r>
      <w:r>
        <w:t xml:space="preserve"> </w:t>
      </w:r>
      <w:r>
        <w:t xml:space="preserve">36 (1). Wiley: 1–1. doi:10.1002/mde.2700.</w:t>
      </w:r>
    </w:p>
    <w:p>
      <w:pPr>
        <w:pStyle w:val="BodyText"/>
      </w:pPr>
      <w:r>
        <w:t xml:space="preserve">Prigogine, Ilya, Isabelle Stengers, and Heinz R. Pagels. 1985.</w:t>
      </w:r>
      <w:r>
        <w:t xml:space="preserve"> </w:t>
      </w:r>
      <w:r>
        <w:t xml:space="preserve">“</w:t>
      </w:r>
      <w:r>
        <w:t xml:space="preserve">Order out of Chaos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Physics Today</w:t>
      </w:r>
      <w:r>
        <w:t xml:space="preserve"> </w:t>
      </w:r>
      <w:r>
        <w:t xml:space="preserve">38 (1).</w:t>
      </w:r>
      <w:r>
        <w:t xml:space="preserve"> </w:t>
      </w:r>
      <w:r>
        <w:t xml:space="preserve">AIP</w:t>
      </w:r>
      <w:r>
        <w:t xml:space="preserve"> </w:t>
      </w:r>
      <w:r>
        <w:t xml:space="preserve">Publishing: 97–99. doi:10.1063/1.2813716.</w:t>
      </w:r>
    </w:p>
    <w:p>
      <w:pPr>
        <w:pStyle w:val="BodyText"/>
      </w:pPr>
      <w:r>
        <w:t xml:space="preserve">Menezes, Telmo, and Camille Roth. 2014.</w:t>
      </w:r>
      <w:r>
        <w:t xml:space="preserve"> </w:t>
      </w:r>
      <w:r>
        <w:t xml:space="preserve">“</w:t>
      </w:r>
      <w:r>
        <w:t xml:space="preserve">Symbolic Regression of Generative Network Models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t xml:space="preserve">4 (1). Springer Nature. doi:10.1038/srep06284.</w:t>
      </w:r>
    </w:p>
    <w:p>
      <w:pPr>
        <w:pStyle w:val="BodyText"/>
      </w:pPr>
      <w:r>
        <w:t xml:space="preserve">Venegas, Percy. n.d.</w:t>
      </w:r>
      <w:r>
        <w:t xml:space="preserve"> </w:t>
      </w:r>
      <w:r>
        <w:t xml:space="preserve">“</w:t>
      </w:r>
      <w:r>
        <w:t xml:space="preserve">On the Sources of Systemic Risk in Cryptocurrency Markets</w:t>
      </w:r>
      <w:r>
        <w:t xml:space="preserve">”</w:t>
      </w:r>
      <w:r>
        <w:t xml:space="preserve">. Authorea Inc. doi:10.22541/au.152074266.61910113.</w:t>
      </w:r>
    </w:p>
    <w:p>
      <w:pPr>
        <w:pStyle w:val="BodyText"/>
      </w:pPr>
      <w:r>
        <w:t xml:space="preserve">el Alaoui, Abdelkader O., Ginanjar Dewandaru, Saiful Azhar Rosly, and Mansur Masih. 2015.</w:t>
      </w:r>
      <w:r>
        <w:t xml:space="preserve"> </w:t>
      </w:r>
      <w:r>
        <w:t xml:space="preserve">“</w:t>
      </w:r>
      <w:r>
        <w:t xml:space="preserve">Linkages and Co-Movement between International Stock Market Returns: Case of Dow Jones Islamic Dubai Financial Market Index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International Financial Markets Institutions and Money</w:t>
      </w:r>
      <w:r>
        <w:t xml:space="preserve"> </w:t>
      </w:r>
      <w:r>
        <w:t xml:space="preserve">36 (May). Elsevier</w:t>
      </w:r>
      <w:r>
        <w:t xml:space="preserve"> </w:t>
      </w:r>
      <w:r>
        <w:t xml:space="preserve">BV</w:t>
      </w:r>
      <w:r>
        <w:t xml:space="preserve">: 53–70. doi:10.1016/j.intfin.2014.12.004.</w:t>
      </w:r>
    </w:p>
    <w:p>
      <w:pPr>
        <w:pStyle w:val="BodyText"/>
      </w:pPr>
      <w:r>
        <w:t xml:space="preserve">Nagayev, Ruslan, Mustafa Disli, Koen Inghelbrecht, and Adam Ng. 2016.</w:t>
      </w:r>
      <w:r>
        <w:t xml:space="preserve"> </w:t>
      </w:r>
      <w:r>
        <w:t xml:space="preserve">“</w:t>
      </w:r>
      <w:r>
        <w:t xml:space="preserve">On the Dynamic Links between Commodities and Islamic Equity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Energy Economics</w:t>
      </w:r>
      <w:r>
        <w:t xml:space="preserve"> </w:t>
      </w:r>
      <w:r>
        <w:t xml:space="preserve">58 (August). Elsevier</w:t>
      </w:r>
      <w:r>
        <w:t xml:space="preserve"> </w:t>
      </w:r>
      <w:r>
        <w:t xml:space="preserve">BV</w:t>
      </w:r>
      <w:r>
        <w:t xml:space="preserve">: 125–40. doi:10.1016/j.eneco.2016.06.011.</w:t>
      </w:r>
    </w:p>
    <w:p>
      <w:pPr>
        <w:pStyle w:val="BodyText"/>
      </w:pPr>
      <w:r>
        <w:t xml:space="preserve">Auinger, Florian. 2015.</w:t>
      </w:r>
      <w:r>
        <w:t xml:space="preserve"> </w:t>
      </w:r>
      <w:r>
        <w:t xml:space="preserve">“</w:t>
      </w:r>
      <w:r>
        <w:t xml:space="preserve">VIX</w:t>
      </w:r>
      <w:r>
        <w:t xml:space="preserve"> </w:t>
      </w:r>
      <w:r>
        <w:t xml:space="preserve">Index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The Causal Relationship between the S</w:t>
      </w:r>
      <w:r>
        <w:rPr>
          <w:i/>
        </w:rPr>
        <w:t xml:space="preserve">&amp;</w:t>
      </w:r>
      <w:r>
        <w:rPr>
          <w:i/>
        </w:rPr>
        <w:t xml:space="preserve">P 500 and the</w:t>
      </w:r>
      <w:r>
        <w:rPr>
          <w:i/>
        </w:rPr>
        <w:t xml:space="preserve"> </w:t>
      </w:r>
      <w:r>
        <w:rPr>
          <w:i/>
        </w:rPr>
        <w:t xml:space="preserve">VIX</w:t>
      </w:r>
      <w:r>
        <w:rPr>
          <w:i/>
        </w:rPr>
        <w:t xml:space="preserve"> </w:t>
      </w:r>
      <w:r>
        <w:rPr>
          <w:i/>
        </w:rPr>
        <w:t xml:space="preserve">Index</w:t>
      </w:r>
      <w:r>
        <w:t xml:space="preserve">, 37–52. Springer Fachmedien Wiesbaden. doi:10.1007/978-3-658-08969-6_6.</w:t>
      </w:r>
    </w:p>
    <w:p>
      <w:pPr>
        <w:pStyle w:val="BodyText"/>
      </w:pPr>
      <w:r>
        <w:t xml:space="preserve">Brodersen, Kay H., Fabian Gallusser, Jim Koehler, Nicolas Remy, and Steven L. Scott. 2015.</w:t>
      </w:r>
      <w:r>
        <w:t xml:space="preserve"> </w:t>
      </w:r>
      <w:r>
        <w:t xml:space="preserve">“</w:t>
      </w:r>
      <w:r>
        <w:t xml:space="preserve">Inferring Causal Impact Using Bayesian Structural Time-Series Models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Annals of Applied Statistics</w:t>
      </w:r>
      <w:r>
        <w:t xml:space="preserve"> </w:t>
      </w:r>
      <w:r>
        <w:t xml:space="preserve">9 (1). Institute of Mathematical Statistics: 247–74. doi:10.1214/14-aoas788.</w:t>
      </w:r>
    </w:p>
    <w:p>
      <w:pPr>
        <w:pStyle w:val="BodyText"/>
      </w:pPr>
      <w:r>
        <w:t xml:space="preserve">Vladislavleva, Ekaterina, Guido Smits, and Mark Kotanchek. 2015.</w:t>
      </w:r>
      <w:r>
        <w:t xml:space="preserve"> </w:t>
      </w:r>
      <w:r>
        <w:t xml:space="preserve">“</w:t>
      </w:r>
      <w:r>
        <w:t xml:space="preserve">Computational Intelligence in Industrial Applications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Springer Handbook of Computational Intelligence</w:t>
      </w:r>
      <w:r>
        <w:t xml:space="preserve">, 1143–57. Springer Berlin Heidelberg. doi:10.1007/978-3-662-43505-2_57.</w:t>
      </w:r>
    </w:p>
    <w:p>
      <w:pPr>
        <w:pStyle w:val="BodyText"/>
      </w:pPr>
      <w:r>
        <w:t xml:space="preserve">———. 2015.</w:t>
      </w:r>
      <w:r>
        <w:t xml:space="preserve"> </w:t>
      </w:r>
      <w:r>
        <w:t xml:space="preserve">“</w:t>
      </w:r>
      <w:r>
        <w:t xml:space="preserve">Computational Intelligence in Industrial Applications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Springer Handbook of Computational Intelligence</w:t>
      </w:r>
      <w:r>
        <w:t xml:space="preserve">, 1143–57. Springer Berlin Heidelberg. doi:10.1007/978-3-662-43505-2_57.</w:t>
      </w:r>
    </w:p>
    <w:p>
      <w:pPr>
        <w:pStyle w:val="BodyText"/>
      </w:pPr>
      <w:r>
        <w:t xml:space="preserve">Lawyer, Glenn. 2015.</w:t>
      </w:r>
      <w:r>
        <w:t xml:space="preserve"> </w:t>
      </w:r>
      <w:r>
        <w:t xml:space="preserve">“</w:t>
      </w:r>
      <w:r>
        <w:t xml:space="preserve">Understanding the Influence of All Nodes in a Network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t xml:space="preserve">5 (1). Springer Nature. doi:10.1038/srep08665.</w:t>
      </w:r>
    </w:p>
    <w:p>
      <w:pPr>
        <w:pStyle w:val="BodyText"/>
      </w:pPr>
      <w:r>
        <w:t xml:space="preserve">Č</w:t>
      </w:r>
      <w:r>
        <w:t xml:space="preserve">i</w:t>
      </w:r>
      <w:r>
        <w:t xml:space="preserve">ž</w:t>
      </w:r>
      <w:r>
        <w:t xml:space="preserve">insk</w:t>
      </w:r>
      <w:r>
        <w:t xml:space="preserve">á</w:t>
      </w:r>
      <w:r>
        <w:t xml:space="preserve">, Romana, Tom</w:t>
      </w:r>
      <w:r>
        <w:t xml:space="preserve">á</w:t>
      </w:r>
      <w:r>
        <w:t xml:space="preserve">š</w:t>
      </w:r>
      <w:r>
        <w:t xml:space="preserve"> </w:t>
      </w:r>
      <w:r>
        <w:t xml:space="preserve">Krabec, and Percy Venegas. 2016.</w:t>
      </w:r>
      <w:r>
        <w:t xml:space="preserve"> </w:t>
      </w:r>
      <w:r>
        <w:t xml:space="preserve">“</w:t>
      </w:r>
      <w:r>
        <w:t xml:space="preserve">FieldsRank</w:t>
      </w:r>
      <w:r>
        <w:t xml:space="preserve">: The Network Value of the Firm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International Advances in Economic Research</w:t>
      </w:r>
      <w:r>
        <w:t xml:space="preserve"> </w:t>
      </w:r>
      <w:r>
        <w:t xml:space="preserve">22 (4). Springer Nature: 461–63. doi:10.1007/s11294-016-9604-x.</w:t>
      </w:r>
    </w:p>
    <w:p>
      <w:pPr>
        <w:pStyle w:val="BodyText"/>
      </w:pPr>
      <w:r>
        <w:t xml:space="preserve">Rao, Venkatesh. n.d.</w:t>
      </w:r>
      <w:r>
        <w:t xml:space="preserve"> </w:t>
      </w:r>
      <w:r>
        <w:t xml:space="preserve">“</w:t>
      </w:r>
      <w:r>
        <w:t xml:space="preserve">Blockchains Never Forget</w:t>
      </w:r>
      <w:r>
        <w:t xml:space="preserve">”</w:t>
      </w:r>
      <w:r>
        <w:t xml:space="preserve">.</w:t>
      </w:r>
      <w:r>
        <w:t xml:space="preserve"> </w:t>
      </w:r>
      <w:hyperlink r:id="rId51">
        <w:r>
          <w:rPr>
            <w:rStyle w:val="Hyperlink"/>
          </w:rPr>
          <w:t xml:space="preserve">https://www.ribbonfarm.com/2017/05/25/blockchains-never-forget/.</w:t>
        </w:r>
      </w:hyperlink>
      <w:r>
        <w:t xml:space="preserve"> </w:t>
      </w:r>
      <w:hyperlink r:id="rId51">
        <w:r>
          <w:rPr>
            <w:rStyle w:val="Hyperlink"/>
          </w:rPr>
          <w:t xml:space="preserve">https://www.ribbonfarm.com/2017/05/25/blockchains-never-forget/.</w:t>
        </w:r>
      </w:hyperlink>
    </w:p>
    <w:p>
      <w:pPr>
        <w:pStyle w:val="BodyText"/>
      </w:pPr>
      <w:r>
        <w:t xml:space="preserve">Reynolds, Robert, and Dapeng Liu. 2011.</w:t>
      </w:r>
      <w:r>
        <w:t xml:space="preserve"> </w:t>
      </w:r>
      <w:r>
        <w:t xml:space="preserve">“</w:t>
      </w:r>
      <w:r>
        <w:t xml:space="preserve">Multi-Objective Cultural Algorithms</w:t>
      </w:r>
      <w:r>
        <w:t xml:space="preserve">”</w:t>
      </w:r>
      <w:r>
        <w:t xml:space="preserve">. In</w:t>
      </w:r>
      <w:r>
        <w:t xml:space="preserve"> </w:t>
      </w:r>
      <w:r>
        <w:rPr>
          <w:i/>
        </w:rPr>
        <w:t xml:space="preserve">2011</w:t>
      </w:r>
      <w:r>
        <w:rPr>
          <w:i/>
        </w:rPr>
        <w:t xml:space="preserve"> </w:t>
      </w:r>
      <w:r>
        <w:rPr>
          <w:i/>
        </w:rPr>
        <w:t xml:space="preserve">IEEE</w:t>
      </w:r>
      <w:r>
        <w:rPr>
          <w:i/>
        </w:rPr>
        <w:t xml:space="preserve"> </w:t>
      </w:r>
      <w:r>
        <w:rPr>
          <w:i/>
        </w:rPr>
        <w:t xml:space="preserve">Congress of Evolutionary Computation (</w:t>
      </w:r>
      <w:r>
        <w:rPr>
          <w:i/>
        </w:rPr>
        <w:t xml:space="preserve">CEC</w:t>
      </w:r>
      <w:r>
        <w:rPr>
          <w:i/>
        </w:rPr>
        <w:t xml:space="preserve">)</w:t>
      </w:r>
      <w:r>
        <w:t xml:space="preserve">.</w:t>
      </w:r>
      <w:r>
        <w:t xml:space="preserve"> </w:t>
      </w:r>
      <w:r>
        <w:t xml:space="preserve">IEEE</w:t>
      </w:r>
      <w:r>
        <w:t xml:space="preserve">. doi:10.1109/cec.2011.5949757.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a9a268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26" Target="media/rId26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39" Target="media/rId39.png" /><Relationship Type="http://schemas.openxmlformats.org/officeDocument/2006/relationships/image" Id="rId37" Target="media/rId37.png" /><Relationship Type="http://schemas.openxmlformats.org/officeDocument/2006/relationships/image" Id="rId33" Target="media/rId33.png" /><Relationship Type="http://schemas.openxmlformats.org/officeDocument/2006/relationships/image" Id="rId44" Target="media/rId44.png" /><Relationship Type="http://schemas.openxmlformats.org/officeDocument/2006/relationships/hyperlink" Id="rId51" Target="https://www.ribbonfarm.com/2017/05/25/blockchains-never-forget/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1" Target="https://www.ribbonfarm.com/2017/05/25/blockchains-never-forget/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Asymmetric Trust and Causal Reasoning in Blockchain-based AIs</dc:title>
  <dc:creator>Percy Venegas</dc:creator>
  <dcterms:created xsi:type="dcterms:W3CDTF">2018-11-04T22:51:32Z</dcterms:created>
  <dcterms:modified xsi:type="dcterms:W3CDTF">2018-11-04T22:51:32Z</dcterms:modified>
</cp:coreProperties>
</file>