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A8B21" w14:textId="77777777" w:rsidR="00113140" w:rsidRDefault="00113140" w:rsidP="00113140">
      <w:pPr>
        <w:pStyle w:val="Heading1"/>
        <w:spacing w:line="480" w:lineRule="auto"/>
      </w:pPr>
      <w:bookmarkStart w:id="0" w:name="_Hlk136339751"/>
      <w:r>
        <w:t xml:space="preserve">Title: </w:t>
      </w:r>
    </w:p>
    <w:p w14:paraId="37981986" w14:textId="77777777" w:rsidR="00113140" w:rsidRDefault="00113140" w:rsidP="00113140">
      <w:pPr>
        <w:spacing w:line="480" w:lineRule="auto"/>
        <w:rPr>
          <w:b/>
          <w:bCs/>
          <w:sz w:val="28"/>
          <w:szCs w:val="28"/>
        </w:rPr>
      </w:pPr>
      <w:r>
        <w:rPr>
          <w:b/>
          <w:bCs/>
          <w:sz w:val="28"/>
          <w:szCs w:val="28"/>
        </w:rPr>
        <w:t xml:space="preserve">Gut microbial assembly among freshwater Atlantic salmon reared in a natural stream system during a simulated farm escape and introgression </w:t>
      </w:r>
      <w:proofErr w:type="gramStart"/>
      <w:r>
        <w:rPr>
          <w:b/>
          <w:bCs/>
          <w:sz w:val="28"/>
          <w:szCs w:val="28"/>
        </w:rPr>
        <w:t>event</w:t>
      </w:r>
      <w:proofErr w:type="gramEnd"/>
      <w:r>
        <w:rPr>
          <w:b/>
          <w:bCs/>
          <w:sz w:val="28"/>
          <w:szCs w:val="28"/>
        </w:rPr>
        <w:t xml:space="preserve"> </w:t>
      </w:r>
    </w:p>
    <w:p w14:paraId="61180DC8" w14:textId="77777777" w:rsidR="00113140" w:rsidRDefault="00113140" w:rsidP="00113140">
      <w:pPr>
        <w:pStyle w:val="Heading2"/>
      </w:pPr>
      <w:r w:rsidRPr="00BA361D">
        <w:t xml:space="preserve">Running Title: </w:t>
      </w:r>
    </w:p>
    <w:p w14:paraId="72D5A545" w14:textId="77777777" w:rsidR="00113140" w:rsidRDefault="00113140" w:rsidP="00113140">
      <w:pPr>
        <w:spacing w:line="480" w:lineRule="auto"/>
        <w:rPr>
          <w:b/>
          <w:bCs/>
          <w:sz w:val="24"/>
          <w:szCs w:val="24"/>
        </w:rPr>
      </w:pPr>
      <w:r w:rsidRPr="00BA361D">
        <w:rPr>
          <w:b/>
          <w:bCs/>
          <w:sz w:val="24"/>
          <w:szCs w:val="24"/>
        </w:rPr>
        <w:t>Gut microbial assembly in Atlantic salmon</w:t>
      </w:r>
    </w:p>
    <w:p w14:paraId="09322C53" w14:textId="77777777" w:rsidR="00113140" w:rsidRPr="00BA361D" w:rsidRDefault="00113140" w:rsidP="00113140">
      <w:pPr>
        <w:pStyle w:val="Heading2"/>
      </w:pPr>
      <w:r>
        <w:t>Authors:</w:t>
      </w:r>
    </w:p>
    <w:p w14:paraId="64DB2120" w14:textId="77777777" w:rsidR="00113140" w:rsidRDefault="00113140" w:rsidP="00113140">
      <w:pPr>
        <w:spacing w:line="480" w:lineRule="auto"/>
        <w:rPr>
          <w:rFonts w:cs="Calibri"/>
          <w:color w:val="000000"/>
        </w:rPr>
      </w:pPr>
      <w:r>
        <w:rPr>
          <w:rFonts w:cs="Calibri"/>
          <w:color w:val="000000"/>
        </w:rPr>
        <w:t>Patrick Schaal</w:t>
      </w:r>
      <w:r w:rsidRPr="00711387">
        <w:rPr>
          <w:rFonts w:cs="Calibri"/>
          <w:color w:val="000000"/>
          <w:vertAlign w:val="superscript"/>
        </w:rPr>
        <w:t>123</w:t>
      </w:r>
      <w:r>
        <w:rPr>
          <w:rFonts w:cs="Calibri"/>
          <w:color w:val="000000"/>
        </w:rPr>
        <w:t>, Bachar Cheaib</w:t>
      </w:r>
      <w:r w:rsidRPr="00711387">
        <w:rPr>
          <w:rFonts w:cs="Calibri"/>
          <w:color w:val="000000"/>
          <w:vertAlign w:val="superscript"/>
        </w:rPr>
        <w:t>1</w:t>
      </w:r>
      <w:r>
        <w:rPr>
          <w:rFonts w:cs="Calibri"/>
          <w:color w:val="000000"/>
        </w:rPr>
        <w:t>, Chloe Heys</w:t>
      </w:r>
      <w:r w:rsidRPr="00711387">
        <w:rPr>
          <w:rFonts w:cs="Calibri"/>
          <w:color w:val="000000"/>
          <w:vertAlign w:val="superscript"/>
        </w:rPr>
        <w:t>1</w:t>
      </w:r>
      <w:r>
        <w:rPr>
          <w:rFonts w:cs="Calibri"/>
          <w:color w:val="000000"/>
        </w:rPr>
        <w:t xml:space="preserve">, </w:t>
      </w:r>
      <w:proofErr w:type="spellStart"/>
      <w:r>
        <w:rPr>
          <w:rFonts w:cs="Calibri"/>
          <w:color w:val="000000"/>
        </w:rPr>
        <w:t>Joshka</w:t>
      </w:r>
      <w:proofErr w:type="spellEnd"/>
      <w:r>
        <w:rPr>
          <w:rFonts w:cs="Calibri"/>
          <w:color w:val="000000"/>
        </w:rPr>
        <w:t xml:space="preserve"> Kaufmann</w:t>
      </w:r>
      <w:r w:rsidRPr="00711387">
        <w:rPr>
          <w:rFonts w:cs="Calibri"/>
          <w:color w:val="000000"/>
          <w:vertAlign w:val="superscript"/>
        </w:rPr>
        <w:t>23</w:t>
      </w:r>
      <w:r>
        <w:rPr>
          <w:rFonts w:cs="Calibri"/>
          <w:color w:val="000000"/>
        </w:rPr>
        <w:t>, Karl Phillips</w:t>
      </w:r>
      <w:r w:rsidRPr="00711387">
        <w:rPr>
          <w:rFonts w:cs="Calibri"/>
          <w:color w:val="000000"/>
          <w:vertAlign w:val="superscript"/>
        </w:rPr>
        <w:t>23</w:t>
      </w:r>
      <w:r>
        <w:rPr>
          <w:rFonts w:cs="Calibri"/>
          <w:color w:val="000000"/>
        </w:rPr>
        <w:t>, Liz Ryder</w:t>
      </w:r>
      <w:r w:rsidRPr="00711387">
        <w:rPr>
          <w:rFonts w:cs="Calibri"/>
          <w:color w:val="000000"/>
          <w:vertAlign w:val="superscript"/>
        </w:rPr>
        <w:t>23</w:t>
      </w:r>
      <w:r>
        <w:rPr>
          <w:rFonts w:cs="Calibri"/>
          <w:color w:val="000000"/>
        </w:rPr>
        <w:t>, Phil McGinnity</w:t>
      </w:r>
      <w:r w:rsidRPr="00711387">
        <w:rPr>
          <w:rFonts w:cs="Calibri"/>
          <w:color w:val="000000"/>
          <w:vertAlign w:val="superscript"/>
        </w:rPr>
        <w:t>23</w:t>
      </w:r>
      <w:r>
        <w:rPr>
          <w:rFonts w:cs="Calibri"/>
          <w:color w:val="000000"/>
        </w:rPr>
        <w:t>, Martin Llewellyn</w:t>
      </w:r>
      <w:r w:rsidRPr="00711387">
        <w:rPr>
          <w:rFonts w:cs="Calibri"/>
          <w:color w:val="000000"/>
          <w:vertAlign w:val="superscript"/>
        </w:rPr>
        <w:t>1</w:t>
      </w:r>
    </w:p>
    <w:p w14:paraId="4592B293" w14:textId="77777777" w:rsidR="00113140" w:rsidRDefault="00113140" w:rsidP="00113140">
      <w:pPr>
        <w:spacing w:after="0" w:line="480" w:lineRule="auto"/>
        <w:rPr>
          <w:rFonts w:cs="Calibri"/>
        </w:rPr>
      </w:pPr>
      <w:r w:rsidRPr="00711387">
        <w:rPr>
          <w:rFonts w:cs="Calibri"/>
          <w:color w:val="000000"/>
          <w:vertAlign w:val="superscript"/>
        </w:rPr>
        <w:t>1</w:t>
      </w:r>
      <w:r>
        <w:rPr>
          <w:rFonts w:cs="Calibri"/>
          <w:color w:val="000000"/>
        </w:rPr>
        <w:t xml:space="preserve"> </w:t>
      </w:r>
      <w:r>
        <w:rPr>
          <w:rFonts w:cs="Calibri"/>
        </w:rPr>
        <w:t>Institute of Biodiversity Animal Health and Comparative Medicine, University of Glasgow, UK</w:t>
      </w:r>
    </w:p>
    <w:p w14:paraId="27D98519" w14:textId="77777777" w:rsidR="00113140" w:rsidRDefault="00113140" w:rsidP="00113140">
      <w:pPr>
        <w:spacing w:after="0" w:line="480" w:lineRule="auto"/>
        <w:rPr>
          <w:rFonts w:cs="Calibri"/>
        </w:rPr>
      </w:pPr>
      <w:r w:rsidRPr="00711387">
        <w:rPr>
          <w:rFonts w:cs="Calibri"/>
          <w:color w:val="000000"/>
          <w:vertAlign w:val="superscript"/>
        </w:rPr>
        <w:t>2</w:t>
      </w:r>
      <w:r>
        <w:rPr>
          <w:rFonts w:cs="Calibri"/>
          <w:color w:val="000000"/>
        </w:rPr>
        <w:t xml:space="preserve"> </w:t>
      </w:r>
      <w:r>
        <w:rPr>
          <w:rFonts w:cs="Calibri"/>
        </w:rPr>
        <w:t>School of Biological Earth and Environmental Sciences, University College Cork, Ireland</w:t>
      </w:r>
    </w:p>
    <w:p w14:paraId="5ED3E5CC" w14:textId="77777777" w:rsidR="00113140" w:rsidRPr="00BA361D" w:rsidRDefault="00113140" w:rsidP="00113140">
      <w:pPr>
        <w:spacing w:after="0" w:line="480" w:lineRule="auto"/>
        <w:rPr>
          <w:rFonts w:cs="Calibri"/>
        </w:rPr>
      </w:pPr>
      <w:r w:rsidRPr="00711387">
        <w:rPr>
          <w:rFonts w:cs="Calibri"/>
          <w:color w:val="000000"/>
          <w:vertAlign w:val="superscript"/>
        </w:rPr>
        <w:t>3</w:t>
      </w:r>
      <w:r w:rsidRPr="00711387">
        <w:rPr>
          <w:rFonts w:cs="Calibri"/>
        </w:rPr>
        <w:t xml:space="preserve"> </w:t>
      </w:r>
      <w:r>
        <w:rPr>
          <w:rFonts w:cs="Calibri"/>
        </w:rPr>
        <w:t>Marine Institute, Newport, Ireland</w:t>
      </w:r>
    </w:p>
    <w:p w14:paraId="0223BB86" w14:textId="77777777" w:rsidR="00113140" w:rsidRDefault="00113140" w:rsidP="00113140">
      <w:pPr>
        <w:pStyle w:val="Heading2"/>
      </w:pPr>
      <w:r>
        <w:t xml:space="preserve">Corresponding author: </w:t>
      </w:r>
    </w:p>
    <w:p w14:paraId="2FDDB32F" w14:textId="77777777" w:rsidR="00113140" w:rsidRPr="00113140" w:rsidRDefault="00113140" w:rsidP="00113140">
      <w:pPr>
        <w:pStyle w:val="Heading2"/>
        <w:rPr>
          <w:sz w:val="24"/>
          <w:szCs w:val="24"/>
        </w:rPr>
      </w:pPr>
      <w:r w:rsidRPr="00113140">
        <w:rPr>
          <w:sz w:val="24"/>
          <w:szCs w:val="24"/>
        </w:rPr>
        <w:t>Patrick Schaal</w:t>
      </w:r>
    </w:p>
    <w:p w14:paraId="4F839653" w14:textId="67ECA4AA" w:rsidR="00113140" w:rsidRPr="000074A7" w:rsidRDefault="00113140" w:rsidP="000074A7">
      <w:pPr>
        <w:spacing w:after="0" w:line="480" w:lineRule="auto"/>
        <w:rPr>
          <w:rFonts w:cs="Calibri"/>
          <w:lang w:val="pt-BR"/>
        </w:rPr>
      </w:pPr>
      <w:r>
        <w:t xml:space="preserve">Email: </w:t>
      </w:r>
      <w:hyperlink r:id="rId7" w:history="1">
        <w:r w:rsidRPr="002B073A">
          <w:rPr>
            <w:rStyle w:val="Hyperlink"/>
            <w:rFonts w:cs="Calibri"/>
            <w:lang w:val="pt-BR"/>
          </w:rPr>
          <w:t>Patrick_schaal@gmx.de</w:t>
        </w:r>
      </w:hyperlink>
      <w:r w:rsidR="000074A7">
        <w:br w:type="page"/>
      </w:r>
    </w:p>
    <w:p w14:paraId="1BB41A47" w14:textId="5CA4DEF3" w:rsidR="00F77274" w:rsidRDefault="00F77274" w:rsidP="00F77274">
      <w:pPr>
        <w:pStyle w:val="Heading1"/>
        <w:spacing w:line="480" w:lineRule="auto"/>
      </w:pPr>
      <w:r>
        <w:lastRenderedPageBreak/>
        <w:t>Abstract</w:t>
      </w:r>
    </w:p>
    <w:p w14:paraId="5FD19C5E" w14:textId="68C1291E" w:rsidR="001301F3" w:rsidRDefault="001301F3" w:rsidP="001301F3">
      <w:pPr>
        <w:spacing w:line="480" w:lineRule="auto"/>
      </w:pPr>
      <w:r w:rsidRPr="001301F3">
        <w:t>Intestinal microbial communities are influenced by a confluence of ecological forces. Understanding the dynamics between environment, microbiota and host is essential to gain insights into microbial community assembly processes</w:t>
      </w:r>
      <w:r w:rsidR="008E1928">
        <w:t>. H</w:t>
      </w:r>
      <w:r w:rsidRPr="001301F3">
        <w:t xml:space="preserve">owever, few studies systematically assess the contribution of different environmental sources to gut microbial community composition. We used a common garden experiment to determine the roles of biotic, </w:t>
      </w:r>
      <w:proofErr w:type="gramStart"/>
      <w:r w:rsidRPr="001301F3">
        <w:t>abiotic</w:t>
      </w:r>
      <w:proofErr w:type="gramEnd"/>
      <w:r w:rsidRPr="001301F3">
        <w:t xml:space="preserve"> and stochastic processes shaping gut microbial communities in Atlantic salmon (</w:t>
      </w:r>
      <w:r w:rsidRPr="00353080">
        <w:rPr>
          <w:i/>
          <w:iCs/>
        </w:rPr>
        <w:t xml:space="preserve">Salmo </w:t>
      </w:r>
      <w:proofErr w:type="spellStart"/>
      <w:r w:rsidRPr="00353080">
        <w:rPr>
          <w:i/>
          <w:iCs/>
        </w:rPr>
        <w:t>salar</w:t>
      </w:r>
      <w:proofErr w:type="spellEnd"/>
      <w:r w:rsidRPr="001301F3">
        <w:t>) in a natural river during a simulated 10-month farm escape scenario. Most of the taxa found in the salmon intestine originated from macroinvertebrates</w:t>
      </w:r>
      <w:r w:rsidR="00353080">
        <w:t xml:space="preserve"> (the potential food source)</w:t>
      </w:r>
      <w:r w:rsidRPr="001301F3">
        <w:t xml:space="preserve"> rather than the water column, indicating that diet is an important factor in community assembly. The contribution of food sources to the fish gut community was lowest in winter and increased over March and May, reflecting seasonality in fish appetite. Previous work in salmon has hinted at a role for maternal effects in driving inter-generational sharing of microbial taxa. Our results suggest a possible host and/or maternal genetic effect affecting inter-individual differences in gut microbial community composition, whereby distinct assemblages were noted between farmed, wild and hybrid fish. Neutral modelling estimated that the majority (86%) of taxa present in the gut are transient. Overall, our data highlight the significance of both deterministic and stochastic drivers influencing the seasonal fluctuations of gut microbial communities in young Atlantic Salmon and hint at potential genetic or maternal effects on fish microbiota. These findings greatly enhance our understanding of the complex interactions between hosts, their living environment and associated microbiota.</w:t>
      </w:r>
    </w:p>
    <w:p w14:paraId="773E354C" w14:textId="4D5F8BEC" w:rsidR="009D522E" w:rsidRPr="009D522E" w:rsidRDefault="00711387" w:rsidP="009D522E">
      <w:pPr>
        <w:pStyle w:val="Heading1"/>
        <w:spacing w:line="480" w:lineRule="auto"/>
      </w:pPr>
      <w:r w:rsidRPr="009D522E">
        <w:t>Keywords</w:t>
      </w:r>
    </w:p>
    <w:p w14:paraId="258BC1AF" w14:textId="7C7AAF72" w:rsidR="00E47743" w:rsidRPr="00693859" w:rsidRDefault="00E47743" w:rsidP="009D522E">
      <w:pPr>
        <w:spacing w:line="480" w:lineRule="auto"/>
      </w:pPr>
      <w:r>
        <w:t xml:space="preserve">Hybrid Salmonids, Neutral Modelling, Core Microbiome, </w:t>
      </w:r>
      <w:r w:rsidR="00F00826">
        <w:t>Microbial Source Tracking</w:t>
      </w:r>
      <w:r w:rsidR="009D522E">
        <w:t xml:space="preserve">, Host Environment Microbiome Interaction, </w:t>
      </w:r>
      <w:r w:rsidR="00C22F42">
        <w:t>Freshwater</w:t>
      </w:r>
      <w:r w:rsidR="009D522E">
        <w:t xml:space="preserve"> Macroinvertebrate Microbiome</w:t>
      </w:r>
    </w:p>
    <w:bookmarkEnd w:id="0"/>
    <w:p w14:paraId="25ADB23E" w14:textId="77777777" w:rsidR="00AD63C0" w:rsidRDefault="00AD63C0" w:rsidP="00AD63C0">
      <w:pPr>
        <w:pStyle w:val="Heading1"/>
        <w:spacing w:line="480" w:lineRule="auto"/>
      </w:pPr>
      <w:r>
        <w:lastRenderedPageBreak/>
        <w:t xml:space="preserve">Introduction  </w:t>
      </w:r>
    </w:p>
    <w:p w14:paraId="139BB617" w14:textId="11CF3A93" w:rsidR="00AD63C0" w:rsidRDefault="00AD63C0" w:rsidP="00AD63C0">
      <w:pPr>
        <w:spacing w:line="480" w:lineRule="auto"/>
        <w:rPr>
          <w:rFonts w:cstheme="minorHAnsi"/>
        </w:rPr>
      </w:pPr>
      <w:r w:rsidRPr="001370A2">
        <w:rPr>
          <w:rFonts w:cstheme="minorHAnsi"/>
        </w:rPr>
        <w:t>Host-associated microbiota play a</w:t>
      </w:r>
      <w:r>
        <w:rPr>
          <w:rFonts w:cstheme="minorHAnsi"/>
        </w:rPr>
        <w:t xml:space="preserve"> vital</w:t>
      </w:r>
      <w:r w:rsidRPr="001370A2">
        <w:rPr>
          <w:rFonts w:cstheme="minorHAnsi"/>
        </w:rPr>
        <w:t xml:space="preserve"> role </w:t>
      </w:r>
      <w:r>
        <w:rPr>
          <w:rFonts w:cstheme="minorHAnsi"/>
        </w:rPr>
        <w:t>for host</w:t>
      </w:r>
      <w:r w:rsidRPr="001370A2">
        <w:rPr>
          <w:rFonts w:cstheme="minorHAnsi"/>
        </w:rPr>
        <w:t xml:space="preserve"> health</w:t>
      </w:r>
      <w:r>
        <w:rPr>
          <w:rFonts w:cstheme="minorHAnsi"/>
        </w:rPr>
        <w:t xml:space="preserve"> </w:t>
      </w:r>
      <w:r>
        <w:rPr>
          <w:rFonts w:cstheme="minorHAnsi"/>
        </w:rPr>
        <w:fldChar w:fldCharType="begin"/>
      </w:r>
      <w:r w:rsidR="00B65DE7">
        <w:rPr>
          <w:rFonts w:cstheme="minorHAnsi"/>
        </w:rPr>
        <w:instrText xml:space="preserve"> ADDIN ZOTERO_ITEM CSL_CITATION {"citationID":"eBXGyE2L","properties":{"formattedCitation":"(Di Maiuta et al., 2013; Ray et al., 2012)","plainCitation":"(Di Maiuta et al., 2013; Ray et al., 2012)","noteIndex":0},"citationItems":[{"id":560,"uris":["http://zotero.org/users/9227957/items/X6G2SYYN"],"itemData":{"id":560,"type":"article-journal","abstract":"Catfishes of the genus Panaque are known for their ability to feed on wood and hence to process cellulose fibres in their digestive systems. The paper industry uses cellulose fibres and thus has an interest in exploiting this property biomimetically: it could be employed as a pretreatment to lessen the energy required by the mechanical production stage of manufacturing nanocellulose fibres. Here, we characterize the diet-associated in situ microbial diversity and population dynamic in the faeces of catfish (Panaque sp.) exposed to consecutive diets of pellet food and then wood. Fish faeces samples were collected and investigated by parallel DNA deep amplicon sequencing of the bacterial 16S rRNA SSU for both diet conditions. The most frequently occurring bacterium in the faeces was Cetobacterium sp. The dominant cellulolytic bacterial genera found in ascending relative abundance were as follows: Aeromonas sp., Flavobacterium sp., Bacteroides sp., Pseudomonas sp. and Cellvibrio sp. Diet-associated changes in the faeces microbiome were noted for Flavobacterium sp. Extensive microbial diversity was found in catfish faeces, evidenced using culture-independent molecular techniques. No significant diet-associated effects on the microbiome in terms of biodiversity were observed in the catfish faeces, but diet-associated changes in the microbial population structure were observed. Significance and Impact of the Study Although catfishes are not classified as true xylivores, inhabiting their faeces are bacteria that may provide a novel source of cellulolytic enzyme. Based on this first microbiology study, the faeces and thus the gastrointestinal microbiome of Panaque catfishes are an unexplored reservoir of microbial extracts with enhanced polysaccharide transforming enzyme activity. The biomimetical exploitation of this cellulolytic activity in the form of novel enzymes or by applying a mixture of cellulolytic micro-organisms could accomplish a pretreatment to the mechanical production process of nanocellulose fibres, thus could reduce the energy consumption costs significantly.","container-title":"Letters in Applied Microbiology","DOI":"10.1111/lam.12061","ISSN":"1472-765X","issue":"6","language":"en","note":"_eprint: https://onlinelibrary.wiley.com/doi/pdf/10.1111/lam.12061","page":"401-407","source":"Wiley Online Library","title":"Microbial population dynamics in the faeces of wood-eating loricariid catfishes","volume":"56","author":[{"family":"Di Maiuta","given":"N."},{"family":"Schwarzentruber","given":"P."},{"family":"Schenker","given":"M."},{"family":"Schoelkopf","given":"J."}],"issued":{"date-parts":[["2013"]]}}},{"id":586,"uris":["http://zotero.org/users/9227957/items/XRQFMJEJ"],"itemData":{"id":586,"type":"article-journal","abstract":"Digestion of food depends on three main factors: (i) the ingested food and the extent to which the food is susceptible to the effects of digestive enzymes, (ii) the activity of the digestive enzymes and (iii) the length of time the food is exposed to the action of the digestive enzymes. Each of these factors is affected by a multitude of secondary factors. The present review highlights the experimental results on the secondary factor, enzymatic activity and possible contribution of the fish gut microbiota in nutrition. It has been suggested that fish gut microbiota might have positive effects to the digestive processes of fish, and these studies have isolated and identified the enzyme-producing microbiota. In addition to Bacillus genera, Enterobacteriaceae and Acinetobacter, Aeromonas, Flavobacterium, Photobacterium, Pseudomonas, Vibrio, Microbacterium, Micrococcus, Staphylococcus, unidentified anaerobes and yeast are also suggested to be possible contributors. However, in contrast to endothermic animals, it is difficult to conclude the exact contribution of the gastrointestinal microbiota because of the complexity and variable ecology of the digestive tract of different fish species, the presence of stomach and pyloric caeca and the relative intestinal length. The present review will critically evaluate the results to establish whether or not intestinal microbiota do contribute to fish nutrition.","container-title":"Aquaculture Nutrition","DOI":"10.1111/j.1365-2095.2012.00943.x","ISSN":"1365-2095","issue":"5","language":"en","note":"_eprint: https://onlinelibrary.wiley.com/doi/pdf/10.1111/j.1365-2095.2012.00943.x","page":"465-492","source":"Wiley Online Library","title":"Enzyme-producing bacteria isolated from fish gut: a review","title-short":"Enzyme-producing bacteria isolated from fish gut","volume":"18","author":[{"family":"Ray","given":"A.k."},{"family":"Ghosh","given":"K."},{"family":"Ringø","given":"E."}],"issued":{"date-parts":[["2012"]]}}}],"schema":"https://github.com/citation-style-language/schema/raw/master/csl-citation.json"} </w:instrText>
      </w:r>
      <w:r>
        <w:rPr>
          <w:rFonts w:cstheme="minorHAnsi"/>
        </w:rPr>
        <w:fldChar w:fldCharType="separate"/>
      </w:r>
      <w:r w:rsidR="00B65DE7" w:rsidRPr="00B65DE7">
        <w:rPr>
          <w:rFonts w:ascii="Calibri" w:hAnsi="Calibri" w:cs="Calibri"/>
        </w:rPr>
        <w:t>(Di Maiuta et al., 2013; Ray et al., 2012)</w:t>
      </w:r>
      <w:r>
        <w:rPr>
          <w:rFonts w:cstheme="minorHAnsi"/>
        </w:rPr>
        <w:fldChar w:fldCharType="end"/>
      </w:r>
      <w:r w:rsidRPr="001370A2">
        <w:rPr>
          <w:rFonts w:cstheme="minorHAnsi"/>
        </w:rPr>
        <w:t xml:space="preserve"> and development</w:t>
      </w:r>
      <w:r>
        <w:rPr>
          <w:rFonts w:cstheme="minorHAnsi"/>
        </w:rPr>
        <w:t xml:space="preserve"> </w:t>
      </w:r>
      <w:r>
        <w:rPr>
          <w:rFonts w:cstheme="minorHAnsi"/>
        </w:rPr>
        <w:fldChar w:fldCharType="begin"/>
      </w:r>
      <w:r w:rsidR="00B65DE7">
        <w:rPr>
          <w:rFonts w:cstheme="minorHAnsi"/>
        </w:rPr>
        <w:instrText xml:space="preserve"> ADDIN ZOTERO_ITEM CSL_CITATION {"citationID":"o7F5eGMM","properties":{"formattedCitation":"(Bates et al., 2006; Llewellyn et al., 2014; Sommer &amp; B\\uc0\\u228{}ckhed, 2013)","plainCitation":"(Bates et al., 2006; Llewellyn et al., 2014; Sommer &amp; Bäckhed, 2013)","noteIndex":0},"citationItems":[{"id":610,"uris":["http://zotero.org/users/9227957/items/VRBLY8E6"],"itemData":{"id":610,"type":"article-journal","abstract":"All animals exist in intimate associations with microorganisms that play important roles in the hosts' normal development and tissue physiology. In vertebrates, the most populous and complex community of microbes resides in the digestive tract. Here, we describe the establishment of the gut microbiota and its role in digestive tract differentiation in the zebrafish model vertebrate, Danio rerio. We find that in the absence of the microbiota, the gut epithelium is arrested in aspects of its differentiation, as revealed by the lack of brush border intestinal alkaline phosphatase activity, the maintenance of immature patterns of glycan expression and a paucity of goblet and enteroendocrine cells. In addition, germ-free intestines fail to take up protein macromolecules in the distal intestine and exhibit faster motility. Reintroduction of a complex microbiota at later stages of development or mono-association of germ-free larvae with individual constituents of the microbiota reverses all of these germ-free phenotypes. Exposure of germ-free zebrafish to heat-killed preparations of the microbiota or bacterial lipopolysaccharide is sufficient to restore alkaline phosphatase activity but not mature patterns of Galα1,3Gal containing glycans, indicating that the host perceives and responds to its associated microbiota by at least two distinct pathways.","container-title":"Developmental Biology","DOI":"10.1016/j.ydbio.2006.05.006","ISSN":"0012-1606","issue":"2","journalAbbreviation":"Developmental Biology","language":"en","page":"374-386","source":"ScienceDirect","title":"Distinct signals from the microbiota promote different aspects of zebrafish gut differentiation","volume":"297","author":[{"family":"Bates","given":"Jennifer M."},{"family":"Mittge","given":"Erika"},{"family":"Kuhlman","given":"Julie"},{"family":"Baden","given":"Katrina N."},{"family":"Cheesman","given":"Sarah E."},{"family":"Guillemin","given":"Karen"}],"issued":{"date-parts":[["2006",9,15]]}}},{"id":12,"uris":["http://zotero.org/users/9227957/items/2Z8MIRWE"],"itemData":{"id":12,"type":"article-journal","abstract":"Indigenous microbiota play a critical role in the lives of their vertebrate hosts. In human and mouse models it is increasingly clear that innate and adaptive immunity develop in close concert with the commensal microbiome. Furthermore, several aspects of digestion and nutrient metabolism are governed by intestinal microbiota. Research on teleosts has responded relatively slowly to the introduction of massively parallel sequencing procedures in microbiomics. Nonetheless, progress has been made in biotic and gnotobiotic zebrafish models, defining a core microbiome and describing its role in development. However, microbiome research in other teleost species, especially those important from an aquaculture perspective, has been relatively slow. In this review, we examine progress in teleost microbiome research to date. We discuss teleost microbiomes in health and disease, microbiome ontogeny, prospects for successful microbiome manipulation (especially in an aquaculture setting) and attempt to identify important future research themes. We predict an explosion in research in this sector in line with the increasing global demand for fish protein, and the need to find sustainable approaches to improve aquaculture yield. The reduced cost and increasing ease of next generation sequencing technologies provides the technological backing, and the next 10 years will be an exciting time for teleost microbiome research.","container-title":"Frontiers in Microbiology","ISSN":"1664-302X","source":"Frontiers","title":"Teleost microbiomes: the state of the art in their characterization, manipulation and importance in aquaculture and fisheries","title-short":"Teleost microbiomes","URL":"https://www.frontiersin.org/article/10.3389/fmicb.2014.00207","volume":"5","author":[{"family":"Llewellyn","given":"Martin S."},{"family":"Boutin","given":"Sébastien"},{"family":"Hoseinifar","given":"Seyed Hossein"},{"family":"Derome","given":"Nicolas"}],"accessed":{"date-parts":[["2022",3,19]]},"issued":{"date-parts":[["2014"]]}}},{"id":537,"uris":["http://zotero.org/users/9227957/items/YN4TJZAV"],"itemData":{"id":537,"type":"article-journal","abstract":"Animals are closely associated with a vast and diverse microbiota, most members of which reside in the gastrointestinal tract. Two gradients of microbial distribution exist in the gastrointestinal tract: the proximal–distal axis and the tissue–lumen axis.Several parameters, including diet, lifestyle, antibiotics and other drugs, hygiene, and the genetics and immune status of the host, shape the microbiota composition, with various consequences for host physiology.The gut microbiota is required for the development and maturation of the intestinal epithelium and immune system of the host. This microbiota affects properties of the mucus layer, promotes the development of lymphoid structures, modulates activation and differentiation of several lymphocyte populations and balances the production of immunoglobulin A and antimicrobial peptides.The gut microbiota facilitates host metabolism and adiposity by expanding nutrient sources, producing essential vitamins and carrying out xenobiotic metabolism, but also affects a wide range of other host physiological aspects, including organ morphogenesis, intestinal vascularization, tissue homeostasis, carcinogenesis, bone mass and behaviour.There is increasing evidence for a tight cross-species homeostatic interaction between the host and its microbiota, and research in this field has been facilitated by recent progress in the description and isolation of gut microbiota members, as well as in gnotobiology and host genetics. Elucidation of the molecular targets and causative connections in these host–microbiota interactions promises to reveal new possibilities to treat chronic inflammatory diseases and maintain human health.","container-title":"Nature Reviews Microbiology","DOI":"10.1038/nrmicro2974","ISSN":"1740-1534","issue":"4","journalAbbreviation":"Nat Rev Microbiol","language":"en","license":"2013 Nature Publishing Group, a division of Macmillan Publishers Limited. All Rights Reserved.","note":"number: 4\npublisher: Nature Publishing Group","page":"227-238","source":"www.nature.com","title":"The gut microbiota — masters of host development and physiology","volume":"11","author":[{"family":"Sommer","given":"Felix"},{"family":"Bäckhed","given":"Fredrik"}],"issued":{"date-parts":[["2013",4]]}}}],"schema":"https://github.com/citation-style-language/schema/raw/master/csl-citation.json"} </w:instrText>
      </w:r>
      <w:r>
        <w:rPr>
          <w:rFonts w:cstheme="minorHAnsi"/>
        </w:rPr>
        <w:fldChar w:fldCharType="separate"/>
      </w:r>
      <w:r w:rsidR="00B65DE7" w:rsidRPr="00B65DE7">
        <w:rPr>
          <w:rFonts w:ascii="Calibri" w:hAnsi="Calibri" w:cs="Calibri"/>
          <w:szCs w:val="24"/>
        </w:rPr>
        <w:t>(Bates et al., 2006; Llewellyn et al., 2014; Sommer &amp; Bäckhed, 2013)</w:t>
      </w:r>
      <w:r>
        <w:rPr>
          <w:rFonts w:cstheme="minorHAnsi"/>
        </w:rPr>
        <w:fldChar w:fldCharType="end"/>
      </w:r>
      <w:r w:rsidRPr="001370A2">
        <w:rPr>
          <w:rFonts w:cstheme="minorHAnsi"/>
        </w:rPr>
        <w:t xml:space="preserve">. Intestinal </w:t>
      </w:r>
      <w:r>
        <w:rPr>
          <w:rFonts w:cstheme="minorHAnsi"/>
        </w:rPr>
        <w:t>bacteria,</w:t>
      </w:r>
      <w:r w:rsidRPr="001370A2">
        <w:rPr>
          <w:rFonts w:cstheme="minorHAnsi"/>
        </w:rPr>
        <w:t xml:space="preserve"> for example</w:t>
      </w:r>
      <w:r>
        <w:rPr>
          <w:rFonts w:cstheme="minorHAnsi"/>
        </w:rPr>
        <w:t>,</w:t>
      </w:r>
      <w:r w:rsidRPr="001370A2">
        <w:rPr>
          <w:rFonts w:cstheme="minorHAnsi"/>
        </w:rPr>
        <w:t xml:space="preserve"> are known to </w:t>
      </w:r>
      <w:r>
        <w:rPr>
          <w:rFonts w:cstheme="minorHAnsi"/>
        </w:rPr>
        <w:t>facilitate</w:t>
      </w:r>
      <w:r w:rsidRPr="001370A2">
        <w:rPr>
          <w:rFonts w:cstheme="minorHAnsi"/>
        </w:rPr>
        <w:t xml:space="preserve"> digestion </w:t>
      </w:r>
      <w:r>
        <w:rPr>
          <w:rFonts w:cstheme="minorHAnsi"/>
        </w:rPr>
        <w:t>of</w:t>
      </w:r>
      <w:r w:rsidRPr="001370A2">
        <w:rPr>
          <w:rFonts w:cstheme="minorHAnsi"/>
        </w:rPr>
        <w:t xml:space="preserve"> otherwise inaccessible feeds</w:t>
      </w:r>
      <w:r w:rsidR="00B65DE7">
        <w:rPr>
          <w:rFonts w:cstheme="minorHAnsi"/>
        </w:rPr>
        <w:t xml:space="preserve"> </w:t>
      </w:r>
      <w:r>
        <w:rPr>
          <w:rFonts w:cstheme="minorHAnsi"/>
        </w:rPr>
        <w:fldChar w:fldCharType="begin"/>
      </w:r>
      <w:r>
        <w:rPr>
          <w:rFonts w:cstheme="minorHAnsi"/>
        </w:rPr>
        <w:instrText xml:space="preserve"> ADDIN ZOTERO_ITEM CSL_CITATION {"citationID":"9mABCfJG","properties":{"formattedCitation":"(Di Maiuta et al., 2013; Ray et al., 2012)","plainCitation":"(Di Maiuta et al., 2013; Ray et al., 2012)","noteIndex":0},"citationItems":[{"id":560,"uris":["http://zotero.org/users/9227957/items/X6G2SYYN"],"itemData":{"id":560,"type":"article-journal","abstract":"Catfishes of the genus Panaque are known for their ability to feed on wood and hence to process cellulose fibres in their digestive systems. The paper industry uses cellulose fibres and thus has an interest in exploiting this property biomimetically: it could be employed as a pretreatment to lessen the energy required by the mechanical production stage of manufacturing nanocellulose fibres. Here, we characterize the diet-associated in situ microbial diversity and population dynamic in the faeces of catfish (Panaque sp.) exposed to consecutive diets of pellet food and then wood. Fish faeces samples were collected and investigated by parallel DNA deep amplicon sequencing of the bacterial 16S rRNA SSU for both diet conditions. The most frequently occurring bacterium in the faeces was Cetobacterium sp. The dominant cellulolytic bacterial genera found in ascending relative abundance were as follows: Aeromonas sp., Flavobacterium sp., Bacteroides sp., Pseudomonas sp. and Cellvibrio sp. Diet-associated changes in the faeces microbiome were noted for Flavobacterium sp. Extensive microbial diversity was found in catfish faeces, evidenced using culture-independent molecular techniques. No significant diet-associated effects on the microbiome in terms of biodiversity were observed in the catfish faeces, but diet-associated changes in the microbial population structure were observed. Significance and Impact of the Study Although catfishes are not classified as true xylivores, inhabiting their faeces are bacteria that may provide a novel source of cellulolytic enzyme. Based on this first microbiology study, the faeces and thus the gastrointestinal microbiome of Panaque catfishes are an unexplored reservoir of microbial extracts with enhanced polysaccharide transforming enzyme activity. The biomimetical exploitation of this cellulolytic activity in the form of novel enzymes or by applying a mixture of cellulolytic micro-organisms could accomplish a pretreatment to the mechanical production process of nanocellulose fibres, thus could reduce the energy consumption costs significantly.","container-title":"Letters in Applied Microbiology","DOI":"10.1111/lam.12061","ISSN":"1472-765X","issue":"6","language":"en","note":"_eprint: https://onlinelibrary.wiley.com/doi/pdf/10.1111/lam.12061","page":"401-407","source":"Wiley Online Library","title":"Microbial population dynamics in the faeces of wood-eating loricariid catfishes","volume":"56","author":[{"family":"Di Maiuta","given":"N."},{"family":"Schwarzentruber","given":"P."},{"family":"Schenker","given":"M."},{"family":"Schoelkopf","given":"J."}],"issued":{"date-parts":[["2013"]]}}},{"id":586,"uris":["http://zotero.org/users/9227957/items/XRQFMJEJ"],"itemData":{"id":586,"type":"article-journal","abstract":"Digestion of food depends on three main factors: (i) the ingested food and the extent to which the food is susceptible to the effects of digestive enzymes, (ii) the activity of the digestive enzymes and (iii) the length of time the food is exposed to the action of the digestive enzymes. Each of these factors is affected by a multitude of secondary factors. The present review highlights the experimental results on the secondary factor, enzymatic activity and possible contribution of the fish gut microbiota in nutrition. It has been suggested that fish gut microbiota might have positive effects to the digestive processes of fish, and these studies have isolated and identified the enzyme-producing microbiota. In addition to Bacillus genera, Enterobacteriaceae and Acinetobacter, Aeromonas, Flavobacterium, Photobacterium, Pseudomonas, Vibrio, Microbacterium, Micrococcus, Staphylococcus, unidentified anaerobes and yeast are also suggested to be possible contributors. However, in contrast to endothermic animals, it is difficult to conclude the exact contribution of the gastrointestinal microbiota because of the complexity and variable ecology of the digestive tract of different fish species, the presence of stomach and pyloric caeca and the relative intestinal length. The present review will critically evaluate the results to establish whether or not intestinal microbiota do contribute to fish nutrition.","container-title":"Aquaculture Nutrition","DOI":"10.1111/j.1365-2095.2012.00943.x","ISSN":"1365-2095","issue":"5","language":"en","note":"_eprint: https://onlinelibrary.wiley.com/doi/pdf/10.1111/j.1365-2095.2012.00943.x","page":"465-492","source":"Wiley Online Library","title":"Enzyme-producing bacteria isolated from fish gut: a review","title-short":"Enzyme-producing bacteria isolated from fish gut","volume":"18","author":[{"family":"Ray","given":"A.k."},{"family":"Ghosh","given":"K."},{"family":"Ringø","given":"E."}],"issued":{"date-parts":[["2012"]]}}}],"schema":"https://github.com/citation-style-language/schema/raw/master/csl-citation.json"} </w:instrText>
      </w:r>
      <w:r>
        <w:rPr>
          <w:rFonts w:cstheme="minorHAnsi"/>
        </w:rPr>
        <w:fldChar w:fldCharType="separate"/>
      </w:r>
      <w:r w:rsidRPr="005D2B67">
        <w:rPr>
          <w:rFonts w:ascii="Calibri" w:hAnsi="Calibri" w:cs="Calibri"/>
        </w:rPr>
        <w:t>(Di Maiuta et al., 2013; Ray et al., 2012)</w:t>
      </w:r>
      <w:r>
        <w:rPr>
          <w:rFonts w:cstheme="minorHAnsi"/>
        </w:rPr>
        <w:fldChar w:fldCharType="end"/>
      </w:r>
      <w:r w:rsidRPr="001370A2">
        <w:rPr>
          <w:rFonts w:cstheme="minorHAnsi"/>
        </w:rPr>
        <w:t>, stimulate the immune system</w:t>
      </w:r>
      <w:r>
        <w:rPr>
          <w:rFonts w:cstheme="minorHAnsi"/>
        </w:rPr>
        <w:t xml:space="preserve"> </w:t>
      </w:r>
      <w:r>
        <w:rPr>
          <w:rFonts w:cstheme="minorHAnsi"/>
        </w:rPr>
        <w:fldChar w:fldCharType="begin"/>
      </w:r>
      <w:r>
        <w:rPr>
          <w:rFonts w:cstheme="minorHAnsi"/>
        </w:rPr>
        <w:instrText xml:space="preserve"> ADDIN ZOTERO_ITEM CSL_CITATION {"citationID":"njt1OW4u","properties":{"formattedCitation":"(Stagaman et al., 2017)","plainCitation":"(Stagaman et al., 2017)","noteIndex":0},"citationItems":[{"id":542,"uris":["http://zotero.org/users/9227957/items/NL7N35LC"],"itemData":{"id":542,"type":"article-journal","abstract":"All animals live in intimate association with communities of microbes, collectively referred to as their microbiota. Certain host traits can influence which microbial taxa comprise the microbiota. One potentially important trait in vertebrate animals is the adaptive immune system, which has been hypothesized to act as an ecological filter, promoting the presence of some microbial taxa over others. Here we surveyed the intestinal microbiota of 68 wild-type zebrafish, with functional adaptive immunity, and 61 rag1− zebrafish, lacking functional B- and T-cell receptors, to test the role of adaptive immunity as an ecological filter on the intestinal microbiota. In addition, we tested the robustness of adaptive immunity’s filtering effects to host–host interaction by comparing the microbiota of fish populations segregated by genotype to those containing both genotypes. The presence of adaptive immunity individualized the gut microbiota and decreased the contributions of neutral processes to gut microbiota assembly. Although mixing genotypes led to increased phylogenetic diversity in each, there was no significant effect of adaptive immunity on gut microbiota composition in either housing condition. Interestingly, the most robust effect on microbiota composition was co-housing within a tank. In all, these results suggest that adaptive immunity has a role as an ecological filter of the zebrafish gut microbiota, but it can be overwhelmed by other factors, including transmission of microbes among hosts.","container-title":"The ISME Journal","DOI":"10.1038/ismej.2017.28","ISSN":"1751-7370","issue":"7","journalAbbreviation":"ISME J","language":"en","license":"2017 International Society for Microbial Ecology","note":"number: 7\npublisher: Nature Publishing Group","page":"1630-1639","source":"www.nature.com","title":"The role of adaptive immunity as an ecological filter on the gut microbiota in zebrafish","volume":"11","author":[{"family":"Stagaman","given":"Keaton"},{"family":"Burns","given":"Adam R."},{"family":"Guillemin","given":"Karen"},{"family":"Bohannan","given":"Brendan JM"}],"issued":{"date-parts":[["2017",7]]}}}],"schema":"https://github.com/citation-style-language/schema/raw/master/csl-citation.json"} </w:instrText>
      </w:r>
      <w:r>
        <w:rPr>
          <w:rFonts w:cstheme="minorHAnsi"/>
        </w:rPr>
        <w:fldChar w:fldCharType="separate"/>
      </w:r>
      <w:r w:rsidRPr="00D20096">
        <w:rPr>
          <w:rFonts w:ascii="Calibri" w:hAnsi="Calibri" w:cs="Calibri"/>
        </w:rPr>
        <w:t>(Stagaman et al., 2017)</w:t>
      </w:r>
      <w:r>
        <w:rPr>
          <w:rFonts w:cstheme="minorHAnsi"/>
        </w:rPr>
        <w:fldChar w:fldCharType="end"/>
      </w:r>
      <w:r w:rsidRPr="001370A2">
        <w:rPr>
          <w:rFonts w:cstheme="minorHAnsi"/>
        </w:rPr>
        <w:t>, protect the host from pathogens due to competitive exclusion</w:t>
      </w:r>
      <w:r>
        <w:rPr>
          <w:rFonts w:cstheme="minorHAnsi"/>
        </w:rPr>
        <w:t xml:space="preserve"> </w:t>
      </w:r>
      <w:r>
        <w:rPr>
          <w:rFonts w:cstheme="minorHAnsi"/>
        </w:rPr>
        <w:fldChar w:fldCharType="begin"/>
      </w:r>
      <w:r>
        <w:rPr>
          <w:rFonts w:cstheme="minorHAnsi"/>
        </w:rPr>
        <w:instrText xml:space="preserve"> ADDIN ZOTERO_ITEM CSL_CITATION {"citationID":"I6hY9mWk","properties":{"formattedCitation":"(Lawley &amp; Walker, 2013)","plainCitation":"(Lawley &amp; Walker, 2013)","noteIndex":0},"citationItems":[{"id":438,"uris":["http://zotero.org/users/9227957/items/LFRVQ2GH"],"itemData":{"id":438,"type":"article-journal","abstract":"Dense, complex microbial communities, collectively termed the microbiota, occupy a diverse array of niches along the length of the mammalian intestinal tract. During health and in the absence of antibiotic exposure the microbiota can effectively inhibit colonization and overgrowth by invading microbes such as pathogens. This phenomenon is called ‘colonization resistance’ and is associated with a stable and diverse microbiota in tandem with a controlled lack of inflammation, and involves specific interactions between the mucosal immune system and the microbiota. Here we overview the microbial ecology of the healthy mammalian intestinal tract and highlight the microbe–microbe and microbe–host interactions that promote colonization resistance. Emerging themes highlight immunological (T helper type 17/regulatory T-cell balance), microbiota (diverse and abundant) and metabolic (short-chain fatty acid) signatures of intestinal health and colonization resistance. Intestinal pathogens use specific virulence factors or exploit antibiotic use to subvert colonization resistance for their own benefit by triggering inflammation to disrupt the harmony of the intestinal ecosystem. A holistic view that incorporates immunological and microbiological facets of the intestinal ecosystem should facilitate the development of immunomodulatory and microbe-modulatory therapies that promote intestinal homeostasis and colonization resistance.","container-title":"Immunology","DOI":"10.1111/j.1365-2567.2012.03616.x","ISSN":"1365-2567","issue":"1","language":"en","note":"_eprint: https://onlinelibrary.wiley.com/doi/pdf/10.1111/j.1365-2567.2012.03616.x","page":"1-11","source":"Wiley Online Library","title":"Intestinal colonization resistance","volume":"138","author":[{"family":"Lawley","given":"Trevor D."},{"family":"Walker","given":"Alan W."}],"issued":{"date-parts":[["2013"]]}}}],"schema":"https://github.com/citation-style-language/schema/raw/master/csl-citation.json"} </w:instrText>
      </w:r>
      <w:r>
        <w:rPr>
          <w:rFonts w:cstheme="minorHAnsi"/>
        </w:rPr>
        <w:fldChar w:fldCharType="separate"/>
      </w:r>
      <w:r w:rsidRPr="00EF6B2F">
        <w:rPr>
          <w:rFonts w:ascii="Calibri" w:hAnsi="Calibri" w:cs="Calibri"/>
        </w:rPr>
        <w:t>(Lawley &amp; Walker, 2013)</w:t>
      </w:r>
      <w:r>
        <w:rPr>
          <w:rFonts w:cstheme="minorHAnsi"/>
        </w:rPr>
        <w:fldChar w:fldCharType="end"/>
      </w:r>
      <w:r w:rsidRPr="001370A2">
        <w:rPr>
          <w:rFonts w:cstheme="minorHAnsi"/>
        </w:rPr>
        <w:t xml:space="preserve"> and may even influence host-behaviour</w:t>
      </w:r>
      <w:r>
        <w:rPr>
          <w:rFonts w:cstheme="minorHAnsi"/>
        </w:rPr>
        <w:t xml:space="preserve"> </w:t>
      </w:r>
      <w:r>
        <w:rPr>
          <w:rFonts w:cstheme="minorHAnsi"/>
        </w:rPr>
        <w:fldChar w:fldCharType="begin"/>
      </w:r>
      <w:r>
        <w:rPr>
          <w:rFonts w:cstheme="minorHAnsi"/>
        </w:rPr>
        <w:instrText xml:space="preserve"> ADDIN ZOTERO_ITEM CSL_CITATION {"citationID":"20OmsN5W","properties":{"formattedCitation":"(Cusick et al., 2021; Davis et al., 2016)","plainCitation":"(Cusick et al., 2021; Davis et al., 2016)","noteIndex":0},"citationItems":[{"id":497,"uris":["http://zotero.org/users/9227957/items/ICG6Q323"],"itemData":{"id":497,"type":"article-journal","abstract":"On and within most sites across an animal's body live complex communities of microorganisms. These microorganisms perform a variety of important functions for their hosts, including communicating with the brain, immune system and endocrine axes to mediate physiological processes and affect individual behaviour. Microbiome research has primarily focused on the functions of the microbiome within the gastrointestinal tract (gut microbiome) using biomedically relevant laboratory species (i.e. model organisms). These studies have identified important connections between the gut microbiome and host immune, neuroendocrine and nervous systems, as well as how these connections, in turn, influence host behaviour and health. Recently, the field has expanded beyond traditional model systems as it has become apparent that the microbiome can drive differences in behaviour and diet, play a fundamental role in host fitness and influence community-scale dynamics in wild populations. In this Review, we highlight the value of conducting hypothesis-driven research in non-model organisms and the benefits of a comparative approach that assesses patterns across different species or taxa. Using social behaviour as an intellectual framework, we review the bidirectional relationship between the gut microbiome and host behaviour, and identify understudied mechanisms by which these effects may be mediated.","container-title":"Journal of Experimental Biology","DOI":"10.1242/jeb.224485","ISSN":"0022-0949","issue":"10","journalAbbreviation":"Journal of Experimental Biology","page":"jeb224485","source":"Silverchair","title":"The call of the wild: using non-model systems to investigate microbiome–behaviour relationships","title-short":"The call of the wild","volume":"224","author":[{"family":"Cusick","given":"Jessica A."},{"family":"Wellman","given":"Cara L."},{"family":"Demas","given":"Gregory E."}],"issued":{"date-parts":[["2021",5,14]]}}},{"id":583,"uris":["http://zotero.org/users/9227957/items/A8KPN897"],"itemData":{"id":583,"type":"article-journal","abstract":"The influence of the microbiota on behavior and stress responses is poorly understood. Zebrafish larvae have unique characteristics that are advantageous for neuroimmune research, however, they are currently underutilized for such studies. Here, we used germ-free zebrafish to determine the effects of the microbiota on behavior and stress testing. The absence of a microbiota dramatically altered locomotor and anxiety-related behavior. Additionally, characteristic responses to an acute stressor were also obliterated in larvae lacking exposure to microbes. Lastly, treatment with the probiotic Lactobacillus plantarum was sufficient to attenuate anxiety-related behavior in conventionally-raised zebrafish larvae. These results underscore the importance of the microbiota in communicating to the CNS via the microbiome-gut-brain axis and set a foundation for using zebrafish larvae for neuroimmune research.","container-title":"Behavioural Brain Research","DOI":"10.1016/j.bbr.2016.05.040","ISSN":"0166-4328","journalAbbreviation":"Behavioural Brain Research","language":"en","page":"219-227","source":"ScienceDirect","title":"Microbial modulation of behavior and stress responses in zebrafish larvae","volume":"311","author":[{"family":"Davis","given":"Daniel J."},{"family":"Bryda","given":"Elizabeth C."},{"family":"Gillespie","given":"Catherine H."},{"family":"Ericsson","given":"Aaron C."}],"issued":{"date-parts":[["2016",9,15]]}}}],"schema":"https://github.com/citation-style-language/schema/raw/master/csl-citation.json"} </w:instrText>
      </w:r>
      <w:r>
        <w:rPr>
          <w:rFonts w:cstheme="minorHAnsi"/>
        </w:rPr>
        <w:fldChar w:fldCharType="separate"/>
      </w:r>
      <w:r w:rsidRPr="00942430">
        <w:rPr>
          <w:rFonts w:ascii="Calibri" w:hAnsi="Calibri" w:cs="Calibri"/>
        </w:rPr>
        <w:t>(Cusick et al., 2021; Davis et al., 2016)</w:t>
      </w:r>
      <w:r>
        <w:rPr>
          <w:rFonts w:cstheme="minorHAnsi"/>
        </w:rPr>
        <w:fldChar w:fldCharType="end"/>
      </w:r>
      <w:r w:rsidRPr="001370A2">
        <w:rPr>
          <w:rFonts w:cstheme="minorHAnsi"/>
        </w:rPr>
        <w:t>.</w:t>
      </w:r>
      <w:r>
        <w:rPr>
          <w:rFonts w:cstheme="minorHAnsi"/>
        </w:rPr>
        <w:t xml:space="preserve"> </w:t>
      </w:r>
    </w:p>
    <w:p w14:paraId="6588ECDD" w14:textId="5B9B6C31" w:rsidR="00BB29C5" w:rsidRDefault="00AD63C0" w:rsidP="00BB29C5">
      <w:pPr>
        <w:spacing w:line="480" w:lineRule="auto"/>
      </w:pPr>
      <w:r>
        <w:rPr>
          <w:rFonts w:cstheme="minorHAnsi"/>
        </w:rPr>
        <w:t xml:space="preserve">The expansion of the </w:t>
      </w:r>
      <w:r w:rsidRPr="00AB771D">
        <w:rPr>
          <w:rFonts w:cstheme="minorHAnsi"/>
        </w:rPr>
        <w:t xml:space="preserve">aquaculture industry </w:t>
      </w:r>
      <w:r>
        <w:rPr>
          <w:rFonts w:cstheme="minorHAnsi"/>
        </w:rPr>
        <w:t>has led to an increased</w:t>
      </w:r>
      <w:r w:rsidRPr="00AB771D">
        <w:rPr>
          <w:rFonts w:cstheme="minorHAnsi"/>
        </w:rPr>
        <w:t xml:space="preserve"> interest </w:t>
      </w:r>
      <w:r>
        <w:rPr>
          <w:rFonts w:cstheme="minorHAnsi"/>
        </w:rPr>
        <w:t>in</w:t>
      </w:r>
      <w:r w:rsidRPr="00AB771D">
        <w:rPr>
          <w:rFonts w:cstheme="minorHAnsi"/>
        </w:rPr>
        <w:t xml:space="preserve"> </w:t>
      </w:r>
      <w:r>
        <w:rPr>
          <w:rFonts w:cstheme="minorHAnsi"/>
        </w:rPr>
        <w:t>manipulating gut</w:t>
      </w:r>
      <w:r w:rsidRPr="00AB771D">
        <w:rPr>
          <w:rFonts w:cstheme="minorHAnsi"/>
        </w:rPr>
        <w:t xml:space="preserve"> microbiota to improve </w:t>
      </w:r>
      <w:r>
        <w:rPr>
          <w:rFonts w:cstheme="minorHAnsi"/>
        </w:rPr>
        <w:t xml:space="preserve">fish </w:t>
      </w:r>
      <w:r w:rsidRPr="00AB771D">
        <w:rPr>
          <w:rFonts w:cstheme="minorHAnsi"/>
        </w:rPr>
        <w:t>welfare and nutrition</w:t>
      </w:r>
      <w:r>
        <w:rPr>
          <w:rFonts w:cstheme="minorHAnsi"/>
        </w:rPr>
        <w:t xml:space="preserve">al absorption capacity </w:t>
      </w:r>
      <w:r>
        <w:rPr>
          <w:rFonts w:cstheme="minorHAnsi"/>
        </w:rPr>
        <w:fldChar w:fldCharType="begin"/>
      </w:r>
      <w:r>
        <w:rPr>
          <w:rFonts w:cstheme="minorHAnsi"/>
        </w:rPr>
        <w:instrText xml:space="preserve"> ADDIN ZOTERO_ITEM CSL_CITATION {"citationID":"HWMyttQn","properties":{"formattedCitation":"(Egerton et al., 2018; Perry et al., 2020)","plainCitation":"(Egerton et al., 2018; Perry et al., 2020)","noteIndex":0},"citationItems":[{"id":432,"uris":["http://zotero.org/users/9227957/items/B3WQYDDA"],"itemData":{"id":432,"type":"article-journal","abstract":"The body of work relating to the gut microbiota of fish is dwarfed by that on humans and mammals. However, it is a field that has had historical interest and has grown significantly along with the expansion of the aquaculture industry and developments in microbiome research. Research is now moving quickly in this field. Much recent focus has been on nutritional manipulation and modification of the gut microbiota to meet the needs of fish farming, while trying to maintain host health and welfare. However, the diversity amongst fish means that baseline data from wild fish and a clear understanding of the role that specific gut microbiota play is still lacking. We review here the factors shaping marine fish gut microbiota and highlight gaps in the research.","container-title":"Frontiers in Microbiology","ISSN":"1664-302X","source":"Frontiers","title":"The Gut Microbiota of Marine Fish","URL":"https://www.frontiersin.org/article/10.3389/fmicb.2018.00873","volume":"9","author":[{"family":"Egerton","given":"Sian"},{"family":"Culloty","given":"Sarah"},{"family":"Whooley","given":"Jason"},{"family":"Stanton","given":"Catherine"},{"family":"Ross","given":"R. Paul"}],"accessed":{"date-parts":[["2022",5,2]]},"issued":{"date-parts":[["2018"]]}}},{"id":14,"uris":["http://zotero.org/users/9227957/items/BZI8FSN2"],"itemData":{"id":14,"type":"article-journal","abstract":"As the most diverse vertebrate group and a major component of a growing global aquaculture industry, teleosts continue to attract significant scientific attention. The growth in global aquaculture, driven by declines in wild stocks, has provided additional empirical demand, and thus opportunities, to explore teleost diversity. Among key developments is the recent growth in microbiome exploration, facilitated by advances in high-throughput sequencing technologies. Here, we consider studies on teleost gut microbiomes in the context of sustainable aquaculture, which we have discussed in four themes: diet, immunity, artificial selection and closed-loop systems. We demonstrate the influence aquaculture has had on gut microbiome research, while also providing a road map for the main deterministic forces that influence the gut microbiome, with topical applications to aquaculture. Functional significance is considered within an aquaculture context with reference to impacts on nutrition and immunity. Finally, we identify key knowledge gaps, both methodological and conceptual, and propose promising applications of gut microbiome manipulation to aquaculture, and future priorities in microbiome research. These include insect-based feeds, vaccination, mechanism of pro- and prebiotics, artificial selection on the hologenome, in-water bacteriophages in recirculating aquaculture systems (RAS), physiochemical properties of water and dysbiosis as a biomarker.","container-title":"Proceedings of the Royal Society B: Biological Sciences","DOI":"10.1098/rspb.2020.0184","issue":"1926","note":"publisher: Royal Society","page":"20200184","source":"royalsocietypublishing.org (Atypon)","title":"The role of the gut microbiome in sustainable teleost aquaculture","volume":"287","author":[{"family":"Perry","given":"William Bernard"},{"family":"Lindsay","given":"Elle"},{"family":"Payne","given":"Christopher James"},{"family":"Brodie","given":"Christopher"},{"family":"Kazlauskaite","given":"Raminta"}],"issued":{"date-parts":[["2020",5,13]]}}}],"schema":"https://github.com/citation-style-language/schema/raw/master/csl-citation.json"} </w:instrText>
      </w:r>
      <w:r>
        <w:rPr>
          <w:rFonts w:cstheme="minorHAnsi"/>
        </w:rPr>
        <w:fldChar w:fldCharType="separate"/>
      </w:r>
      <w:r w:rsidRPr="008F6ED5">
        <w:rPr>
          <w:rFonts w:ascii="Calibri" w:hAnsi="Calibri" w:cs="Calibri"/>
        </w:rPr>
        <w:t>(Egerton et al., 2018; Perry et al., 2020)</w:t>
      </w:r>
      <w:r>
        <w:rPr>
          <w:rFonts w:cstheme="minorHAnsi"/>
        </w:rPr>
        <w:fldChar w:fldCharType="end"/>
      </w:r>
      <w:r>
        <w:rPr>
          <w:rFonts w:cstheme="minorHAnsi"/>
        </w:rPr>
        <w:t>.</w:t>
      </w:r>
      <w:r w:rsidRPr="001370A2">
        <w:rPr>
          <w:rFonts w:cstheme="minorHAnsi"/>
        </w:rPr>
        <w:t xml:space="preserve"> However, to induce</w:t>
      </w:r>
      <w:r>
        <w:rPr>
          <w:rFonts w:cstheme="minorHAnsi"/>
        </w:rPr>
        <w:t xml:space="preserve"> desired</w:t>
      </w:r>
      <w:r w:rsidRPr="001370A2">
        <w:rPr>
          <w:rFonts w:cstheme="minorHAnsi"/>
        </w:rPr>
        <w:t xml:space="preserve"> </w:t>
      </w:r>
      <w:r>
        <w:rPr>
          <w:rFonts w:cstheme="minorHAnsi"/>
        </w:rPr>
        <w:t xml:space="preserve">microbial </w:t>
      </w:r>
      <w:r w:rsidRPr="001370A2">
        <w:rPr>
          <w:rFonts w:cstheme="minorHAnsi"/>
        </w:rPr>
        <w:t xml:space="preserve">traits one must understand the underlying processes of microbial </w:t>
      </w:r>
      <w:r>
        <w:rPr>
          <w:rFonts w:cstheme="minorHAnsi"/>
        </w:rPr>
        <w:t xml:space="preserve">community </w:t>
      </w:r>
      <w:r w:rsidRPr="001370A2">
        <w:rPr>
          <w:rFonts w:cstheme="minorHAnsi"/>
        </w:rPr>
        <w:t xml:space="preserve">assembly and </w:t>
      </w:r>
      <w:r>
        <w:rPr>
          <w:rFonts w:cstheme="minorHAnsi"/>
        </w:rPr>
        <w:t xml:space="preserve">its </w:t>
      </w:r>
      <w:r w:rsidRPr="001370A2">
        <w:rPr>
          <w:rFonts w:cstheme="minorHAnsi"/>
        </w:rPr>
        <w:t xml:space="preserve">temporal development </w:t>
      </w:r>
      <w:r w:rsidRPr="001370A2">
        <w:rPr>
          <w:rFonts w:cstheme="minorHAnsi"/>
        </w:rPr>
        <w:fldChar w:fldCharType="begin"/>
      </w:r>
      <w:r w:rsidRPr="001370A2">
        <w:rPr>
          <w:rFonts w:cstheme="minorHAnsi"/>
        </w:rPr>
        <w:instrText xml:space="preserve"> ADDIN ZOTERO_ITEM CSL_CITATION {"citationID":"sJN0hc01","properties":{"formattedCitation":"(Dittmann et al., 2017)","plainCitation":"(Dittmann et al., 2017)","noteIndex":0},"citationItems":[{"id":68,"uris":["http://zotero.org/users/9227957/items/F9GV44QC"],"itemData":{"id":68,"type":"article-journal","container-title":"Microbial Biotechnology","DOI":"10.1111/1751-7915.12877","ISSN":"1751-7915","issue":"6","journalAbbreviation":"Microb Biotechnol","note":"PMID: 29064164\nPMCID: PMC5658606","page":"1279-1282","source":"PubMed Central","title":"The aquaculture microbiome at the centre of business creation","volume":"10","author":[{"family":"Dittmann","given":"Karen K."},{"family":"Rasmussen","given":"Bastian B."},{"family":"Castex","given":"Mathieu"},{"family":"Gram","given":"Lone"},{"family":"Bentzon‐Tilia","given":"Mikkel"}],"issued":{"date-parts":[["2017",10,24]]}}}],"schema":"https://github.com/citation-style-language/schema/raw/master/csl-citation.json"} </w:instrText>
      </w:r>
      <w:r w:rsidRPr="001370A2">
        <w:rPr>
          <w:rFonts w:cstheme="minorHAnsi"/>
        </w:rPr>
        <w:fldChar w:fldCharType="separate"/>
      </w:r>
      <w:r w:rsidRPr="001370A2">
        <w:rPr>
          <w:rFonts w:cstheme="minorHAnsi"/>
        </w:rPr>
        <w:t>(Dittmann et al., 2017)</w:t>
      </w:r>
      <w:r w:rsidRPr="001370A2">
        <w:rPr>
          <w:rFonts w:cstheme="minorHAnsi"/>
        </w:rPr>
        <w:fldChar w:fldCharType="end"/>
      </w:r>
      <w:r w:rsidRPr="001370A2">
        <w:rPr>
          <w:rFonts w:cstheme="minorHAnsi"/>
        </w:rPr>
        <w:t>.</w:t>
      </w:r>
      <w:r>
        <w:rPr>
          <w:rFonts w:cstheme="minorHAnsi"/>
        </w:rPr>
        <w:t xml:space="preserve"> </w:t>
      </w:r>
      <w:r w:rsidR="00681401">
        <w:rPr>
          <w:rFonts w:cstheme="minorHAnsi"/>
        </w:rPr>
        <w:t>In theory, fish acquire their intestinal microbiota from the surrounding environment, e.g., by swallowing water or due to bacteria attached to food items</w:t>
      </w:r>
      <w:r w:rsidR="00B65DE7">
        <w:rPr>
          <w:rFonts w:cstheme="minorHAnsi"/>
        </w:rPr>
        <w:t xml:space="preserve"> </w:t>
      </w:r>
      <w:r w:rsidR="00B65DE7">
        <w:rPr>
          <w:rFonts w:cstheme="minorHAnsi"/>
        </w:rPr>
        <w:fldChar w:fldCharType="begin"/>
      </w:r>
      <w:r w:rsidR="00BB3BFA">
        <w:rPr>
          <w:rFonts w:cstheme="minorHAnsi"/>
        </w:rPr>
        <w:instrText xml:space="preserve"> ADDIN ZOTERO_ITEM CSL_CITATION {"citationID":"8I6AAqE1","properties":{"formattedCitation":"(Hansen &amp; Olafsen, 1999)","plainCitation":"(Hansen &amp; Olafsen, 1999)","noteIndex":0},"citationItems":[{"id":1545,"uris":["http://zotero.org/users/9227957/items/EZHIXREW"],"itemData":{"id":1545,"type":"article-journal","container-title":"Microbial Ecology","DOI":"10.1007/s002489900158","ISSN":"1432-184X","issue":"1","journalAbbreviation":"Microb Ecol","language":"en","page":"1-26","source":"Springer Link","title":"Bacterial Interactions in Early Life Stages of Marine Cold Water Fish","volume":"38","author":[{"family":"Hansen","given":"G.H."},{"family":"Olafsen","given":"J.A."}],"issued":{"date-parts":[["1999",7,1]]}}}],"schema":"https://github.com/citation-style-language/schema/raw/master/csl-citation.json"} </w:instrText>
      </w:r>
      <w:r w:rsidR="00B65DE7">
        <w:rPr>
          <w:rFonts w:cstheme="minorHAnsi"/>
        </w:rPr>
        <w:fldChar w:fldCharType="separate"/>
      </w:r>
      <w:r w:rsidR="00BB3BFA" w:rsidRPr="00BB3BFA">
        <w:rPr>
          <w:rFonts w:ascii="Calibri" w:hAnsi="Calibri" w:cs="Calibri"/>
        </w:rPr>
        <w:t>(Hansen &amp; Olafsen, 1999)</w:t>
      </w:r>
      <w:r w:rsidR="00B65DE7">
        <w:rPr>
          <w:rFonts w:cstheme="minorHAnsi"/>
        </w:rPr>
        <w:fldChar w:fldCharType="end"/>
      </w:r>
      <w:r w:rsidR="00681401">
        <w:rPr>
          <w:rFonts w:cstheme="minorHAnsi"/>
        </w:rPr>
        <w:t>. However,</w:t>
      </w:r>
      <w:r w:rsidR="00D15A7B">
        <w:rPr>
          <w:rFonts w:cstheme="minorHAnsi"/>
        </w:rPr>
        <w:t xml:space="preserve"> </w:t>
      </w:r>
      <w:r w:rsidR="000065E0">
        <w:rPr>
          <w:rFonts w:cstheme="minorHAnsi"/>
        </w:rPr>
        <w:t>recent</w:t>
      </w:r>
      <w:r w:rsidR="000065E0" w:rsidRPr="000065E0">
        <w:rPr>
          <w:rFonts w:cstheme="minorHAnsi"/>
        </w:rPr>
        <w:t xml:space="preserve"> research indicates the possibility of maternal transmission of bacteria during birth</w:t>
      </w:r>
      <w:r w:rsidR="00BB3BFA">
        <w:rPr>
          <w:rFonts w:cstheme="minorHAnsi"/>
        </w:rPr>
        <w:t xml:space="preserve"> </w:t>
      </w:r>
      <w:r w:rsidR="00BB3BFA">
        <w:rPr>
          <w:rFonts w:cstheme="minorHAnsi"/>
        </w:rPr>
        <w:fldChar w:fldCharType="begin"/>
      </w:r>
      <w:r w:rsidR="00BB3BFA">
        <w:rPr>
          <w:rFonts w:cstheme="minorHAnsi"/>
        </w:rPr>
        <w:instrText xml:space="preserve"> ADDIN ZOTERO_ITEM CSL_CITATION {"citationID":"dmXw1iYF","properties":{"formattedCitation":"(Rasmussen et al., 2023)","plainCitation":"(Rasmussen et al., 2023)","noteIndex":0},"citationItems":[{"id":700,"uris":["http://zotero.org/users/9227957/items/TYR8LFQX"],"itemData":{"id":700,"type":"article-journal","abstract":"Understanding the evolutionary relationships between a host and its intestinal resident bacteria can transform how we understand adaptive phenotypic traits. The interplay between hosts and their resident bacteria inevitably affects the intestinal environment and, thereby, the living conditions of both the host and the microbiota. Thereby this co-existence likely influences the fitness of both bacteria and host. Whether this co-existence leads to evolutionary co-diversification in animals is largely unexplored, mainly due to the complexity of the environment and microbial communities and the often low host selection. We present the gut metagenome from wild Atlantic salmon (Salmo salar), a new wild organism model with an intestinal microbiota of low complexity and a well-described population structure, making it well-suited for investigating co-evolution. Our data reveal a strong host selection of a core gut microbiota dominated by a single Mycoplasma species. We found a clear co-diversification between the population structure of Atlantic salmon and nucleotide variability of the intestinal Mycoplasma populations conforming to expectations from co-evolution between host and resident bacteria. Our results show that the stable microbiota of Atlantic salmon has evolved with its salmonid host populations while potentially providing adaptive traits to the salmon host populations, including defence mechanisms, biosynthesis of essential amino acids, and metabolism of B vitamins. We highlight Atlantic salmon as a novel model for studying co-evolution between vertebrate hosts and their resident bacteria.","container-title":"The ISME Journal","DOI":"10.1038/s41396-023-01379-z","ISSN":"1751-7370","issue":"5","journalAbbreviation":"ISME J","language":"en","license":"2023 The Author(s)","note":"number: 5\npublisher: Nature Publishing Group","page":"682-692","source":"www.nature.com","title":"Co-diversification of an intestinal Mycoplasma and its salmonid host","volume":"17","author":[{"family":"Rasmussen","given":"Jacob A."},{"family":"Kiilerich","given":"Pia"},{"family":"Madhun","given":"Abdullah S."},{"family":"Waagbø","given":"Rune"},{"family":"Lock","given":"Erik-Jan R."},{"family":"Madsen","given":"Lise"},{"family":"Gilbert","given":"M. Thomas P."},{"family":"Kristiansen","given":"Karsten"},{"family":"Limborg","given":"Morten T."}],"issued":{"date-parts":[["2023",5]]}}}],"schema":"https://github.com/citation-style-language/schema/raw/master/csl-citation.json"} </w:instrText>
      </w:r>
      <w:r w:rsidR="00BB3BFA">
        <w:rPr>
          <w:rFonts w:cstheme="minorHAnsi"/>
        </w:rPr>
        <w:fldChar w:fldCharType="separate"/>
      </w:r>
      <w:r w:rsidR="00BB3BFA" w:rsidRPr="00BB3BFA">
        <w:rPr>
          <w:rFonts w:ascii="Calibri" w:hAnsi="Calibri" w:cs="Calibri"/>
        </w:rPr>
        <w:t>(Rasmussen et al., 2023)</w:t>
      </w:r>
      <w:r w:rsidR="00BB3BFA">
        <w:rPr>
          <w:rFonts w:cstheme="minorHAnsi"/>
        </w:rPr>
        <w:fldChar w:fldCharType="end"/>
      </w:r>
      <w:r w:rsidR="00681401">
        <w:rPr>
          <w:rFonts w:cstheme="minorHAnsi"/>
        </w:rPr>
        <w:t>.</w:t>
      </w:r>
      <w:r w:rsidR="005B740D">
        <w:rPr>
          <w:rFonts w:cstheme="minorHAnsi"/>
        </w:rPr>
        <w:t xml:space="preserve"> </w:t>
      </w:r>
      <w:r w:rsidR="008861E3">
        <w:t>A</w:t>
      </w:r>
      <w:r w:rsidR="00BB3BFA">
        <w:t>s the individual matures, its</w:t>
      </w:r>
      <w:r w:rsidR="008861E3">
        <w:t xml:space="preserve"> gut microbial community composition is shaped</w:t>
      </w:r>
      <w:r w:rsidR="008861E3" w:rsidRPr="00D35240">
        <w:t xml:space="preserve"> by a confluence of ecological forces, which</w:t>
      </w:r>
      <w:r w:rsidR="00E871FA">
        <w:t xml:space="preserve"> interact but</w:t>
      </w:r>
      <w:r w:rsidR="008861E3" w:rsidRPr="00D35240">
        <w:t xml:space="preserve"> can be grouped into two main factors: deterministic</w:t>
      </w:r>
      <w:r w:rsidR="005B740D">
        <w:t>/selective</w:t>
      </w:r>
      <w:r w:rsidR="00217492">
        <w:t xml:space="preserve"> </w:t>
      </w:r>
      <w:r w:rsidR="008861E3" w:rsidRPr="00D35240">
        <w:t>and stochastic</w:t>
      </w:r>
      <w:r w:rsidR="005B740D">
        <w:t>/neutral</w:t>
      </w:r>
      <w:r w:rsidR="00217492">
        <w:t xml:space="preserve"> </w:t>
      </w:r>
      <w:r w:rsidR="00217492">
        <w:fldChar w:fldCharType="begin"/>
      </w:r>
      <w:r w:rsidR="00217492">
        <w:instrText xml:space="preserve"> ADDIN ZOTERO_ITEM CSL_CITATION {"citationID":"blIwGMMc","properties":{"formattedCitation":"(Chase &amp; Leibold, 2009; Hubbell, 2005; Stegen et al., 2012)","plainCitation":"(Chase &amp; Leibold, 2009; Hubbell, 2005; Stegen et al., 2012)","noteIndex":0},"citationItems":[{"id":1550,"uris":["http://zotero.org/users/9227957/items/52HF9AL9"],"itemData":{"id":1550,"type":"book","abstract":"Why do species live where they live? What determines the abundance and diversity of species in a given area? What role do species play in the functioning of entire ecosystems? All of these questions share a single core concept—the ecological niche. Although the niche concept has fallen into disfavor among ecologists in recent years, Jonathan M. Chase and Mathew A. Leibold argue that the niche is an ideal tool with which to unify disparate research and theoretical approaches in contemporary ecology.  Chase and Leibold define the niche as including both what an organism needs from its environment and how that organism's activities shape its environment. Drawing on the theory of consumer-resource interactions, as well as its graphical analysis, they develop a framework for understanding niches that is flexible enough to include a variety of small- and large-scale processes, from resource competition, predation, and stress to community structure, biodiversity, and ecosystem function. Chase and Leibold's synthetic approach will interest ecologists from a wide range of subdisciplines.","ISBN":"978-0-226-10181-1","language":"en","note":"Google-Books-ID: Tj9bEAAAQBAJ","number-of-pages":"224","publisher":"University of Chicago Press","source":"Google Books","title":"Ecological Niches: Linking Classical and Contemporary Approaches","title-short":"Ecological Niches","author":[{"family":"Chase","given":"Jonathan M."},{"family":"Leibold","given":"Mathew A."}],"issued":{"date-parts":[["2009",8,11]]}}},{"id":566,"uris":["http://zotero.org/users/9227957/items/E2UIFPBX"],"itemData":{"id":566,"type":"article-journal","container-title":"Functional Ecology","ISSN":"0269-8463","issue":"1","note":"publisher: [British Ecological Society, Wiley]","page":"166-172","source":"JSTOR","title":"Neutral Theory in Community Ecology and the Hypothesis of Functional Equivalence","volume":"19","author":[{"family":"Hubbell","given":"Stephen P."}],"issued":{"date-parts":[["2005"]]}}},{"id":1548,"uris":["http://zotero.org/users/9227957/items/53X5AHMX"],"itemData":{"id":1548,"type":"article-journal","abstract":"A major goal of microbial community ecology is to understand the forces that structure community composition. Deterministic selection by specific environmental factors is sometimes important, but in other cases stochastic or ecologically neutral processes dominate. Lacking is a unified conceptual framework aiming to understand why deterministic processes dominate in some contexts but not others. Here we work toward such a framework. By testing predictions derived from general ecological theory we aim to uncover factors that govern the relative influences of deterministic and stochastic processes. We couple spatiotemporal data on subsurface microbial communities and environmental parameters with metrics and null models of within and between community phylogenetic composition. Testing for phylogenetic signal in organismal niches showed that more closely related taxa have more similar habitat associations. Community phylogenetic analyses further showed that ecologically similar taxa coexist to a greater degree than expected by chance. Environmental filtering thus deterministically governs subsurface microbial community composition. More importantly, the influence of deterministic environmental filtering relative to stochastic factors was maximized at both ends of an environmental variation gradient. A stronger role of stochastic factors was, however, supported through analyses of phylogenetic temporal turnover. Although phylogenetic turnover was on average faster than expected, most pairwise comparisons were not themselves significantly non-random. The relative influence of deterministic environmental filtering over community dynamics was elevated, however, in the most temporally and spatially variable environments. Our results point to general rules governing the relative influences of stochastic and deterministic processes across micro- and macro-organisms.","container-title":"The ISME Journal","DOI":"10.1038/ismej.2012.22","ISSN":"1751-7370","issue":"9","journalAbbreviation":"ISME J","language":"en","license":"2012 International Society for Microbial Ecology","note":"number: 9\npublisher: Nature Publishing Group","page":"1653-1664","source":"www.nature.com","title":"Stochastic and deterministic assembly processes in subsurface microbial communities","volume":"6","author":[{"family":"Stegen","given":"James C."},{"family":"Lin","given":"Xueju"},{"family":"Konopka","given":"Allan E."},{"family":"Fredrickson","given":"James K."}],"issued":{"date-parts":[["2012",9]]}}}],"schema":"https://github.com/citation-style-language/schema/raw/master/csl-citation.json"} </w:instrText>
      </w:r>
      <w:r w:rsidR="00217492">
        <w:fldChar w:fldCharType="separate"/>
      </w:r>
      <w:r w:rsidR="00217492" w:rsidRPr="00217492">
        <w:rPr>
          <w:rFonts w:ascii="Calibri" w:hAnsi="Calibri" w:cs="Calibri"/>
        </w:rPr>
        <w:t>(Chase &amp; Leibold, 2009; Hubbell, 2005; Stegen et al., 2012)</w:t>
      </w:r>
      <w:r w:rsidR="00217492">
        <w:fldChar w:fldCharType="end"/>
      </w:r>
      <w:r w:rsidR="00217492">
        <w:t xml:space="preserve">. </w:t>
      </w:r>
      <w:r w:rsidR="008861E3">
        <w:t>D</w:t>
      </w:r>
      <w:r w:rsidR="008861E3" w:rsidRPr="00AD43EC">
        <w:t>eterministic factors create specific conditions and selective pressures that favour the growth and coloni</w:t>
      </w:r>
      <w:r w:rsidR="008861E3">
        <w:t>s</w:t>
      </w:r>
      <w:r w:rsidR="008861E3" w:rsidRPr="00AD43EC">
        <w:t xml:space="preserve">ation of certain microbial taxa, leading to the establishment of a unique gut microbial community in </w:t>
      </w:r>
      <w:proofErr w:type="gramStart"/>
      <w:r w:rsidR="008861E3" w:rsidRPr="00AD43EC">
        <w:t>each individual</w:t>
      </w:r>
      <w:proofErr w:type="gramEnd"/>
      <w:r w:rsidR="008861E3" w:rsidRPr="00AD43EC">
        <w:t xml:space="preserve">. </w:t>
      </w:r>
      <w:r w:rsidR="008861E3">
        <w:t>Deterministic factors include host-specific factors such as genetics</w:t>
      </w:r>
      <w:r w:rsidR="00BB3BFA">
        <w:t xml:space="preserve"> </w:t>
      </w:r>
      <w:r w:rsidR="00BB3BFA">
        <w:fldChar w:fldCharType="begin"/>
      </w:r>
      <w:r w:rsidR="00BB3BFA">
        <w:instrText xml:space="preserve"> ADDIN ZOTERO_ITEM CSL_CITATION {"citationID":"lGgKUSBd","properties":{"formattedCitation":"(Smith et al., 2015)","plainCitation":"(Smith et al., 2015)","noteIndex":0},"citationItems":[{"id":597,"uris":["http://zotero.org/users/9227957/items/GYJIALZT"],"itemData":{"id":597,"type":"article-journal","abstract":"To explain differences in gut microbial communities we must determine how processes regulating microbial community assembly (colonization, persistence) differ among hosts and affect microbiota composition. We surveyed the gut microbiota of threespine stickleback (Gasterosteus aculeatus) from 10 geographically clustered populations and sequenced environmental samples to track potential colonizing microbes and quantify the effects of host environment and genotype. Gut microbiota composition and diversity varied among populations. These among-population differences were associated with multiple covarying ecological variables: habitat type (lake, stream, estuary), lake geomorphology and food- (but not water-) associated microbiota. Fish genotype also covaried with gut microbiota composition; more genetically divergent populations exhibited more divergent gut microbiota. Our results suggest that population level differences in stickleback gut microbiota may depend more on internal sorting processes (host genotype) than on colonization processes (transient environmental effects).","container-title":"The ISME Journal","DOI":"10.1038/ismej.2015.64","ISSN":"1751-7370","issue":"11","journalAbbreviation":"ISME J","language":"en","license":"2015 International Society for Microbial Ecology","note":"number: 11\npublisher: Nature Publishing Group","page":"2515-2526","source":"www.nature.com","title":"Dietary input of microbes and host genetic variation shape among-population differences in stickleback gut microbiota","volume":"9","author":[{"family":"Smith","given":"Chris CR"},{"family":"Snowberg","given":"Lisa K."},{"family":"Gregory Caporaso","given":"J."},{"family":"Knight","given":"Rob"},{"family":"Bolnick","given":"Daniel I."}],"issued":{"date-parts":[["2015",11]]}}}],"schema":"https://github.com/citation-style-language/schema/raw/master/csl-citation.json"} </w:instrText>
      </w:r>
      <w:r w:rsidR="00BB3BFA">
        <w:fldChar w:fldCharType="separate"/>
      </w:r>
      <w:r w:rsidR="00BB3BFA" w:rsidRPr="00BB3BFA">
        <w:rPr>
          <w:rFonts w:ascii="Calibri" w:hAnsi="Calibri" w:cs="Calibri"/>
        </w:rPr>
        <w:t>(Smith et al., 2015)</w:t>
      </w:r>
      <w:r w:rsidR="00BB3BFA">
        <w:fldChar w:fldCharType="end"/>
      </w:r>
      <w:r w:rsidR="008861E3">
        <w:t>, immune response</w:t>
      </w:r>
      <w:r w:rsidR="00BB3BFA">
        <w:t xml:space="preserve"> </w:t>
      </w:r>
      <w:r w:rsidR="00BB3BFA">
        <w:fldChar w:fldCharType="begin"/>
      </w:r>
      <w:r w:rsidR="00BB3BFA">
        <w:instrText xml:space="preserve"> ADDIN ZOTERO_ITEM CSL_CITATION {"citationID":"Znxx8n9j","properties":{"formattedCitation":"(Kelly &amp; Salinas, 2017)","plainCitation":"(Kelly &amp; Salinas, 2017)","noteIndex":0},"citationItems":[{"id":1546,"uris":["http://zotero.org/users/9227957/items/6VX53ER6"],"itemData":{"id":1546,"type":"article-journal","abstract":"Commensal microorganisms inhabit every mucosal surface of teleost fish. At these surfaces, microorganisms directly and indirectly shape the teleost immune system. This review provides a comprehensive overview of how the microbiota and microbiota-derived products influence both the mucosal and systemic immune system of fish. The cross talk between the microbiota and the teleost immune system shifts significantly under stress or disease scenarios rendering commensals into opportunists or pathogens. Lessons learnt from germ-free fish models as well as from oral administration of live probiotics to fish highlight the vast impact that microbiota have on immune development, antibody production, mucosal homeostasis, and resistance to stress. Future studies should dissect the specific mechanisms by which different members of the fish microbiota and the metabolites they produce interact with pathogens, with other commensals, and with the teleost immune system.","container-title":"Frontiers in Immunology","ISSN":"1664-3224","source":"Frontiers","title":"Under Pressure: Interactions between Commensal Microbiota and the Teleost Immune System","title-short":"Under Pressure","URL":"https://www.frontiersin.org/articles/10.3389/fimmu.2017.00559","volume":"8","author":[{"family":"Kelly","given":"Cecelia"},{"family":"Salinas","given":"Irene"}],"accessed":{"date-parts":[["2023",6,16]]},"issued":{"date-parts":[["2017"]]}}}],"schema":"https://github.com/citation-style-language/schema/raw/master/csl-citation.json"} </w:instrText>
      </w:r>
      <w:r w:rsidR="00BB3BFA">
        <w:fldChar w:fldCharType="separate"/>
      </w:r>
      <w:r w:rsidR="00BB3BFA" w:rsidRPr="00BB3BFA">
        <w:rPr>
          <w:rFonts w:ascii="Calibri" w:hAnsi="Calibri" w:cs="Calibri"/>
        </w:rPr>
        <w:t>(Kelly &amp; Salinas, 2017)</w:t>
      </w:r>
      <w:r w:rsidR="00BB3BFA">
        <w:fldChar w:fldCharType="end"/>
      </w:r>
      <w:r w:rsidR="008861E3">
        <w:t xml:space="preserve"> and physiology</w:t>
      </w:r>
      <w:r w:rsidR="00BB3BFA">
        <w:t xml:space="preserve"> </w:t>
      </w:r>
      <w:r w:rsidR="00BB3BFA">
        <w:fldChar w:fldCharType="begin"/>
      </w:r>
      <w:r w:rsidR="00BB3BFA">
        <w:instrText xml:space="preserve"> ADDIN ZOTERO_ITEM CSL_CITATION {"citationID":"uYpJ9i8l","properties":{"formattedCitation":"(Dehler et al., 2017)","plainCitation":"(Dehler et al., 2017)","noteIndex":0},"citationItems":[{"id":49,"uris":["http://zotero.org/users/9227957/items/HHAGNR4X"],"itemData":{"id":49,"type":"article-journal","abstract":"Gut microbes are key players in host immune system priming, protection and development, as well as providing nutrients to the host that would be otherwise unavailable. Due to this importance, studies investigating the link between host and microbe are being initiated in farmed fish. The establishment, maintenance and subsequent changes of the intestinal microbiota are central to define fish physiology and nutrition in the future. In fish, unlike mammals, acquiring intestinal microbes is believed to occur around the time of first feeding mainly from the water surrounding them and their microbial composition over time is shaped therefore by their habitat. Here we compare the distal intestine microbiota of Atlantic salmon parr reared in a recirculating laboratory aquarium with that of age matched parr maintained in cage culture in an open freshwater loch environment of a commercial fish farm to establish the microbial profiles in the gut at the freshwater stage and investigate if there is a stable subset of bacteria present regardless of habitat type. We used deep sequencing across two variable regions of the 16S rRNA gene, with a mean read depth of 180,144±12,096 raw sequences per sample. All individual fish used in this study had a minimum of 30,000 quality controlled reads, corresponding to an average of 342±19 Operational Taxonomic Units (OTUs) per sample, which predominantly mapped to the phyla Firmicutes, Proteobacteria, and Tenericutes. The results indicate that species richness is comparable between both treatment groups, however, significant differences were found in the compositions of the gut microbiota between the rearing groups. Furthermore, a core microbiota of 19OTUs was identified, shared by all samples regardless of treatment group, mainly consisting of members of the phyla Proteobacteria, Bacteroidetes and Firmicutes. Core microbiotas of the individual rearing groups were determined (aquarium fish: 19+4 (total 23) OTUs, loch fish: 19+13 (total 32) OTUs), indicating that microbe acquisition or loss is occurring differently in the two habitats, but also that selective forces are acting within the host, offering niches to specific bacterial taxa. The new information gathered in this study by the Illumina MiSeq approach will be useful to understand and define the gut microbiota of healthy Atlantic salmon in freshwater and expand on previous studies using DGGE, TGGE and T-RFPL. Monitoring deviations from these profiles, especially the core microbes which are present regardless of habitat type, might be used in the future as early indicator for intestinal health issues caused by sub optimal feed or infectious diseases in the farm setting.\nStatement of relevance\nThe Microbiome is central to gut health, local immune function and nutrient up take. We have used deep sequencing approach to show differences in rearing conditions of Atlantic salmon. This work is of interest to aquaculture nutritionists.","collection-title":"Cutting Edge Science in Aquaculture 2015","container-title":"Aquaculture","DOI":"10.1016/j.aquaculture.2016.07.017","ISSN":"0044-8486","journalAbbreviation":"Aquaculture","language":"en","page":"149-157","source":"ScienceDirect","title":"Environmental and physiological factors shape the gut microbiota of Atlantic salmon parr (Salmo salar L.)","volume":"467","author":[{"family":"Dehler","given":"Carola E."},{"family":"Secombes","given":"Christopher J."},{"family":"Martin","given":"Samuel A. M."}],"issued":{"date-parts":[["2017",1,20]]}}}],"schema":"https://github.com/citation-style-language/schema/raw/master/csl-citation.json"} </w:instrText>
      </w:r>
      <w:r w:rsidR="00BB3BFA">
        <w:fldChar w:fldCharType="separate"/>
      </w:r>
      <w:r w:rsidR="00BB3BFA" w:rsidRPr="00BB3BFA">
        <w:rPr>
          <w:rFonts w:ascii="Calibri" w:hAnsi="Calibri" w:cs="Calibri"/>
        </w:rPr>
        <w:t>(Dehler et al., 2017)</w:t>
      </w:r>
      <w:r w:rsidR="00BB3BFA">
        <w:fldChar w:fldCharType="end"/>
      </w:r>
      <w:r w:rsidR="008861E3">
        <w:t xml:space="preserve"> as well as environmental factors such as food source and food availability</w:t>
      </w:r>
      <w:r w:rsidR="00E871FA">
        <w:t xml:space="preserve"> </w:t>
      </w:r>
      <w:r w:rsidR="00E871FA">
        <w:fldChar w:fldCharType="begin"/>
      </w:r>
      <w:r w:rsidR="00E871FA">
        <w:instrText xml:space="preserve"> ADDIN ZOTERO_ITEM CSL_CITATION {"citationID":"v56JL92x","properties":{"formattedCitation":"(Gajardo et al., 2017; Li et al., 2022; Ring\\uc0\\u248{} et al., 2016)","plainCitation":"(Gajardo et al., 2017; Li et al., 2022; Ringø et al., 2016)","noteIndex":0},"citationItems":[{"id":526,"uris":["http://zotero.org/users/9227957/items/8D35RXB4"],"itemData":{"id":526,"type":"article-journal","container-title":"Applied and Environmental Microbiology","DOI":"10.1128/AEM.02615-16","issue":"5","note":"publisher: American Society for Microbiology","page":"e02615-16","source":"journals.asm.org (Atypon)","title":"Alternative Protein Sources in the Diet Modulate Microbiota and Functionality in the Distal Intestine of Atlantic Salmon (Salmo salar)","volume":"83","author":[{"family":"Gajardo","given":"Karina"},{"family":"Jaramillo-Torres","given":"Alexander"},{"family":"Kortner","given":"Trond M."},{"family":"Merrifield","given":"Daniel L."},{"family":"Tinsley","given":"John"},{"family":"Bakke","given":"Anne Marie"},{"family":"Krogdahl","given":"Åshild"}],"issued":{"date-parts":[["2017",2,15]]}}},{"id":524,"uris":["http://zotero.org/users/9227957/items/WPMLTRDI"],"itemData":{"id":524,"type":"article-journal","abstract":"Being part of fish's natural diets, insects have become a practical alternative feed ingredient for aquaculture. While nutritional values of insects have been extensively studied in various fish species, their impact on the fish microbiota remains to be fully explored. In an 8-week freshwater feeding trial, Atlantic salmon (Salmo salar) were fed either a commercially relevant reference diet or an insect meal diet wherein black soldier fly (Hermetia illucens) larvae meal comprised 60% of total ingredients. Microbiota of digesta and mucosa origin from the proximal and distal intestine were collected and profiled along with feed and water samples.","container-title":"Animal Microbiome","DOI":"10.1186/s42523-021-00159-4","ISSN":"2524-4671","issue":"1","journalAbbreviation":"anim microbiome","language":"en","page":"8","source":"Springer Link","title":"Consistent changes in the intestinal microbiota of Atlantic salmon fed insect meal diets","volume":"4","author":[{"family":"Li","given":"Yanxian"},{"family":"Gajardo","given":"Karina"},{"family":"Jaramillo-Torres","given":"Alexander"},{"family":"Kortner","given":"Trond M."},{"family":"Krogdahl","given":"Åshild"}],"issued":{"date-parts":[["2022",1,10]]}}},{"id":640,"uris":["http://zotero.org/users/9227957/items/RRVZDDC3"],"itemData":{"id":640,"type":"article-journal","abstract":"It is well known that healthy gut microbiota is essential to promote host health and well-being. The intestinal microbiota of endothermic animals as well as fish are classified as autochthonous or indigenous, when they are able to colonize the host's epithelial surface or are associated with the microvilli, or as allochthonous or transient (associated with digesta or are present in the lumen). Furthermore, the gut microbiota of aquatic animals is more fluidic than that of terrestrial vertebrates and is highly sensitive to dietary changes. In fish, it is demonstrated that [a] dietary form (live feeds or pelleted diets), [b] dietary lipid (lipid levels, lipid sources and polyunsaturated fatty acids), [c] protein sources (soybean meal, krill meal and other meal products), [d] functional glycomic ingredients (chitin and cellulose), [e] nutraceuticals (probiotics, prebiotics, synbiotics and immunostimulants), [f] antibiotics, [g] dietary iron and [h] chromic oxide affect the gut microbiota. Furthermore, some information is available on bacterial colonization of the gut enterocyte surface as a result of dietary manipulation which indicates that changes in indigenous microbial populations may have repercussion on secondary host–microbe interactions. The effect of dietary components on the gut microbiota is important to investigate, as the gastrointestinal tract has been suggested as one of the major routes of infection in fish. Possible interactions between dietary components and the protective microbiota colonizing the digestive tract are discussed.","container-title":"Aquaculture Nutrition","DOI":"10.1111/anu.12346","ISSN":"1365-2095","issue":"2","language":"en","note":"_eprint: https://onlinelibrary.wiley.com/doi/pdf/10.1111/anu.12346","page":"219-282","source":"Wiley Online Library","title":"Effect of dietary components on the gut microbiota of aquatic animals. A never-ending story?","volume":"22","author":[{"family":"Ringø","given":"E."},{"family":"Zhou","given":"Z."},{"family":"Vecino","given":"J.l.g."},{"family":"Wadsworth","given":"S."},{"family":"Romero","given":"J."},{"family":"Krogdahl","given":"Å."},{"family":"Olsen","given":"R.e."},{"family":"Dimitroglou","given":"A."},{"family":"Foey","given":"A."},{"family":"Davies","given":"S."},{"family":"Owen","given":"M."},{"family":"Lauzon","given":"H.l."},{"family":"Martinsen","given":"L.l."},{"family":"De Schryver","given":"P."},{"family":"Bossier","given":"P."},{"family":"Sperstad","given":"S."},{"family":"Merrifield","given":"D.l."}],"issued":{"date-parts":[["2016"]]}}}],"schema":"https://github.com/citation-style-language/schema/raw/master/csl-citation.json"} </w:instrText>
      </w:r>
      <w:r w:rsidR="00E871FA">
        <w:fldChar w:fldCharType="separate"/>
      </w:r>
      <w:r w:rsidR="00E871FA" w:rsidRPr="00E871FA">
        <w:rPr>
          <w:rFonts w:ascii="Calibri" w:hAnsi="Calibri" w:cs="Calibri"/>
          <w:szCs w:val="24"/>
        </w:rPr>
        <w:t>(Gajardo et al., 2017; Li et al., 2022; Ringø et al., 2016)</w:t>
      </w:r>
      <w:r w:rsidR="00E871FA">
        <w:fldChar w:fldCharType="end"/>
      </w:r>
      <w:r w:rsidR="00E871FA">
        <w:t xml:space="preserve">, </w:t>
      </w:r>
      <w:r w:rsidR="008861E3">
        <w:t>parasite presence</w:t>
      </w:r>
      <w:r w:rsidR="00DC0228">
        <w:t xml:space="preserve"> </w:t>
      </w:r>
      <w:r w:rsidR="00DC0228">
        <w:fldChar w:fldCharType="begin"/>
      </w:r>
      <w:r w:rsidR="00DC0228">
        <w:instrText xml:space="preserve"> ADDIN ZOTERO_ITEM CSL_CITATION {"citationID":"omczK8Ta","properties":{"formattedCitation":"(Llewellyn et al., 2017; Schaal et al., 2022)","plainCitation":"(Llewellyn et al., 2017; Schaal et al., 2022)","noteIndex":0},"citationItems":[{"id":212,"uris":["http://zotero.org/users/9227957/items/2VCNLHSK"],"itemData":{"id":212,"type":"article-journal","abstract":"Interactions between parasite, host and host-associated microbiota are increasingly understood as important determinants of disease progression and morbidity. Salmon lice, including the parasitic copepod Lepeophtheirus salmonis and related species, are perhaps the most important problem facing Atlantic Salmon aquaculture after feed sustainability. Salmon lice parasitize the surface of the fish, feeding off mucus, scales and underlying tissue. Secondary bacterial infections are a major source of associated morbidity. In this study we tracked the diversity and composition of Salmo salar skin surface microbiota throughout a complete L. salmonis infection cycle among 800 post-smolts as compared to healthy controls. Among infected fish we observed a significant reduction in microbial richness (Chao1, P = 0.0136), raised diversity (Shannon, P &lt; 7.86e-06) as well as highly significant destabilisation of microbial community composition (Pairwise Unifrac, beta-diversity, P &lt; 1.86e-05; P = 0.0132) by comparison to controls. While undetectable on an individual level, network analysis of microbial taxa on infected fish revealed the association of multiple pathogenic genera (Vibrio, Flavobacterium, Tenacibaculum, Pseudomonas) with high louse burdens. We discuss our findings in the context of ecological theory and colonisation resistance, in addition to the role microbiota in driving primary and secondary pathology in the host.","container-title":"Scientific Reports","DOI":"10.1038/srep43465","ISSN":"2045-2322","issue":"1","journalAbbreviation":"Sci Rep","language":"en","license":"2017 The Author(s)","note":"number: 1\npublisher: Nature Publishing Group","page":"43465","source":"www.nature.com","title":"Parasitism perturbs the mucosal microbiome of Atlantic Salmon","volume":"7","author":[{"family":"Llewellyn","given":"M. S."},{"family":"Leadbeater","given":"S."},{"family":"Garcia","given":"C."},{"family":"Sylvain","given":"F.-E."},{"family":"Custodio","given":"M."},{"family":"Ang","given":"K. P."},{"family":"Powell","given":"F."},{"family":"Carvalho","given":"G. R."},{"family":"Creer","given":"S."},{"family":"Elliot","given":"J."},{"family":"Derome","given":"N."}],"issued":{"date-parts":[["2017",3,7]]}}},{"id":500,"uris":["http://zotero.org/users/9227957/items/QNULKHEB"],"itemData":{"id":500,"type":"article-journal","abstract":"Rapidly spreading parasitic infections like amoebic gill disease (AGD) are increasingly problematic for Atlantic salmon reared in aquaculture facilities and potentially pose a risk to wild fish species in surrounding waters. Currently, it is not known whether susceptibility to AGD differs between wild and farmed salmon. Wild Atlantic salmon populations are declining and this emerging disease could represent an additional threat to their long-term viability. A better understanding of how AGD affects fish health is therefore relevant for the accurate assessment of the associated risk, both to farming and to the well-being of wild populations. In this study, we assessed the impact of natural exposure to AGD on wild, hybrid and farmed post-smolt Atlantic salmon reared in a sea farm together under common garden conditions.","container-title":"Animal Microbiome","DOI":"10.1186/s42523-022-00203-x","ISSN":"2524-4671","issue":"1","journalAbbreviation":"Animal Microbiome","page":"53","source":"BioMed Central","title":"Links between host genetics, metabolism, gut microbiome and amoebic gill disease (AGD) in Atlantic salmon","volume":"4","author":[{"family":"Schaal","given":"Patrick"},{"family":"Cheaib","given":"Bachar"},{"family":"Kaufmann","given":"Joshka"},{"family":"Phillips","given":"Karl"},{"family":"Ryder","given":"Liz"},{"family":"McGinnity","given":"Phil"},{"family":"Llewellyn","given":"Martin"}],"issued":{"date-parts":[["2022",9,15]]}}}],"schema":"https://github.com/citation-style-language/schema/raw/master/csl-citation.json"} </w:instrText>
      </w:r>
      <w:r w:rsidR="00DC0228">
        <w:fldChar w:fldCharType="separate"/>
      </w:r>
      <w:r w:rsidR="00DC0228" w:rsidRPr="00DC0228">
        <w:rPr>
          <w:rFonts w:ascii="Calibri" w:hAnsi="Calibri" w:cs="Calibri"/>
        </w:rPr>
        <w:t>(Llewellyn et al., 2017; Schaal et al., 2022)</w:t>
      </w:r>
      <w:r w:rsidR="00DC0228">
        <w:fldChar w:fldCharType="end"/>
      </w:r>
      <w:r w:rsidR="008861E3">
        <w:t>, temperature</w:t>
      </w:r>
      <w:r w:rsidR="00E871FA">
        <w:t xml:space="preserve"> </w:t>
      </w:r>
      <w:r w:rsidR="00E871FA">
        <w:fldChar w:fldCharType="begin"/>
      </w:r>
      <w:r w:rsidR="00E871FA">
        <w:instrText xml:space="preserve"> ADDIN ZOTERO_ITEM CSL_CITATION {"citationID":"Blbi4mPp","properties":{"formattedCitation":"(Ghosh et al., 2022; Kokou et al., 2018)","plainCitation":"(Ghosh et al., 2022; Kokou et al., 2018)","noteIndex":0},"citationItems":[{"id":522,"uris":["http://zotero.org/users/9227957/items/Y2CDPRNJ"],"itemData":{"id":522,"type":"article-journal","abstract":"Fish-associated microbiota are an integral part to the health of the host fish. The ongoing climate changes including global warming of water may disrupt the composition and diversity of host-microbiota, and subsequently, destabilize the fish homeostasis. Since the knowledge on temperature-sensitive marine fish and environmental bacteria is scarce, we investigated the effects of rearing temperatures on community structure, diversity and assembly process of bacteria on chum salmon (Oncorhynchus keta), which is a temperate salmon species found in the Pacific. Over the course of two weeks, laboratory-raised chum salmon were exposed to three temperatures: high (18°C), low (8°C) and, control (13°C). Their feces, cutaneous mucus, and surrounding water were sampled for community structure analysis based on 16S rRNA gene amplicon sequencing. Temperature changes from the control level triggered significant dysbiosis in the fecal and skin mucus microbiota. In particular, Vibrio and Tenacibaculum sequence variants were highly abundant at high and low temperatures, respectively, and the opportunistic growth of these pathogenic species may impede host immunity. Two temperature-specific taxonomic microbial biomarkers, the class Betaproteobacteria and the genus Flavobacterium were identified at both high and low temperatures. An analysis of bacterial community assembly processes revealed that environmental selection significantly affected the gut microbial community assembly, while the assembly process of the skin microbiota was stochastic. Our study elucidated the potential crisis of fish health when the equilibrium of the cutaneous and intestinal microbiota was disrupted by temperature changes. Our data will be a valuable tool to better understand the effects of climate change, a very pressing and important challenge now and in the future, on the fish microbiota and its homeostasis.","container-title":"Frontiers in Marine Science","ISSN":"2296-7745","source":"Frontiers","title":"Temperature modulation alters the gut and skin microbial profiles of chum salmon (Oncorhynchus keta)","URL":"https://www.frontiersin.org/articles/10.3389/fmars.2022.1027621","volume":"9","author":[{"family":"Ghosh","given":"Subrata Kumar"},{"family":"Wong","given":"Marty Kwok-Shing"},{"family":"Hyodo","given":"Susumu"},{"family":"Goto","given":"Shuji"},{"family":"Hamasaki","given":"Koji"}],"accessed":{"date-parts":[["2022",9,29]]},"issued":{"date-parts":[["2022"]]}}},{"id":367,"uris":["http://zotero.org/users/9227957/items/I6FEA3LS"],"itemData":{"id":367,"type":"article-journal","abstract":"The hologenome concept proposes that microbes and their host organism are an independent unit of selection. Motivated by this concept, we hypothesized that thermal acclimation in poikilothermic organisms, owing to their inability to maintain their body temperature, is connected to their microbiome composition. To test this hypothesis, we used a unique experimental setup with a transgenerational selective breeding scheme for cold tolerance in tropical tilapias. We tested the effects of the selection on the gut microbiome and on host transcriptomic response. Interestingly, we found that host genetic selection for thermal tolerance shapes the microbiome composition and its response to cold. The microbiomes of cold-resistant fish showed higher resilience to temperature changes, indicating that the microbiome is shaped by its host's selection. These findings are consistent with the hologenome concept and highlight the connection between the host and its microbiome's response to the environment.","container-title":"eLife","DOI":"10.7554/eLife.36398","ISSN":"2050-084X","note":"publisher: eLife Sciences Publications, Ltd","page":"e36398","source":"eLife","title":"Host genetic selection for cold tolerance shapes microbiome composition and modulates its response to temperature","volume":"7","author":[{"family":"Kokou","given":"Fotini"},{"family":"Sasson","given":"Goor"},{"family":"Nitzan","given":"Tali"},{"family":"Doron-Faigenboim","given":"Adi"},{"family":"Harpaz","given":"Sheenan"},{"family":"Cnaani","given":"Avner"},{"family":"Mizrahi","given":"Itzhak"}],"editor":[{"family":"Garrett","given":"Wendy S"},{"family":"Knight","given":"Rob"}],"issued":{"date-parts":[["2018",11,20]]}}}],"schema":"https://github.com/citation-style-language/schema/raw/master/csl-citation.json"} </w:instrText>
      </w:r>
      <w:r w:rsidR="00E871FA">
        <w:fldChar w:fldCharType="separate"/>
      </w:r>
      <w:r w:rsidR="00E871FA" w:rsidRPr="00E871FA">
        <w:rPr>
          <w:rFonts w:ascii="Calibri" w:hAnsi="Calibri" w:cs="Calibri"/>
        </w:rPr>
        <w:t>(Ghosh et al., 2022; Kokou et al., 2018)</w:t>
      </w:r>
      <w:r w:rsidR="00E871FA">
        <w:fldChar w:fldCharType="end"/>
      </w:r>
      <w:r w:rsidR="008861E3">
        <w:t>, pH</w:t>
      </w:r>
      <w:r w:rsidR="007059D5">
        <w:t xml:space="preserve"> </w:t>
      </w:r>
      <w:r w:rsidR="00E871FA">
        <w:fldChar w:fldCharType="begin"/>
      </w:r>
      <w:r w:rsidR="00E871FA">
        <w:instrText xml:space="preserve"> ADDIN ZOTERO_ITEM CSL_CITATION {"citationID":"XGPWMILx","properties":{"formattedCitation":"(Sylvain et al., 2016)","plainCitation":"(Sylvain et al., 2016)","noteIndex":0},"citationItems":[{"id":530,"uris":["http://zotero.org/users/9227957/items/R4T2RHXP"],"itemData":{"id":530,"type":"article-journal","abstract":"Aquatic organisms are increasingly exposed to lowering of environmental pH due to anthropogenic pressure (e.g. acid rain, acid mine drainages). Such acute variations trigger imbalance of fish-associated microbiota, which in turn favour opportunistic diseases. We used the tambaqui (Colossoma macropomum), an Amazonian fish tolerant to significant pH variation in its natural environment, to assess the response of fish endogenous microbiota to acute short-term acid stress. We exposed 36 specimens of tambaquis to acidic water (pH 4.0) over 2 consecutive weeks and sampled cutaneous mucus, feces and water at 0, 7 &amp; 14 days. The 16S RNA hypervariable region V4 was sequenced on Illumina MiSeq. After two weeks of acidic exposure, fecal and skin microbiota taxonomic structures exhibited different patterns: skin microbiota was still exhibiting a significantly disturbed composition whereas fecal microbiota recovered a similar composition to control group, thus suggesting a stronger resilience capacity of the intestinal microbiota than cutaneous microbiota.","container-title":"Scientific Reports","DOI":"10.1038/srep32032","ISSN":"2045-2322","issue":"1","journalAbbreviation":"Sci Rep","language":"en","license":"2016 The Author(s)","note":"number: 1\npublisher: Nature Publishing Group","page":"32032","source":"www.nature.com","title":"pH drop impacts differentially skin and gut microbiota of the Amazonian fish tambaqui (Colossoma macropomum)","volume":"6","author":[{"family":"Sylvain","given":"François-Étienne"},{"family":"Cheaib","given":"Bachar"},{"family":"Llewellyn","given":"Martin"},{"family":"Gabriel Correia","given":"Tiago"},{"family":"Barros Fagundes","given":"Daniel"},{"family":"Luis Val","given":"Adalberto"},{"family":"Derome","given":"Nicolas"}],"issued":{"date-parts":[["2016",8,18]]}}}],"schema":"https://github.com/citation-style-language/schema/raw/master/csl-citation.json"} </w:instrText>
      </w:r>
      <w:r w:rsidR="00E871FA">
        <w:fldChar w:fldCharType="separate"/>
      </w:r>
      <w:r w:rsidR="00E871FA" w:rsidRPr="00E871FA">
        <w:rPr>
          <w:rFonts w:ascii="Calibri" w:hAnsi="Calibri" w:cs="Calibri"/>
        </w:rPr>
        <w:t>(Sylvain et al., 2016)</w:t>
      </w:r>
      <w:r w:rsidR="00E871FA">
        <w:fldChar w:fldCharType="end"/>
      </w:r>
      <w:r w:rsidR="00E871FA">
        <w:t xml:space="preserve"> </w:t>
      </w:r>
      <w:r w:rsidR="008861E3">
        <w:t>and other microbes</w:t>
      </w:r>
      <w:r w:rsidR="00E871FA">
        <w:t xml:space="preserve"> </w:t>
      </w:r>
      <w:r w:rsidR="00E871FA">
        <w:fldChar w:fldCharType="begin"/>
      </w:r>
      <w:r w:rsidR="00287BA2">
        <w:instrText xml:space="preserve"> ADDIN ZOTERO_ITEM CSL_CITATION {"citationID":"SKpL9AcO","properties":{"formattedCitation":"(Coyte et al., 2015; Kokou et al., 2019)","plainCitation":"(Coyte et al., 2015; Kokou et al., 2019)","noteIndex":0},"citationItems":[{"id":1552,"uris":["http://zotero.org/users/9227957/items/Z7CTZVFS"],"itemData":{"id":1552,"type":"article-journal","abstract":"The human gut harbors a large and complex community of beneficial microbes that remain stable over long periods. This stability is considered critical for good health but is poorly understood. Here we develop a body of ecological theory to help us understand microbiome stability. Although cooperating networks of microbes can be efficient, we find that they are often unstable. Counterintuitively, this finding indicates that hosts can benefit from microbial competition when this competition dampens cooperative networks and increases stability. More generally, stability is promoted by limiting positive feedbacks and weakening ecological interactions. We have analyzed host mechanisms for maintaining stability—including immune suppression, spatial structuring, and feeding of community members—and support our key predictions with recent data.","container-title":"Science","DOI":"10.1126/science.aad2602","issue":"6261","note":"publisher: American Association for the Advancement of Science","page":"663-666","source":"science.org (Atypon)","title":"The ecology of the microbiome: Networks, competition, and stability","title-short":"The ecology of the microbiome","volume":"350","author":[{"family":"Coyte","given":"Katharine Z."},{"family":"Schluter","given":"Jonas"},{"family":"Foster","given":"Kevin R."}],"issued":{"date-parts":[["2015",11,6]]}}},{"id":1554,"uris":["http://zotero.org/users/9227957/items/ISZAZM9E"],"itemData":{"id":1554,"type":"article-journal","abstract":"The term core microbiome describes microbes that are consistently present in a particular habitat. If the conditions in that habitat are highly variable, core microbes may also be considered to be ecological generalists. However, little is known about whether metabolic competition and microbial interactions influence the ability of some microbes to persist in the core microbiome while others cannot. We investigated microbial communities at three sites in the guts of European seabass under four dietary conditions. We identified generalist core microbial populations in each gut site that are shared across fish, present under multiple diets and persistent over time. We found that core microbes tend to show synergistic growth in co-culture, and low levels of predicted and validated metabolic competition. Within core microbial species, we found high levels of intraspecific variability and strain-specific habitat specialization. Thus, both intraspecific variability and interspecific facilitation may contribute to the ecological stability of the animal core microbiome.","container-title":"Nature Microbiology","DOI":"10.1038/s41564-019-0560-0","ISSN":"2058-5276","issue":"12","journalAbbreviation":"Nat Microbiol","language":"en","license":"2019 The Author(s), under exclusive licence to Springer Nature Limited","note":"number: 12\npublisher: Nature Publishing Group","page":"2456-2465","source":"www.nature.com","title":"Core gut microbial communities are maintained by beneficial interactions and strain variability in fish","volume":"4","author":[{"family":"Kokou","given":"Fotini"},{"family":"Sasson","given":"Goor"},{"family":"Friedman","given":"Jonathan"},{"family":"Eyal","given":"Stav"},{"family":"Ovadia","given":"Ofer"},{"family":"Harpaz","given":"Sheenan"},{"family":"Cnaani","given":"Avner"},{"family":"Mizrahi","given":"Itzhak"}],"issued":{"date-parts":[["2019",12]]}}}],"schema":"https://github.com/citation-style-language/schema/raw/master/csl-citation.json"} </w:instrText>
      </w:r>
      <w:r w:rsidR="00E871FA">
        <w:fldChar w:fldCharType="separate"/>
      </w:r>
      <w:r w:rsidR="00287BA2" w:rsidRPr="00287BA2">
        <w:rPr>
          <w:rFonts w:ascii="Calibri" w:hAnsi="Calibri" w:cs="Calibri"/>
        </w:rPr>
        <w:t>(Coyte et al., 2015; Kokou et al., 2019)</w:t>
      </w:r>
      <w:r w:rsidR="00E871FA">
        <w:fldChar w:fldCharType="end"/>
      </w:r>
      <w:r w:rsidR="008861E3">
        <w:t>. S</w:t>
      </w:r>
      <w:r w:rsidR="008861E3" w:rsidRPr="00375B7F">
        <w:t>tochastic processes</w:t>
      </w:r>
      <w:r w:rsidR="008861E3">
        <w:t>, on the other hand,</w:t>
      </w:r>
      <w:r w:rsidR="008861E3" w:rsidRPr="00375B7F">
        <w:t xml:space="preserve"> are not guided by </w:t>
      </w:r>
      <w:r w:rsidR="008861E3" w:rsidRPr="00375B7F">
        <w:lastRenderedPageBreak/>
        <w:t>specific host or environmental factors but are rather influenced by random events, such as dispersal and ecological drift</w:t>
      </w:r>
      <w:r w:rsidR="00217492">
        <w:t xml:space="preserve"> </w:t>
      </w:r>
      <w:r w:rsidR="00217492">
        <w:fldChar w:fldCharType="begin"/>
      </w:r>
      <w:r w:rsidR="00217492">
        <w:instrText xml:space="preserve"> ADDIN ZOTERO_ITEM CSL_CITATION {"citationID":"wqumWgtm","properties":{"formattedCitation":"(Hanson et al., 2012; Vellend, 2010)","plainCitation":"(Hanson et al., 2012; Vellend, 2010)","noteIndex":0},"citationItems":[{"id":553,"uris":["http://zotero.org/users/9227957/items/QT7DXF47"],"itemData":{"id":553,"type":"article-journal","abstract":"Biogeography is the study of the distribution of organisms and the ecological and evolutionary processes that shape those distributions. Over the past decade, microbiologists have established the existence of biogeographic patterns among a wide variety of microorganisms, and interest is now shifting towards identifying the mechanisms that shape these patterns.Traditionally, mechanisms that shape the composition and diversity within species are considered to be evolutionary processes, and those that shape the composition and diversity among species are considered to be ecological processes. However, microbial biogeography studies often characterize diversity along a continuous scale of taxonomic resolution using the nucleotide sequences of a single marker gene. In this case, the boundary between ecological and evolutionary processes is particularly blurry. Hence, we merge concepts from both fields to describe the processes that shape microbial biogeographic patterns.Here, we propose a theoretical framework that describes just four processes — selection, drift, dispersal and mutation — which interact to create and maintain microbial biogeographic patterns at all taxonomic scales. As an illustrative example, we show how these processes shape the most commonly studied biogeographic pattern: the distance–decay relationship.We carried out a literature review to assess the evidence for the relative importance of these processes in shaping microbial biogeographic patterns. Although selection imposed by current environmental factors had the strongest influence on microbial spatial distributions, historical processes driven by dispersal limitation also influenced the distribution of at least some microorganisms from all domains of life and from various habitat types, spatial scales and taxonomic resolutions.As different combinations of the same four processes can interact to create the same pattern, we conclude that it remains difficult to disentangle the relative importance of selection, drift, dispersal and mutation by analysing distance–decay patterns alone. We suggest that the field might advance by emphasizing process over pattern: tailoring studies to detect and evaluate specific processes through manipulative experiments, temporal data sets and the incorporation of theoretical models.","container-title":"Nature Reviews Microbiology","DOI":"10.1038/nrmicro2795","ISSN":"1740-1534","issue":"7","journalAbbreviation":"Nat Rev Microbiol","language":"en","license":"2012 Nature Publishing Group, a division of Macmillan Publishers Limited. All Rights Reserved.","note":"number: 7\npublisher: Nature Publishing Group","page":"497-506","source":"www.nature.com","title":"Beyond biogeographic patterns: processes shaping the microbial landscape","title-short":"Beyond biogeographic patterns","volume":"10","author":[{"family":"Hanson","given":"China A."},{"family":"Fuhrman","given":"Jed A."},{"family":"Horner-Devine","given":"M. Claire"},{"family":"Martiny","given":"Jennifer B. H."}],"issued":{"date-parts":[["2012",7]]}}},{"id":453,"uris":["http://zotero.org/users/9227957/items/DG5GG3GY"],"itemData":{"id":453,"type":"article-journal","abstract":"Community ecology is often perceived as a \"mess, \"given the seemingly vast number of processes that can underlie the many patterns of interest, and the apparent uniqueness of each study system. However, at the most general level, patterns in the composition and diversity of species--the subject matter of community ecology--are influenced by only four classes of process: selection, drift, speciation, and dispersal. Selection represents deterministic fitness differences among species, drift represents stochastic changes in species abundance, speciation creates new species, and dispersal is the movement of organisms across space. All theoretical and conceptual models in community ecology can be understood with respect to their emphasis on these four processes. Empirical evidence exists for all of these processes and many of their interactions, with a predominance of studies on selection. Organizing the material of community ecology according to this framework can clarify the essential similarities and differences among the many conceptual and theoretical approaches to the discipline, and it can also allow for the articulation of a very general theory of community dynamics: species are added to communities via speciation and dispersal, and the relative abundances of these species are then shaped by drift and selection, as well as ongoing dispersal to drive community dynamics.","container-title":"The Quarterly Review of Biology","DOI":"10.1086/652373","ISSN":"0033-5770","issue":"2","journalAbbreviation":"Q Rev Biol","language":"eng","note":"PMID: 20565040","page":"183-206","source":"PubMed","title":"Conceptual synthesis in community ecology","volume":"85","author":[{"family":"Vellend","given":"Mark"}],"issued":{"date-parts":[["2010",6]]}}}],"schema":"https://github.com/citation-style-language/schema/raw/master/csl-citation.json"} </w:instrText>
      </w:r>
      <w:r w:rsidR="00217492">
        <w:fldChar w:fldCharType="separate"/>
      </w:r>
      <w:r w:rsidR="00217492" w:rsidRPr="00217492">
        <w:rPr>
          <w:rFonts w:ascii="Calibri" w:hAnsi="Calibri" w:cs="Calibri"/>
        </w:rPr>
        <w:t>(Hanson et al., 2012; Vellend, 2010)</w:t>
      </w:r>
      <w:r w:rsidR="00217492">
        <w:fldChar w:fldCharType="end"/>
      </w:r>
      <w:r w:rsidR="00217492">
        <w:t xml:space="preserve">. </w:t>
      </w:r>
      <w:r w:rsidR="005B740D" w:rsidRPr="005B740D">
        <w:t>Dispersal is a process where microorganisms are introduced to the gut from external sources, such as the environment or other individuals.</w:t>
      </w:r>
      <w:r w:rsidR="005B740D">
        <w:t xml:space="preserve"> Ecological drift refers to random events of microbial birth, death and replacement and can lead to variability in </w:t>
      </w:r>
      <w:r w:rsidR="005B740D" w:rsidRPr="005B740D">
        <w:t>the gut microbial community even in the absence of strong selective pressures</w:t>
      </w:r>
      <w:r w:rsidR="005B740D">
        <w:t>.</w:t>
      </w:r>
      <w:r w:rsidR="005D6F51">
        <w:t xml:space="preserve"> </w:t>
      </w:r>
      <w:r w:rsidR="005D6F51" w:rsidRPr="00D35240">
        <w:t xml:space="preserve">In fish, neutral community assembly can explain a </w:t>
      </w:r>
      <w:r w:rsidR="005D6F51">
        <w:t>substantial</w:t>
      </w:r>
      <w:r w:rsidR="005D6F51" w:rsidRPr="00D35240">
        <w:t xml:space="preserve"> amount of observable differences in gut microbial community structure</w:t>
      </w:r>
      <w:r w:rsidR="00217492">
        <w:t xml:space="preserve"> </w:t>
      </w:r>
      <w:r w:rsidR="00217492">
        <w:fldChar w:fldCharType="begin"/>
      </w:r>
      <w:r w:rsidR="00217492">
        <w:instrText xml:space="preserve"> ADDIN ZOTERO_ITEM CSL_CITATION {"citationID":"jwSaLGVk","properties":{"formattedCitation":"(Burns et al., 2016; Heys et al., 2020)","plainCitation":"(Burns et al., 2016; Heys et al., 2020)","noteIndex":0},"citationItems":[{"id":351,"uris":["http://zotero.org/users/9227957/items/X8LLN5PK"],"itemData":{"id":351,"type":"article-journal","abstract":"Despite their importance to host health and development, the communities of microorganisms associated with humans and other animals are characterized by a large degree of unexplained variation across individual hosts. The processes that drive such inter-individual variation are not well understood. To address this, we surveyed the microbial communities associated with the intestine of the zebrafish, Danio rerio, over developmental time. We compared our observations of community composition and distribution across hosts with that predicted by a neutral assembly model, which assumes that community assembly is driven solely by chance and dispersal. We found that as hosts develop from larvae to adults, the fit of the model to observed microbial distributions decreases, suggesting that the relative importance of non-neutral processes, such as microbe-microbe interactions, active dispersal, or selection by the host, increases as hosts mature. We also observed that taxa which depart in their distributions from the neutral prediction form ecologically distinct sub-groups, which are phylogenetically clustered with respect to the full metacommunity. These results demonstrate that neutral processes are sufficient to generate substantial variation in microbiota composition across individual hosts, and suggest that potentially unique or important taxa may be identified by their divergence from neutral distributions.","container-title":"The ISME Journal","DOI":"10.1038/ismej.2015.142","ISSN":"1751-7370","issue":"3","journalAbbreviation":"ISME J","language":"en","license":"2016 International Society for Microbial Ecology","note":"number: 3\npublisher: Nature Publishing Group","page":"655-664","source":"www.nature.com","title":"Contribution of neutral processes to the assembly of gut microbial communities in the zebrafish over host development","volume":"10","author":[{"family":"Burns","given":"Adam R."},{"family":"Stephens","given":"W. Zac"},{"family":"Stagaman","given":"Keaton"},{"family":"Wong","given":"Sandi"},{"family":"Rawls","given":"John F."},{"family":"Guillemin","given":"Karen"},{"family":"Bohannan","given":"Brendan JM"}],"issued":{"date-parts":[["2016",3]]}}},{"id":253,"uris":["http://zotero.org/users/9227957/items/3SY334AA"],"itemData":{"id":253,"type":"article-journal","container-title":"Applied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S."}],"issued":{"date-parts":[["2020"]]}}}],"schema":"https://github.com/citation-style-language/schema/raw/master/csl-citation.json"} </w:instrText>
      </w:r>
      <w:r w:rsidR="00217492">
        <w:fldChar w:fldCharType="separate"/>
      </w:r>
      <w:r w:rsidR="00217492" w:rsidRPr="00217492">
        <w:rPr>
          <w:rFonts w:ascii="Calibri" w:hAnsi="Calibri" w:cs="Calibri"/>
        </w:rPr>
        <w:t>(Burns et al., 2016; Heys et al., 2020)</w:t>
      </w:r>
      <w:r w:rsidR="00217492">
        <w:fldChar w:fldCharType="end"/>
      </w:r>
      <w:r w:rsidR="00217492">
        <w:t xml:space="preserve">. </w:t>
      </w:r>
      <w:r w:rsidR="00BB29C5" w:rsidRPr="00D35240">
        <w:t xml:space="preserve">Despite advances in microbiome research, there are still substantial knowledge gaps </w:t>
      </w:r>
      <w:r w:rsidR="00BB29C5">
        <w:t>regarding</w:t>
      </w:r>
      <w:r w:rsidR="00BB29C5" w:rsidRPr="00D35240">
        <w:t xml:space="preserve"> the </w:t>
      </w:r>
      <w:r w:rsidR="00BB29C5">
        <w:t>dynamics</w:t>
      </w:r>
      <w:r w:rsidR="00BB29C5" w:rsidRPr="00D35240">
        <w:t xml:space="preserve"> of gut microbial communities over time and the origin of microbial taxa within these communities. One key </w:t>
      </w:r>
      <w:r w:rsidR="00BB29C5">
        <w:t xml:space="preserve">unanswered </w:t>
      </w:r>
      <w:r w:rsidR="00BB29C5" w:rsidRPr="00D35240">
        <w:t xml:space="preserve">question is whether the microbial taxa </w:t>
      </w:r>
      <w:r w:rsidR="00217492">
        <w:t>that are detectable</w:t>
      </w:r>
      <w:r w:rsidR="00BB29C5" w:rsidRPr="00D35240">
        <w:t xml:space="preserve"> in the gut are establish</w:t>
      </w:r>
      <w:r w:rsidR="00BB29C5">
        <w:t>ed,</w:t>
      </w:r>
      <w:r w:rsidR="00BB29C5" w:rsidRPr="00D35240">
        <w:t xml:space="preserve"> long-term residen</w:t>
      </w:r>
      <w:r w:rsidR="00BB29C5">
        <w:t>ts</w:t>
      </w:r>
      <w:r w:rsidR="00BB29C5" w:rsidRPr="00D35240">
        <w:t>, or if they are transient, external</w:t>
      </w:r>
      <w:r w:rsidR="00BB29C5">
        <w:t>ly sourced</w:t>
      </w:r>
      <w:r w:rsidR="00BB29C5" w:rsidRPr="00D35240">
        <w:t xml:space="preserve"> and passing through the </w:t>
      </w:r>
      <w:r w:rsidR="00217492">
        <w:t>intestine</w:t>
      </w:r>
      <w:r w:rsidR="00BB29C5" w:rsidRPr="00D35240">
        <w:t xml:space="preserve"> without establishing a lasting presence.</w:t>
      </w:r>
      <w:r w:rsidR="00BB29C5">
        <w:t xml:space="preserve"> To u</w:t>
      </w:r>
      <w:r w:rsidR="00BB29C5" w:rsidRPr="00D35240">
        <w:t xml:space="preserve">nderstand the dynamics of microbial taxa in the gut it is essential to investigate their sources and to determine how </w:t>
      </w:r>
      <w:r w:rsidR="00BB29C5">
        <w:t xml:space="preserve">they </w:t>
      </w:r>
      <w:r w:rsidR="00BB29C5" w:rsidRPr="00D35240">
        <w:t xml:space="preserve">contribute to the composition and </w:t>
      </w:r>
      <w:r w:rsidR="00BB29C5">
        <w:t>variability</w:t>
      </w:r>
      <w:r w:rsidR="00BB29C5" w:rsidRPr="00D35240">
        <w:t xml:space="preserve"> of the gut microbiome.</w:t>
      </w:r>
    </w:p>
    <w:p w14:paraId="57A5415C" w14:textId="178C4812" w:rsidR="00AD63C0" w:rsidRDefault="00AD63C0" w:rsidP="00AD63C0">
      <w:pPr>
        <w:spacing w:line="480" w:lineRule="auto"/>
        <w:rPr>
          <w:rFonts w:cstheme="minorHAnsi"/>
        </w:rPr>
      </w:pPr>
      <w:r w:rsidRPr="001370A2">
        <w:rPr>
          <w:rFonts w:cstheme="minorHAnsi"/>
        </w:rPr>
        <w:t>Most studies</w:t>
      </w:r>
      <w:r w:rsidR="009466C7">
        <w:rPr>
          <w:rFonts w:cstheme="minorHAnsi"/>
        </w:rPr>
        <w:t xml:space="preserve"> investigate</w:t>
      </w:r>
      <w:r w:rsidRPr="001370A2">
        <w:rPr>
          <w:rFonts w:cstheme="minorHAnsi"/>
        </w:rPr>
        <w:t xml:space="preserve"> </w:t>
      </w:r>
      <w:r w:rsidR="009466C7">
        <w:rPr>
          <w:rFonts w:cstheme="minorHAnsi"/>
        </w:rPr>
        <w:t>microbial assembly processes</w:t>
      </w:r>
      <w:r w:rsidRPr="001370A2">
        <w:rPr>
          <w:rFonts w:cstheme="minorHAnsi"/>
        </w:rPr>
        <w:t xml:space="preserve"> using laboratory models or artificial systems. Yet, insights </w:t>
      </w:r>
      <w:r>
        <w:rPr>
          <w:rFonts w:cstheme="minorHAnsi"/>
        </w:rPr>
        <w:t>must also be acquired</w:t>
      </w:r>
      <w:r w:rsidRPr="001370A2">
        <w:rPr>
          <w:rFonts w:cstheme="minorHAnsi"/>
        </w:rPr>
        <w:t xml:space="preserve"> from natural environments</w:t>
      </w:r>
      <w:r>
        <w:rPr>
          <w:rFonts w:cstheme="minorHAnsi"/>
        </w:rPr>
        <w:t xml:space="preserve"> </w:t>
      </w:r>
      <w:r>
        <w:rPr>
          <w:rFonts w:cstheme="minorHAnsi"/>
        </w:rPr>
        <w:fldChar w:fldCharType="begin"/>
      </w:r>
      <w:r>
        <w:rPr>
          <w:rFonts w:cstheme="minorHAnsi"/>
        </w:rPr>
        <w:instrText xml:space="preserve"> ADDIN ZOTERO_ITEM CSL_CITATION {"citationID":"vecbuhgX","properties":{"formattedCitation":"(Cusick et al., 2021)","plainCitation":"(Cusick et al., 2021)","noteIndex":0},"citationItems":[{"id":497,"uris":["http://zotero.org/users/9227957/items/ICG6Q323"],"itemData":{"id":497,"type":"article-journal","abstract":"On and within most sites across an animal's body live complex communities of microorganisms. These microorganisms perform a variety of important functions for their hosts, including communicating with the brain, immune system and endocrine axes to mediate physiological processes and affect individual behaviour. Microbiome research has primarily focused on the functions of the microbiome within the gastrointestinal tract (gut microbiome) using biomedically relevant laboratory species (i.e. model organisms). These studies have identified important connections between the gut microbiome and host immune, neuroendocrine and nervous systems, as well as how these connections, in turn, influence host behaviour and health. Recently, the field has expanded beyond traditional model systems as it has become apparent that the microbiome can drive differences in behaviour and diet, play a fundamental role in host fitness and influence community-scale dynamics in wild populations. In this Review, we highlight the value of conducting hypothesis-driven research in non-model organisms and the benefits of a comparative approach that assesses patterns across different species or taxa. Using social behaviour as an intellectual framework, we review the bidirectional relationship between the gut microbiome and host behaviour, and identify understudied mechanisms by which these effects may be mediated.","container-title":"Journal of Experimental Biology","DOI":"10.1242/jeb.224485","ISSN":"0022-0949","issue":"10","journalAbbreviation":"Journal of Experimental Biology","page":"jeb224485","source":"Silverchair","title":"The call of the wild: using non-model systems to investigate microbiome–behaviour relationships","title-short":"The call of the wild","volume":"224","author":[{"family":"Cusick","given":"Jessica A."},{"family":"Wellman","given":"Cara L."},{"family":"Demas","given":"Gregory E."}],"issued":{"date-parts":[["2021",5,14]]}}}],"schema":"https://github.com/citation-style-language/schema/raw/master/csl-citation.json"} </w:instrText>
      </w:r>
      <w:r>
        <w:rPr>
          <w:rFonts w:cstheme="minorHAnsi"/>
        </w:rPr>
        <w:fldChar w:fldCharType="separate"/>
      </w:r>
      <w:r w:rsidRPr="00FA1C76">
        <w:rPr>
          <w:rFonts w:ascii="Calibri" w:hAnsi="Calibri" w:cs="Calibri"/>
        </w:rPr>
        <w:t>(Cusick et al., 2021)</w:t>
      </w:r>
      <w:r>
        <w:rPr>
          <w:rFonts w:cstheme="minorHAnsi"/>
        </w:rPr>
        <w:fldChar w:fldCharType="end"/>
      </w:r>
      <w:r>
        <w:rPr>
          <w:rFonts w:cstheme="minorHAnsi"/>
        </w:rPr>
        <w:t xml:space="preserve"> because </w:t>
      </w:r>
      <w:r w:rsidRPr="003B170D">
        <w:rPr>
          <w:rFonts w:cstheme="minorHAnsi"/>
        </w:rPr>
        <w:t xml:space="preserve">these reflect the </w:t>
      </w:r>
      <w:r>
        <w:rPr>
          <w:rFonts w:cstheme="minorHAnsi"/>
        </w:rPr>
        <w:t xml:space="preserve">harsh and complex </w:t>
      </w:r>
      <w:r w:rsidRPr="003B170D">
        <w:rPr>
          <w:rFonts w:cstheme="minorHAnsi"/>
        </w:rPr>
        <w:t xml:space="preserve">conditions </w:t>
      </w:r>
      <w:r>
        <w:rPr>
          <w:rFonts w:cstheme="minorHAnsi"/>
        </w:rPr>
        <w:t>by</w:t>
      </w:r>
      <w:r w:rsidRPr="003B170D">
        <w:rPr>
          <w:rFonts w:cstheme="minorHAnsi"/>
        </w:rPr>
        <w:t xml:space="preserve"> which host organisms </w:t>
      </w:r>
      <w:r>
        <w:rPr>
          <w:rFonts w:cstheme="minorHAnsi"/>
        </w:rPr>
        <w:t xml:space="preserve">actually live </w:t>
      </w:r>
      <w:r>
        <w:rPr>
          <w:rFonts w:cstheme="minorHAnsi"/>
        </w:rPr>
        <w:fldChar w:fldCharType="begin"/>
      </w:r>
      <w:r>
        <w:rPr>
          <w:rFonts w:cstheme="minorHAnsi"/>
        </w:rPr>
        <w:instrText xml:space="preserve"> ADDIN ZOTERO_ITEM CSL_CITATION {"citationID":"S1lJp2xO","properties":{"formattedCitation":"(Friberg et al., 2019)","plainCitation":"(Friberg et al., 2019)","noteIndex":0},"citationItems":[{"id":579,"uris":["http://zotero.org/users/9227957/items/UK75YX9D"],"itemData":{"id":579,"type":"article-journal","abstract":"Natural interactions between the diet, microbiome, and immunity are largely unstudied. Here we employ wild three-spined sticklebacks as a model, combining field observations with complementary experimental manipulations of diet designed to mimic seasonal variation in the wild. We clearly demonstrate that season-specific diets are a powerful causal driver of major systemic immunophenotypic variation. This effect occurred largely independently of the bulk composition of the bacterial microbiome (which was also driven by season and diet) and of host condition, demonstrating neither of these, per se, constrain immune allocation in healthy individuals. Nonetheless, through observations in multiple anatomical compartments, differentially exposed to the direct effects of food and immunity, we found evidence of immune-driven control of bacterial community composition in mucus layers. This points to the interactive nature of the host-microbiome relationship, and is the first time, to our knowledge, that this causal chain (diet → immunity → microbiome) has been demonstrated in wild vertebrates. Microbiome effects on immunity were not excluded and, importantly, we identified outgrowth of potentially pathogenic bacteria (especially mycolic-acid producing corynebacteria) as a consequence of the more animal-protein-rich summertime diet. This may provide part of the ultimate explanation (and possibly a proximal cue) for the dramatic immune re-adjustments that we saw in response to diet change.","container-title":"Frontiers in Immunology","ISSN":"1664-3224","source":"Frontiers","title":"Diet in the Driving Seat: Natural Diet-Immunity-Microbiome Interactions in Wild Fish","title-short":"Diet in the Driving Seat","URL":"https://www.frontiersin.org/articles/10.3389/fimmu.2019.00243","volume":"10","author":[{"family":"Friberg","given":"Ida M."},{"family":"Taylor","given":"Joe D."},{"family":"Jackson","given":"Joseph A."}],"accessed":{"date-parts":[["2022",10,1]]},"issued":{"date-parts":[["2019"]]}}}],"schema":"https://github.com/citation-style-language/schema/raw/master/csl-citation.json"} </w:instrText>
      </w:r>
      <w:r>
        <w:rPr>
          <w:rFonts w:cstheme="minorHAnsi"/>
        </w:rPr>
        <w:fldChar w:fldCharType="separate"/>
      </w:r>
      <w:r w:rsidRPr="007971E7">
        <w:rPr>
          <w:rFonts w:ascii="Calibri" w:hAnsi="Calibri" w:cs="Calibri"/>
        </w:rPr>
        <w:t>(Friberg et al., 2019)</w:t>
      </w:r>
      <w:r>
        <w:rPr>
          <w:rFonts w:cstheme="minorHAnsi"/>
        </w:rPr>
        <w:fldChar w:fldCharType="end"/>
      </w:r>
      <w:r w:rsidRPr="001370A2">
        <w:rPr>
          <w:rFonts w:cstheme="minorHAnsi"/>
        </w:rPr>
        <w:t xml:space="preserve">. </w:t>
      </w:r>
      <w:r w:rsidR="00891B5F" w:rsidRPr="00891B5F">
        <w:rPr>
          <w:rFonts w:cstheme="minorHAnsi"/>
        </w:rPr>
        <w:t>Atlantic salmon</w:t>
      </w:r>
      <w:r w:rsidR="00891B5F">
        <w:rPr>
          <w:rFonts w:cstheme="minorHAnsi"/>
        </w:rPr>
        <w:t xml:space="preserve"> is one of the</w:t>
      </w:r>
      <w:r w:rsidR="00E23070">
        <w:rPr>
          <w:rFonts w:cstheme="minorHAnsi"/>
        </w:rPr>
        <w:t xml:space="preserve"> ecological and economical</w:t>
      </w:r>
      <w:r w:rsidR="00891B5F">
        <w:rPr>
          <w:rFonts w:cstheme="minorHAnsi"/>
        </w:rPr>
        <w:t xml:space="preserve"> most important fish species worldwide and </w:t>
      </w:r>
      <w:r w:rsidR="00B9718F">
        <w:rPr>
          <w:rFonts w:ascii="Calibri" w:hAnsi="Calibri" w:cs="Calibri"/>
        </w:rPr>
        <w:t xml:space="preserve"> </w:t>
      </w:r>
      <w:r w:rsidR="00B9718F">
        <w:rPr>
          <w:rFonts w:cstheme="minorHAnsi"/>
        </w:rPr>
        <w:t>is extensively researched to</w:t>
      </w:r>
      <w:r w:rsidR="00891B5F">
        <w:rPr>
          <w:rFonts w:cstheme="minorHAnsi"/>
        </w:rPr>
        <w:t xml:space="preserve"> </w:t>
      </w:r>
      <w:r w:rsidR="00891B5F" w:rsidRPr="00891B5F">
        <w:rPr>
          <w:rFonts w:cstheme="minorHAnsi"/>
        </w:rPr>
        <w:t>examine various aspects of fish biology, aquaculture practices and ecosystem dynamics</w:t>
      </w:r>
      <w:r w:rsidR="00B9718F">
        <w:rPr>
          <w:rFonts w:cstheme="minorHAnsi"/>
        </w:rPr>
        <w:t xml:space="preserve"> </w:t>
      </w:r>
      <w:r w:rsidR="00B9718F">
        <w:rPr>
          <w:rFonts w:cstheme="minorHAnsi"/>
        </w:rPr>
        <w:fldChar w:fldCharType="begin"/>
      </w:r>
      <w:r w:rsidR="00B9718F">
        <w:rPr>
          <w:rFonts w:cstheme="minorHAnsi"/>
        </w:rPr>
        <w:instrText xml:space="preserve"> ADDIN ZOTERO_ITEM CSL_CITATION {"citationID":"twqUQaXO","properties":{"formattedCitation":"(Aas et al., 2010; Houston &amp; Macqueen, 2019)","plainCitation":"(Aas et al., 2010; Houston &amp; Macqueen, 2019)","noteIndex":0},"citationItems":[{"id":520,"uris":["http://zotero.org/users/9227957/items/EG5GJLAC"],"itemData":{"id":520,"type":"book","abstract":"The Atlantic salmon is one of the most prized and exploited species worldwide, being at the centre of a massive sports fishing industry and increasingly as the major farmed species in many countries worldwide. Atlantic Salmon Ecology is a landmark publication, both scientifically important and visually attractive. Comprehensively covering all major aspects of the relationship of the Atlantic salmon with its environment, chapters include details of migration and dispersal, reproduction, habitat requirements, feeding, growth rates, competition, predation, parasitsm, population dynamics, effects of landscape use, hydro power development, climate change, and exploitation. The book closes with a summary and look at possible future research directions. Backed by the Norwegian Research Council and with editors and contributors widely known and respected, Atlantic Salmon Ecology is an essential purchase for all those working with this species, including fisheries scientists and managers, fish biologists, ecologists, physiologists, environmental biologists and aquatic scientists, fish and wildlife department personnel and regulatory bodies. Libraries in all universities and research establishments where these subjects are studied and taught should have copies of this important publication.  Comprehensive and up-to-date coverage of Atlantic Salmon Atlantic Salmon is one of the world's most commercially important species Backed by the Norwegian Research Council Experienced editor and internationally respected contributors","ISBN":"978-1-4051-9769-4","language":"en","number-of-pages":"492","publisher":"John Wiley &amp; Sons","source":"Google Books","title":"Atlantic Salmon Ecology","author":[{"family":"Aas","given":"Øystein"},{"family":"Klemetsen","given":"Anders"},{"family":"Einum","given":"Sigurd"},{"family":"Skurdal","given":"Jostein"}],"issued":{"date-parts":[["2010",10,18]]}}},{"id":1558,"uris":["http://zotero.org/users/9227957/items/GQZE4IGA"],"itemData":{"id":1558,"type":"article-journal","abstract":"Atlantic salmon (Salmo salar L.) is among the most iconic and economically important fish species and was the first member of Salmonidae to have a high-quality reference genome assembly published. Advances in genomics have become increasingly central to the genetic improvement of farmed Atlantic salmon as well as conservation of wild salmon stocks. The salmon genome has also been pivotal in shaping our understanding of the evolutionary and functional consequences arising from an ancestral whole-genome duplication event characterising all Salmonidae members. Here, we provide a review of the current status of Atlantic salmon genetics and genomics, focussed on progress made from genome-wide research aimed at improving aquaculture production and enhancing understanding of salmonid ecology, physiology and evolution. We present our views on the future direction of salmon genomics, including the role of emerging technologies (e.g. genome editing) in elucidating genetic features that underpin functional variation in traits of commercial and evolutionary importance.","container-title":"Animal Genetics","DOI":"10.1111/age.12748","ISSN":"1365-2052","issue":"1","language":"en","license":"© 2018 The Authors. Animal Genetics published by John Wiley &amp; Sons Ltd on behalf of Stichting International Foundation for Animal Genetics.","note":"_eprint: https://onlinelibrary.wiley.com/doi/pdf/10.1111/age.12748","page":"3-14","source":"Wiley Online Library","title":"Atlantic salmon (Salmo salar L.) genetics in the 21st century: taking leaps forward in aquaculture and biological understanding","title-short":"Atlantic salmon (Salmo salar L.) genetics in the 21st century","volume":"50","author":[{"family":"Houston","given":"R. D."},{"family":"Macqueen","given":"D. J."}],"issued":{"date-parts":[["2019"]]}}}],"schema":"https://github.com/citation-style-language/schema/raw/master/csl-citation.json"} </w:instrText>
      </w:r>
      <w:r w:rsidR="00B9718F">
        <w:rPr>
          <w:rFonts w:cstheme="minorHAnsi"/>
        </w:rPr>
        <w:fldChar w:fldCharType="separate"/>
      </w:r>
      <w:r w:rsidR="00B9718F" w:rsidRPr="00B9718F">
        <w:rPr>
          <w:rFonts w:ascii="Calibri" w:hAnsi="Calibri" w:cs="Calibri"/>
        </w:rPr>
        <w:t>(Aas et al., 2010; Houston &amp; Macqueen, 2019)</w:t>
      </w:r>
      <w:r w:rsidR="00B9718F">
        <w:rPr>
          <w:rFonts w:cstheme="minorHAnsi"/>
        </w:rPr>
        <w:fldChar w:fldCharType="end"/>
      </w:r>
      <w:r w:rsidR="00891B5F" w:rsidRPr="00891B5F">
        <w:rPr>
          <w:rFonts w:cstheme="minorHAnsi"/>
        </w:rPr>
        <w:t>.</w:t>
      </w:r>
      <w:r w:rsidR="00B77EB5">
        <w:rPr>
          <w:rFonts w:cstheme="minorHAnsi"/>
        </w:rPr>
        <w:t xml:space="preserve"> One significant research focus revolves around </w:t>
      </w:r>
      <w:r w:rsidR="00B77EB5" w:rsidRPr="00B77EB5">
        <w:rPr>
          <w:rFonts w:cstheme="minorHAnsi"/>
        </w:rPr>
        <w:t>the ramifications of farmed escapes from aquaculture facilities, which</w:t>
      </w:r>
      <w:r w:rsidR="004550C9">
        <w:rPr>
          <w:rFonts w:cstheme="minorHAnsi"/>
        </w:rPr>
        <w:t xml:space="preserve"> </w:t>
      </w:r>
      <w:r w:rsidR="00920DCC">
        <w:rPr>
          <w:rFonts w:cstheme="minorHAnsi"/>
        </w:rPr>
        <w:t xml:space="preserve">pose a serious threat to </w:t>
      </w:r>
      <w:r w:rsidR="00B77EB5" w:rsidRPr="00B77EB5">
        <w:rPr>
          <w:rFonts w:cstheme="minorHAnsi"/>
        </w:rPr>
        <w:t>wild populations</w:t>
      </w:r>
      <w:r w:rsidR="004550C9">
        <w:rPr>
          <w:rFonts w:cstheme="minorHAnsi"/>
        </w:rPr>
        <w:t xml:space="preserve"> </w:t>
      </w:r>
      <w:r w:rsidR="004550C9">
        <w:rPr>
          <w:rFonts w:cstheme="minorHAnsi"/>
        </w:rPr>
        <w:fldChar w:fldCharType="begin"/>
      </w:r>
      <w:r w:rsidR="004550C9">
        <w:rPr>
          <w:rFonts w:cstheme="minorHAnsi"/>
        </w:rPr>
        <w:instrText xml:space="preserve"> ADDIN ZOTERO_ITEM CSL_CITATION {"citationID":"ohrnsCUQ","properties":{"formattedCitation":"(Forseth et al., 2017; Thorstad et al., 2008)","plainCitation":"(Forseth et al., 2017; Thorstad et al., 2008)","noteIndex":0},"citationItems":[{"id":1577,"uris":["http://zotero.org/users/9227957/items/375844IS"],"itemData":{"id":1577,"type":"article-journal","abstract":"Atlantic salmon (Salmo salar) is an economically and culturally important species. Norway has more than 400 watercourses with Atlantic salmon and supports a large proportion of the world’s wild Atlantic salmon. Atlantic salmon are structured into numerous genetically differentiated populations, and are therefore managed at the population level. Long-distance migrations between freshwater and ocean habitats expose Atlantic salmon to multiple threats, and a number of anthropogenic factors have contributed to the decline of Atlantic salmon during the last decades. Knowledge on the relative importance of the different anthropogenic factors is vital for prioritizing management measures. We developed a semi-quantitative 2D classification system to rank the different anthropogenic factors and used this to assess the major threats to Norwegian Atlantic salmon. Escaped farmed salmon and salmon lice from fish farms were identified as expanding population threats, with escaped farmed salmon being the largest current threat. These two factors affect populations to the extent that they may be critically endangered or lost, with a large likelihood of causing further reductions and losses in the future. The introduced parasite Gyrodactylus salaris, freshwater acidification, hydropower regulation and other habitat alterations were identified as stabilized population threats, which have contributed to populations becoming critically endangered or lost, but with a low likelihood of causing further loss. Other impacts were identified as less influential, either as stabilized or expanding factors that cause loss in terms of number of returning adults, but not to the extent that populations become threatened. Management based on population specific reference points (conservation limits) has reduced exploitation in Norway, and overexploitation was therefore no longer regarded an important impact factor. The classification system may be used as a template for ranking of anthropogenic impact factors in other countries and as a support for national and international conservation efforts.","container-title":"ICES Journal of Marine Science","DOI":"10.1093/icesjms/fsx020","ISSN":"1054-3139","issue":"6","journalAbbreviation":"ICES Journal of Marine Science","page":"1496-1513","source":"Silverchair","title":"The major threats to Atlantic salmon in Norway","volume":"74","author":[{"family":"Forseth","given":"Torbjørn"},{"family":"Barlaup","given":"Bjørn T."},{"family":"Finstad","given":"Bengt"},{"family":"Fiske","given":"Peder"},{"family":"Gjøsæter","given":"Harald"},{"family":"Falkegård","given":"Morten"},{"family":"Hindar","given":"Atle"},{"family":"Mo","given":"Tor Atle"},{"family":"Rikardsen","given":"Audun H."},{"family":"Thorstad","given":"Eva B."},{"family":"Vøllestad","given":"Leif Asbjørn"},{"family":"Wennevik","given":"Vidar"}],"issued":{"date-parts":[["2017",7,1]]}}},{"id":1580,"uris":["http://zotero.org/users/9227957/items/C82HP5IW"],"itemData":{"id":1580,"type":"book","abstract":"Since the mid-1960s, Atlantic salmon Salmo salar farming has grown into a large industry within and beyond the native range of the species. Norway, Chile, Scotland and Canada are the largest producers (46, 31, 10 and 7% of total production in 2005). A number of environmental concerns have arisen from the phenomenal growth of the industry. This report from the Technical Working Group on Escapes of the Salmon Aquaculture Dialogue aims at examining and evaluating i) the incidence and impacts of escaped farmed salmon in nature, and ii) the technologies and efforts to prevent escapes and to reduce their impacts upon wild salmon and the environment. This document: \n• reviews the status of current research and our understanding of the issues, \n• identifies significant conclusions/issues resolved by past research, and \n• documents specific knowledge gaps and research needs. \nDetailed information on salmon production, reported escapes from fish farms and monitoring of escaped farmed salmon in nature is given for each of the salmon producing countries. Escapes from fish farms occur from marine net pens in all salmon producing countries, as both repeated “trickle” losses of relatively small numbers of fish, and through large-scale episodic events. Numbers of farmed salmon escaping to the wild are large relative to the abundance of their wild conspecifics. Nearly all salmon producing countries have established routines for reporting at least large-scale escapes from sea cage sites, but the magnitude of unreported escapes is unknown. Information on low-level leakage and escapes from freshwater hatcheries remains uniformly poor. \nNegative effects by escaped farmed salmon on wild Atlantic salmon populations have been scientifically documented. Negative effects include both ecological interactions and genetic impacts of inter-breeding. A large number of studies point to negative effects, and outcomes for wild populations are either mostly negative and at best neutral. It has been shown that inter-breeding of farm with wild salmon can result in reduced lifetime success, lowered individual fitness, and decreases in production over at least two \ngenerations. \nNearly one third of the total world production of Atlantic salmon is in regions where the species is exotic. There is evidence of successful spawning of Atlantic salmon in three streams in British Columbia, Canada, but whether escaped Atlantic salmon have established breeding populations along the North American West Coast still remains uncertain. Spawning of escaped farmed Atlantic salmon has not been documented in Chile or Tasmania. The Atlantic salmon is a poor colonizer outside its native range. The probability that escaped Atlantic salmon will establish populations where the species is exotic seems low, but the possibility cannot be ruled out. It is difficult to predict if or how Atlantic salmon will adapt to the regions where they are exotic, partly because research to study potential impacts in many of these regions is limited. \nThe most important management issue at present is the need to reduce the numbers of escaped farmed salmon in nature. Among technologies and efforts to reduce impacts of escapes, sterilisation and farm exclusion zones look to be among the most promising, although significant research to fine-tune and study the effects of these approaches is needed. Given the compelling evidence pointing towards a high risk of negative impacts by escaped farmed salmon on wild salmon populations (or on native fish/other organisms in the case of escapes as alien species), and recognising the need to continually improve on our knowledge of the interactions between cultured and wild Atlantic salmon, the members of this working group would like to emphasise that the most pressing research priorities are linked to: 1) technologies and efforts for containment (escape prevention), and 2) approaches to reduce impacts of escapees.","ISBN":"978-82-426-1966-2","language":"eng","note":"Accepted: 2021-02-01T16:20:30Z\nISSN: 0804-421X\ncontainer-title: 110","publisher":"Norwegian Institute for Nature Research (NINA)","source":"brage.nina.no","title":"Incidence and impacts of escaped farmed Atlantic salmon Salmo salar in nature","URL":"https://brage.nina.no/nina-xmlui/handle/11250/2725676","author":[{"family":"Thorstad","given":"Eva B."},{"family":"Fleming","given":"Ian A."},{"family":"McGinnity","given":"Philip"},{"family":"Soto","given":"Doris"},{"family":"Wennevik","given":"Vidar"},{"family":"Whoriskey","given":"Fred"}],"accessed":{"date-parts":[["2023",7,5]]},"issued":{"date-parts":[["2008"]]}}}],"schema":"https://github.com/citation-style-language/schema/raw/master/csl-citation.json"} </w:instrText>
      </w:r>
      <w:r w:rsidR="004550C9">
        <w:rPr>
          <w:rFonts w:cstheme="minorHAnsi"/>
        </w:rPr>
        <w:fldChar w:fldCharType="separate"/>
      </w:r>
      <w:r w:rsidR="004550C9" w:rsidRPr="004550C9">
        <w:rPr>
          <w:rFonts w:ascii="Calibri" w:hAnsi="Calibri" w:cs="Calibri"/>
        </w:rPr>
        <w:t>(Forseth et al., 2017; Thorstad et al., 2008)</w:t>
      </w:r>
      <w:r w:rsidR="004550C9">
        <w:rPr>
          <w:rFonts w:cstheme="minorHAnsi"/>
        </w:rPr>
        <w:fldChar w:fldCharType="end"/>
      </w:r>
      <w:r w:rsidR="004550C9">
        <w:rPr>
          <w:rFonts w:cstheme="minorHAnsi"/>
        </w:rPr>
        <w:t>.</w:t>
      </w:r>
      <w:r w:rsidR="004550C9" w:rsidRPr="004550C9">
        <w:rPr>
          <w:rFonts w:cstheme="minorHAnsi"/>
        </w:rPr>
        <w:t xml:space="preserve"> These escapes can have detrimental effects on wild fish due to competition for limited habitat and food resources, as well as the potential for genetic interactions through interbreeding </w:t>
      </w:r>
      <w:r w:rsidR="004550C9">
        <w:rPr>
          <w:rFonts w:cstheme="minorHAnsi"/>
        </w:rPr>
        <w:t xml:space="preserve">with </w:t>
      </w:r>
      <w:r w:rsidR="004550C9" w:rsidRPr="004550C9">
        <w:rPr>
          <w:rFonts w:cstheme="minorHAnsi"/>
        </w:rPr>
        <w:t xml:space="preserve">wild individuals </w:t>
      </w:r>
      <w:r w:rsidR="00B77EB5">
        <w:rPr>
          <w:rFonts w:cstheme="minorHAnsi"/>
        </w:rPr>
        <w:fldChar w:fldCharType="begin"/>
      </w:r>
      <w:r w:rsidR="004550C9">
        <w:rPr>
          <w:rFonts w:cstheme="minorHAnsi"/>
        </w:rPr>
        <w:instrText xml:space="preserve"> ADDIN ZOTERO_ITEM CSL_CITATION {"citationID":"FKWntf5H","properties":{"formattedCitation":"(Jonsson &amp; Jonsson, 2006; McGinnity et al., 2003; Reed et al., 2015)","plainCitation":"(Jonsson &amp; Jonsson, 2006; McGinnity et al., 2003; Reed et al., 2015)","noteIndex":0},"citationItems":[{"id":1574,"uris":["http://zotero.org/users/9227957/items/32DL82Z4"],"itemData":{"id":1574,"type":"article-journal","abstract":"When cultured Atlantic salmon are released into nature, they compete with wild fish for food, space, and breeding partners. As a result of morphological, physiological, ecological, and behavioural changes that occur in hatcheries, their comp etitive ability often differs from that of wild fish. These changes are partly phenotypic and partly genetic. Cultured juveniles' faster growth rate influences age and size at smolting and maturity, reproductive output, and longevity. Fast-growing parr tend to smolt younger, produce more but smaller eggs, attain maturity earlier, and die younger. Juvenile learning influences a number of behavioural traits, and differences in early experience appear to affect feeding and spawning success, migratory behaviour, and homing ability. Genetic change in hatcheries is chiefly the result of natural selection, with differential mortality among genotypes and broodstock selection based on production traits such as high adult body mass and fast growth rate. Experimental evidence has revealed that cultured parr's greater aggression often allows them to dominate wild parr, although smaller cultured parr can be subordinated if they co-occur in fast-flowing water and if wild smolts have established prior residence. During spawning, the fitness of wild salmon is superior to that of cultured conspecifics. Cultured males are inferior to wild males in intra-sexual competition, courting, and spawning; cultured females have greater egg retention, construct fewer nests, and are less efficient at covering their eggs in the substratum than their wild counterparts. In rivers, the early survival of cultured offspring is lower than that of their wild counterparts. The lifetime reproductive success of farmed fish has been estimated at 17% that of similar-sized wild salmon. As a result of ecological interaction and through density-dependent mechanisms, cultured fish may displace wild conspecifics to some extent, increase their mortality, and decrease their growth rate, adult size, reproductive output, biomass, and production.","container-title":"ICES Journal of Marine Science","DOI":"10.1016/j.icesjms.2006.03.004","ISSN":"1054-3139","issue":"7","journalAbbreviation":"ICES Journal of Marine Science","page":"1162-1181","source":"Silverchair","title":"Cultured Atlantic salmon in nature: a review of their ecology and interaction with wild fish","title-short":"Cultured Atlantic salmon in nature","volume":"63","author":[{"family":"Jonsson","given":"Bror"},{"family":"Jonsson","given":"Nina"}],"issued":{"date-parts":[["2006",1,1]]}}},{"id":140,"uris":["http://zotero.org/users/9227957/items/86Q3RPM5"],"itemData":{"id":140,"type":"article-journal","abstract":"The high level of escapes from Atlantic salmon farms, up to two million fishes per year in the North Atlantic, has raised concern about the potential impact on wild populations. We report on a two-generation experiment examining the estimated lifetime successes, relative to wild natives, of farm, F1 and F2 hybrids and BC1 backcrosses to wild and farm salmon. Offspring of farm and ‘hybrids’ (i.e. all F1, F2 and BC1 groups) showed reduced survival compared with wild salmon but grew faster as juveniles and displaced wild parr, which as a group were significantly smaller. Where suitable habitat for these emigrant parr is absent, this competition would result in reduced wild smolt production. In the experimental conditions, where emigrants survived downstream, the relative estimated lifetime success ranged from 2% (farm) to 89% (BC1 wild) of that of wild salmon, indicating additive genetic variation for survival. Wild salmon primarily returned to fresh water after one sea winter (1SW) but farm and ‘hybrids’ produced proportionately more 2SW salmon. However, lower overall survival means that this would result in reduced recruitment despite increased 2SW fecundity. We thus demonstrate that interaction of farm with wild salmon results in lowered fitness, with repeated escapes causing cumulative fitness depression and potentially an extinction vortex in vulnerable populations.","container-title":"Proceedings of the Royal Society of London. Series B: Biological Sciences","DOI":"10.1098/rspb.2003.2520","issue":"1532","note":"publisher: Royal Society","page":"2443-2450","source":"royalsocietypublishing.org (Atypon)","title":"Fitness reduction and potential extinction of wild populations of Atlantic salmon, Salmo salar, as a result of interactions with escaped farm salmon","volume":"270","author":[{"family":"McGinnity","given":"Philip"},{"family":"Prodöhl","given":"Paulo"},{"family":"Ferguson","given":"Andy"},{"family":"Hynes","given":"Rosaleen"},{"family":"Maoiléidigh","given":"Niall","dropping-particle":"ó"},{"family":"Baker","given":"Natalie"},{"family":"Cotter","given":"Deirdre"},{"family":"O'Hea","given":"Brendan"},{"family":"Cooke","given":"Declan"},{"family":"Rogan","given":"Ger"},{"family":"Taggart","given":"John"},{"family":"Cross","given":"Tom"}],"issued":{"date-parts":[["2003",12,7]]}}},{"id":717,"uris":["http://zotero.org/users/9227957/items/6KGZ3Z8M"],"itemData":{"id":717,"type":"article-journal","abstract":"Farmed fish are typically genetically different from wild conspecifics. Escapees from fish farms may contribute one-way gene flow from farm to wild gene pools, which can depress population productivity, dilute local adaptations and disrupt coadapted gene complexes. Here, we reanalyse data from two experiments (McGinnity et al., 1997, 2003) where performance of Atlantic salmon (Salmo salar) progeny originating from experimental crosses between farm and wild parents (in three different cohorts) were measured in a natural stream under common garden conditions. Previous published analyses focussed on group-level differences but did not account for pedigree structure, as we do here using modern mixed-effect models. Offspring with one or two farm parents exhibited poorer survival in their first and second year of life compared with those with two wild parents and these group-level inferences were robust to excluding outlier families. Variation in performance among farm, hybrid and wild families was generally similar in magnitude. Farm offspring were generally larger at all life stages examined than wild offspring, but the differences were moderate (5–20%) and similar in magnitude in the wild versus hatchery environments. Quantitative genetic analyses conducted using a Bayesian framework revealed moderate heritability in juvenile fork length and mass and positive genetic correlations (&gt;0.85) between these morphological traits. Our study confirms (using more rigorous statistical techniques) previous studies showing that offspring of wild fish invariably have higher fitness and contributes fresh insights into family-level variation in performance of farm, wild and hybrid Atlantic salmon families in the wild. It also adds to a small, but growing, number of studies that estimate key evolutionary parameters in wild salmonid populations. Such information is vital in modelling the impacts of introgression by escaped farm salmon.","container-title":"Heredity","DOI":"10.1038/hdy.2015.29","ISSN":"1365-2540","issue":"2","language":"en","license":"2015 The Genetics Society","note":"number: 2\npublisher: Nature Publishing Group","page":"173-184","source":"www.nature.com","title":"Quantifying heritable variation in fitness-related traits of wild, farmed and hybrid Atlantic salmon families in a wild river environment","volume":"115","author":[{"family":"Reed","given":"T. E."},{"family":"Prodöhl","given":"P."},{"family":"Hynes","given":"R."},{"family":"Cross","given":"T."},{"family":"Ferguson","given":"A."},{"family":"McGinnity","given":"P."}],"issued":{"date-parts":[["2015",8]]}}}],"schema":"https://github.com/citation-style-language/schema/raw/master/csl-citation.json"} </w:instrText>
      </w:r>
      <w:r w:rsidR="00B77EB5">
        <w:rPr>
          <w:rFonts w:cstheme="minorHAnsi"/>
        </w:rPr>
        <w:fldChar w:fldCharType="separate"/>
      </w:r>
      <w:r w:rsidR="004550C9" w:rsidRPr="004550C9">
        <w:rPr>
          <w:rFonts w:ascii="Calibri" w:hAnsi="Calibri" w:cs="Calibri"/>
        </w:rPr>
        <w:t>(Jonsson &amp; Jonsson, 2006; McGinnity et al., 2003; Reed et al., 2015)</w:t>
      </w:r>
      <w:r w:rsidR="00B77EB5">
        <w:rPr>
          <w:rFonts w:cstheme="minorHAnsi"/>
        </w:rPr>
        <w:fldChar w:fldCharType="end"/>
      </w:r>
      <w:r w:rsidR="00B77EB5" w:rsidRPr="00B77EB5">
        <w:rPr>
          <w:rFonts w:cstheme="minorHAnsi"/>
        </w:rPr>
        <w:t>.</w:t>
      </w:r>
      <w:r w:rsidR="006C5FE3">
        <w:rPr>
          <w:rFonts w:cstheme="minorHAnsi"/>
        </w:rPr>
        <w:t xml:space="preserve"> </w:t>
      </w:r>
      <w:r w:rsidR="00125F4D">
        <w:rPr>
          <w:rFonts w:cstheme="minorHAnsi"/>
        </w:rPr>
        <w:t>Most Atlantic salmon populations have an anadromous life cycle.</w:t>
      </w:r>
      <w:r w:rsidR="00E23070">
        <w:rPr>
          <w:rFonts w:cstheme="minorHAnsi"/>
        </w:rPr>
        <w:t xml:space="preserve"> </w:t>
      </w:r>
      <w:r w:rsidR="00E23070" w:rsidRPr="001370A2">
        <w:rPr>
          <w:rFonts w:cstheme="minorHAnsi"/>
        </w:rPr>
        <w:t>After hatching in spring</w:t>
      </w:r>
      <w:r w:rsidR="00E23070">
        <w:rPr>
          <w:rFonts w:cstheme="minorHAnsi"/>
        </w:rPr>
        <w:t xml:space="preserve">, </w:t>
      </w:r>
      <w:r w:rsidR="00125F4D">
        <w:rPr>
          <w:rFonts w:cstheme="minorHAnsi"/>
        </w:rPr>
        <w:t>the majority of</w:t>
      </w:r>
      <w:r w:rsidR="00E23070" w:rsidRPr="001370A2">
        <w:rPr>
          <w:rFonts w:cstheme="minorHAnsi"/>
        </w:rPr>
        <w:t xml:space="preserve"> </w:t>
      </w:r>
      <w:r w:rsidR="00E23070">
        <w:rPr>
          <w:rFonts w:cstheme="minorHAnsi"/>
        </w:rPr>
        <w:t>Atlantic salmon</w:t>
      </w:r>
      <w:r w:rsidR="00E23070" w:rsidRPr="001370A2">
        <w:rPr>
          <w:rFonts w:cstheme="minorHAnsi"/>
        </w:rPr>
        <w:t xml:space="preserve"> remain in their </w:t>
      </w:r>
      <w:r w:rsidR="00E23070" w:rsidRPr="001370A2">
        <w:rPr>
          <w:rFonts w:cstheme="minorHAnsi"/>
        </w:rPr>
        <w:lastRenderedPageBreak/>
        <w:t xml:space="preserve">freshwater habitat </w:t>
      </w:r>
      <w:r w:rsidR="00E23070">
        <w:rPr>
          <w:rFonts w:cstheme="minorHAnsi"/>
        </w:rPr>
        <w:t xml:space="preserve">for </w:t>
      </w:r>
      <w:r w:rsidR="00E23070" w:rsidRPr="001370A2">
        <w:rPr>
          <w:rFonts w:cstheme="minorHAnsi"/>
        </w:rPr>
        <w:t xml:space="preserve">two years, before migrating to the ocean where </w:t>
      </w:r>
      <w:r w:rsidR="00E23070">
        <w:rPr>
          <w:rFonts w:cstheme="minorHAnsi"/>
        </w:rPr>
        <w:t>they</w:t>
      </w:r>
      <w:r w:rsidR="00E23070" w:rsidRPr="001370A2">
        <w:rPr>
          <w:rFonts w:cstheme="minorHAnsi"/>
        </w:rPr>
        <w:t xml:space="preserve"> undergo most of their somatic growth</w:t>
      </w:r>
      <w:r w:rsidR="00E23070">
        <w:rPr>
          <w:rFonts w:cstheme="minorHAnsi"/>
        </w:rPr>
        <w:t xml:space="preserve"> </w:t>
      </w:r>
      <w:r w:rsidR="00E23070">
        <w:rPr>
          <w:rFonts w:cstheme="minorHAnsi"/>
        </w:rPr>
        <w:fldChar w:fldCharType="begin"/>
      </w:r>
      <w:r w:rsidR="00E23070">
        <w:rPr>
          <w:rFonts w:cstheme="minorHAnsi"/>
        </w:rPr>
        <w:instrText xml:space="preserve"> ADDIN ZOTERO_ITEM CSL_CITATION {"citationID":"lpI1EvhI","properties":{"formattedCitation":"(Hoar, 1988)","plainCitation":"(Hoar, 1988)","noteIndex":0},"citationItems":[{"id":1335,"uris":["http://zotero.org/users/9227957/items/FWUUVYNW","http://zotero.org/users/9227957/items/N8LXR3HG"],"itemData":{"id":1335,"type":"chapter","abstract":"This chapter describes the different aspects of the physiology of smolting salmonids. Many salmonids—the fish of the genera, Oncorhynchus, Salmo, and Salvelinus—are anadromous and undergo a distinct transformation prior to seaward migration. Several morphological and physiological changes occur during smolting. Silvering is because of the synthesis of two purines–guanine and hypoxanthine. The needle-like crystals of these substances are deposited in two distinct skin layers: one directly beneath the scales and the other deep in the dermis adjacent to the muscles. The salmonids, as many other temperate-zone animals, have a seasonally changing physiology that is manifested in the cycles of growth, precisely timed migrations, and the seasons of reproduction geared to the most favorable seasons for the birth and development of the young. There is a circannual rhythm of physiological changes associated with the parr–smolt transformation. After juvenile salmon reach a certain critical size, they become smolts with a capacity to hypoosmoregulate and grow in seawater and behavioral changes result in a downstream migration.","collection-title":"The Physiology of Developing Fish","container-title":"Fish Physiology","language":"en","note":"DOI: 10.1016/S1546-5098(08)60216-2","page":"275-343","publisher":"Academic Press","source":"ScienceDirect","title":"4 The Physiology of Smolting Salmonids","URL":"https://www.sciencedirect.com/science/article/pii/S1546509808602162","volume":"11","author":[{"family":"Hoar","given":"W. S."}],"editor":[{"family":"Hoar","given":"W. S."},{"family":"Randall","given":"D. J."}],"accessed":{"date-parts":[["2022",9,28]]},"issued":{"date-parts":[["1988",1,1]]}}}],"schema":"https://github.com/citation-style-language/schema/raw/master/csl-citation.json"} </w:instrText>
      </w:r>
      <w:r w:rsidR="00E23070">
        <w:rPr>
          <w:rFonts w:cstheme="minorHAnsi"/>
        </w:rPr>
        <w:fldChar w:fldCharType="separate"/>
      </w:r>
      <w:r w:rsidR="00E23070" w:rsidRPr="00FB36D2">
        <w:rPr>
          <w:rFonts w:ascii="Calibri" w:hAnsi="Calibri" w:cs="Calibri"/>
        </w:rPr>
        <w:t>(Hoar, 1988)</w:t>
      </w:r>
      <w:r w:rsidR="00E23070">
        <w:rPr>
          <w:rFonts w:cstheme="minorHAnsi"/>
        </w:rPr>
        <w:fldChar w:fldCharType="end"/>
      </w:r>
      <w:r w:rsidR="00E23070" w:rsidRPr="001370A2">
        <w:rPr>
          <w:rFonts w:cstheme="minorHAnsi"/>
        </w:rPr>
        <w:t xml:space="preserve">. </w:t>
      </w:r>
      <w:r w:rsidR="00E23070" w:rsidRPr="00C3064B">
        <w:rPr>
          <w:rFonts w:cstheme="minorHAnsi"/>
        </w:rPr>
        <w:t>During their juvenile phase, Atlantic Salmon face seasonal variations in food supply (</w:t>
      </w:r>
      <w:r w:rsidR="00E23070">
        <w:rPr>
          <w:rFonts w:cstheme="minorHAnsi"/>
        </w:rPr>
        <w:t>e.g.,</w:t>
      </w:r>
      <w:r w:rsidR="00E23070" w:rsidRPr="00C3064B">
        <w:rPr>
          <w:rFonts w:cstheme="minorHAnsi"/>
        </w:rPr>
        <w:t xml:space="preserve"> macroinvertebrate type and quantity) and environmental conditions (</w:t>
      </w:r>
      <w:r w:rsidR="00E23070">
        <w:rPr>
          <w:rFonts w:cstheme="minorHAnsi"/>
        </w:rPr>
        <w:t>e.g.,</w:t>
      </w:r>
      <w:r w:rsidR="00E23070" w:rsidRPr="00C3064B">
        <w:rPr>
          <w:rFonts w:cstheme="minorHAnsi"/>
        </w:rPr>
        <w:t xml:space="preserve"> temperature, oxygen concentration and water pH</w:t>
      </w:r>
      <w:r w:rsidR="00E23070">
        <w:rPr>
          <w:rFonts w:cstheme="minorHAnsi"/>
        </w:rPr>
        <w:t>) that might directly or indirectly affect the structure of gut bacteria.</w:t>
      </w:r>
      <w:r w:rsidR="00891B5F" w:rsidRPr="00891B5F">
        <w:rPr>
          <w:rFonts w:cstheme="minorHAnsi"/>
        </w:rPr>
        <w:t xml:space="preserve"> </w:t>
      </w:r>
      <w:r>
        <w:rPr>
          <w:rFonts w:cstheme="minorHAnsi"/>
        </w:rPr>
        <w:t>U</w:t>
      </w:r>
      <w:r w:rsidRPr="001370A2">
        <w:rPr>
          <w:rFonts w:cstheme="minorHAnsi"/>
        </w:rPr>
        <w:t xml:space="preserve">nderstanding the </w:t>
      </w:r>
      <w:r>
        <w:rPr>
          <w:rFonts w:cstheme="minorHAnsi"/>
        </w:rPr>
        <w:t>role</w:t>
      </w:r>
      <w:r w:rsidRPr="001370A2">
        <w:rPr>
          <w:rFonts w:cstheme="minorHAnsi"/>
        </w:rPr>
        <w:t xml:space="preserve"> of environmental factors </w:t>
      </w:r>
      <w:r>
        <w:rPr>
          <w:rFonts w:cstheme="minorHAnsi"/>
        </w:rPr>
        <w:t>determining</w:t>
      </w:r>
      <w:r w:rsidRPr="001370A2">
        <w:rPr>
          <w:rFonts w:cstheme="minorHAnsi"/>
        </w:rPr>
        <w:t xml:space="preserve"> gut microbial community composition </w:t>
      </w:r>
      <w:r>
        <w:rPr>
          <w:rFonts w:cstheme="minorHAnsi"/>
        </w:rPr>
        <w:t>in the wild will en</w:t>
      </w:r>
      <w:r w:rsidRPr="001370A2">
        <w:rPr>
          <w:rFonts w:cstheme="minorHAnsi"/>
        </w:rPr>
        <w:t xml:space="preserve">able </w:t>
      </w:r>
      <w:r>
        <w:rPr>
          <w:rFonts w:cstheme="minorHAnsi"/>
        </w:rPr>
        <w:t>better predictions of</w:t>
      </w:r>
      <w:r w:rsidRPr="001370A2">
        <w:rPr>
          <w:rFonts w:cstheme="minorHAnsi"/>
        </w:rPr>
        <w:t xml:space="preserve"> the impact</w:t>
      </w:r>
      <w:r>
        <w:rPr>
          <w:rFonts w:cstheme="minorHAnsi"/>
        </w:rPr>
        <w:t xml:space="preserve"> of future environmental changes </w:t>
      </w:r>
      <w:r w:rsidRPr="001370A2">
        <w:rPr>
          <w:rFonts w:cstheme="minorHAnsi"/>
        </w:rPr>
        <w:t xml:space="preserve">on </w:t>
      </w:r>
      <w:r w:rsidR="00891B5F">
        <w:rPr>
          <w:rFonts w:cstheme="minorHAnsi"/>
        </w:rPr>
        <w:t xml:space="preserve">fish </w:t>
      </w:r>
      <w:r w:rsidRPr="001370A2">
        <w:rPr>
          <w:rFonts w:cstheme="minorHAnsi"/>
        </w:rPr>
        <w:t>health</w:t>
      </w:r>
      <w:r>
        <w:rPr>
          <w:rFonts w:cstheme="minorHAnsi"/>
        </w:rPr>
        <w:t xml:space="preserve"> in both natural and aquaculture populations</w:t>
      </w:r>
      <w:r w:rsidRPr="001370A2">
        <w:rPr>
          <w:rFonts w:cstheme="minorHAnsi"/>
        </w:rPr>
        <w:t>.</w:t>
      </w:r>
      <w:r w:rsidR="00654DD2">
        <w:rPr>
          <w:rFonts w:cstheme="minorHAnsi"/>
        </w:rPr>
        <w:t xml:space="preserve"> </w:t>
      </w:r>
      <w:r w:rsidRPr="001370A2">
        <w:rPr>
          <w:rFonts w:cstheme="minorHAnsi"/>
        </w:rPr>
        <w:t xml:space="preserve">For example, changes in food availability or rising water temperatures due to global warming </w:t>
      </w:r>
      <w:r>
        <w:rPr>
          <w:rFonts w:cstheme="minorHAnsi"/>
        </w:rPr>
        <w:t>will</w:t>
      </w:r>
      <w:r w:rsidRPr="001370A2">
        <w:rPr>
          <w:rFonts w:cstheme="minorHAnsi"/>
        </w:rPr>
        <w:t xml:space="preserve"> </w:t>
      </w:r>
      <w:r>
        <w:rPr>
          <w:rFonts w:cstheme="minorHAnsi"/>
        </w:rPr>
        <w:t>likely perturb</w:t>
      </w:r>
      <w:r w:rsidRPr="001370A2">
        <w:rPr>
          <w:rFonts w:cstheme="minorHAnsi"/>
        </w:rPr>
        <w:t xml:space="preserve"> microbial communities</w:t>
      </w:r>
      <w:r w:rsidR="005B740D">
        <w:rPr>
          <w:rFonts w:cstheme="minorHAnsi"/>
        </w:rPr>
        <w:t>,</w:t>
      </w:r>
      <w:r w:rsidRPr="001370A2">
        <w:rPr>
          <w:rFonts w:cstheme="minorHAnsi"/>
        </w:rPr>
        <w:t xml:space="preserve"> </w:t>
      </w:r>
      <w:r>
        <w:rPr>
          <w:rFonts w:cstheme="minorHAnsi"/>
        </w:rPr>
        <w:t>with direct consequences for</w:t>
      </w:r>
      <w:r w:rsidRPr="001370A2">
        <w:rPr>
          <w:rFonts w:cstheme="minorHAnsi"/>
        </w:rPr>
        <w:t xml:space="preserve"> fish surviva</w:t>
      </w:r>
      <w:r>
        <w:rPr>
          <w:rFonts w:cstheme="minorHAnsi"/>
        </w:rPr>
        <w:t>l</w:t>
      </w:r>
      <w:r w:rsidRPr="001370A2">
        <w:rPr>
          <w:rFonts w:cstheme="minorHAnsi"/>
        </w:rPr>
        <w:t xml:space="preserve"> and welfare</w:t>
      </w:r>
      <w:r>
        <w:rPr>
          <w:rFonts w:cstheme="minorHAnsi"/>
        </w:rPr>
        <w:t xml:space="preserve"> </w:t>
      </w:r>
      <w:r>
        <w:rPr>
          <w:rFonts w:cstheme="minorHAnsi"/>
        </w:rPr>
        <w:fldChar w:fldCharType="begin"/>
      </w:r>
      <w:r>
        <w:rPr>
          <w:rFonts w:cstheme="minorHAnsi"/>
        </w:rPr>
        <w:instrText xml:space="preserve"> ADDIN ZOTERO_ITEM CSL_CITATION {"citationID":"afjutimC","properties":{"formattedCitation":"(Harvell et al., 2002)","plainCitation":"(Harvell et al., 2002)","noteIndex":0},"citationItems":[{"id":540,"uris":["http://zotero.org/users/9227957/items/FGYJATSF"],"itemData":{"id":540,"type":"article-journal","container-title":"Science","DOI":"10.1126/science.1063699","issue":"5576","note":"publisher: American Association for the Advancement of Science","page":"2158-2162","source":"science.org (Atypon)","title":"Climate Warming and Disease Risks for Terrestrial and Marine Biota","volume":"296","author":[{"family":"Harvell","given":"C. Drew"},{"family":"Mitchell","given":"Charles E."},{"family":"Ward","given":"Jessica R."},{"family":"Altizer","given":"Sonia"},{"family":"Dobson","given":"Andrew P."},{"family":"Ostfeld","given":"Richard S."},{"family":"Samuel","given":"Michael D."}],"issued":{"date-parts":[["2002",6,21]]}}}],"schema":"https://github.com/citation-style-language/schema/raw/master/csl-citation.json"} </w:instrText>
      </w:r>
      <w:r>
        <w:rPr>
          <w:rFonts w:cstheme="minorHAnsi"/>
        </w:rPr>
        <w:fldChar w:fldCharType="separate"/>
      </w:r>
      <w:r w:rsidRPr="0088326C">
        <w:rPr>
          <w:rFonts w:ascii="Calibri" w:hAnsi="Calibri" w:cs="Calibri"/>
        </w:rPr>
        <w:t>(Harvell et al., 2002)</w:t>
      </w:r>
      <w:r>
        <w:rPr>
          <w:rFonts w:cstheme="minorHAnsi"/>
        </w:rPr>
        <w:fldChar w:fldCharType="end"/>
      </w:r>
      <w:r w:rsidRPr="001370A2">
        <w:rPr>
          <w:rFonts w:cstheme="minorHAnsi"/>
        </w:rPr>
        <w:t>.</w:t>
      </w:r>
      <w:r w:rsidR="00654DD2">
        <w:rPr>
          <w:rFonts w:cstheme="minorHAnsi"/>
        </w:rPr>
        <w:t xml:space="preserve"> </w:t>
      </w:r>
    </w:p>
    <w:p w14:paraId="2EEF9F6B" w14:textId="74DDC9B9" w:rsidR="00AD63C0" w:rsidRDefault="00AD63C0" w:rsidP="00AD63C0">
      <w:pPr>
        <w:spacing w:line="480" w:lineRule="auto"/>
        <w:rPr>
          <w:rFonts w:cstheme="minorHAnsi"/>
        </w:rPr>
      </w:pPr>
      <w:r w:rsidRPr="001370A2">
        <w:rPr>
          <w:rFonts w:cstheme="minorHAnsi"/>
        </w:rPr>
        <w:t>In the present study</w:t>
      </w:r>
      <w:r>
        <w:rPr>
          <w:rFonts w:cstheme="minorHAnsi"/>
        </w:rPr>
        <w:t>,</w:t>
      </w:r>
      <w:r w:rsidRPr="001370A2">
        <w:rPr>
          <w:rFonts w:cstheme="minorHAnsi"/>
        </w:rPr>
        <w:t xml:space="preserve"> we </w:t>
      </w:r>
      <w:r>
        <w:rPr>
          <w:rFonts w:cstheme="minorHAnsi"/>
        </w:rPr>
        <w:t>take advantage of a large-scale</w:t>
      </w:r>
      <w:r w:rsidRPr="001370A2">
        <w:rPr>
          <w:rFonts w:cstheme="minorHAnsi"/>
        </w:rPr>
        <w:t xml:space="preserve"> common garden </w:t>
      </w:r>
      <w:r>
        <w:rPr>
          <w:rFonts w:cstheme="minorHAnsi"/>
        </w:rPr>
        <w:t xml:space="preserve">experimental </w:t>
      </w:r>
      <w:r w:rsidRPr="001370A2">
        <w:rPr>
          <w:rFonts w:cstheme="minorHAnsi"/>
        </w:rPr>
        <w:t>setup</w:t>
      </w:r>
      <w:r>
        <w:rPr>
          <w:rFonts w:cstheme="minorHAnsi"/>
        </w:rPr>
        <w:t xml:space="preserve"> in the wild</w:t>
      </w:r>
      <w:r w:rsidRPr="001370A2">
        <w:rPr>
          <w:rFonts w:cstheme="minorHAnsi"/>
        </w:rPr>
        <w:t xml:space="preserve"> to </w:t>
      </w:r>
      <w:r w:rsidR="00A93240">
        <w:rPr>
          <w:rFonts w:cstheme="minorHAnsi"/>
        </w:rPr>
        <w:t>investigate</w:t>
      </w:r>
      <w:r>
        <w:rPr>
          <w:rFonts w:cstheme="minorHAnsi"/>
        </w:rPr>
        <w:t xml:space="preserve"> </w:t>
      </w:r>
      <w:r w:rsidRPr="001370A2">
        <w:rPr>
          <w:rFonts w:cstheme="minorHAnsi"/>
        </w:rPr>
        <w:t xml:space="preserve">gut microbial community </w:t>
      </w:r>
      <w:r>
        <w:rPr>
          <w:rFonts w:cstheme="minorHAnsi"/>
        </w:rPr>
        <w:t xml:space="preserve">assembly and </w:t>
      </w:r>
      <w:r w:rsidRPr="001370A2">
        <w:rPr>
          <w:rFonts w:cstheme="minorHAnsi"/>
        </w:rPr>
        <w:t xml:space="preserve">development in Atlantic </w:t>
      </w:r>
      <w:r>
        <w:rPr>
          <w:rFonts w:cstheme="minorHAnsi"/>
        </w:rPr>
        <w:t>s</w:t>
      </w:r>
      <w:r w:rsidRPr="001370A2">
        <w:rPr>
          <w:rFonts w:cstheme="minorHAnsi"/>
        </w:rPr>
        <w:t>almon.</w:t>
      </w:r>
      <w:r w:rsidRPr="00CD72E6">
        <w:t xml:space="preserve"> </w:t>
      </w:r>
      <w:r w:rsidRPr="00CD72E6">
        <w:rPr>
          <w:rFonts w:cstheme="minorHAnsi"/>
        </w:rPr>
        <w:t>In a natural river environment, we examined the gut microbiome of</w:t>
      </w:r>
      <w:r w:rsidR="00125F4D">
        <w:rPr>
          <w:rFonts w:cstheme="minorHAnsi"/>
        </w:rPr>
        <w:t xml:space="preserve"> juvenile</w:t>
      </w:r>
      <w:r w:rsidRPr="00CD72E6">
        <w:rPr>
          <w:rFonts w:cstheme="minorHAnsi"/>
        </w:rPr>
        <w:t xml:space="preserve"> Atlantic </w:t>
      </w:r>
      <w:r>
        <w:rPr>
          <w:rFonts w:cstheme="minorHAnsi"/>
        </w:rPr>
        <w:t>s</w:t>
      </w:r>
      <w:r w:rsidRPr="00CD72E6">
        <w:rPr>
          <w:rFonts w:cstheme="minorHAnsi"/>
        </w:rPr>
        <w:t xml:space="preserve">almon </w:t>
      </w:r>
      <w:r>
        <w:rPr>
          <w:rFonts w:cstheme="minorHAnsi"/>
        </w:rPr>
        <w:t xml:space="preserve">sampled </w:t>
      </w:r>
      <w:r w:rsidRPr="00CD72E6">
        <w:rPr>
          <w:rFonts w:cstheme="minorHAnsi"/>
        </w:rPr>
        <w:t>over a 10-month period</w:t>
      </w:r>
      <w:r>
        <w:rPr>
          <w:rFonts w:cstheme="minorHAnsi"/>
        </w:rPr>
        <w:t>. W</w:t>
      </w:r>
      <w:r w:rsidRPr="00CD72E6">
        <w:rPr>
          <w:rFonts w:cstheme="minorHAnsi"/>
        </w:rPr>
        <w:t>e e</w:t>
      </w:r>
      <w:r w:rsidR="00BE3190">
        <w:rPr>
          <w:rFonts w:cstheme="minorHAnsi"/>
        </w:rPr>
        <w:t>valuated</w:t>
      </w:r>
      <w:r w:rsidRPr="00CD72E6">
        <w:rPr>
          <w:rFonts w:cstheme="minorHAnsi"/>
        </w:rPr>
        <w:t xml:space="preserve"> the </w:t>
      </w:r>
      <w:r>
        <w:rPr>
          <w:rFonts w:cstheme="minorHAnsi"/>
        </w:rPr>
        <w:t xml:space="preserve">role </w:t>
      </w:r>
      <w:r w:rsidRPr="00CD72E6">
        <w:rPr>
          <w:rFonts w:cstheme="minorHAnsi"/>
        </w:rPr>
        <w:t xml:space="preserve">of </w:t>
      </w:r>
      <w:r>
        <w:rPr>
          <w:rFonts w:cstheme="minorHAnsi"/>
        </w:rPr>
        <w:t>different drivers</w:t>
      </w:r>
      <w:r w:rsidRPr="00CD72E6">
        <w:rPr>
          <w:rFonts w:cstheme="minorHAnsi"/>
        </w:rPr>
        <w:t xml:space="preserve"> </w:t>
      </w:r>
      <w:r>
        <w:rPr>
          <w:rFonts w:cstheme="minorHAnsi"/>
        </w:rPr>
        <w:t>of</w:t>
      </w:r>
      <w:r w:rsidR="00CB1C6E">
        <w:rPr>
          <w:rFonts w:cstheme="minorHAnsi"/>
        </w:rPr>
        <w:t xml:space="preserve"> gut</w:t>
      </w:r>
      <w:r>
        <w:rPr>
          <w:rFonts w:cstheme="minorHAnsi"/>
        </w:rPr>
        <w:t xml:space="preserve"> microbial assembly including abiotic variables, host genetics and water- and feed-associated microbiota</w:t>
      </w:r>
      <w:r w:rsidR="00BE3190">
        <w:rPr>
          <w:rFonts w:cstheme="minorHAnsi"/>
        </w:rPr>
        <w:t>.</w:t>
      </w:r>
      <w:r w:rsidR="00CB1C6E">
        <w:rPr>
          <w:rFonts w:cstheme="minorHAnsi"/>
        </w:rPr>
        <w:t xml:space="preserve"> Furthermore</w:t>
      </w:r>
      <w:r w:rsidR="000213C5">
        <w:rPr>
          <w:rFonts w:cstheme="minorHAnsi"/>
        </w:rPr>
        <w:t>,</w:t>
      </w:r>
      <w:r w:rsidR="00CB1C6E">
        <w:rPr>
          <w:rFonts w:cstheme="minorHAnsi"/>
        </w:rPr>
        <w:t xml:space="preserve"> we used source tracking analysis </w:t>
      </w:r>
      <w:r w:rsidR="000213C5" w:rsidRPr="000213C5">
        <w:rPr>
          <w:rFonts w:cstheme="minorHAnsi"/>
        </w:rPr>
        <w:t>to understand how the composition and abundance of environmental bacteria influence</w:t>
      </w:r>
      <w:r w:rsidR="000213C5">
        <w:rPr>
          <w:rFonts w:cstheme="minorHAnsi"/>
        </w:rPr>
        <w:t>s</w:t>
      </w:r>
      <w:r w:rsidR="000213C5" w:rsidRPr="000213C5">
        <w:rPr>
          <w:rFonts w:cstheme="minorHAnsi"/>
        </w:rPr>
        <w:t xml:space="preserve"> the gut microbiome throughout different seasons.</w:t>
      </w:r>
      <w:r w:rsidR="00BE3190">
        <w:rPr>
          <w:rFonts w:cstheme="minorHAnsi"/>
        </w:rPr>
        <w:t xml:space="preserve"> </w:t>
      </w:r>
      <w:r>
        <w:rPr>
          <w:rFonts w:cstheme="minorHAnsi"/>
        </w:rPr>
        <w:t>In addition, we</w:t>
      </w:r>
      <w:r w:rsidRPr="00CD72E6">
        <w:rPr>
          <w:rFonts w:cstheme="minorHAnsi"/>
        </w:rPr>
        <w:t xml:space="preserve"> utili</w:t>
      </w:r>
      <w:r>
        <w:rPr>
          <w:rFonts w:cstheme="minorHAnsi"/>
        </w:rPr>
        <w:t>z</w:t>
      </w:r>
      <w:r w:rsidRPr="00CD72E6">
        <w:rPr>
          <w:rFonts w:cstheme="minorHAnsi"/>
        </w:rPr>
        <w:t>ed abundance-occupancy distributions to e</w:t>
      </w:r>
      <w:r w:rsidR="00BE3190">
        <w:rPr>
          <w:rFonts w:cstheme="minorHAnsi"/>
        </w:rPr>
        <w:t>stimate</w:t>
      </w:r>
      <w:r w:rsidRPr="00CD72E6">
        <w:rPr>
          <w:rFonts w:cstheme="minorHAnsi"/>
        </w:rPr>
        <w:t xml:space="preserve"> the </w:t>
      </w:r>
      <w:r>
        <w:rPr>
          <w:rFonts w:cstheme="minorHAnsi"/>
        </w:rPr>
        <w:t xml:space="preserve">importance </w:t>
      </w:r>
      <w:r w:rsidRPr="00CD72E6">
        <w:rPr>
          <w:rFonts w:cstheme="minorHAnsi"/>
        </w:rPr>
        <w:t xml:space="preserve">of stochastic </w:t>
      </w:r>
      <w:r>
        <w:rPr>
          <w:rFonts w:cstheme="minorHAnsi"/>
        </w:rPr>
        <w:t xml:space="preserve">colonisation </w:t>
      </w:r>
      <w:r w:rsidRPr="00CD72E6">
        <w:rPr>
          <w:rFonts w:cstheme="minorHAnsi"/>
        </w:rPr>
        <w:t>processes in the assembly of the gut microbial communit</w:t>
      </w:r>
      <w:r>
        <w:rPr>
          <w:rFonts w:cstheme="minorHAnsi"/>
        </w:rPr>
        <w:t>y</w:t>
      </w:r>
      <w:r w:rsidR="000213C5">
        <w:rPr>
          <w:rFonts w:cstheme="minorHAnsi"/>
        </w:rPr>
        <w:t xml:space="preserve"> and to determine potentially important core taxa</w:t>
      </w:r>
      <w:r>
        <w:rPr>
          <w:rFonts w:cstheme="minorHAnsi"/>
        </w:rPr>
        <w:t>. By exploring the</w:t>
      </w:r>
      <w:r w:rsidRPr="00CD72E6">
        <w:rPr>
          <w:rFonts w:cstheme="minorHAnsi"/>
        </w:rPr>
        <w:t xml:space="preserve"> intricate interplay between stochastic and deterministic factors driving community assembly,</w:t>
      </w:r>
      <w:r>
        <w:rPr>
          <w:rFonts w:cstheme="minorHAnsi"/>
        </w:rPr>
        <w:t xml:space="preserve"> our study</w:t>
      </w:r>
      <w:r w:rsidRPr="00CD72E6">
        <w:rPr>
          <w:rFonts w:cstheme="minorHAnsi"/>
        </w:rPr>
        <w:t xml:space="preserve"> offer</w:t>
      </w:r>
      <w:r>
        <w:rPr>
          <w:rFonts w:cstheme="minorHAnsi"/>
        </w:rPr>
        <w:t>s</w:t>
      </w:r>
      <w:r w:rsidRPr="00CD72E6">
        <w:rPr>
          <w:rFonts w:cstheme="minorHAnsi"/>
        </w:rPr>
        <w:t xml:space="preserve"> a comprehensive perspective on the ecological succession of the wild gut microbial community </w:t>
      </w:r>
      <w:r w:rsidR="002E5093">
        <w:rPr>
          <w:rFonts w:cstheme="minorHAnsi"/>
        </w:rPr>
        <w:t>of</w:t>
      </w:r>
      <w:r w:rsidRPr="00CD72E6">
        <w:rPr>
          <w:rFonts w:cstheme="minorHAnsi"/>
        </w:rPr>
        <w:t xml:space="preserve"> juvenile Atlantic </w:t>
      </w:r>
      <w:r>
        <w:rPr>
          <w:rFonts w:cstheme="minorHAnsi"/>
        </w:rPr>
        <w:t>s</w:t>
      </w:r>
      <w:r w:rsidRPr="00CD72E6">
        <w:rPr>
          <w:rFonts w:cstheme="minorHAnsi"/>
        </w:rPr>
        <w:t>almon.</w:t>
      </w:r>
    </w:p>
    <w:p w14:paraId="6149749E" w14:textId="74E76D40" w:rsidR="00A327B5" w:rsidRDefault="00B7361F" w:rsidP="00B7361F">
      <w:pPr>
        <w:pStyle w:val="Heading1"/>
        <w:spacing w:line="480" w:lineRule="auto"/>
      </w:pPr>
      <w:r>
        <w:lastRenderedPageBreak/>
        <w:t xml:space="preserve">Materials and </w:t>
      </w:r>
      <w:r w:rsidR="00A327B5">
        <w:t>Methods</w:t>
      </w:r>
    </w:p>
    <w:p w14:paraId="5A0BBC2C" w14:textId="3D7E9E23" w:rsidR="00A327B5" w:rsidRPr="001370A2" w:rsidRDefault="00A327B5" w:rsidP="00B7361F">
      <w:pPr>
        <w:pStyle w:val="Heading2"/>
        <w:spacing w:line="480" w:lineRule="auto"/>
        <w:rPr>
          <w:rFonts w:cstheme="minorHAnsi"/>
        </w:rPr>
      </w:pPr>
      <w:r w:rsidRPr="001370A2">
        <w:rPr>
          <w:rFonts w:cstheme="minorHAnsi"/>
        </w:rPr>
        <w:t>Study area</w:t>
      </w:r>
      <w:r w:rsidR="00D722EF">
        <w:rPr>
          <w:rFonts w:cstheme="minorHAnsi"/>
        </w:rPr>
        <w:t xml:space="preserve"> and sampling</w:t>
      </w:r>
    </w:p>
    <w:p w14:paraId="783D433D" w14:textId="02F0CB30" w:rsidR="00A327B5" w:rsidRDefault="00A327B5" w:rsidP="00A327B5">
      <w:pPr>
        <w:spacing w:line="480" w:lineRule="auto"/>
        <w:rPr>
          <w:rFonts w:cstheme="minorHAnsi"/>
        </w:rPr>
      </w:pPr>
      <w:r w:rsidRPr="001370A2">
        <w:rPr>
          <w:rFonts w:cstheme="minorHAnsi"/>
        </w:rPr>
        <w:t xml:space="preserve">Atlantic </w:t>
      </w:r>
      <w:r>
        <w:rPr>
          <w:rFonts w:cstheme="minorHAnsi"/>
        </w:rPr>
        <w:t>s</w:t>
      </w:r>
      <w:r w:rsidRPr="001370A2">
        <w:rPr>
          <w:rFonts w:cstheme="minorHAnsi"/>
        </w:rPr>
        <w:t>almon were bred at the Marine Institute in Furnace, Newport, Co. Mayo</w:t>
      </w:r>
      <w:r w:rsidR="00CA5820">
        <w:rPr>
          <w:rFonts w:cstheme="minorHAnsi"/>
        </w:rPr>
        <w:t>, Ireland</w:t>
      </w:r>
      <w:r w:rsidRPr="001370A2">
        <w:rPr>
          <w:rFonts w:cstheme="minorHAnsi"/>
        </w:rPr>
        <w:t xml:space="preserve"> (53°55′22″N 9°34′18″W) </w:t>
      </w:r>
      <w:r>
        <w:rPr>
          <w:rFonts w:cstheme="minorHAnsi"/>
        </w:rPr>
        <w:t xml:space="preserve">located at the </w:t>
      </w:r>
      <w:proofErr w:type="spellStart"/>
      <w:r>
        <w:rPr>
          <w:rFonts w:cstheme="minorHAnsi"/>
        </w:rPr>
        <w:t>Burrishoole</w:t>
      </w:r>
      <w:proofErr w:type="spellEnd"/>
      <w:r>
        <w:rPr>
          <w:rFonts w:cstheme="minorHAnsi"/>
        </w:rPr>
        <w:t xml:space="preserve"> river system </w:t>
      </w:r>
      <w:r w:rsidRPr="001370A2">
        <w:rPr>
          <w:rFonts w:cstheme="minorHAnsi"/>
        </w:rPr>
        <w:t xml:space="preserve">and consisted of four genetic groups: </w:t>
      </w:r>
      <w:r w:rsidR="00CA5820">
        <w:rPr>
          <w:rFonts w:cstheme="minorHAnsi"/>
        </w:rPr>
        <w:t>d</w:t>
      </w:r>
      <w:r w:rsidRPr="001370A2">
        <w:rPr>
          <w:rFonts w:cstheme="minorHAnsi"/>
        </w:rPr>
        <w:t>omesticated farmed fish (</w:t>
      </w:r>
      <w:r w:rsidR="00CA5820">
        <w:rPr>
          <w:rFonts w:cstheme="minorHAnsi"/>
        </w:rPr>
        <w:t>F</w:t>
      </w:r>
      <w:r w:rsidRPr="001370A2">
        <w:rPr>
          <w:rFonts w:cstheme="minorHAnsi"/>
        </w:rPr>
        <w:t>) from the “</w:t>
      </w:r>
      <w:proofErr w:type="spellStart"/>
      <w:r w:rsidRPr="001370A2">
        <w:rPr>
          <w:rFonts w:cstheme="minorHAnsi"/>
        </w:rPr>
        <w:t>Fanad</w:t>
      </w:r>
      <w:proofErr w:type="spellEnd"/>
      <w:r>
        <w:rPr>
          <w:rFonts w:cstheme="minorHAnsi"/>
        </w:rPr>
        <w:t xml:space="preserve"> MOWI</w:t>
      </w:r>
      <w:r w:rsidRPr="001370A2">
        <w:rPr>
          <w:rFonts w:cstheme="minorHAnsi"/>
        </w:rPr>
        <w:t>” strain</w:t>
      </w:r>
      <w:r>
        <w:rPr>
          <w:rFonts w:cstheme="minorHAnsi"/>
        </w:rPr>
        <w:t>,</w:t>
      </w:r>
      <w:r w:rsidRPr="001370A2">
        <w:rPr>
          <w:rFonts w:cstheme="minorHAnsi"/>
        </w:rPr>
        <w:t xml:space="preserve"> </w:t>
      </w:r>
      <w:r>
        <w:rPr>
          <w:rFonts w:cstheme="minorHAnsi"/>
        </w:rPr>
        <w:t xml:space="preserve">native </w:t>
      </w:r>
      <w:r w:rsidRPr="001370A2">
        <w:rPr>
          <w:rFonts w:cstheme="minorHAnsi"/>
        </w:rPr>
        <w:t xml:space="preserve">wild fish (W) from the </w:t>
      </w:r>
      <w:proofErr w:type="spellStart"/>
      <w:r w:rsidRPr="001370A2">
        <w:rPr>
          <w:rFonts w:cstheme="minorHAnsi"/>
        </w:rPr>
        <w:t>Burrishoole</w:t>
      </w:r>
      <w:proofErr w:type="spellEnd"/>
      <w:r w:rsidRPr="001370A2">
        <w:rPr>
          <w:rFonts w:cstheme="minorHAnsi"/>
        </w:rPr>
        <w:t xml:space="preserve"> river system and their reciprocal hybrids (</w:t>
      </w:r>
      <w:r w:rsidR="00CA5820">
        <w:rPr>
          <w:rFonts w:cstheme="minorHAnsi"/>
        </w:rPr>
        <w:t>denoted</w:t>
      </w:r>
      <w:r w:rsidRPr="001370A2">
        <w:rPr>
          <w:rFonts w:cstheme="minorHAnsi"/>
        </w:rPr>
        <w:t xml:space="preserve"> hybrid farmed female (HFF) and hybrid wild female (HWF</w:t>
      </w:r>
      <w:r w:rsidR="005D2033">
        <w:rPr>
          <w:rFonts w:cstheme="minorHAnsi"/>
        </w:rPr>
        <w:t xml:space="preserve">, </w:t>
      </w:r>
      <w:r w:rsidR="005D2033">
        <w:rPr>
          <w:rFonts w:cstheme="minorHAnsi"/>
        </w:rPr>
        <w:fldChar w:fldCharType="begin"/>
      </w:r>
      <w:r w:rsidR="005D2033">
        <w:rPr>
          <w:rFonts w:cstheme="minorHAnsi"/>
        </w:rPr>
        <w:instrText xml:space="preserve"> REF _Ref138177108 \h </w:instrText>
      </w:r>
      <w:r w:rsidR="005D2033">
        <w:rPr>
          <w:rFonts w:cstheme="minorHAnsi"/>
        </w:rPr>
      </w:r>
      <w:r w:rsidR="005D2033">
        <w:rPr>
          <w:rFonts w:cstheme="minorHAnsi"/>
        </w:rPr>
        <w:fldChar w:fldCharType="separate"/>
      </w:r>
      <w:r w:rsidR="00B15C60">
        <w:t xml:space="preserve">Figure </w:t>
      </w:r>
      <w:r w:rsidR="00B15C60">
        <w:rPr>
          <w:noProof/>
        </w:rPr>
        <w:t>1</w:t>
      </w:r>
      <w:r w:rsidR="005D2033">
        <w:rPr>
          <w:rFonts w:cstheme="minorHAnsi"/>
        </w:rPr>
        <w:fldChar w:fldCharType="end"/>
      </w:r>
      <w:r w:rsidR="005D2033">
        <w:rPr>
          <w:rFonts w:cstheme="minorHAnsi"/>
        </w:rPr>
        <w:t>a, b)</w:t>
      </w:r>
      <w:r w:rsidRPr="001370A2">
        <w:rPr>
          <w:rFonts w:cstheme="minorHAnsi"/>
        </w:rPr>
        <w:t xml:space="preserve">. </w:t>
      </w:r>
      <w:r w:rsidR="00CA5820">
        <w:rPr>
          <w:rFonts w:cstheme="minorHAnsi"/>
        </w:rPr>
        <w:t>In April 2018 a</w:t>
      </w:r>
      <w:r>
        <w:rPr>
          <w:rFonts w:cstheme="minorHAnsi"/>
        </w:rPr>
        <w:t>t the swim-up stage,</w:t>
      </w:r>
      <w:r w:rsidRPr="001370A2">
        <w:rPr>
          <w:rFonts w:cstheme="minorHAnsi"/>
        </w:rPr>
        <w:t xml:space="preserve"> </w:t>
      </w:r>
      <w:r>
        <w:rPr>
          <w:rFonts w:cstheme="minorHAnsi"/>
        </w:rPr>
        <w:t>prior to the commencement of exogenous feeding</w:t>
      </w:r>
      <w:r w:rsidRPr="001370A2">
        <w:rPr>
          <w:rFonts w:cstheme="minorHAnsi"/>
        </w:rPr>
        <w:t xml:space="preserve"> </w:t>
      </w:r>
      <w:r>
        <w:rPr>
          <w:rFonts w:cstheme="minorHAnsi"/>
        </w:rPr>
        <w:t>fry</w:t>
      </w:r>
      <w:r w:rsidRPr="001370A2">
        <w:rPr>
          <w:rFonts w:cstheme="minorHAnsi"/>
        </w:rPr>
        <w:t xml:space="preserve"> </w:t>
      </w:r>
      <w:r>
        <w:rPr>
          <w:rFonts w:cstheme="minorHAnsi"/>
        </w:rPr>
        <w:t xml:space="preserve">were </w:t>
      </w:r>
      <w:r w:rsidRPr="001370A2">
        <w:rPr>
          <w:rFonts w:cstheme="minorHAnsi"/>
        </w:rPr>
        <w:t xml:space="preserve">introduced into a section of the </w:t>
      </w:r>
      <w:proofErr w:type="spellStart"/>
      <w:r w:rsidRPr="001370A2">
        <w:rPr>
          <w:rFonts w:cstheme="minorHAnsi"/>
        </w:rPr>
        <w:t>Srahrevagh</w:t>
      </w:r>
      <w:proofErr w:type="spellEnd"/>
      <w:r w:rsidRPr="001370A2">
        <w:rPr>
          <w:rFonts w:cstheme="minorHAnsi"/>
        </w:rPr>
        <w:t xml:space="preserve"> river</w:t>
      </w:r>
      <w:r w:rsidR="00CA5820">
        <w:rPr>
          <w:rFonts w:cstheme="minorHAnsi"/>
        </w:rPr>
        <w:t xml:space="preserve"> in the </w:t>
      </w:r>
      <w:proofErr w:type="spellStart"/>
      <w:r w:rsidRPr="001370A2">
        <w:rPr>
          <w:rFonts w:cstheme="minorHAnsi"/>
        </w:rPr>
        <w:t>Burrishoole</w:t>
      </w:r>
      <w:proofErr w:type="spellEnd"/>
      <w:r w:rsidRPr="001370A2">
        <w:rPr>
          <w:rFonts w:cstheme="minorHAnsi"/>
        </w:rPr>
        <w:t xml:space="preserve"> </w:t>
      </w:r>
      <w:r w:rsidR="00CA5820">
        <w:rPr>
          <w:rFonts w:cstheme="minorHAnsi"/>
        </w:rPr>
        <w:t>catchment</w:t>
      </w:r>
      <w:r w:rsidR="00571235">
        <w:rPr>
          <w:rFonts w:cstheme="minorHAnsi"/>
        </w:rPr>
        <w:t xml:space="preserve">. </w:t>
      </w:r>
      <w:r w:rsidRPr="001370A2">
        <w:rPr>
          <w:rFonts w:cstheme="minorHAnsi"/>
        </w:rPr>
        <w:t>The experiment river consists of app</w:t>
      </w:r>
      <w:r>
        <w:rPr>
          <w:rFonts w:cstheme="minorHAnsi"/>
        </w:rPr>
        <w:t>roximately</w:t>
      </w:r>
      <w:r w:rsidRPr="001370A2">
        <w:rPr>
          <w:rFonts w:cstheme="minorHAnsi"/>
        </w:rPr>
        <w:t xml:space="preserve"> 7520m</w:t>
      </w:r>
      <w:r w:rsidRPr="00D366A0">
        <w:rPr>
          <w:rFonts w:cstheme="minorHAnsi"/>
          <w:vertAlign w:val="superscript"/>
        </w:rPr>
        <w:t>2</w:t>
      </w:r>
      <w:r w:rsidRPr="001370A2">
        <w:rPr>
          <w:rFonts w:cstheme="minorHAnsi"/>
        </w:rPr>
        <w:t xml:space="preserve"> of high-quality </w:t>
      </w:r>
      <w:r w:rsidR="00CA5820">
        <w:rPr>
          <w:rFonts w:cstheme="minorHAnsi"/>
        </w:rPr>
        <w:t>Atlantic salmon</w:t>
      </w:r>
      <w:r w:rsidRPr="001370A2">
        <w:rPr>
          <w:rFonts w:cstheme="minorHAnsi"/>
        </w:rPr>
        <w:t xml:space="preserve"> habitat</w:t>
      </w:r>
      <w:r>
        <w:rPr>
          <w:rFonts w:cstheme="minorHAnsi"/>
        </w:rPr>
        <w:t>. It is</w:t>
      </w:r>
      <w:r w:rsidRPr="001370A2">
        <w:rPr>
          <w:rFonts w:cstheme="minorHAnsi"/>
        </w:rPr>
        <w:t xml:space="preserve"> </w:t>
      </w:r>
      <w:r>
        <w:rPr>
          <w:rFonts w:cstheme="minorHAnsi"/>
        </w:rPr>
        <w:t>contained</w:t>
      </w:r>
      <w:r w:rsidRPr="001370A2">
        <w:rPr>
          <w:rFonts w:cstheme="minorHAnsi"/>
        </w:rPr>
        <w:t xml:space="preserve"> at its upper end by a series of </w:t>
      </w:r>
      <w:r>
        <w:rPr>
          <w:rFonts w:cstheme="minorHAnsi"/>
        </w:rPr>
        <w:t xml:space="preserve">large </w:t>
      </w:r>
      <w:r w:rsidRPr="001370A2">
        <w:rPr>
          <w:rFonts w:cstheme="minorHAnsi"/>
        </w:rPr>
        <w:t>waterfalls and at its lower end by a fish trap</w:t>
      </w:r>
      <w:r>
        <w:rPr>
          <w:rFonts w:cstheme="minorHAnsi"/>
        </w:rPr>
        <w:t xml:space="preserve"> capable of capturing all life </w:t>
      </w:r>
      <w:r w:rsidR="00CA5820">
        <w:rPr>
          <w:rFonts w:cstheme="minorHAnsi"/>
        </w:rPr>
        <w:t xml:space="preserve">cycle </w:t>
      </w:r>
      <w:r>
        <w:rPr>
          <w:rFonts w:cstheme="minorHAnsi"/>
        </w:rPr>
        <w:t>stages from egg to adult</w:t>
      </w:r>
      <w:r w:rsidRPr="001370A2">
        <w:rPr>
          <w:rFonts w:cstheme="minorHAnsi"/>
        </w:rPr>
        <w:t xml:space="preserve">. </w:t>
      </w:r>
      <w:r>
        <w:rPr>
          <w:rFonts w:cstheme="minorHAnsi"/>
        </w:rPr>
        <w:t>A</w:t>
      </w:r>
      <w:r w:rsidRPr="001370A2">
        <w:rPr>
          <w:rFonts w:cstheme="minorHAnsi"/>
        </w:rPr>
        <w:t xml:space="preserve"> detailed description of the system </w:t>
      </w:r>
      <w:r>
        <w:rPr>
          <w:rFonts w:cstheme="minorHAnsi"/>
        </w:rPr>
        <w:t xml:space="preserve">is reported in </w:t>
      </w:r>
      <w:r w:rsidRPr="001370A2">
        <w:rPr>
          <w:rFonts w:cstheme="minorHAnsi"/>
        </w:rPr>
        <w:fldChar w:fldCharType="begin"/>
      </w:r>
      <w:r w:rsidR="00CA5820">
        <w:rPr>
          <w:rFonts w:cstheme="minorHAnsi"/>
        </w:rPr>
        <w:instrText xml:space="preserve"> ADDIN ZOTERO_ITEM CSL_CITATION {"citationID":"EXnZFRVP","properties":{"formattedCitation":"(McGinnity et al., 1997, 2003; Perry et al., 2021)","plainCitation":"(McGinnity et al., 1997, 2003; Perry et al., 2021)","noteIndex":0},"citationItems":[{"id":388,"uris":["http://zotero.org/users/9227957/items/IUDFVDCM"],"itemData":{"id":388,"type":"article-journal","abstract":"Since Atlantic salmon (Salmo salar L.) used for farming are usually genetically different from local wild populations, breeding of escaped farmed salmon potentially results in genetic changes in wild populations. To determine the likelihood and impact of such genetic change, an experiment was undertaken, in a natural spawning tributary of the Burrishoole system in western Ireland, to compare the performance of wild, farmed, and hybrid Atlantic salmon progeny. Juveniles were assigned to family and group parentage by DNA profiling based on composite genotypes at seven minisatellite loci. Survival of the progeny of farmed salmon to the smolt stage was significantly lower than that of wild salmon, with increased mortality being greatest in the period from the eyed egg to the first summer. However, progeny of farmed salmon grew fastest and competitively displaced the smaller native fish downstream. The offspring of farmed salmon showed a reduced incidence of male parr maturity compared with native fish. The latter also showed a greater tendency to migrate as autumn pre-smolts. Growth and performance of hybrids were generally either intermediate or not significantly different from the wild fish. The demonstration that farmed and hybrid progeny can survive in the wild to the smolt stage, taken together with unpublished data that show that these smolts can survive at sea and home to their river of origin, indicates that escaped farmed salmon can produce long-term genetic changes in natural populations. These changes affect both single-locus and high-heritability quantitative traits, e.g. growth, sea age of maturity. While some of these changes may be advantageous from an angling management perspective, they are likely, in specific circumstances, to reduce population fitness and productivity. Full assessment of these changes will require details of marine survival, homing and reproductive performance of the adults together with information on the F2 generation.","container-title":"ICES Journal of Marine Science","DOI":"10.1016/S1054-3139(97)80004-5","ISSN":"1054-3139","issue":"6","journalAbbreviation":"ICES Journal of Marine Science","page":"998-1008","source":"Silverchair","title":"Genetic impact of escaped farmed Atlantic salmon (Salmo salar L.) on native populations: use of DNA profiling to assess freshwater performance of wild, farmed, and hybrid progeny in a natural river environment","title-short":"Genetic impact of escaped farmed Atlantic salmon (Salmo salar L.) on native populations","volume":"54","author":[{"family":"McGinnity","given":"P."},{"family":"Stone","given":"C."},{"family":"Taggart","given":"J. B."},{"family":"Cooke","given":"D."},{"family":"Cotter","given":"D."},{"family":"Hynes","given":"R."},{"family":"McCamley","given":"C."},{"family":"Cross","given":"T."},{"family":"Ferguson","given":"A."}],"issued":{"date-parts":[["1997",12,1]]}}},{"id":140,"uris":["http://zotero.org/users/9227957/items/86Q3RPM5"],"itemData":{"id":140,"type":"article-journal","abstract":"The high level of escapes from Atlantic salmon farms, up to two million fishes per year in the North Atlantic, has raised concern about the potential impact on wild populations. We report on a two-generation experiment examining the estimated lifetime successes, relative to wild natives, of farm, F1 and F2 hybrids and BC1 backcrosses to wild and farm salmon. Offspring of farm and ‘hybrids’ (i.e. all F1, F2 and BC1 groups) showed reduced survival compared with wild salmon but grew faster as juveniles and displaced wild parr, which as a group were significantly smaller. Where suitable habitat for these emigrant parr is absent, this competition would result in reduced wild smolt production. In the experimental conditions, where emigrants survived downstream, the relative estimated lifetime success ranged from 2% (farm) to 89% (BC1 wild) of that of wild salmon, indicating additive genetic variation for survival. Wild salmon primarily returned to fresh water after one sea winter (1SW) but farm and ‘hybrids’ produced proportionately more 2SW salmon. However, lower overall survival means that this would result in reduced recruitment despite increased 2SW fecundity. We thus demonstrate that interaction of farm with wild salmon results in lowered fitness, with repeated escapes causing cumulative fitness depression and potentially an extinction vortex in vulnerable populations.","container-title":"Proceedings of the Royal Society of London. Series B: Biological Sciences","DOI":"10.1098/rspb.2003.2520","issue":"1532","note":"publisher: Royal Society","page":"2443-2450","source":"royalsocietypublishing.org (Atypon)","title":"Fitness reduction and potential extinction of wild populations of Atlantic salmon, Salmo salar, as a result of interactions with escaped farm salmon","volume":"270","author":[{"family":"McGinnity","given":"Philip"},{"family":"Prodöhl","given":"Paulo"},{"family":"Ferguson","given":"Andy"},{"family":"Hynes","given":"Rosaleen"},{"family":"Maoiléidigh","given":"Niall","dropping-particle":"ó"},{"family":"Baker","given":"Natalie"},{"family":"Cotter","given":"Deirdre"},{"family":"O'Hea","given":"Brendan"},{"family":"Cooke","given":"Declan"},{"family":"Rogan","given":"Ger"},{"family":"Taggart","given":"John"},{"family":"Cross","given":"Tom"}],"issued":{"date-parts":[["2003",12,7]]}}},{"id":1561,"uris":["http://zotero.org/users/9227957/items/9FLMAVUL"],"itemData":{"id":1561,"type":"article-journal","abstract":"Domestication leads to changes in traits that are under directional selection in breeding programmes, though unintentional changes in nonproduction traits can also arise. In offspring of escaping fish and any hybrid progeny, such unintentionally altered traits may reduce fitness in the wild. Atlantic salmon breeding programmes were established in the early 1970s, resulting in genetic changes in multiple traits. However, the impact of domestication on eye size has not been studied. We measured body size corrected eye size in 4000 salmon from six common garden experiments conducted under artificial and natural conditions, in freshwater and saltwater environments, in two countries. Within these common gardens, offspring of domesticated and wild parents were crossed to produce 11 strains, with varying genetic backgrounds (wild, domesticated, F1 hybrids, F2 hybrids and backcrosses). Size-adjusted eye size was influenced by both genetic and environmental factors. Domesticated fish reared under artificial conditions had smaller adjusted eye size when compared to wild fish reared under identical conditions, in both the freshwater and marine environments, and in both Irish and Norwegian experiments. However, in parr that had been introduced into a river environment shortly after hatching and sampled at the end of their first summer, differences in adjusted eye size observed among genetic groups were of a reduced magnitude and were nonsignificant in 2-year-old sea migrating smolts sampled in the river immediately prior to sea entry. Collectively, our findings could suggest that where natural selection is present, individuals with reduced eye size are maladapted and consequently have reduced fitness, building on our understanding of the mechanisms that underlie a well-documented reduction in the fitness of the progeny of domesticated salmon, including hybrid progeny, in the wild.","container-title":"Evolutionary Applications","DOI":"10.1111/eva.13297","ISSN":"1752-4571","issue":"9","language":"en","license":"© 2021 The Authors. Evolutionary Applications published by John Wiley &amp; Sons Ltd.","note":"_eprint: https://onlinelibrary.wiley.com/doi/pdf/10.1111/eva.13297","page":"2319-2332","source":"Wiley Online Library","title":"Domestication-induced reduction in eye size revealed in multiple common garden experiments: The case of Atlantic salmon (Salmo salar L.)","title-short":"Domestication-induced reduction in eye size revealed in multiple common garden experiments","volume":"14","author":[{"family":"Perry","given":"William Bernard"},{"family":"Kaufmann","given":"Joshka"},{"family":"Solberg","given":"Monica Favnebøe"},{"family":"Brodie","given":"Christopher"},{"family":"Coral Medina","given":"Angela Maria"},{"family":"Pillay","given":"Kirthana"},{"family":"Egerton","given":"Anna"},{"family":"Harvey","given":"Alison"},{"family":"Phillips","given":"Karl P."},{"family":"Coughlan","given":"Jamie"},{"family":"Egan","given":"Fintan"},{"family":"Grealis","given":"Ronan"},{"family":"Hutton","given":"Steve"},{"family":"Leseur","given":"Floriane"},{"family":"Ryan","given":"Sarah"},{"family":"Poole","given":"Russell"},{"family":"Rogan","given":"Ger"},{"family":"Ryder","given":"Elizabeth"},{"family":"Schaal","given":"Patrick"},{"family":"Waters","given":"Catherine"},{"family":"Wynne","given":"Robert"},{"family":"Taylor","given":"Martin"},{"family":"Prodöhl","given":"Paulo"},{"family":"Creer","given":"Simon"},{"family":"Llewellyn","given":"Martin"},{"family":"McGinnity","given":"Philip"},{"family":"Carvalho","given":"Gary"},{"family":"Glover","given":"Kevin Alan"}],"issued":{"date-parts":[["2021"]]}}}],"schema":"https://github.com/citation-style-language/schema/raw/master/csl-citation.json"} </w:instrText>
      </w:r>
      <w:r w:rsidRPr="001370A2">
        <w:rPr>
          <w:rFonts w:cstheme="minorHAnsi"/>
        </w:rPr>
        <w:fldChar w:fldCharType="separate"/>
      </w:r>
      <w:r w:rsidR="00CA5820" w:rsidRPr="00CA5820">
        <w:rPr>
          <w:rFonts w:ascii="Calibri" w:hAnsi="Calibri" w:cs="Calibri"/>
        </w:rPr>
        <w:t>(McGinnity et al., 1997, 2003; Perry et al., 2021)</w:t>
      </w:r>
      <w:r w:rsidRPr="001370A2">
        <w:rPr>
          <w:rFonts w:cstheme="minorHAnsi"/>
        </w:rPr>
        <w:fldChar w:fldCharType="end"/>
      </w:r>
      <w:r w:rsidRPr="001370A2">
        <w:rPr>
          <w:rFonts w:cstheme="minorHAnsi"/>
        </w:rPr>
        <w:t>.</w:t>
      </w:r>
    </w:p>
    <w:p w14:paraId="77004F34" w14:textId="6FB5E048" w:rsidR="00A327B5" w:rsidRPr="001370A2" w:rsidRDefault="00A327B5" w:rsidP="00A327B5">
      <w:pPr>
        <w:spacing w:line="480" w:lineRule="auto"/>
        <w:rPr>
          <w:rFonts w:cstheme="minorHAnsi"/>
        </w:rPr>
      </w:pPr>
      <w:r>
        <w:rPr>
          <w:rFonts w:cstheme="minorHAnsi"/>
        </w:rPr>
        <w:t>A total of</w:t>
      </w:r>
      <w:r w:rsidRPr="001370A2">
        <w:rPr>
          <w:rFonts w:cstheme="minorHAnsi"/>
        </w:rPr>
        <w:t xml:space="preserve"> </w:t>
      </w:r>
      <w:r w:rsidR="00CA5820">
        <w:rPr>
          <w:rFonts w:cstheme="minorHAnsi"/>
        </w:rPr>
        <w:t>8</w:t>
      </w:r>
      <w:r>
        <w:rPr>
          <w:rFonts w:cstheme="minorHAnsi"/>
        </w:rPr>
        <w:t xml:space="preserve">0 </w:t>
      </w:r>
      <w:r w:rsidRPr="001370A2">
        <w:rPr>
          <w:rFonts w:cstheme="minorHAnsi"/>
        </w:rPr>
        <w:t>fish were captured</w:t>
      </w:r>
      <w:r>
        <w:rPr>
          <w:rFonts w:cstheme="minorHAnsi"/>
        </w:rPr>
        <w:t xml:space="preserve"> in the </w:t>
      </w:r>
      <w:proofErr w:type="spellStart"/>
      <w:r>
        <w:rPr>
          <w:rFonts w:cstheme="minorHAnsi"/>
        </w:rPr>
        <w:t>Srahrevagh</w:t>
      </w:r>
      <w:proofErr w:type="spellEnd"/>
      <w:r>
        <w:rPr>
          <w:rFonts w:cstheme="minorHAnsi"/>
        </w:rPr>
        <w:t xml:space="preserve"> River across a 10-month period</w:t>
      </w:r>
      <w:r w:rsidR="00CA5820">
        <w:rPr>
          <w:rFonts w:cstheme="minorHAnsi"/>
        </w:rPr>
        <w:t xml:space="preserve"> in 2019</w:t>
      </w:r>
      <w:r>
        <w:rPr>
          <w:rFonts w:cstheme="minorHAnsi"/>
        </w:rPr>
        <w:t>:</w:t>
      </w:r>
      <w:r w:rsidRPr="001370A2">
        <w:rPr>
          <w:rFonts w:cstheme="minorHAnsi"/>
        </w:rPr>
        <w:t xml:space="preserve"> January (</w:t>
      </w:r>
      <w:r>
        <w:rPr>
          <w:rFonts w:cstheme="minorHAnsi"/>
        </w:rPr>
        <w:t>n=16</w:t>
      </w:r>
      <w:r w:rsidRPr="001370A2">
        <w:rPr>
          <w:rFonts w:cstheme="minorHAnsi"/>
        </w:rPr>
        <w:t>)</w:t>
      </w:r>
      <w:r>
        <w:rPr>
          <w:rFonts w:cstheme="minorHAnsi"/>
        </w:rPr>
        <w:t>;</w:t>
      </w:r>
      <w:r w:rsidRPr="001370A2">
        <w:rPr>
          <w:rFonts w:cstheme="minorHAnsi"/>
        </w:rPr>
        <w:t xml:space="preserve"> March</w:t>
      </w:r>
      <w:r>
        <w:rPr>
          <w:rFonts w:cstheme="minorHAnsi"/>
        </w:rPr>
        <w:t xml:space="preserve"> (n=14); </w:t>
      </w:r>
      <w:r w:rsidRPr="001370A2">
        <w:rPr>
          <w:rFonts w:cstheme="minorHAnsi"/>
        </w:rPr>
        <w:t>May (</w:t>
      </w:r>
      <w:r>
        <w:rPr>
          <w:rFonts w:cstheme="minorHAnsi"/>
        </w:rPr>
        <w:t>n=8</w:t>
      </w:r>
      <w:r w:rsidRPr="001370A2">
        <w:rPr>
          <w:rFonts w:cstheme="minorHAnsi"/>
        </w:rPr>
        <w:t>)</w:t>
      </w:r>
      <w:r>
        <w:rPr>
          <w:rFonts w:cstheme="minorHAnsi"/>
        </w:rPr>
        <w:t>;</w:t>
      </w:r>
      <w:r w:rsidRPr="001370A2">
        <w:rPr>
          <w:rFonts w:cstheme="minorHAnsi"/>
        </w:rPr>
        <w:t xml:space="preserve"> June</w:t>
      </w:r>
      <w:r>
        <w:rPr>
          <w:rFonts w:cstheme="minorHAnsi"/>
        </w:rPr>
        <w:t xml:space="preserve"> (n=13); </w:t>
      </w:r>
      <w:r w:rsidRPr="001370A2">
        <w:rPr>
          <w:rFonts w:cstheme="minorHAnsi"/>
        </w:rPr>
        <w:t>July (</w:t>
      </w:r>
      <w:r>
        <w:rPr>
          <w:rFonts w:cstheme="minorHAnsi"/>
        </w:rPr>
        <w:t>n=11</w:t>
      </w:r>
      <w:r w:rsidRPr="001370A2">
        <w:rPr>
          <w:rFonts w:cstheme="minorHAnsi"/>
        </w:rPr>
        <w:t>)</w:t>
      </w:r>
      <w:r>
        <w:rPr>
          <w:rFonts w:cstheme="minorHAnsi"/>
        </w:rPr>
        <w:t>;</w:t>
      </w:r>
      <w:r w:rsidRPr="001370A2">
        <w:rPr>
          <w:rFonts w:cstheme="minorHAnsi"/>
        </w:rPr>
        <w:t xml:space="preserve"> November (</w:t>
      </w:r>
      <w:r>
        <w:rPr>
          <w:rFonts w:cstheme="minorHAnsi"/>
        </w:rPr>
        <w:t>n=18</w:t>
      </w:r>
      <w:r w:rsidRPr="001370A2">
        <w:rPr>
          <w:rFonts w:cstheme="minorHAnsi"/>
        </w:rPr>
        <w:t xml:space="preserve">). Fish were caught via electrofishing and transported in buckets filled with oxygenated river water to the Marine Institute </w:t>
      </w:r>
      <w:r w:rsidR="00F17141">
        <w:rPr>
          <w:rFonts w:cstheme="minorHAnsi"/>
        </w:rPr>
        <w:t>Newport Research Station</w:t>
      </w:r>
      <w:r w:rsidRPr="001370A2">
        <w:rPr>
          <w:rFonts w:cstheme="minorHAnsi"/>
        </w:rPr>
        <w:t xml:space="preserve"> for processing. The feeding status of all fish was un</w:t>
      </w:r>
      <w:r>
        <w:rPr>
          <w:rFonts w:cstheme="minorHAnsi"/>
        </w:rPr>
        <w:t>known</w:t>
      </w:r>
      <w:r w:rsidRPr="001370A2">
        <w:rPr>
          <w:rFonts w:cstheme="minorHAnsi"/>
        </w:rPr>
        <w:t xml:space="preserve">. All fish were </w:t>
      </w:r>
      <w:r>
        <w:rPr>
          <w:rFonts w:cstheme="minorHAnsi"/>
        </w:rPr>
        <w:t>euthanized</w:t>
      </w:r>
      <w:r w:rsidRPr="001370A2">
        <w:rPr>
          <w:rFonts w:cstheme="minorHAnsi"/>
        </w:rPr>
        <w:t xml:space="preserve"> by an anaesthetic overdose of methane tricaine sulphonate (MS-222, </w:t>
      </w:r>
      <w:r>
        <w:rPr>
          <w:rFonts w:cstheme="minorHAnsi"/>
        </w:rPr>
        <w:t>80ml</w:t>
      </w:r>
      <w:r w:rsidRPr="001370A2">
        <w:rPr>
          <w:rFonts w:cstheme="minorHAnsi"/>
        </w:rPr>
        <w:t xml:space="preserve">/l, FVG, Ireland) and their fork length (mm) and wet weight (g) </w:t>
      </w:r>
      <w:r>
        <w:rPr>
          <w:rFonts w:cstheme="minorHAnsi"/>
        </w:rPr>
        <w:t>measured</w:t>
      </w:r>
      <w:r w:rsidRPr="001370A2">
        <w:rPr>
          <w:rFonts w:cstheme="minorHAnsi"/>
        </w:rPr>
        <w:t xml:space="preserve">. </w:t>
      </w:r>
      <w:r>
        <w:rPr>
          <w:rFonts w:cstheme="minorHAnsi"/>
        </w:rPr>
        <w:t>The</w:t>
      </w:r>
      <w:r w:rsidRPr="001370A2">
        <w:rPr>
          <w:rFonts w:cstheme="minorHAnsi"/>
        </w:rPr>
        <w:t xml:space="preserve"> </w:t>
      </w:r>
      <w:r>
        <w:rPr>
          <w:rFonts w:cstheme="minorHAnsi"/>
        </w:rPr>
        <w:t>intestines of sampled fish</w:t>
      </w:r>
      <w:r w:rsidRPr="001370A2">
        <w:rPr>
          <w:rFonts w:cstheme="minorHAnsi"/>
        </w:rPr>
        <w:t xml:space="preserve"> were dissected aseptically via an incision along the fish’s ventral side. The pyloric cae</w:t>
      </w:r>
      <w:r>
        <w:rPr>
          <w:rFonts w:cstheme="minorHAnsi"/>
        </w:rPr>
        <w:t>cum</w:t>
      </w:r>
      <w:r w:rsidRPr="001370A2">
        <w:rPr>
          <w:rFonts w:cstheme="minorHAnsi"/>
        </w:rPr>
        <w:t xml:space="preserve"> w</w:t>
      </w:r>
      <w:r>
        <w:rPr>
          <w:rFonts w:cstheme="minorHAnsi"/>
        </w:rPr>
        <w:t>as</w:t>
      </w:r>
      <w:r w:rsidRPr="001370A2">
        <w:rPr>
          <w:rFonts w:cstheme="minorHAnsi"/>
        </w:rPr>
        <w:t xml:space="preserve"> removed, cut into pieces, put into</w:t>
      </w:r>
      <w:r w:rsidR="00F17141">
        <w:rPr>
          <w:rFonts w:cstheme="minorHAnsi"/>
        </w:rPr>
        <w:t xml:space="preserve"> sterile</w:t>
      </w:r>
      <w:r w:rsidRPr="001370A2">
        <w:rPr>
          <w:rFonts w:cstheme="minorHAnsi"/>
        </w:rPr>
        <w:t xml:space="preserve"> </w:t>
      </w:r>
      <w:proofErr w:type="gramStart"/>
      <w:r w:rsidRPr="001370A2">
        <w:rPr>
          <w:rFonts w:cstheme="minorHAnsi"/>
        </w:rPr>
        <w:t>cryotubes</w:t>
      </w:r>
      <w:proofErr w:type="gramEnd"/>
      <w:r w:rsidRPr="001370A2">
        <w:rPr>
          <w:rFonts w:cstheme="minorHAnsi"/>
        </w:rPr>
        <w:t xml:space="preserve"> and immediately placed on dry ice</w:t>
      </w:r>
      <w:r w:rsidR="00F17141">
        <w:rPr>
          <w:rFonts w:cstheme="minorHAnsi"/>
        </w:rPr>
        <w:t>.</w:t>
      </w:r>
      <w:r w:rsidRPr="001370A2">
        <w:rPr>
          <w:rFonts w:cstheme="minorHAnsi"/>
        </w:rPr>
        <w:t xml:space="preserve"> </w:t>
      </w:r>
      <w:r w:rsidR="005D2033">
        <w:rPr>
          <w:rFonts w:cstheme="minorHAnsi"/>
        </w:rPr>
        <w:t xml:space="preserve">An overview of samples taken is shown in </w:t>
      </w:r>
      <w:r w:rsidR="005D2033" w:rsidRPr="005D2033">
        <w:rPr>
          <w:rFonts w:cstheme="minorHAnsi"/>
        </w:rPr>
        <w:fldChar w:fldCharType="begin"/>
      </w:r>
      <w:r w:rsidR="005D2033" w:rsidRPr="005D2033">
        <w:rPr>
          <w:rFonts w:cstheme="minorHAnsi"/>
        </w:rPr>
        <w:instrText xml:space="preserve"> REF _Ref138176939 \h  \* MERGEFORMAT </w:instrText>
      </w:r>
      <w:r w:rsidR="005D2033" w:rsidRPr="005D2033">
        <w:rPr>
          <w:rFonts w:cstheme="minorHAnsi"/>
        </w:rPr>
      </w:r>
      <w:r w:rsidR="005D2033" w:rsidRPr="005D2033">
        <w:rPr>
          <w:rFonts w:cstheme="minorHAnsi"/>
        </w:rPr>
        <w:fldChar w:fldCharType="separate"/>
      </w:r>
      <w:r w:rsidR="00B15C60" w:rsidRPr="00B15C60">
        <w:t xml:space="preserve">Table S </w:t>
      </w:r>
      <w:r w:rsidR="00B15C60" w:rsidRPr="00B15C60">
        <w:rPr>
          <w:noProof/>
        </w:rPr>
        <w:t>1</w:t>
      </w:r>
      <w:r w:rsidR="005D2033" w:rsidRPr="005D2033">
        <w:rPr>
          <w:rFonts w:cstheme="minorHAnsi"/>
        </w:rPr>
        <w:fldChar w:fldCharType="end"/>
      </w:r>
      <w:r w:rsidR="005D2033" w:rsidRPr="005D2033">
        <w:rPr>
          <w:rFonts w:cstheme="minorHAnsi"/>
        </w:rPr>
        <w:t>.</w:t>
      </w:r>
    </w:p>
    <w:p w14:paraId="61EB7B3E" w14:textId="6BE11655" w:rsidR="00A327B5" w:rsidRPr="001370A2" w:rsidRDefault="00F17141" w:rsidP="00A327B5">
      <w:pPr>
        <w:spacing w:line="480" w:lineRule="auto"/>
        <w:rPr>
          <w:rFonts w:cstheme="minorHAnsi"/>
        </w:rPr>
      </w:pPr>
      <w:r>
        <w:rPr>
          <w:rFonts w:cstheme="minorHAnsi"/>
        </w:rPr>
        <w:t xml:space="preserve">In order to identify </w:t>
      </w:r>
      <w:r w:rsidRPr="001370A2">
        <w:rPr>
          <w:rFonts w:cstheme="minorHAnsi"/>
        </w:rPr>
        <w:t xml:space="preserve">free-living water bacteria that might serve as a dispersal source for fish gut </w:t>
      </w:r>
      <w:r>
        <w:rPr>
          <w:rFonts w:cstheme="minorHAnsi"/>
        </w:rPr>
        <w:t xml:space="preserve">communities, </w:t>
      </w:r>
      <w:r w:rsidR="00A327B5">
        <w:rPr>
          <w:rFonts w:cstheme="minorHAnsi"/>
        </w:rPr>
        <w:t>three</w:t>
      </w:r>
      <w:r w:rsidR="00A327B5" w:rsidRPr="001370A2">
        <w:rPr>
          <w:rFonts w:cstheme="minorHAnsi"/>
        </w:rPr>
        <w:t xml:space="preserve"> water samples were </w:t>
      </w:r>
      <w:r>
        <w:rPr>
          <w:rFonts w:cstheme="minorHAnsi"/>
        </w:rPr>
        <w:t>collected at each sampling timepoint</w:t>
      </w:r>
      <w:r w:rsidR="00A327B5" w:rsidRPr="001370A2">
        <w:rPr>
          <w:rFonts w:cstheme="minorHAnsi"/>
        </w:rPr>
        <w:t xml:space="preserve"> at </w:t>
      </w:r>
      <w:r w:rsidR="00A327B5">
        <w:rPr>
          <w:rFonts w:cstheme="minorHAnsi"/>
        </w:rPr>
        <w:t xml:space="preserve">locations at </w:t>
      </w:r>
      <w:r w:rsidR="00A327B5" w:rsidRPr="001370A2">
        <w:rPr>
          <w:rFonts w:cstheme="minorHAnsi"/>
        </w:rPr>
        <w:t xml:space="preserve">the bottom (bot), </w:t>
      </w:r>
      <w:r w:rsidR="00A327B5">
        <w:rPr>
          <w:rFonts w:cstheme="minorHAnsi"/>
        </w:rPr>
        <w:t>middle (</w:t>
      </w:r>
      <w:r w:rsidR="00A327B5" w:rsidRPr="001370A2">
        <w:rPr>
          <w:rFonts w:cstheme="minorHAnsi"/>
        </w:rPr>
        <w:t>mid</w:t>
      </w:r>
      <w:r w:rsidR="00A327B5">
        <w:rPr>
          <w:rFonts w:cstheme="minorHAnsi"/>
        </w:rPr>
        <w:t>)</w:t>
      </w:r>
      <w:r w:rsidR="00A327B5" w:rsidRPr="001370A2">
        <w:rPr>
          <w:rFonts w:cstheme="minorHAnsi"/>
        </w:rPr>
        <w:t xml:space="preserve"> and top </w:t>
      </w:r>
      <w:r w:rsidR="00A327B5">
        <w:rPr>
          <w:rFonts w:cstheme="minorHAnsi"/>
        </w:rPr>
        <w:t xml:space="preserve">of the study </w:t>
      </w:r>
      <w:r w:rsidR="00A327B5" w:rsidRPr="001370A2">
        <w:rPr>
          <w:rFonts w:cstheme="minorHAnsi"/>
        </w:rPr>
        <w:t xml:space="preserve">section of the </w:t>
      </w:r>
      <w:proofErr w:type="spellStart"/>
      <w:r w:rsidR="00A327B5" w:rsidRPr="001370A2">
        <w:rPr>
          <w:rFonts w:cstheme="minorHAnsi"/>
        </w:rPr>
        <w:t>Srahrevagh</w:t>
      </w:r>
      <w:proofErr w:type="spellEnd"/>
      <w:r w:rsidR="00A327B5" w:rsidRPr="001370A2">
        <w:rPr>
          <w:rFonts w:cstheme="minorHAnsi"/>
        </w:rPr>
        <w:t xml:space="preserve"> river</w:t>
      </w:r>
      <w:r w:rsidR="00A327B5">
        <w:rPr>
          <w:rFonts w:cstheme="minorHAnsi"/>
        </w:rPr>
        <w:t xml:space="preserve"> (</w:t>
      </w:r>
      <w:r w:rsidR="005D2033">
        <w:rPr>
          <w:rFonts w:cstheme="minorHAnsi"/>
        </w:rPr>
        <w:fldChar w:fldCharType="begin"/>
      </w:r>
      <w:r w:rsidR="005D2033">
        <w:rPr>
          <w:rFonts w:cstheme="minorHAnsi"/>
        </w:rPr>
        <w:instrText xml:space="preserve"> REF _Ref138177108 \h </w:instrText>
      </w:r>
      <w:r w:rsidR="005D2033">
        <w:rPr>
          <w:rFonts w:cstheme="minorHAnsi"/>
        </w:rPr>
      </w:r>
      <w:r w:rsidR="005D2033">
        <w:rPr>
          <w:rFonts w:cstheme="minorHAnsi"/>
        </w:rPr>
        <w:fldChar w:fldCharType="separate"/>
      </w:r>
      <w:r w:rsidR="00B15C60">
        <w:t xml:space="preserve">Figure </w:t>
      </w:r>
      <w:r w:rsidR="00B15C60">
        <w:rPr>
          <w:noProof/>
        </w:rPr>
        <w:t>1</w:t>
      </w:r>
      <w:r w:rsidR="005D2033">
        <w:rPr>
          <w:rFonts w:cstheme="minorHAnsi"/>
        </w:rPr>
        <w:fldChar w:fldCharType="end"/>
      </w:r>
      <w:r w:rsidR="005D2033">
        <w:rPr>
          <w:rFonts w:cstheme="minorHAnsi"/>
        </w:rPr>
        <w:t>c</w:t>
      </w:r>
      <w:r w:rsidR="00A327B5">
        <w:rPr>
          <w:rFonts w:cstheme="minorHAnsi"/>
        </w:rPr>
        <w:t>).</w:t>
      </w:r>
      <w:r w:rsidR="00A327B5" w:rsidRPr="00CD5019">
        <w:rPr>
          <w:rFonts w:cstheme="minorHAnsi"/>
        </w:rPr>
        <w:t xml:space="preserve"> </w:t>
      </w:r>
      <w:r w:rsidR="00A327B5" w:rsidRPr="001370A2">
        <w:rPr>
          <w:rFonts w:cstheme="minorHAnsi"/>
        </w:rPr>
        <w:t xml:space="preserve">The </w:t>
      </w:r>
      <w:r w:rsidR="00A327B5" w:rsidRPr="001370A2">
        <w:rPr>
          <w:rFonts w:cstheme="minorHAnsi"/>
        </w:rPr>
        <w:lastRenderedPageBreak/>
        <w:t xml:space="preserve">water was collected in sterile water bottles (1.5 </w:t>
      </w:r>
      <w:r>
        <w:rPr>
          <w:rFonts w:cstheme="minorHAnsi"/>
        </w:rPr>
        <w:t>L</w:t>
      </w:r>
      <w:r w:rsidR="00A327B5" w:rsidRPr="001370A2">
        <w:rPr>
          <w:rFonts w:cstheme="minorHAnsi"/>
        </w:rPr>
        <w:t>)</w:t>
      </w:r>
      <w:r>
        <w:rPr>
          <w:rFonts w:cstheme="minorHAnsi"/>
        </w:rPr>
        <w:t>. W</w:t>
      </w:r>
      <w:r w:rsidR="00A327B5">
        <w:rPr>
          <w:rFonts w:cstheme="minorHAnsi"/>
        </w:rPr>
        <w:t xml:space="preserve">ithin </w:t>
      </w:r>
      <w:r>
        <w:rPr>
          <w:rFonts w:cstheme="minorHAnsi"/>
        </w:rPr>
        <w:t>one</w:t>
      </w:r>
      <w:r w:rsidR="00A327B5">
        <w:rPr>
          <w:rFonts w:cstheme="minorHAnsi"/>
        </w:rPr>
        <w:t xml:space="preserve"> hour of collection </w:t>
      </w:r>
      <w:r>
        <w:rPr>
          <w:rFonts w:cstheme="minorHAnsi"/>
        </w:rPr>
        <w:t xml:space="preserve">the water </w:t>
      </w:r>
      <w:r w:rsidR="00A327B5">
        <w:rPr>
          <w:rFonts w:cstheme="minorHAnsi"/>
        </w:rPr>
        <w:t>w</w:t>
      </w:r>
      <w:r>
        <w:rPr>
          <w:rFonts w:cstheme="minorHAnsi"/>
        </w:rPr>
        <w:t>as</w:t>
      </w:r>
      <w:r w:rsidR="00A327B5">
        <w:rPr>
          <w:rFonts w:cstheme="minorHAnsi"/>
        </w:rPr>
        <w:t xml:space="preserve"> </w:t>
      </w:r>
      <w:r w:rsidR="00A327B5" w:rsidRPr="001370A2">
        <w:rPr>
          <w:rFonts w:cstheme="minorHAnsi"/>
        </w:rPr>
        <w:t>filtered in a sterile environment using 0.2µm filters (Whatman, Chicago, IL, USA)</w:t>
      </w:r>
      <w:r>
        <w:rPr>
          <w:rFonts w:cstheme="minorHAnsi"/>
        </w:rPr>
        <w:t xml:space="preserve"> at the Marine Institute Newport Research Station</w:t>
      </w:r>
      <w:r w:rsidR="00A327B5" w:rsidRPr="001370A2">
        <w:rPr>
          <w:rFonts w:cstheme="minorHAnsi"/>
        </w:rPr>
        <w:t>. After filtration the filter</w:t>
      </w:r>
      <w:r w:rsidR="00A327B5">
        <w:rPr>
          <w:rFonts w:cstheme="minorHAnsi"/>
        </w:rPr>
        <w:t xml:space="preserve"> papers</w:t>
      </w:r>
      <w:r w:rsidR="00A327B5" w:rsidRPr="001370A2">
        <w:rPr>
          <w:rFonts w:cstheme="minorHAnsi"/>
        </w:rPr>
        <w:t xml:space="preserve"> were placed into cryotubes, immediately placed on dry </w:t>
      </w:r>
      <w:proofErr w:type="gramStart"/>
      <w:r w:rsidR="00A327B5" w:rsidRPr="001370A2">
        <w:rPr>
          <w:rFonts w:cstheme="minorHAnsi"/>
        </w:rPr>
        <w:t>ice</w:t>
      </w:r>
      <w:proofErr w:type="gramEnd"/>
      <w:r w:rsidR="00A327B5" w:rsidRPr="001370A2">
        <w:rPr>
          <w:rFonts w:cstheme="minorHAnsi"/>
        </w:rPr>
        <w:t xml:space="preserve"> and stored at -80°C.</w:t>
      </w:r>
    </w:p>
    <w:p w14:paraId="745B6FFA" w14:textId="735D1A8A" w:rsidR="00AD63C0" w:rsidRDefault="00A327B5" w:rsidP="00A327B5">
      <w:pPr>
        <w:spacing w:line="480" w:lineRule="auto"/>
      </w:pPr>
      <w:r w:rsidRPr="001370A2">
        <w:rPr>
          <w:rFonts w:cstheme="minorHAnsi"/>
        </w:rPr>
        <w:t xml:space="preserve">To evaluate the </w:t>
      </w:r>
      <w:r>
        <w:rPr>
          <w:rFonts w:cstheme="minorHAnsi"/>
        </w:rPr>
        <w:t>potential contribution</w:t>
      </w:r>
      <w:r w:rsidRPr="001370A2">
        <w:rPr>
          <w:rFonts w:cstheme="minorHAnsi"/>
        </w:rPr>
        <w:t xml:space="preserve"> of </w:t>
      </w:r>
      <w:r>
        <w:rPr>
          <w:rFonts w:cstheme="minorHAnsi"/>
        </w:rPr>
        <w:t xml:space="preserve">prey organisms </w:t>
      </w:r>
      <w:r w:rsidR="00F17141">
        <w:rPr>
          <w:rFonts w:cstheme="minorHAnsi"/>
        </w:rPr>
        <w:t xml:space="preserve">to </w:t>
      </w:r>
      <w:r w:rsidRPr="001370A2">
        <w:rPr>
          <w:rFonts w:cstheme="minorHAnsi"/>
        </w:rPr>
        <w:t xml:space="preserve">gut microbial community composition, </w:t>
      </w:r>
      <w:r>
        <w:rPr>
          <w:rFonts w:cstheme="minorHAnsi"/>
        </w:rPr>
        <w:t xml:space="preserve">a sample of the </w:t>
      </w:r>
      <w:r w:rsidRPr="001370A2">
        <w:rPr>
          <w:rFonts w:cstheme="minorHAnsi"/>
        </w:rPr>
        <w:t>macroinvertebrate</w:t>
      </w:r>
      <w:r>
        <w:rPr>
          <w:rFonts w:cstheme="minorHAnsi"/>
        </w:rPr>
        <w:t xml:space="preserve"> community </w:t>
      </w:r>
      <w:r w:rsidRPr="001370A2">
        <w:rPr>
          <w:rFonts w:cstheme="minorHAnsi"/>
        </w:rPr>
        <w:t>w</w:t>
      </w:r>
      <w:r>
        <w:rPr>
          <w:rFonts w:cstheme="minorHAnsi"/>
        </w:rPr>
        <w:t>as</w:t>
      </w:r>
      <w:r w:rsidRPr="001370A2">
        <w:rPr>
          <w:rFonts w:cstheme="minorHAnsi"/>
        </w:rPr>
        <w:t xml:space="preserve"> </w:t>
      </w:r>
      <w:r>
        <w:rPr>
          <w:rFonts w:cstheme="minorHAnsi"/>
        </w:rPr>
        <w:t>collected</w:t>
      </w:r>
      <w:r w:rsidRPr="001370A2">
        <w:rPr>
          <w:rFonts w:cstheme="minorHAnsi"/>
        </w:rPr>
        <w:t xml:space="preserve"> at each </w:t>
      </w:r>
      <w:r w:rsidR="00E773BD">
        <w:rPr>
          <w:rFonts w:cstheme="minorHAnsi"/>
        </w:rPr>
        <w:t xml:space="preserve">fish </w:t>
      </w:r>
      <w:r w:rsidRPr="001370A2">
        <w:rPr>
          <w:rFonts w:cstheme="minorHAnsi"/>
        </w:rPr>
        <w:t xml:space="preserve">sampling </w:t>
      </w:r>
      <w:r w:rsidR="00E773BD">
        <w:rPr>
          <w:rFonts w:cstheme="minorHAnsi"/>
        </w:rPr>
        <w:t>time</w:t>
      </w:r>
      <w:r w:rsidRPr="001370A2">
        <w:rPr>
          <w:rFonts w:cstheme="minorHAnsi"/>
        </w:rPr>
        <w:t>point</w:t>
      </w:r>
      <w:r w:rsidR="00E773BD">
        <w:rPr>
          <w:rFonts w:cstheme="minorHAnsi"/>
        </w:rPr>
        <w:t>.</w:t>
      </w:r>
      <w:r>
        <w:rPr>
          <w:rFonts w:cstheme="minorHAnsi"/>
        </w:rPr>
        <w:t xml:space="preserve"> </w:t>
      </w:r>
      <w:r w:rsidR="00E773BD">
        <w:rPr>
          <w:rFonts w:cstheme="minorHAnsi"/>
        </w:rPr>
        <w:t>M</w:t>
      </w:r>
      <w:r w:rsidRPr="001370A2">
        <w:rPr>
          <w:rFonts w:cstheme="minorHAnsi"/>
        </w:rPr>
        <w:t xml:space="preserve">acroinvertebrate samples were retrieved from the </w:t>
      </w:r>
      <w:proofErr w:type="spellStart"/>
      <w:r w:rsidRPr="001370A2">
        <w:rPr>
          <w:rFonts w:cstheme="minorHAnsi"/>
        </w:rPr>
        <w:t>Srahrevagh</w:t>
      </w:r>
      <w:proofErr w:type="spellEnd"/>
      <w:r w:rsidRPr="001370A2">
        <w:rPr>
          <w:rFonts w:cstheme="minorHAnsi"/>
        </w:rPr>
        <w:t xml:space="preserve"> river using a </w:t>
      </w:r>
      <w:proofErr w:type="spellStart"/>
      <w:r w:rsidRPr="001370A2">
        <w:rPr>
          <w:rFonts w:cstheme="minorHAnsi"/>
        </w:rPr>
        <w:t>surber</w:t>
      </w:r>
      <w:proofErr w:type="spellEnd"/>
      <w:r w:rsidRPr="001370A2">
        <w:rPr>
          <w:rFonts w:cstheme="minorHAnsi"/>
        </w:rPr>
        <w:t xml:space="preserve"> sampler</w:t>
      </w:r>
      <w:r w:rsidR="007172EB">
        <w:rPr>
          <w:rFonts w:cstheme="minorHAnsi"/>
        </w:rPr>
        <w:t xml:space="preserve"> </w:t>
      </w:r>
      <w:r w:rsidR="007172EB">
        <w:rPr>
          <w:rFonts w:cstheme="minorHAnsi"/>
        </w:rPr>
        <w:fldChar w:fldCharType="begin"/>
      </w:r>
      <w:r w:rsidR="007172EB">
        <w:rPr>
          <w:rFonts w:cstheme="minorHAnsi"/>
        </w:rPr>
        <w:instrText xml:space="preserve"> ADDIN ZOTERO_ITEM CSL_CITATION {"citationID":"vDtfAwO1","properties":{"formattedCitation":"(Surber, 1937)","plainCitation":"(Surber, 1937)","noteIndex":0},"citationItems":[{"id":1564,"uris":["http://zotero.org/users/9227957/items/H79JDL8V"],"itemData":{"id":1564,"type":"article-journal","container-title":"Transactions of the American Fisheries Society","DOI":"10.1577/1548-8659(1936)66[193:RTABFP]2.0.CO;2","ISSN":"0002-8487","issue":"1","note":"publisher: Taylor &amp; Francis\n_eprint: https://doi.org/10.1577/1548-8659(1936)66[193:RTABFP]2.0.CO;2","page":"193-202","source":"Taylor and Francis+NEJM","title":"Rainbow Trout and Bottom Fauna Production in One Mile of Stream","volume":"66","author":[{"family":"Surber","given":"Eugene W."}],"issued":{"date-parts":[["1937",1,1]]}}}],"schema":"https://github.com/citation-style-language/schema/raw/master/csl-citation.json"} </w:instrText>
      </w:r>
      <w:r w:rsidR="007172EB">
        <w:rPr>
          <w:rFonts w:cstheme="minorHAnsi"/>
        </w:rPr>
        <w:fldChar w:fldCharType="separate"/>
      </w:r>
      <w:r w:rsidR="007172EB" w:rsidRPr="007172EB">
        <w:rPr>
          <w:rFonts w:ascii="Calibri" w:hAnsi="Calibri" w:cs="Calibri"/>
        </w:rPr>
        <w:t>(Surber, 1937)</w:t>
      </w:r>
      <w:r w:rsidR="007172EB">
        <w:rPr>
          <w:rFonts w:cstheme="minorHAnsi"/>
        </w:rPr>
        <w:fldChar w:fldCharType="end"/>
      </w:r>
      <w:r w:rsidRPr="001370A2">
        <w:rPr>
          <w:rFonts w:cstheme="minorHAnsi"/>
        </w:rPr>
        <w:t xml:space="preserve">. The </w:t>
      </w:r>
      <w:proofErr w:type="spellStart"/>
      <w:r w:rsidRPr="001370A2">
        <w:rPr>
          <w:rFonts w:cstheme="minorHAnsi"/>
        </w:rPr>
        <w:t>surber</w:t>
      </w:r>
      <w:proofErr w:type="spellEnd"/>
      <w:r w:rsidRPr="001370A2">
        <w:rPr>
          <w:rFonts w:cstheme="minorHAnsi"/>
        </w:rPr>
        <w:t xml:space="preserve"> sampler</w:t>
      </w:r>
      <w:r w:rsidR="00F17141">
        <w:rPr>
          <w:rFonts w:cstheme="minorHAnsi"/>
        </w:rPr>
        <w:t xml:space="preserve"> </w:t>
      </w:r>
      <w:r w:rsidRPr="001370A2">
        <w:rPr>
          <w:rFonts w:cstheme="minorHAnsi"/>
        </w:rPr>
        <w:t>was placed</w:t>
      </w:r>
      <w:r w:rsidR="00E773BD">
        <w:rPr>
          <w:rFonts w:cstheme="minorHAnsi"/>
        </w:rPr>
        <w:t xml:space="preserve"> in </w:t>
      </w:r>
      <w:r w:rsidR="00E773BD" w:rsidRPr="001370A2">
        <w:rPr>
          <w:rFonts w:cstheme="minorHAnsi"/>
        </w:rPr>
        <w:t xml:space="preserve">three </w:t>
      </w:r>
      <w:r w:rsidR="00E773BD">
        <w:rPr>
          <w:rFonts w:cstheme="minorHAnsi"/>
        </w:rPr>
        <w:t xml:space="preserve">different sections </w:t>
      </w:r>
      <w:r w:rsidR="00E773BD" w:rsidRPr="001370A2">
        <w:rPr>
          <w:rFonts w:cstheme="minorHAnsi"/>
        </w:rPr>
        <w:t>on the riverbed</w:t>
      </w:r>
      <w:r w:rsidR="00E773BD">
        <w:rPr>
          <w:rFonts w:cstheme="minorHAnsi"/>
        </w:rPr>
        <w:t xml:space="preserve"> </w:t>
      </w:r>
      <w:r w:rsidR="00E773BD" w:rsidRPr="001370A2">
        <w:rPr>
          <w:rFonts w:cstheme="minorHAnsi"/>
        </w:rPr>
        <w:t xml:space="preserve">allowing three </w:t>
      </w:r>
      <w:r w:rsidR="00E773BD">
        <w:rPr>
          <w:rFonts w:cstheme="minorHAnsi"/>
        </w:rPr>
        <w:t xml:space="preserve">macroinvertebrate sample </w:t>
      </w:r>
      <w:r w:rsidR="00E773BD" w:rsidRPr="001370A2">
        <w:rPr>
          <w:rFonts w:cstheme="minorHAnsi"/>
        </w:rPr>
        <w:t xml:space="preserve">replicates to be obtained at each of the three sampling </w:t>
      </w:r>
      <w:r w:rsidR="00E773BD">
        <w:rPr>
          <w:rFonts w:cstheme="minorHAnsi"/>
        </w:rPr>
        <w:t>sites</w:t>
      </w:r>
      <w:r>
        <w:rPr>
          <w:rFonts w:cstheme="minorHAnsi"/>
        </w:rPr>
        <w:t>. L</w:t>
      </w:r>
      <w:r w:rsidRPr="001370A2">
        <w:rPr>
          <w:rFonts w:cstheme="minorHAnsi"/>
        </w:rPr>
        <w:t>arger stones were overturned and wiped to collect attached invertebrates and the riverbed was agitated for three minutes allowing macroinvertebrates to flow into the collection net. Samples were collected in an upstream direction</w:t>
      </w:r>
      <w:r>
        <w:rPr>
          <w:rFonts w:cstheme="minorHAnsi"/>
        </w:rPr>
        <w:t xml:space="preserve"> (bottom, middle and top). All macroinvertebrates present, were sorted into common taxa on the riverbank.</w:t>
      </w:r>
      <w:r w:rsidR="0098669E">
        <w:rPr>
          <w:rFonts w:cstheme="minorHAnsi"/>
        </w:rPr>
        <w:t xml:space="preserve"> M</w:t>
      </w:r>
      <w:r>
        <w:rPr>
          <w:rFonts w:cstheme="minorHAnsi"/>
        </w:rPr>
        <w:t>acro</w:t>
      </w:r>
      <w:r w:rsidRPr="001370A2">
        <w:rPr>
          <w:rFonts w:cstheme="minorHAnsi"/>
        </w:rPr>
        <w:t>invertebrates</w:t>
      </w:r>
      <w:r w:rsidR="0098669E">
        <w:rPr>
          <w:rFonts w:cstheme="minorHAnsi"/>
        </w:rPr>
        <w:t xml:space="preserve"> of the same order (two </w:t>
      </w:r>
      <w:r w:rsidRPr="001370A2">
        <w:rPr>
          <w:rFonts w:cstheme="minorHAnsi"/>
        </w:rPr>
        <w:t>of</w:t>
      </w:r>
      <w:r w:rsidR="0098669E">
        <w:rPr>
          <w:rFonts w:cstheme="minorHAnsi"/>
        </w:rPr>
        <w:t xml:space="preserve"> each replicate)</w:t>
      </w:r>
      <w:r w:rsidRPr="001370A2">
        <w:rPr>
          <w:rFonts w:cstheme="minorHAnsi"/>
        </w:rPr>
        <w:t xml:space="preserve"> were pooled into</w:t>
      </w:r>
      <w:r w:rsidR="00E773BD">
        <w:rPr>
          <w:rFonts w:cstheme="minorHAnsi"/>
        </w:rPr>
        <w:t xml:space="preserve"> sterile</w:t>
      </w:r>
      <w:r w:rsidRPr="001370A2">
        <w:rPr>
          <w:rFonts w:cstheme="minorHAnsi"/>
        </w:rPr>
        <w:t xml:space="preserve"> cryotubes </w:t>
      </w:r>
      <w:r>
        <w:rPr>
          <w:rFonts w:cstheme="minorHAnsi"/>
        </w:rPr>
        <w:t xml:space="preserve">on each sampling occasion. The </w:t>
      </w:r>
      <w:r w:rsidR="00E773BD">
        <w:rPr>
          <w:rFonts w:cstheme="minorHAnsi"/>
        </w:rPr>
        <w:t>c</w:t>
      </w:r>
      <w:r>
        <w:rPr>
          <w:rFonts w:cstheme="minorHAnsi"/>
        </w:rPr>
        <w:t>ryotube</w:t>
      </w:r>
      <w:r w:rsidR="00E773BD">
        <w:rPr>
          <w:rFonts w:cstheme="minorHAnsi"/>
        </w:rPr>
        <w:t>s</w:t>
      </w:r>
      <w:r>
        <w:rPr>
          <w:rFonts w:cstheme="minorHAnsi"/>
        </w:rPr>
        <w:t xml:space="preserve"> w</w:t>
      </w:r>
      <w:r w:rsidR="00E773BD">
        <w:rPr>
          <w:rFonts w:cstheme="minorHAnsi"/>
        </w:rPr>
        <w:t>ere</w:t>
      </w:r>
      <w:r>
        <w:rPr>
          <w:rFonts w:cstheme="minorHAnsi"/>
        </w:rPr>
        <w:t xml:space="preserve"> immediately stored on dry ice in the field until samples were taken back to </w:t>
      </w:r>
      <w:r w:rsidR="00E773BD">
        <w:rPr>
          <w:rFonts w:cstheme="minorHAnsi"/>
        </w:rPr>
        <w:t xml:space="preserve">the Marine Institute Newport Research Station </w:t>
      </w:r>
      <w:r>
        <w:rPr>
          <w:rFonts w:cstheme="minorHAnsi"/>
        </w:rPr>
        <w:t xml:space="preserve">and stored in the -80 freezer. </w:t>
      </w:r>
      <w:r w:rsidRPr="001370A2">
        <w:rPr>
          <w:rFonts w:cstheme="minorHAnsi"/>
        </w:rPr>
        <w:t xml:space="preserve">We limited the analysis to the </w:t>
      </w:r>
      <w:r>
        <w:rPr>
          <w:rFonts w:cstheme="minorHAnsi"/>
        </w:rPr>
        <w:t>five</w:t>
      </w:r>
      <w:r w:rsidRPr="001370A2">
        <w:rPr>
          <w:rFonts w:cstheme="minorHAnsi"/>
        </w:rPr>
        <w:t xml:space="preserve"> most abundant </w:t>
      </w:r>
      <w:r w:rsidR="00E773BD">
        <w:rPr>
          <w:rFonts w:cstheme="minorHAnsi"/>
        </w:rPr>
        <w:t>taxonomic</w:t>
      </w:r>
      <w:r w:rsidRPr="001370A2">
        <w:rPr>
          <w:rFonts w:cstheme="minorHAnsi"/>
        </w:rPr>
        <w:t xml:space="preserve"> orders of macroinvertebrates in the experimental river: Mayfly (</w:t>
      </w:r>
      <w:r w:rsidRPr="00E773BD">
        <w:rPr>
          <w:rFonts w:cstheme="minorHAnsi"/>
        </w:rPr>
        <w:t>Ephemeroptera</w:t>
      </w:r>
      <w:r w:rsidRPr="001370A2">
        <w:rPr>
          <w:rFonts w:cstheme="minorHAnsi"/>
        </w:rPr>
        <w:t>), Stonefly (</w:t>
      </w:r>
      <w:proofErr w:type="spellStart"/>
      <w:r w:rsidRPr="00E773BD">
        <w:rPr>
          <w:rFonts w:cstheme="minorHAnsi"/>
        </w:rPr>
        <w:t>Plecoptera</w:t>
      </w:r>
      <w:proofErr w:type="spellEnd"/>
      <w:r w:rsidRPr="001370A2">
        <w:rPr>
          <w:rFonts w:cstheme="minorHAnsi"/>
        </w:rPr>
        <w:t>), Fly (</w:t>
      </w:r>
      <w:r w:rsidRPr="00E773BD">
        <w:rPr>
          <w:rFonts w:cstheme="minorHAnsi"/>
        </w:rPr>
        <w:t>Diptera</w:t>
      </w:r>
      <w:r w:rsidRPr="001370A2">
        <w:rPr>
          <w:rFonts w:cstheme="minorHAnsi"/>
        </w:rPr>
        <w:t>), Caddis fly (</w:t>
      </w:r>
      <w:proofErr w:type="spellStart"/>
      <w:r w:rsidRPr="00E773BD">
        <w:rPr>
          <w:rFonts w:cstheme="minorHAnsi"/>
        </w:rPr>
        <w:t>Trichoptera</w:t>
      </w:r>
      <w:proofErr w:type="spellEnd"/>
      <w:r w:rsidRPr="001370A2">
        <w:rPr>
          <w:rFonts w:cstheme="minorHAnsi"/>
        </w:rPr>
        <w:t>) and Beetles (</w:t>
      </w:r>
      <w:r w:rsidRPr="00E773BD">
        <w:rPr>
          <w:rFonts w:cstheme="minorHAnsi"/>
        </w:rPr>
        <w:t>Coleoptera</w:t>
      </w:r>
      <w:r w:rsidRPr="001370A2">
        <w:rPr>
          <w:rFonts w:cstheme="minorHAnsi"/>
        </w:rPr>
        <w:t>).</w:t>
      </w:r>
    </w:p>
    <w:p w14:paraId="015628AE" w14:textId="6C858709" w:rsidR="00227818" w:rsidRDefault="0098669E" w:rsidP="00F77274">
      <w:pPr>
        <w:spacing w:line="480" w:lineRule="auto"/>
      </w:pPr>
      <w:r>
        <w:t>All gut, water and macroinvertebrate samples were transported on dry ice to the University of Glasgow for subsequent microbial profiling.</w:t>
      </w:r>
    </w:p>
    <w:p w14:paraId="0EB25439" w14:textId="7518261B" w:rsidR="0098669E" w:rsidRDefault="0098669E" w:rsidP="0098669E">
      <w:pPr>
        <w:spacing w:line="480" w:lineRule="auto"/>
        <w:rPr>
          <w:rFonts w:cstheme="minorHAnsi"/>
        </w:rPr>
      </w:pPr>
      <w:r w:rsidRPr="001370A2">
        <w:rPr>
          <w:rFonts w:cstheme="minorHAnsi"/>
        </w:rPr>
        <w:t xml:space="preserve">A suite of environmental parameters in the </w:t>
      </w:r>
      <w:proofErr w:type="spellStart"/>
      <w:r w:rsidRPr="001370A2">
        <w:rPr>
          <w:rFonts w:cstheme="minorHAnsi"/>
        </w:rPr>
        <w:t>Burrishoole</w:t>
      </w:r>
      <w:proofErr w:type="spellEnd"/>
      <w:r w:rsidRPr="001370A2">
        <w:rPr>
          <w:rFonts w:cstheme="minorHAnsi"/>
        </w:rPr>
        <w:t xml:space="preserve"> catchment and the </w:t>
      </w:r>
      <w:proofErr w:type="spellStart"/>
      <w:r w:rsidRPr="001370A2">
        <w:rPr>
          <w:rFonts w:cstheme="minorHAnsi"/>
        </w:rPr>
        <w:t>Srahrevagh</w:t>
      </w:r>
      <w:proofErr w:type="spellEnd"/>
      <w:r w:rsidRPr="001370A2">
        <w:rPr>
          <w:rFonts w:cstheme="minorHAnsi"/>
        </w:rPr>
        <w:t xml:space="preserve"> river are measured </w:t>
      </w:r>
      <w:r>
        <w:rPr>
          <w:rFonts w:cstheme="minorHAnsi"/>
        </w:rPr>
        <w:t xml:space="preserve">continuously </w:t>
      </w:r>
      <w:r w:rsidRPr="001370A2">
        <w:rPr>
          <w:rFonts w:cstheme="minorHAnsi"/>
        </w:rPr>
        <w:t xml:space="preserve">as part of </w:t>
      </w:r>
      <w:r>
        <w:rPr>
          <w:rFonts w:cstheme="minorHAnsi"/>
        </w:rPr>
        <w:t>an</w:t>
      </w:r>
      <w:r w:rsidRPr="001370A2">
        <w:rPr>
          <w:rFonts w:cstheme="minorHAnsi"/>
        </w:rPr>
        <w:t xml:space="preserve"> ongoing LTER (long-term ecological research) program of monitoring. Parameters</w:t>
      </w:r>
      <w:r w:rsidR="00571235">
        <w:rPr>
          <w:rFonts w:cstheme="minorHAnsi"/>
        </w:rPr>
        <w:t xml:space="preserve"> that were used in this study</w:t>
      </w:r>
      <w:r w:rsidRPr="001370A2">
        <w:rPr>
          <w:rFonts w:cstheme="minorHAnsi"/>
        </w:rPr>
        <w:t xml:space="preserve"> include </w:t>
      </w:r>
      <w:r>
        <w:rPr>
          <w:rFonts w:cstheme="minorHAnsi"/>
        </w:rPr>
        <w:t xml:space="preserve">water </w:t>
      </w:r>
      <w:r w:rsidRPr="001370A2">
        <w:rPr>
          <w:rFonts w:cstheme="minorHAnsi"/>
        </w:rPr>
        <w:t xml:space="preserve">temperature, water level and </w:t>
      </w:r>
      <w:r>
        <w:rPr>
          <w:rFonts w:cstheme="minorHAnsi"/>
        </w:rPr>
        <w:t>water discharge</w:t>
      </w:r>
      <w:r w:rsidRPr="001370A2">
        <w:rPr>
          <w:rFonts w:cstheme="minorHAnsi"/>
        </w:rPr>
        <w:t>, dissolved</w:t>
      </w:r>
      <w:r w:rsidR="007172EB">
        <w:rPr>
          <w:rFonts w:cstheme="minorHAnsi"/>
        </w:rPr>
        <w:t xml:space="preserve"> </w:t>
      </w:r>
      <w:r w:rsidRPr="001370A2">
        <w:rPr>
          <w:rFonts w:cstheme="minorHAnsi"/>
        </w:rPr>
        <w:t>oxygen (DO) and conductivity.</w:t>
      </w:r>
      <w:r>
        <w:rPr>
          <w:rFonts w:cstheme="minorHAnsi"/>
        </w:rPr>
        <w:t xml:space="preserve"> </w:t>
      </w:r>
    </w:p>
    <w:p w14:paraId="65A8903D" w14:textId="60AFCAF5" w:rsidR="0098669E" w:rsidRDefault="0098669E" w:rsidP="0098669E">
      <w:pPr>
        <w:spacing w:line="480" w:lineRule="auto"/>
      </w:pPr>
      <w:r>
        <w:rPr>
          <w:rFonts w:cstheme="minorHAnsi"/>
        </w:rPr>
        <w:lastRenderedPageBreak/>
        <w:t xml:space="preserve">To determine the sex and genetic origin (farmed, wild or hybrid provenance) of each fish in the common garden river experiment, fin clips were taken and preserved in absolute ethanol for subsequent genetic profiling and parentage assignment. Parentage analysis was conducted at the University College Cork using a </w:t>
      </w:r>
      <w:r>
        <w:t>three-panel multiplex PCR which amplified 10 microsatellites loci</w:t>
      </w:r>
      <w:r w:rsidR="007172EB">
        <w:t xml:space="preserve"> (for </w:t>
      </w:r>
      <w:r w:rsidR="005D2033">
        <w:t>details</w:t>
      </w:r>
      <w:r w:rsidR="007172EB">
        <w:t xml:space="preserve"> see </w:t>
      </w:r>
      <w:r w:rsidR="007172EB">
        <w:fldChar w:fldCharType="begin"/>
      </w:r>
      <w:r w:rsidR="00FF44FB">
        <w:instrText xml:space="preserve"> ADDIN ZOTERO_ITEM CSL_CITATION {"citationID":"rykXhq0x","properties":{"formattedCitation":"(Perry et al., 2021)","plainCitation":"(Perry et al., 2021)","dontUpdate":true,"noteIndex":0},"citationItems":[{"id":1561,"uris":["http://zotero.org/users/9227957/items/9FLMAVUL"],"itemData":{"id":1561,"type":"article-journal","abstract":"Domestication leads to changes in traits that are under directional selection in breeding programmes, though unintentional changes in nonproduction traits can also arise. In offspring of escaping fish and any hybrid progeny, such unintentionally altered traits may reduce fitness in the wild. Atlantic salmon breeding programmes were established in the early 1970s, resulting in genetic changes in multiple traits. However, the impact of domestication on eye size has not been studied. We measured body size corrected eye size in 4000 salmon from six common garden experiments conducted under artificial and natural conditions, in freshwater and saltwater environments, in two countries. Within these common gardens, offspring of domesticated and wild parents were crossed to produce 11 strains, with varying genetic backgrounds (wild, domesticated, F1 hybrids, F2 hybrids and backcrosses). Size-adjusted eye size was influenced by both genetic and environmental factors. Domesticated fish reared under artificial conditions had smaller adjusted eye size when compared to wild fish reared under identical conditions, in both the freshwater and marine environments, and in both Irish and Norwegian experiments. However, in parr that had been introduced into a river environment shortly after hatching and sampled at the end of their first summer, differences in adjusted eye size observed among genetic groups were of a reduced magnitude and were nonsignificant in 2-year-old sea migrating smolts sampled in the river immediately prior to sea entry. Collectively, our findings could suggest that where natural selection is present, individuals with reduced eye size are maladapted and consequently have reduced fitness, building on our understanding of the mechanisms that underlie a well-documented reduction in the fitness of the progeny of domesticated salmon, including hybrid progeny, in the wild.","container-title":"Evolutionary Applications","DOI":"10.1111/eva.13297","ISSN":"1752-4571","issue":"9","language":"en","license":"© 2021 The Authors. Evolutionary Applications published by John Wiley &amp; Sons Ltd.","note":"_eprint: https://onlinelibrary.wiley.com/doi/pdf/10.1111/eva.13297","page":"2319-2332","source":"Wiley Online Library","title":"Domestication-induced reduction in eye size revealed in multiple common garden experiments: The case of Atlantic salmon (Salmo salar L.)","title-short":"Domestication-induced reduction in eye size revealed in multiple common garden experiments","volume":"14","author":[{"family":"Perry","given":"William Bernard"},{"family":"Kaufmann","given":"Joshka"},{"family":"Solberg","given":"Monica Favnebøe"},{"family":"Brodie","given":"Christopher"},{"family":"Coral Medina","given":"Angela Maria"},{"family":"Pillay","given":"Kirthana"},{"family":"Egerton","given":"Anna"},{"family":"Harvey","given":"Alison"},{"family":"Phillips","given":"Karl P."},{"family":"Coughlan","given":"Jamie"},{"family":"Egan","given":"Fintan"},{"family":"Grealis","given":"Ronan"},{"family":"Hutton","given":"Steve"},{"family":"Leseur","given":"Floriane"},{"family":"Ryan","given":"Sarah"},{"family":"Poole","given":"Russell"},{"family":"Rogan","given":"Ger"},{"family":"Ryder","given":"Elizabeth"},{"family":"Schaal","given":"Patrick"},{"family":"Waters","given":"Catherine"},{"family":"Wynne","given":"Robert"},{"family":"Taylor","given":"Martin"},{"family":"Prodöhl","given":"Paulo"},{"family":"Creer","given":"Simon"},{"family":"Llewellyn","given":"Martin"},{"family":"McGinnity","given":"Philip"},{"family":"Carvalho","given":"Gary"},{"family":"Glover","given":"Kevin Alan"}],"issued":{"date-parts":[["2021"]]}}}],"schema":"https://github.com/citation-style-language/schema/raw/master/csl-citation.json"} </w:instrText>
      </w:r>
      <w:r w:rsidR="007172EB">
        <w:fldChar w:fldCharType="separate"/>
      </w:r>
      <w:r w:rsidR="007172EB" w:rsidRPr="007172EB">
        <w:rPr>
          <w:rFonts w:ascii="Calibri" w:hAnsi="Calibri" w:cs="Calibri"/>
        </w:rPr>
        <w:t>Perry et al., 2021</w:t>
      </w:r>
      <w:r w:rsidR="007172EB">
        <w:fldChar w:fldCharType="end"/>
      </w:r>
      <w:r w:rsidR="007172EB">
        <w:t>).</w:t>
      </w:r>
    </w:p>
    <w:p w14:paraId="0234223E" w14:textId="3504E631" w:rsidR="00D722EF" w:rsidRDefault="00D722EF" w:rsidP="0098669E">
      <w:pPr>
        <w:spacing w:line="480" w:lineRule="auto"/>
      </w:pPr>
      <w:r w:rsidRPr="00D722EF">
        <w:t xml:space="preserve">The </w:t>
      </w:r>
      <w:r>
        <w:t>study was</w:t>
      </w:r>
      <w:r w:rsidRPr="00D722EF">
        <w:t xml:space="preserve"> carried out under </w:t>
      </w:r>
      <w:r>
        <w:t xml:space="preserve">the </w:t>
      </w:r>
      <w:r w:rsidRPr="00D722EF">
        <w:t>Health Products Regulatory Authority (HPRA) licence number AE19130-P056</w:t>
      </w:r>
      <w:r>
        <w:t xml:space="preserve"> in Ireland.</w:t>
      </w:r>
    </w:p>
    <w:p w14:paraId="092BE902" w14:textId="77777777" w:rsidR="005D2033" w:rsidRDefault="00E162A6" w:rsidP="005D2033">
      <w:pPr>
        <w:keepNext/>
        <w:spacing w:line="240" w:lineRule="auto"/>
      </w:pPr>
      <w:r w:rsidRPr="00E162A6">
        <w:rPr>
          <w:noProof/>
        </w:rPr>
        <w:drawing>
          <wp:inline distT="0" distB="0" distL="0" distR="0" wp14:anchorId="65EE8202" wp14:editId="71FDF1DC">
            <wp:extent cx="5731510" cy="3934460"/>
            <wp:effectExtent l="0" t="0" r="0" b="8890"/>
            <wp:docPr id="105976378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63781" name=""/>
                    <pic:cNvPicPr/>
                  </pic:nvPicPr>
                  <pic:blipFill>
                    <a:blip r:embed="rId8">
                      <a:extLst>
                        <a:ext uri="{96DAC541-7B7A-43D3-8B79-37D633B846F1}">
                          <asvg:svgBlip xmlns:asvg="http://schemas.microsoft.com/office/drawing/2016/SVG/main" r:embed="rId9"/>
                        </a:ext>
                      </a:extLst>
                    </a:blip>
                    <a:stretch>
                      <a:fillRect/>
                    </a:stretch>
                  </pic:blipFill>
                  <pic:spPr>
                    <a:xfrm>
                      <a:off x="0" y="0"/>
                      <a:ext cx="5731510" cy="3934460"/>
                    </a:xfrm>
                    <a:prstGeom prst="rect">
                      <a:avLst/>
                    </a:prstGeom>
                  </pic:spPr>
                </pic:pic>
              </a:graphicData>
            </a:graphic>
          </wp:inline>
        </w:drawing>
      </w:r>
    </w:p>
    <w:p w14:paraId="293D1E0C" w14:textId="285B6B33" w:rsidR="000C36AD" w:rsidRDefault="005D2033" w:rsidP="005D2033">
      <w:pPr>
        <w:spacing w:line="240" w:lineRule="auto"/>
      </w:pPr>
      <w:bookmarkStart w:id="1" w:name="_Ref138177108"/>
      <w:r>
        <w:t xml:space="preserve">Figure </w:t>
      </w:r>
      <w:fldSimple w:instr=" SEQ Figure \* ARABIC ">
        <w:r w:rsidR="00B15C60">
          <w:rPr>
            <w:noProof/>
          </w:rPr>
          <w:t>1</w:t>
        </w:r>
      </w:fldSimple>
      <w:bookmarkEnd w:id="1"/>
      <w:r>
        <w:t>: Map highlighting the location of the Marine Institute Research Station in Newport and the experiment river (</w:t>
      </w:r>
      <w:proofErr w:type="spellStart"/>
      <w:r>
        <w:t>Shrarevagh</w:t>
      </w:r>
      <w:proofErr w:type="spellEnd"/>
      <w:r>
        <w:t xml:space="preserve"> river) located within the </w:t>
      </w:r>
      <w:proofErr w:type="spellStart"/>
      <w:r>
        <w:t>Burrishoole</w:t>
      </w:r>
      <w:proofErr w:type="spellEnd"/>
      <w:r>
        <w:t xml:space="preserve"> river system (A) in Western Ireland (B). (C) shows the study site within a section of the experiment river. The study site is contained on its lower end by a trap and its upper end by waterfalls.</w:t>
      </w:r>
      <w:r w:rsidR="0011099E">
        <w:t xml:space="preserve"> Atlantic Salmon of four genetic origins (farmed, wild and their reciprocal hybrids) were introduced into the experimental river to simulate a farm escape and introgression event.</w:t>
      </w:r>
      <w:r>
        <w:t xml:space="preserve"> Environmental parameters, including water temperature, dissolved oxygen, </w:t>
      </w:r>
      <w:proofErr w:type="gramStart"/>
      <w:r>
        <w:t>conductivity</w:t>
      </w:r>
      <w:proofErr w:type="gramEnd"/>
      <w:r>
        <w:t xml:space="preserve"> and river discharge were continuously measured over the course of the 10-month experiment. At each sampling timepoint replicates of water and macroinvertebrate samples were taken at three sections of the river, marked as bot (bottom), mid (middle) and top. Atlantic Salmon were caught via electrofishing across the whole section of the study site. Microbial profiling of Atlantic salmon intestines, water column and macroinvertebrates were conducted at the University of Glasgow.</w:t>
      </w:r>
    </w:p>
    <w:p w14:paraId="40027836" w14:textId="77777777" w:rsidR="00761E82" w:rsidRPr="001370A2" w:rsidRDefault="00761E82" w:rsidP="00761E82">
      <w:pPr>
        <w:pStyle w:val="Heading2"/>
        <w:spacing w:line="480" w:lineRule="auto"/>
        <w:rPr>
          <w:rFonts w:cstheme="minorHAnsi"/>
        </w:rPr>
      </w:pPr>
      <w:r w:rsidRPr="001370A2">
        <w:rPr>
          <w:rFonts w:cstheme="minorHAnsi"/>
        </w:rPr>
        <w:lastRenderedPageBreak/>
        <w:t>Microbial DNA extraction and NGS library preparation</w:t>
      </w:r>
    </w:p>
    <w:p w14:paraId="39CA9811" w14:textId="66B16D92" w:rsidR="00761E82" w:rsidRDefault="00761E82" w:rsidP="00761E82">
      <w:pPr>
        <w:spacing w:line="480" w:lineRule="auto"/>
        <w:rPr>
          <w:rFonts w:cstheme="minorHAnsi"/>
        </w:rPr>
      </w:pPr>
      <w:r w:rsidRPr="001370A2">
        <w:rPr>
          <w:rFonts w:cstheme="minorHAnsi"/>
        </w:rPr>
        <w:t>DNA extraction and NGS library preparation protocols used were based on methods established and summarized in</w:t>
      </w:r>
      <w:r w:rsidRPr="001370A2">
        <w:rPr>
          <w:rFonts w:cstheme="minorHAnsi"/>
        </w:rPr>
        <w:fldChar w:fldCharType="begin"/>
      </w:r>
      <w:r>
        <w:rPr>
          <w:rFonts w:cstheme="minorHAnsi"/>
        </w:rPr>
        <w:instrText xml:space="preserve"> ADDIN ZOTERO_ITEM CSL_CITATION {"citationID":"nuXhZ14b","properties":{"formattedCitation":"(Heys et al., 2020; Kazlauskaite et al., 2021; Schaal et al., 2022)","plainCitation":"(Heys et al., 2020; Kazlauskaite et al., 2021; Schaal et al., 2022)","dontUpdate":true,"noteIndex":0},"citationItems":[{"id":253,"uris":["http://zotero.org/users/9227957/items/3SY334AA"],"itemData":{"id":253,"type":"article-journal","container-title":"Applied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S."}],"issued":{"date-parts":[["2020"]]}}},{"id":258,"uris":["http://zotero.org/users/9227957/items/DPJLEEQA"],"itemData":{"id":258,"type":"article-journal","abstract":"The aquaculture sector now accounts for almost 50% of all fish for human consumption and is anticipated to provide 62% by 2030. Innovative strategies are being sought to improve fish feeds and feed additives to enhance fish performance, welfare, and the environmental sustainability of the aquaculture industry. There is still a lack of knowledge surrounding the importance and functionality of the teleost gut microbiome in fish nutrition. In vitro gut model systems might prove a valuable tool to study the effect of feed, and additives, on the host’s microbial communities. Several in vitro gut models targeted at monogastric vertebrates are now in operation. Here, we report the development of an Atlantic salmon gut model, SalmoSim, to simulate three gut compartments (stomach, pyloric caecum, and midgut) and associated microbial communities.","container-title":"Microbiome","DOI":"10.1186/s40168-021-01134-6","ISSN":"2049-2618","issue":"1","journalAbbreviation":"Microbiome","language":"en","page":"179","source":"Springer Link","title":"SalmoSim: the development of a three-compartment in vitro simulator of the Atlantic salmon GI tract and associated microbial communities","title-short":"SalmoSim","volume":"9","author":[{"family":"Kazlauskaite","given":"Raminta"},{"family":"Cheaib","given":"Bachar"},{"family":"Heys","given":"Chloe"},{"family":"Ijaz","given":"Umer Zeeshan"},{"family":"Connelly","given":"Stephanie"},{"family":"Sloan","given":"William"},{"family":"Russel","given":"Julie"},{"family":"Rubio","given":"Laura"},{"family":"Sweetman","given":"John"},{"family":"Kitts","given":"Alex"},{"family":"McGinnity","given":"Philip"},{"family":"Lyons","given":"Philip"},{"family":"Llewellyn","given":"Martin"}],"issued":{"date-parts":[["2021",8,31]]}}},{"id":500,"uris":["http://zotero.org/users/9227957/items/QNULKHEB"],"itemData":{"id":500,"type":"article-journal","abstract":"Rapidly spreading parasitic infections like amoebic </w:instrText>
      </w:r>
      <w:r w:rsidRPr="00151DFB">
        <w:rPr>
          <w:rFonts w:cstheme="minorHAnsi"/>
          <w:lang w:val="de-DE"/>
        </w:rPr>
        <w:instrText xml:space="preserve">gill disease (AGD) are increasingly problematic for Atlantic salmon reared in aquaculture facilities and potentially pose a risk to wild fish species in surrounding waters. Currently, it is not known whether susceptibility to AGD differs between wild and farmed salmon. Wild Atlantic salmon populations are declining and this emerging disease could represent an additional threat to their long-term viability. A better understanding of how AGD affects fish health is therefore relevant for the accurate assessment of the associated risk, both to farming and to the well-being of wild populations. In this study, we assessed the impact of natural exposure to AGD on wild, hybrid and farmed post-smolt Atlantic salmon reared in a sea farm together under common garden conditions.","container-title":"Animal Microbiome","DOI":"10.1186/s42523-022-00203-x","ISSN":"2524-4671","issue":"1","journalAbbreviation":"Animal Microbiome","page":"53","source":"BioMed Central","title":"Links between host genetics, metabolism, gut microbiome and amoebic gill disease (AGD) in Atlantic salmon","volume":"4","author":[{"family":"Schaal","given":"Patrick"},{"family":"Cheaib","given":"Bachar"},{"family":"Kaufmann","given":"Joshka"},{"family":"Phillips","given":"Karl"},{"family":"Ryder","given":"Liz"},{"family":"McGinnity","given":"Phil"},{"family":"Llewellyn","given":"Martin"}],"issued":{"date-parts":[["2022",9,15]]}}}],"schema":"https://github.com/citation-style-language/schema/raw/master/csl-citation.json"} </w:instrText>
      </w:r>
      <w:r w:rsidRPr="001370A2">
        <w:rPr>
          <w:rFonts w:cstheme="minorHAnsi"/>
        </w:rPr>
        <w:fldChar w:fldCharType="separate"/>
      </w:r>
      <w:r w:rsidRPr="00151DFB">
        <w:rPr>
          <w:rFonts w:cstheme="minorHAnsi"/>
          <w:lang w:val="de-DE"/>
        </w:rPr>
        <w:t xml:space="preserve"> Kazlauskaite et al., (2021) and Schaal et al., (2022)</w:t>
      </w:r>
      <w:r w:rsidRPr="001370A2">
        <w:rPr>
          <w:rFonts w:cstheme="minorHAnsi"/>
        </w:rPr>
        <w:fldChar w:fldCharType="end"/>
      </w:r>
      <w:r w:rsidRPr="00151DFB">
        <w:rPr>
          <w:rFonts w:cstheme="minorHAnsi"/>
          <w:lang w:val="de-DE"/>
        </w:rPr>
        <w:t xml:space="preserve">. </w:t>
      </w:r>
      <w:r>
        <w:rPr>
          <w:rFonts w:cstheme="minorHAnsi"/>
        </w:rPr>
        <w:t>T</w:t>
      </w:r>
      <w:r w:rsidRPr="001370A2">
        <w:rPr>
          <w:rFonts w:cstheme="minorHAnsi"/>
        </w:rPr>
        <w:t>he frozen gut tissue</w:t>
      </w:r>
      <w:r>
        <w:rPr>
          <w:rFonts w:cstheme="minorHAnsi"/>
        </w:rPr>
        <w:t xml:space="preserve"> (100mg)</w:t>
      </w:r>
      <w:r w:rsidRPr="001370A2">
        <w:rPr>
          <w:rFonts w:cstheme="minorHAnsi"/>
        </w:rPr>
        <w:t xml:space="preserve"> and filter papers were cut up into pieces using sterilized equipment and DNA was extracted using the </w:t>
      </w:r>
      <w:proofErr w:type="spellStart"/>
      <w:r w:rsidRPr="001370A2">
        <w:rPr>
          <w:rFonts w:cstheme="minorHAnsi"/>
        </w:rPr>
        <w:t>QIAamp</w:t>
      </w:r>
      <w:proofErr w:type="spellEnd"/>
      <w:r w:rsidRPr="001370A2">
        <w:rPr>
          <w:rFonts w:cstheme="minorHAnsi"/>
        </w:rPr>
        <w:t xml:space="preserve"> DNA Stool Mini Kit (Qiagen, Valencia, CA, USA) according to the manufacturer’s protocol </w:t>
      </w:r>
      <w:r w:rsidRPr="001370A2">
        <w:rPr>
          <w:rFonts w:cstheme="minorHAnsi"/>
        </w:rPr>
        <w:fldChar w:fldCharType="begin"/>
      </w:r>
      <w:r w:rsidRPr="001370A2">
        <w:rPr>
          <w:rFonts w:cstheme="minorHAnsi"/>
        </w:rPr>
        <w:instrText xml:space="preserve"> ADDIN ZOTERO_ITEM CSL_CITATION {"citationID":"qil0e8h7","properties":{"formattedCitation":"(Claassen et al., 2013)","plainCitation":"(Claassen et al., 2013)","noteIndex":0},"citationItems":[{"id":260,"uris":["http://zotero.org/users/9227957/items/K23LDY48"],"itemData":{"id":260,"type":"article-journal","abstract":"Differences in the composition of the gut microbiota have been associated with a range of diseases using culture-independent methods. Reliable extraction of nucleic acid is a key step in identifying the composition of the faecal microbiota. Five widely used commercial deoxyribonucleic acid (DNA) extraction kits (QIAsymphony® Virus/Bacteria Midi Kit (kit QS), ZR Fecal DNA MiniPrep™ (kit Z), QIAamp® DNA Stool Mini Kit (kit QA), Ultraclean® Fecal DNA Isolation Kit (kit U) and PowerSoil® DNA Isolation Kit (kit P)) were evaluated, using human faecal samples. Yield, purity and integrity of total genomic DNA were compared spectrophotometrically and using gel electrophoresis. Three bacteria, commonly found in human faeces were quantified using real time polymerase chain reaction (qPCR) and total bacterial diversity was studied using denaturing gradient gel electrophoresis (DGGE) as well as terminal restriction fragment length polymorphism (T-RFLP). The measurements of DNA yield and purity exhibited variations between the five kits tested in this study. Automated kit QS exhibited the best quality and highest quantity of DNA. All kits were shown to be reproducible with CV values≤0.46 for DNA extraction. qPCR results showed that all kits were uniformly efficient for extracting DNA from the selected target bacteria. DGGE and T-RFLP produced the highest diversity scores for DNA extracted using kit Z (H′=2.30 and 1.27) and kit QS (H′=2.16 and 0.94), which also extracted the highest DNA yields compared to the other kits assessed.","container-title":"Journal of Microbiological Methods","DOI":"10.1016/j.mimet.2013.05.008","ISSN":"0167-7012","issue":"2","journalAbbreviation":"Journal of Microbiological Methods","language":"en","page":"103-110","source":"ScienceDirect","title":"A comparison of the efficiency of five different commercial DNA extraction kits for extraction of DNA from faecal samples","volume":"94","author":[{"family":"Claassen","given":"Shantelle"},{"family":"Toit","given":"Elloise","non-dropping-particle":"du"},{"family":"Kaba","given":"Mamadou"},{"family":"Moodley","given":"Clinton"},{"family":"Zar","given":"Heather J."},{"family":"Nicol","given":"Mark P."}],"issued":{"date-parts":[["2013",8,1]]}}}],"schema":"https://github.com/citation-style-language/schema/raw/master/csl-citation.json"} </w:instrText>
      </w:r>
      <w:r w:rsidRPr="001370A2">
        <w:rPr>
          <w:rFonts w:cstheme="minorHAnsi"/>
        </w:rPr>
        <w:fldChar w:fldCharType="separate"/>
      </w:r>
      <w:r w:rsidRPr="001370A2">
        <w:rPr>
          <w:rFonts w:cstheme="minorHAnsi"/>
        </w:rPr>
        <w:t>(Claassen et al., 2013)</w:t>
      </w:r>
      <w:r w:rsidRPr="001370A2">
        <w:rPr>
          <w:rFonts w:cstheme="minorHAnsi"/>
        </w:rPr>
        <w:fldChar w:fldCharType="end"/>
      </w:r>
      <w:r w:rsidRPr="001370A2">
        <w:rPr>
          <w:rFonts w:cstheme="minorHAnsi"/>
        </w:rPr>
        <w:t xml:space="preserve">. </w:t>
      </w:r>
      <w:r>
        <w:rPr>
          <w:rFonts w:cstheme="minorHAnsi"/>
        </w:rPr>
        <w:t>The pooled m</w:t>
      </w:r>
      <w:r w:rsidRPr="001370A2">
        <w:rPr>
          <w:rFonts w:cstheme="minorHAnsi"/>
        </w:rPr>
        <w:t>acroinvertebrates were crushed with</w:t>
      </w:r>
      <w:r>
        <w:rPr>
          <w:rFonts w:cstheme="minorHAnsi"/>
        </w:rPr>
        <w:t xml:space="preserve"> a sterile </w:t>
      </w:r>
      <w:r w:rsidRPr="001370A2">
        <w:rPr>
          <w:rFonts w:cstheme="minorHAnsi"/>
        </w:rPr>
        <w:t xml:space="preserve">pestle </w:t>
      </w:r>
      <w:r>
        <w:rPr>
          <w:rFonts w:cstheme="minorHAnsi"/>
        </w:rPr>
        <w:t>before DNA extraction</w:t>
      </w:r>
      <w:r w:rsidRPr="001370A2">
        <w:rPr>
          <w:rFonts w:cstheme="minorHAnsi"/>
        </w:rPr>
        <w:t xml:space="preserve">. Extracted DNA was amplified using primers targeting the V1 hypervariable 16S rDNA region </w:t>
      </w:r>
      <w:r w:rsidRPr="001370A2">
        <w:rPr>
          <w:rFonts w:cstheme="minorHAnsi"/>
        </w:rPr>
        <w:fldChar w:fldCharType="begin"/>
      </w:r>
      <w:r w:rsidRPr="001370A2">
        <w:rPr>
          <w:rFonts w:cstheme="minorHAnsi"/>
        </w:rPr>
        <w:instrText xml:space="preserve"> ADDIN ZOTERO_ITEM CSL_CITATION {"citationID":"Y8PdVBUG","properties":{"formattedCitation":"(Gajardo et al., 2016)","plainCitation":"(Gajardo et al., 2016)","noteIndex":0},"citationItems":[{"id":263,"uris":["http://zotero.org/users/9227957/items/CRUTFEW9"],"itemData":{"id":263,"type":"article-journal","abstract":"Gut health challenges, possibly related to alterations in gut microbiota, caused by plant ingredients in the diets, cause losses in Atlantic salmon production. To investigate the role of the microbiota for gut function and health, detailed characterization of the gut microbiota is needed. We present the first in-depth characterization of salmon gut microbiota based on high-throughput sequencing of the 16S rRNA gene’s V1-V2 region. Samples were taken from five intestinal compartments: digesta from proximal, mid and distal intestine and of mucosa from mid and distal intestine of 67.3 g salmon kept in seawater (12–14 °C) and fed a commercial diet for 4 weeks. Microbial richness and diversity differed significantly and were higher in the digesta than the mucosa. In mucosa, Proteobacteria dominated the microbiota (90%), whereas in digesta both Proteobacteria (47%) and Firmicutes (38%) showed high abundance. Future studies of diet and environmental impacts on gut microbiota should therefore differentiate between effects on mucosa and digesta in the proximal, mid and the distal intestine. A core microbiota, represented by 22 OTUs, was found in 80% of the samples. The gut microbiota of Atlantic salmon showed similarities with that of mammals.","container-title":"Scientific Reports","DOI":"10.1038/srep30893","ISSN":"2045-2322","issue":"1","journalAbbreviation":"Sci Rep","language":"en","license":"2016 The Author(s)","note":"number: 1\npublisher: Nature Publishing Group","page":"30893","source":"www.nature.com","title":"A high-resolution map of the gut microbiota in Atlantic salmon (Salmo salar): A basis for comparative gut microbial research","title-short":"A high-resolution map of the gut microbiota in Atlantic salmon (Salmo salar)","volume":"6","author":[{"family":"Gajardo","given":"Karina"},{"family":"Rodiles","given":"Ana"},{"family":"Kortner","given":"Trond M."},{"family":"Krogdahl","given":"Åshild"},{"family":"Bakke","given":"Anne Marie"},{"family":"Merrifield","given":"Daniel L."},{"family":"Sørum","given":"Henning"}],"issued":{"date-parts":[["2016",8,3]]}}}],"schema":"https://github.com/citation-style-language/schema/raw/master/csl-citation.json"} </w:instrText>
      </w:r>
      <w:r w:rsidRPr="001370A2">
        <w:rPr>
          <w:rFonts w:cstheme="minorHAnsi"/>
        </w:rPr>
        <w:fldChar w:fldCharType="separate"/>
      </w:r>
      <w:r w:rsidRPr="001370A2">
        <w:rPr>
          <w:rFonts w:cstheme="minorHAnsi"/>
        </w:rPr>
        <w:t>(Gajardo et al., 2016)</w:t>
      </w:r>
      <w:r w:rsidRPr="001370A2">
        <w:rPr>
          <w:rFonts w:cstheme="minorHAnsi"/>
        </w:rPr>
        <w:fldChar w:fldCharType="end"/>
      </w:r>
      <w:r w:rsidRPr="001370A2">
        <w:rPr>
          <w:rFonts w:cstheme="minorHAnsi"/>
        </w:rPr>
        <w:t xml:space="preserve">. V1 was chosen over V4 because </w:t>
      </w:r>
      <w:r>
        <w:rPr>
          <w:rFonts w:cstheme="minorHAnsi"/>
        </w:rPr>
        <w:t>the primers are less</w:t>
      </w:r>
      <w:r w:rsidRPr="001370A2">
        <w:rPr>
          <w:rFonts w:cstheme="minorHAnsi"/>
        </w:rPr>
        <w:t xml:space="preserve"> </w:t>
      </w:r>
      <w:r>
        <w:rPr>
          <w:rFonts w:cstheme="minorHAnsi"/>
        </w:rPr>
        <w:t xml:space="preserve">liable to </w:t>
      </w:r>
      <w:r w:rsidRPr="001370A2">
        <w:rPr>
          <w:rFonts w:cstheme="minorHAnsi"/>
        </w:rPr>
        <w:t>cross-</w:t>
      </w:r>
      <w:r>
        <w:rPr>
          <w:rFonts w:cstheme="minorHAnsi"/>
        </w:rPr>
        <w:t>hybridisation</w:t>
      </w:r>
      <w:r w:rsidRPr="001370A2">
        <w:rPr>
          <w:rFonts w:cstheme="minorHAnsi"/>
        </w:rPr>
        <w:t xml:space="preserve"> with salmon DNA </w:t>
      </w:r>
      <w:r w:rsidRPr="001370A2">
        <w:rPr>
          <w:rFonts w:cstheme="minorHAnsi"/>
        </w:rPr>
        <w:fldChar w:fldCharType="begin"/>
      </w:r>
      <w:r w:rsidRPr="001370A2">
        <w:rPr>
          <w:rFonts w:cstheme="minorHAnsi"/>
        </w:rPr>
        <w:instrText xml:space="preserve"> ADDIN ZOTERO_ITEM CSL_CITATION {"citationID":"4x8ibRmQ","properties":{"formattedCitation":"(Heys et al., 2020; Werner et al., 2012)","plainCitation":"(Heys et al., 2020; Werner et al., 2012)","noteIndex":0},"citationItems":[{"id":253,"uris":["http://zotero.org/users/9227957/items/3SY334AA"],"itemData":{"id":253,"type":"article-journal","container-title":"Applied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S."}],"issued":{"date-parts":[["2020"]]}}},{"id":266,"uris":["http://zotero.org/users/9227957/items/LRTTQVSH"],"itemData":{"id":266,"type":"article-journal","abstract":"Taxonomic classification of the thousands–millions of 16S rRNA gene sequences generated in microbiome studies is often achieved using a naïve Bayesian classifier (for example, the Ribosomal Database Project II (RDP) classifier), due to favorable trade-offs among automation, speed and accuracy. The resulting classification depends on the reference sequences and taxonomic hierarchy used to train the model; although the influence of primer sets and classification algorithms have been explored in detail, the influence of training set has not been characterized. We compared classification results obtained using three different publicly available databases as training sets, applied to five different bacterial 16S rRNA gene pyrosequencing data sets generated (from human body, mouse gut, python gut, soil and anaerobic digester samples). We observed numerous advantages to using the largest, most diverse training set available, that we constructed from the Greengenes (GG) bacterial/archaeal 16S rRNA gene sequence database and the latest GG taxonomy. Phylogenetic clusters of previously unclassified experimental sequences were identified with notable improvements (for example, 50% reduction in reads unclassified at the phylum level in mouse gut, soil and anaerobic digester samples), especially for phylotypes belonging to specific phyla (Tenericutes, Chloroflexi, Synergistetes and Candidate phyla TM6, TM7). Trimming the reference sequences to the primer region resulted in systematic improvements in classification depth, and greatest gains at higher confidence thresholds. Phylotypes unclassified at the genus level represented a greater proportion of the total community variation than classified operational taxonomic units in mouse gut and anaerobic digester samples, underscoring the need for greater diversity in existing reference databases.","container-title":"The ISME Journal","DOI":"10.1038/ismej.2011.82","ISSN":"1751-7370","issue":"1","journalAbbreviation":"ISME J","language":"en","license":"2012 International Society for Microbial Ecology","note":"number: 1\npublisher: Nature Publishing Group","page":"94-103","source":"www.nature.com","title":"Impact of training sets on classification of high-throughput bacterial 16s rRNA gene surveys","volume":"6","author":[{"family":"Werner","given":"Jeffrey J."},{"family":"Koren","given":"Omry"},{"family":"Hugenholtz","given":"Philip"},{"family":"DeSantis","given":"Todd Z."},{"family":"Walters","given":"William A."},{"family":"Caporaso","given":"J. Gregory"},{"family":"Angenent","given":"Largus T."},{"family":"Knight","given":"Rob"},{"family":"Ley","given":"Ruth E."}],"issued":{"date-parts":[["2012",1]]}}}],"schema":"https://github.com/citation-style-language/schema/raw/master/csl-citation.json"} </w:instrText>
      </w:r>
      <w:r w:rsidRPr="001370A2">
        <w:rPr>
          <w:rFonts w:cstheme="minorHAnsi"/>
        </w:rPr>
        <w:fldChar w:fldCharType="separate"/>
      </w:r>
      <w:r w:rsidRPr="001370A2">
        <w:rPr>
          <w:rFonts w:cstheme="minorHAnsi"/>
        </w:rPr>
        <w:t>(Heys et al., 2020; Werner et al., 2012)</w:t>
      </w:r>
      <w:r w:rsidRPr="001370A2">
        <w:rPr>
          <w:rFonts w:cstheme="minorHAnsi"/>
        </w:rPr>
        <w:fldChar w:fldCharType="end"/>
      </w:r>
      <w:r w:rsidRPr="001370A2">
        <w:rPr>
          <w:rFonts w:cstheme="minorHAnsi"/>
        </w:rPr>
        <w:t>. Amplification of the target region was achieved</w:t>
      </w:r>
      <w:r w:rsidR="008976CC">
        <w:rPr>
          <w:rFonts w:cstheme="minorHAnsi"/>
        </w:rPr>
        <w:t xml:space="preserve"> </w:t>
      </w:r>
      <w:r w:rsidRPr="001370A2">
        <w:rPr>
          <w:rFonts w:cstheme="minorHAnsi"/>
        </w:rPr>
        <w:t xml:space="preserve">using tagged barcodes 27F and 338R at a concentration of 1pM for each primer. PCR </w:t>
      </w:r>
      <w:r>
        <w:rPr>
          <w:rFonts w:cstheme="minorHAnsi"/>
        </w:rPr>
        <w:t>included an</w:t>
      </w:r>
      <w:r w:rsidRPr="001370A2">
        <w:rPr>
          <w:rFonts w:cstheme="minorHAnsi"/>
        </w:rPr>
        <w:t xml:space="preserve"> initial denaturation </w:t>
      </w:r>
      <w:r>
        <w:rPr>
          <w:rFonts w:cstheme="minorHAnsi"/>
        </w:rPr>
        <w:t xml:space="preserve">step </w:t>
      </w:r>
      <w:r w:rsidRPr="001370A2">
        <w:rPr>
          <w:rFonts w:cstheme="minorHAnsi"/>
        </w:rPr>
        <w:t xml:space="preserve">at 95°C for 10min; 30 cycles at 95°C for 30s, 55°C for 30s and 72°C for 30s; and a final elongation step of 72°C for 10min. </w:t>
      </w:r>
      <w:r>
        <w:rPr>
          <w:rFonts w:cstheme="minorHAnsi"/>
        </w:rPr>
        <w:t>First-round</w:t>
      </w:r>
      <w:r w:rsidRPr="001370A2">
        <w:rPr>
          <w:rFonts w:cstheme="minorHAnsi"/>
        </w:rPr>
        <w:t xml:space="preserve"> PCR products were then used for a subsequent second round of PCR</w:t>
      </w:r>
      <w:r w:rsidR="008976CC">
        <w:rPr>
          <w:rFonts w:cstheme="minorHAnsi"/>
        </w:rPr>
        <w:t xml:space="preserve">, </w:t>
      </w:r>
      <w:r w:rsidRPr="001370A2">
        <w:rPr>
          <w:rFonts w:cstheme="minorHAnsi"/>
        </w:rPr>
        <w:t>in which external multiplex identifiers (barcodes) were added.</w:t>
      </w:r>
      <w:r w:rsidR="008976CC">
        <w:rPr>
          <w:rFonts w:cstheme="minorHAnsi"/>
        </w:rPr>
        <w:t xml:space="preserve"> Cycle number was reduced to eight and reaction conditions were identical as to mentioned before.</w:t>
      </w:r>
      <w:r>
        <w:rPr>
          <w:rFonts w:cstheme="minorHAnsi"/>
        </w:rPr>
        <w:t xml:space="preserve"> All p</w:t>
      </w:r>
      <w:r w:rsidRPr="001370A2">
        <w:rPr>
          <w:rFonts w:cstheme="minorHAnsi"/>
        </w:rPr>
        <w:t xml:space="preserve">rimer sequences are </w:t>
      </w:r>
      <w:r>
        <w:rPr>
          <w:rFonts w:cstheme="minorHAnsi"/>
        </w:rPr>
        <w:t xml:space="preserve">detailed </w:t>
      </w:r>
      <w:r w:rsidRPr="001370A2">
        <w:rPr>
          <w:rFonts w:cstheme="minorHAnsi"/>
        </w:rPr>
        <w:t xml:space="preserve">in </w:t>
      </w:r>
      <w:r>
        <w:rPr>
          <w:rFonts w:cstheme="minorHAnsi"/>
        </w:rPr>
        <w:t>(</w:t>
      </w:r>
      <w:r w:rsidRPr="001370A2">
        <w:rPr>
          <w:rFonts w:cstheme="minorHAnsi"/>
        </w:rPr>
        <w:fldChar w:fldCharType="begin"/>
      </w:r>
      <w:r>
        <w:rPr>
          <w:rFonts w:cstheme="minorHAnsi"/>
        </w:rPr>
        <w:instrText xml:space="preserve"> ADDIN ZOTERO_ITEM CSL_CITATION {"citationID":"HxZ3Fvbo","properties":{"formattedCitation":"(Schaal et al., 2022)","plainCitation":"(Schaal et al., 2022)","dontUpdate":true,"noteIndex":0},"citationItems":[{"id":500,"uris":["http://zotero.org/users/9227957/items/QNULKHEB"],"itemData":{"id":500,"type":"article-journal","abstract":"Rapidly spreading parasitic infections like amoebic gill disease (AGD) are increasingly problematic for Atlantic salmon reared in aquaculture facilities and potentially pose a risk to wild fish species in surrounding waters. Currently, it is not known whether susceptibility to AGD differs between wild and farmed salmon. Wild Atlantic salmon populations are declining and this emerging disease could represent an additional threat to their long-term viability. A better understanding of how AGD affects fish health is therefore relevant for the accurate assessment of the associated risk, both to farming and to the well-being of wild populations. In this study, we assessed the impact of natural exposure to AGD on wild, hybrid and farmed post-smolt Atlantic salmon reared in a sea farm together under common garden conditions.","container-title":"Animal Microbiome","DOI":"10.1186/s42523-022-00203-x","ISSN":"2524-4671","issue":"1","journalAbbreviation":"Animal Microbiome","page":"53","source":"BioMed Central","title":"Links between host genetics, metabolism, gut microbiome and amoebic gill disease (AGD) in Atlantic salmon","volume":"4","author":[{"family":"Schaal","given":"Patrick"},{"family":"Cheaib","given":"Bachar"},{"family":"Kaufmann","given":"Joshka"},{"family":"Phillips","given":"Karl"},{"family":"Ryder","given":"Liz"},{"family":"McGinnity","given":"Phil"},{"family":"Llewellyn","given":"Martin"}],"issued":{"date-parts":[["2022",9,15]]}}}],"schema":"https://github.com/citation-style-language/schema/raw/master/csl-citation.json"} </w:instrText>
      </w:r>
      <w:r w:rsidRPr="001370A2">
        <w:rPr>
          <w:rFonts w:cstheme="minorHAnsi"/>
        </w:rPr>
        <w:fldChar w:fldCharType="separate"/>
      </w:r>
      <w:r w:rsidRPr="001370A2">
        <w:rPr>
          <w:rFonts w:cstheme="minorHAnsi"/>
        </w:rPr>
        <w:t>Schaal et al., 2022)</w:t>
      </w:r>
      <w:r w:rsidRPr="001370A2">
        <w:rPr>
          <w:rFonts w:cstheme="minorHAnsi"/>
        </w:rPr>
        <w:fldChar w:fldCharType="end"/>
      </w:r>
      <w:r>
        <w:rPr>
          <w:rFonts w:cstheme="minorHAnsi"/>
        </w:rPr>
        <w:t>.</w:t>
      </w:r>
      <w:r w:rsidR="008976CC">
        <w:rPr>
          <w:rFonts w:cstheme="minorHAnsi"/>
        </w:rPr>
        <w:t xml:space="preserve"> </w:t>
      </w:r>
      <w:r w:rsidRPr="001370A2">
        <w:rPr>
          <w:rFonts w:cstheme="minorHAnsi"/>
        </w:rPr>
        <w:t>Second round amplicons</w:t>
      </w:r>
      <w:r>
        <w:rPr>
          <w:rFonts w:cstheme="minorHAnsi"/>
        </w:rPr>
        <w:t xml:space="preserve"> </w:t>
      </w:r>
      <w:r w:rsidRPr="001370A2">
        <w:rPr>
          <w:rFonts w:cstheme="minorHAnsi"/>
        </w:rPr>
        <w:t>w</w:t>
      </w:r>
      <w:r>
        <w:rPr>
          <w:rFonts w:cstheme="minorHAnsi"/>
        </w:rPr>
        <w:t>ere</w:t>
      </w:r>
      <w:r w:rsidRPr="001370A2">
        <w:rPr>
          <w:rFonts w:cstheme="minorHAnsi"/>
        </w:rPr>
        <w:t xml:space="preserve"> gel-purified </w:t>
      </w:r>
      <w:r>
        <w:rPr>
          <w:rFonts w:cstheme="minorHAnsi"/>
        </w:rPr>
        <w:t xml:space="preserve">using the </w:t>
      </w:r>
      <w:proofErr w:type="spellStart"/>
      <w:r>
        <w:rPr>
          <w:rFonts w:cstheme="minorHAnsi"/>
        </w:rPr>
        <w:t>QIAquick</w:t>
      </w:r>
      <w:proofErr w:type="spellEnd"/>
      <w:r>
        <w:rPr>
          <w:rFonts w:cstheme="minorHAnsi"/>
        </w:rPr>
        <w:t xml:space="preserve"> Gel Extraction Kit (Qiagen, Valencia, CA, USA) and quantified </w:t>
      </w:r>
      <w:r w:rsidRPr="001370A2">
        <w:rPr>
          <w:rFonts w:cstheme="minorHAnsi"/>
        </w:rPr>
        <w:t>using a Qubit fluorometer (</w:t>
      </w:r>
      <w:proofErr w:type="spellStart"/>
      <w:r w:rsidRPr="001370A2">
        <w:rPr>
          <w:rFonts w:cstheme="minorHAnsi"/>
        </w:rPr>
        <w:t>Thermo</w:t>
      </w:r>
      <w:proofErr w:type="spellEnd"/>
      <w:r w:rsidRPr="001370A2">
        <w:rPr>
          <w:rFonts w:cstheme="minorHAnsi"/>
        </w:rPr>
        <w:t xml:space="preserve"> Fisher Scientific, USA). Final amplicons were pooled equimolar</w:t>
      </w:r>
      <w:r>
        <w:rPr>
          <w:rFonts w:cstheme="minorHAnsi"/>
        </w:rPr>
        <w:t>ly</w:t>
      </w:r>
      <w:r w:rsidRPr="001370A2">
        <w:rPr>
          <w:rFonts w:cstheme="minorHAnsi"/>
        </w:rPr>
        <w:t xml:space="preserve"> at a concentration of </w:t>
      </w:r>
      <w:proofErr w:type="gramStart"/>
      <w:r w:rsidRPr="001370A2">
        <w:rPr>
          <w:rFonts w:cstheme="minorHAnsi"/>
        </w:rPr>
        <w:t>10nM</w:t>
      </w:r>
      <w:proofErr w:type="gramEnd"/>
      <w:r w:rsidRPr="001370A2">
        <w:rPr>
          <w:rFonts w:cstheme="minorHAnsi"/>
        </w:rPr>
        <w:t xml:space="preserve"> and paired-end sequencing was carried out using a </w:t>
      </w:r>
      <w:proofErr w:type="spellStart"/>
      <w:r>
        <w:rPr>
          <w:rFonts w:cstheme="minorHAnsi"/>
        </w:rPr>
        <w:t>NovaSeq</w:t>
      </w:r>
      <w:proofErr w:type="spellEnd"/>
      <w:r>
        <w:rPr>
          <w:rFonts w:cstheme="minorHAnsi"/>
        </w:rPr>
        <w:t xml:space="preserve"> 6000</w:t>
      </w:r>
      <w:r w:rsidRPr="001370A2">
        <w:rPr>
          <w:rFonts w:cstheme="minorHAnsi"/>
        </w:rPr>
        <w:t xml:space="preserve"> system provided by </w:t>
      </w:r>
      <w:proofErr w:type="spellStart"/>
      <w:r w:rsidRPr="001370A2">
        <w:rPr>
          <w:rFonts w:cstheme="minorHAnsi"/>
        </w:rPr>
        <w:t>Nov</w:t>
      </w:r>
      <w:r>
        <w:rPr>
          <w:rFonts w:cstheme="minorHAnsi"/>
        </w:rPr>
        <w:t>o</w:t>
      </w:r>
      <w:r w:rsidRPr="001370A2">
        <w:rPr>
          <w:rFonts w:cstheme="minorHAnsi"/>
        </w:rPr>
        <w:t>Gene</w:t>
      </w:r>
      <w:proofErr w:type="spellEnd"/>
      <w:r w:rsidRPr="001370A2">
        <w:rPr>
          <w:rFonts w:cstheme="minorHAnsi"/>
        </w:rPr>
        <w:t>.</w:t>
      </w:r>
    </w:p>
    <w:p w14:paraId="66DBA62E" w14:textId="77777777" w:rsidR="008976CC" w:rsidRPr="001370A2" w:rsidRDefault="008976CC" w:rsidP="008976CC">
      <w:pPr>
        <w:pStyle w:val="Heading2"/>
        <w:spacing w:line="480" w:lineRule="auto"/>
      </w:pPr>
      <w:r w:rsidRPr="001370A2">
        <w:t>Bioinformatic pipeline</w:t>
      </w:r>
    </w:p>
    <w:p w14:paraId="33F47DB4" w14:textId="77777777" w:rsidR="004305CA" w:rsidRDefault="008976CC" w:rsidP="008976CC">
      <w:pPr>
        <w:spacing w:line="480" w:lineRule="auto"/>
        <w:rPr>
          <w:rFonts w:cstheme="minorHAnsi"/>
        </w:rPr>
      </w:pPr>
      <w:r w:rsidRPr="001370A2">
        <w:rPr>
          <w:rFonts w:cstheme="minorHAnsi"/>
        </w:rPr>
        <w:t>Sequence analysis was performed with our bioinformatic pipeline as described previously</w:t>
      </w:r>
      <w:r>
        <w:rPr>
          <w:rFonts w:cstheme="minorHAnsi"/>
        </w:rPr>
        <w:t xml:space="preserve"> by</w:t>
      </w:r>
      <w:r w:rsidRPr="001370A2">
        <w:rPr>
          <w:rFonts w:cstheme="minorHAnsi"/>
        </w:rPr>
        <w:t xml:space="preserve"> </w:t>
      </w:r>
      <w:r w:rsidRPr="001370A2">
        <w:rPr>
          <w:rFonts w:cstheme="minorHAnsi"/>
        </w:rPr>
        <w:fldChar w:fldCharType="begin"/>
      </w:r>
      <w:r>
        <w:rPr>
          <w:rFonts w:cstheme="minorHAnsi"/>
        </w:rPr>
        <w:instrText xml:space="preserve"> ADDIN ZOTERO_ITEM CSL_CITATION {"citationID":"SUYlY7t2","properties":{"formattedCitation":"(Heys et al., 2020; Kazlauskaite et al., 2021; Llewellyn et al., 2016; Schaal et al., 2022)","plainCitation":"(Heys et al., 2020; Kazlauskaite et al., 2021; Llewellyn et al., 2016; Schaal et al., 2022)","dontUpdate":true,"noteIndex":0},"citationItems":[{"id":253,"uris":["http://zotero.org/users/9227957/items/3SY334AA"],"itemData":{"id":253,"type":"article-journal","container-title":"Applied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S."}],"issued":{"date-parts":[["2020"]]}}},{"id":258,"uris":["http://zotero.org/users/9227957/items/DPJLEEQA"],"itemData":{"id":258,"type":"article-journal","abstract":"The aquaculture sector now accounts for almost 50% of all fish for human consumption and is anticipated to provide 62% by 2030. Innovative strategies are being sought to improve fish feeds and feed additives to enhance fish performance, welfare, and the environmental sustainability of the aquaculture industry. There is still a lack of knowledge surrounding the importance and functionality of the teleost gut microbiome in fish nutrition. In vitro gut model systems might prove a valuable tool to study the effect of feed, and additives, on the host’s microbial communities. Several in vitro gut models targeted at monogastric vertebrates are now in operation. Here, we report the development of an Atlantic salmon gut model, SalmoSim, to simulate three gut compartments (stomach, pyloric caecum, and midgut) and associated microbial communities.","container-title":"Microbiome","DOI":"10.1186/s40168-021-01134-6","ISSN":"2049-2618","issue":"1","journalAbbreviation":"Microbiome","language":"en","page":"179","source":"Springer Link","title":"SalmoSim: the development of a three-compartment in vitro simulator of the Atlantic salmon GI tract and associated microbial communities","title-short":"SalmoSim","volume":"9","author":[{"family":"Kazlauskaite","given":"Raminta"},{"family":"Cheaib","given":"Bachar"},{"family":"Heys","given":"Chloe"},{"family":"Ijaz","given":"Umer Zeeshan"},{"family":"Connelly","given":"Stephanie"},{"family":"Sloan","given":"William"},{"family":"Russel","given":"Julie"},{"family":"Rubio","given":"Laura"},{"family":"Sweetman","given":"John"},{"family":"Kitts","given":"Alex"},{"family":"McGinnity","given":"Philip"},{"family":"Lyons","given":"Philip"},{"family":"Llewellyn","given":"Martin"}],"issued":{"date-parts":[["2021",8,31]]}}},{"id":269,"uris":["http://zotero.org/users/9227957/items/ZRZBPC2N"],"itemData":{"id":269,"type":"article-journal","abstract":"Although understood in many vertebrate systems, the natural diversity of host-associated microbiota has been little studied in teleosts. For migratory fishes, successful exploitation of multiple habitats may affect and be affected by the composition of the intestinal microbiome. We collected 96 Salmo salar from across the Atlantic encompassing both freshwater and marine phases. Dramatic differences between environmental and gut bacterial communities were observed. Furthermore, community composition was not significantly impacted by geography. Instead life-cycle stage strongly defined both the diversity and identity of microbial assemblages in the gut, with evidence for community destabilisation in migratory phases. Mycoplasmataceae phylotypes were abundantly recovered in all life-cycle stages. Patterns of Mycoplasmataceae phylotype recruitment to the intestinal microbial community among sites and life-cycle stages support a dual role for deterministic and stochastic processes in defining the composition of the S. salar gut microbiome.","container-title":"The ISME Journal","DOI":"10.1038/ismej.2015.189","ISSN":"1751-7370","issue":"5","journalAbbreviation":"ISME J","language":"en","license":"2016 International Society for Microbial Ecology","note":"number: 5\npublisher: Nature Publishing Group","page":"1280-1284","source":"www.nature.com","title":"The biogeography of the atlantic salmon (Salmo salar) gut microbiome","volume":"10","author":[{"family":"Llewellyn","given":"Martin S."},{"family":"McGinnity","given":"Philip"},{"family":"Dionne","given":"Melanie"},{"family":"Letourneau","given":"Justine"},{"family":"Thonier","given":"Florian"},{"family":"Carvalho","given":"Gary R."},{"family":"Creer","given":"Simon"},{"family":"Derome","given":"Nicolas"}],"issued":{"date-parts":[["2016",5]]}}},{"id":500,"uris":["http://zotero.org/users/9227957/items/QNULKHEB"],"itemData":{"id":500,"type":"article-journal","abstract":"Rapidly spreading parasitic infections like amoebic </w:instrText>
      </w:r>
      <w:r w:rsidRPr="00EC1D3F">
        <w:rPr>
          <w:rFonts w:cstheme="minorHAnsi"/>
          <w:lang w:val="fr-FR"/>
        </w:rPr>
        <w:instrText xml:space="preserve">gill disease (AGD) are increasingly problematic for Atlantic salmon reared in aquaculture facilities and potentially pose a risk to wild fish species in surrounding waters. Currently, it is not known whether susceptibility to AGD differs between wild and farmed salmon. Wild Atlantic salmon populations are declining and this emerging disease could represent an additional threat to their long-term viability. A better understanding of how AGD affects fish health is therefore relevant for the accurate assessment of the associated risk, both to farming and to the well-being of wild populations. In this study, we assessed the impact of natural exposure to AGD on wild, hybrid and farmed post-smolt Atlantic salmon reared in a sea farm together under common garden conditions.","container-title":"Animal Microbiome","DOI":"10.1186/s42523-022-00203-x","ISSN":"2524-4671","issue":"1","journalAbbreviation":"Animal Microbiome","page":"53","source":"BioMed Central","title":"Links between host genetics, metabolism, gut microbiome and amoebic gill disease (AGD) in Atlantic salmon","volume":"4","author":[{"family":"Schaal","given":"Patrick"},{"family":"Cheaib","given":"Bachar"},{"family":"Kaufmann","given":"Joshka"},{"family":"Phillips","given":"Karl"},{"family":"Ryder","given":"Liz"},{"family":"McGinnity","given":"Phil"},{"family":"Llewellyn","given":"Martin"}],"issued":{"date-parts":[["2022",9,15]]}}}],"schema":"https://github.com/citation-style-language/schema/raw/master/csl-citation.json"} </w:instrText>
      </w:r>
      <w:r w:rsidRPr="001370A2">
        <w:rPr>
          <w:rFonts w:cstheme="minorHAnsi"/>
        </w:rPr>
        <w:fldChar w:fldCharType="separate"/>
      </w:r>
      <w:r w:rsidRPr="00EC1D3F">
        <w:rPr>
          <w:rFonts w:cstheme="minorHAnsi"/>
          <w:lang w:val="fr-FR"/>
        </w:rPr>
        <w:t xml:space="preserve"> Kazlauskaite et al. (2021)</w:t>
      </w:r>
      <w:r>
        <w:rPr>
          <w:rFonts w:cstheme="minorHAnsi"/>
        </w:rPr>
        <w:t xml:space="preserve"> and </w:t>
      </w:r>
      <w:r w:rsidRPr="001370A2">
        <w:rPr>
          <w:rFonts w:cstheme="minorHAnsi"/>
        </w:rPr>
        <w:t xml:space="preserve">Schaal et al. </w:t>
      </w:r>
      <w:r>
        <w:rPr>
          <w:rFonts w:cstheme="minorHAnsi"/>
        </w:rPr>
        <w:t>(</w:t>
      </w:r>
      <w:r w:rsidRPr="001370A2">
        <w:rPr>
          <w:rFonts w:cstheme="minorHAnsi"/>
        </w:rPr>
        <w:t>2022)</w:t>
      </w:r>
      <w:r w:rsidRPr="001370A2">
        <w:rPr>
          <w:rFonts w:cstheme="minorHAnsi"/>
        </w:rPr>
        <w:fldChar w:fldCharType="end"/>
      </w:r>
      <w:r w:rsidRPr="001370A2">
        <w:rPr>
          <w:rFonts w:cstheme="minorHAnsi"/>
        </w:rPr>
        <w:t>.</w:t>
      </w:r>
      <w:r>
        <w:rPr>
          <w:rFonts w:cstheme="minorHAnsi"/>
        </w:rPr>
        <w:t xml:space="preserve"> </w:t>
      </w:r>
    </w:p>
    <w:p w14:paraId="13831DB6" w14:textId="370444CF" w:rsidR="008976CC" w:rsidRPr="001370A2" w:rsidRDefault="008976CC" w:rsidP="008976CC">
      <w:pPr>
        <w:spacing w:line="480" w:lineRule="auto"/>
        <w:rPr>
          <w:rFonts w:cstheme="minorHAnsi"/>
        </w:rPr>
      </w:pPr>
      <w:r w:rsidRPr="001370A2">
        <w:rPr>
          <w:rFonts w:cstheme="minorHAnsi"/>
        </w:rPr>
        <w:t xml:space="preserve">Quality filtering and trimming (&gt;Q33 Phred score) was performed on all </w:t>
      </w:r>
      <w:r w:rsidR="004305CA">
        <w:rPr>
          <w:rFonts w:cstheme="minorHAnsi"/>
        </w:rPr>
        <w:t xml:space="preserve">sequence </w:t>
      </w:r>
      <w:r w:rsidRPr="001370A2">
        <w:rPr>
          <w:rFonts w:cstheme="minorHAnsi"/>
        </w:rPr>
        <w:t xml:space="preserve">reads of the </w:t>
      </w:r>
      <w:r w:rsidR="004305CA">
        <w:rPr>
          <w:rFonts w:cstheme="minorHAnsi"/>
        </w:rPr>
        <w:t xml:space="preserve">target </w:t>
      </w:r>
      <w:r w:rsidRPr="001370A2">
        <w:rPr>
          <w:rFonts w:cstheme="minorHAnsi"/>
        </w:rPr>
        <w:t xml:space="preserve">region using the Sickle (v.1.2) software </w:t>
      </w:r>
      <w:r w:rsidRPr="001370A2">
        <w:rPr>
          <w:rFonts w:cstheme="minorHAnsi"/>
        </w:rPr>
        <w:fldChar w:fldCharType="begin"/>
      </w:r>
      <w:r w:rsidRPr="001370A2">
        <w:rPr>
          <w:rFonts w:cstheme="minorHAnsi"/>
        </w:rPr>
        <w:instrText xml:space="preserve"> ADDIN ZOTERO_ITEM CSL_CITATION {"citationID":"eSiwYArq","properties":{"formattedCitation":"(Joshi &amp; Fass, 2011)","plainCitation":"(Joshi &amp; Fass, 2011)","noteIndex":0},"citationItems":[{"id":272,"uris":["http://zotero.org/users/9227957/items/2W8UWSAR"],"itemData":{"id":272,"type":"document","source":"Google Scholar","title":"Sickle: A sliding-window, adaptive, quality-based trimming tool for FastQ files (Version 1.33)[Software]","title-short":"Sickle","author":[{"family":"Joshi","given":"N. A."},{"family":"Fass","given":"JN2011"}],"issued":{"date-parts":[["2011"]]}}}],"schema":"https://github.com/citation-style-language/schema/raw/master/csl-citation.json"} </w:instrText>
      </w:r>
      <w:r w:rsidRPr="001370A2">
        <w:rPr>
          <w:rFonts w:cstheme="minorHAnsi"/>
        </w:rPr>
        <w:fldChar w:fldCharType="separate"/>
      </w:r>
      <w:r w:rsidRPr="001370A2">
        <w:rPr>
          <w:rFonts w:cstheme="minorHAnsi"/>
        </w:rPr>
        <w:t>(Joshi &amp; Fass, 2011)</w:t>
      </w:r>
      <w:r w:rsidRPr="001370A2">
        <w:rPr>
          <w:rFonts w:cstheme="minorHAnsi"/>
        </w:rPr>
        <w:fldChar w:fldCharType="end"/>
      </w:r>
      <w:r w:rsidRPr="001370A2">
        <w:rPr>
          <w:rFonts w:cstheme="minorHAnsi"/>
        </w:rPr>
        <w:t xml:space="preserve">. Read error correction was carried out using the </w:t>
      </w:r>
      <w:proofErr w:type="spellStart"/>
      <w:r w:rsidRPr="001370A2">
        <w:rPr>
          <w:rFonts w:cstheme="minorHAnsi"/>
        </w:rPr>
        <w:t>BayesHammer</w:t>
      </w:r>
      <w:proofErr w:type="spellEnd"/>
      <w:r w:rsidRPr="001370A2">
        <w:rPr>
          <w:rFonts w:cstheme="minorHAnsi"/>
        </w:rPr>
        <w:t xml:space="preserve"> module within the </w:t>
      </w:r>
      <w:proofErr w:type="spellStart"/>
      <w:r w:rsidRPr="001370A2">
        <w:rPr>
          <w:rFonts w:cstheme="minorHAnsi"/>
        </w:rPr>
        <w:t>SPAdes</w:t>
      </w:r>
      <w:proofErr w:type="spellEnd"/>
      <w:r w:rsidRPr="001370A2">
        <w:rPr>
          <w:rFonts w:cstheme="minorHAnsi"/>
        </w:rPr>
        <w:t xml:space="preserve"> (v.2.5.0) software to obtain high-quality </w:t>
      </w:r>
      <w:r w:rsidRPr="001370A2">
        <w:rPr>
          <w:rFonts w:cstheme="minorHAnsi"/>
        </w:rPr>
        <w:lastRenderedPageBreak/>
        <w:t xml:space="preserve">assemblies </w:t>
      </w:r>
      <w:r w:rsidRPr="001370A2">
        <w:rPr>
          <w:rFonts w:cstheme="minorHAnsi"/>
        </w:rPr>
        <w:fldChar w:fldCharType="begin"/>
      </w:r>
      <w:r w:rsidRPr="001370A2">
        <w:rPr>
          <w:rFonts w:cstheme="minorHAnsi"/>
        </w:rPr>
        <w:instrText xml:space="preserve"> ADDIN ZOTERO_ITEM CSL_CITATION {"citationID":"unhD0Dma","properties":{"formattedCitation":"(Nikolenko et al., 2013)","plainCitation":"(Nikolenko et al., 2013)","noteIndex":0},"citationItems":[{"id":273,"uris":["http://zotero.org/users/9227957/items/Z5WFP4RA"],"itemData":{"id":273,"type":"paper-conference","container-title":"BMC genomics","note":"issue: 1","page":"1–11","publisher":"Springer","source":"Google Scholar","title":"BayesHammer: Bayesian clustering for error correction in single-cell sequencing","title-short":"BayesHammer","volume":"14","author":[{"family":"Nikolenko","given":"Sergey I."},{"family":"Korobeynikov","given":"Anton I."},{"family":"Alekseyev","given":"Max A."}],"issued":{"date-parts":[["2013"]]}}}],"schema":"https://github.com/citation-style-language/schema/raw/master/csl-citation.json"} </w:instrText>
      </w:r>
      <w:r w:rsidRPr="001370A2">
        <w:rPr>
          <w:rFonts w:cstheme="minorHAnsi"/>
        </w:rPr>
        <w:fldChar w:fldCharType="separate"/>
      </w:r>
      <w:r w:rsidRPr="001370A2">
        <w:rPr>
          <w:rFonts w:cstheme="minorHAnsi"/>
        </w:rPr>
        <w:t>(Nikolenko et al., 2013)</w:t>
      </w:r>
      <w:r w:rsidRPr="001370A2">
        <w:rPr>
          <w:rFonts w:cstheme="minorHAnsi"/>
        </w:rPr>
        <w:fldChar w:fldCharType="end"/>
      </w:r>
      <w:r w:rsidRPr="001370A2">
        <w:rPr>
          <w:rFonts w:cstheme="minorHAnsi"/>
        </w:rPr>
        <w:t xml:space="preserve">. Paired-end reads were merged (overlap length 50bp) using </w:t>
      </w:r>
      <w:proofErr w:type="spellStart"/>
      <w:r w:rsidRPr="001370A2">
        <w:rPr>
          <w:rFonts w:cstheme="minorHAnsi"/>
        </w:rPr>
        <w:t>PANDAseq</w:t>
      </w:r>
      <w:proofErr w:type="spellEnd"/>
      <w:r w:rsidRPr="001370A2">
        <w:rPr>
          <w:rFonts w:cstheme="minorHAnsi"/>
        </w:rPr>
        <w:t xml:space="preserve"> (v.2.11) with the simple Bayesian read merging algorithm </w:t>
      </w:r>
      <w:r w:rsidRPr="001370A2">
        <w:rPr>
          <w:rFonts w:cstheme="minorHAnsi"/>
        </w:rPr>
        <w:fldChar w:fldCharType="begin"/>
      </w:r>
      <w:r w:rsidRPr="001370A2">
        <w:rPr>
          <w:rFonts w:cstheme="minorHAnsi"/>
        </w:rPr>
        <w:instrText xml:space="preserve"> ADDIN ZOTERO_ITEM CSL_CITATION {"citationID":"kNU3VJgU","properties":{"formattedCitation":"(Masella et al., 2012; Schirmer et al., 2016)","plainCitation":"(Masella et al., 2012; Schirmer et al., 2016)","noteIndex":0},"citationItems":[{"id":275,"uris":["http://zotero.org/users/9227957/items/RZ2JAZ3I"],"itemData":{"id":275,"type":"article-journal","container-title":"BMC bioinformatics","issue":"1","note":"publisher: Springer","page":"1–7","source":"Google Scholar","title":"PANDAseq: paired-end assembler for illumina sequences","title-short":"PANDAseq","volume":"13","author":[{"family":"Masella","given":"Andre P."},{"family":"Bartram","given":"Andrea K."},{"family":"Truszkowski","given":"Jakub M."},{"family":"Brown","given":"Daniel G."},{"family":"Neufeld","given":"Josh D."}],"issued":{"date-parts":[["2012"]]}}},{"id":277,"uris":["http://zotero.org/users/9227957/items/GA28KDF3"],"itemData":{"id":277,"type":"article-journal","container-title":"BMC bioinformatics","issue":"1","note":"publisher: Springer","page":"1–15","source":"Google Scholar","title":"Illumina error profiles: resolving fine-scale variation in metagenomic sequencing data","title-short":"Illumina error profiles","volume":"17","author":[{"family":"Schirmer","given":"Melanie"},{"family":"D’Amore","given":"Rosalinda"},{"family":"Ijaz","given":"Umer Z."},{"family":"Hall","given":"Neil"},{"family":"Quince","given":"Christopher"}],"issued":{"date-parts":[["2016"]]}}}],"schema":"https://github.com/citation-style-language/schema/raw/master/csl-citation.json"} </w:instrText>
      </w:r>
      <w:r w:rsidRPr="001370A2">
        <w:rPr>
          <w:rFonts w:cstheme="minorHAnsi"/>
        </w:rPr>
        <w:fldChar w:fldCharType="separate"/>
      </w:r>
      <w:r w:rsidRPr="001370A2">
        <w:rPr>
          <w:rFonts w:cstheme="minorHAnsi"/>
        </w:rPr>
        <w:t>(Masella et al., 2012; Schirmer et al., 2016)</w:t>
      </w:r>
      <w:r w:rsidRPr="001370A2">
        <w:rPr>
          <w:rFonts w:cstheme="minorHAnsi"/>
        </w:rPr>
        <w:fldChar w:fldCharType="end"/>
      </w:r>
      <w:r w:rsidRPr="001370A2">
        <w:rPr>
          <w:rFonts w:cstheme="minorHAnsi"/>
        </w:rPr>
        <w:t>. Thereafter, merged reads were dereplicated, sorted, and chimaeras and singletons were removed by using VSEARCH (v.2.3.4</w:t>
      </w:r>
      <w:r w:rsidRPr="001370A2">
        <w:rPr>
          <w:rFonts w:cstheme="minorHAnsi"/>
        </w:rPr>
        <w:fldChar w:fldCharType="begin"/>
      </w:r>
      <w:r w:rsidRPr="001370A2">
        <w:rPr>
          <w:rFonts w:cstheme="minorHAnsi"/>
        </w:rPr>
        <w:instrText xml:space="preserve"> ADDIN ZOTERO_ITEM CSL_CITATION {"citationID":"Xtw2yLx7","properties":{"formattedCitation":"(Rognes et al., 2016)","plainCitation":"(Rognes et al., 2016)","dontUpdate":true,"noteIndex":0},"citationItems":[{"id":279,"uris":["http://zotero.org/users/9227957/items/WYPLPVES"],"itemData":{"id":279,"type":"article-journal","container-title":"PeerJ","note":"publisher: PeerJ Inc.","page":"e2584","source":"Google Scholar","title":"VSEARCH: a versatile open source tool for metagenomics","title-short":"VSEARCH","volume":"4","author":[{"family":"Rognes","given":"Torbjørn"},{"family":"Flouri","given":"Tomáš"},{"family":"Nichols","given":"Ben"},{"family":"Quince","given":"Christopher"},{"family":"Mahé","given":"Frédéric"}],"issued":{"date-parts":[["2016"]]}}}],"schema":"https://github.com/citation-style-language/schema/raw/master/csl-citation.json"} </w:instrText>
      </w:r>
      <w:r w:rsidRPr="001370A2">
        <w:rPr>
          <w:rFonts w:cstheme="minorHAnsi"/>
        </w:rPr>
        <w:fldChar w:fldCharType="separate"/>
      </w:r>
      <w:r w:rsidRPr="001370A2">
        <w:rPr>
          <w:rFonts w:cstheme="minorHAnsi"/>
        </w:rPr>
        <w:t>; Rognes et al., 2016)</w:t>
      </w:r>
      <w:r w:rsidRPr="001370A2">
        <w:rPr>
          <w:rFonts w:cstheme="minorHAnsi"/>
        </w:rPr>
        <w:fldChar w:fldCharType="end"/>
      </w:r>
      <w:r w:rsidRPr="001370A2">
        <w:rPr>
          <w:rFonts w:cstheme="minorHAnsi"/>
        </w:rPr>
        <w:t xml:space="preserve">. Sequences were decontaminated against the </w:t>
      </w:r>
      <w:r>
        <w:rPr>
          <w:rFonts w:cstheme="minorHAnsi"/>
        </w:rPr>
        <w:t>last assembled version of</w:t>
      </w:r>
      <w:r w:rsidRPr="001370A2">
        <w:rPr>
          <w:rFonts w:cstheme="minorHAnsi"/>
        </w:rPr>
        <w:t xml:space="preserve"> </w:t>
      </w:r>
      <w:r w:rsidRPr="00BF6A87">
        <w:rPr>
          <w:rFonts w:cstheme="minorHAnsi"/>
          <w:i/>
          <w:iCs/>
        </w:rPr>
        <w:t xml:space="preserve">Salmo </w:t>
      </w:r>
      <w:proofErr w:type="spellStart"/>
      <w:r w:rsidRPr="00BF6A87">
        <w:rPr>
          <w:rFonts w:cstheme="minorHAnsi"/>
          <w:i/>
          <w:iCs/>
        </w:rPr>
        <w:t>salar</w:t>
      </w:r>
      <w:proofErr w:type="spellEnd"/>
      <w:r w:rsidRPr="001370A2">
        <w:rPr>
          <w:rFonts w:cstheme="minorHAnsi"/>
        </w:rPr>
        <w:t xml:space="preserve"> genome</w:t>
      </w:r>
      <w:r>
        <w:rPr>
          <w:rFonts w:cstheme="minorHAnsi"/>
        </w:rPr>
        <w:t xml:space="preserve"> </w:t>
      </w:r>
      <w:r w:rsidRPr="001370A2">
        <w:rPr>
          <w:rFonts w:cstheme="minorHAnsi"/>
        </w:rPr>
        <w:t>using</w:t>
      </w:r>
      <w:r>
        <w:rPr>
          <w:rFonts w:cstheme="minorHAnsi"/>
        </w:rPr>
        <w:t xml:space="preserve"> </w:t>
      </w:r>
      <w:proofErr w:type="spellStart"/>
      <w:r w:rsidRPr="001370A2">
        <w:rPr>
          <w:rFonts w:cstheme="minorHAnsi"/>
        </w:rPr>
        <w:t>DeconSeq</w:t>
      </w:r>
      <w:proofErr w:type="spellEnd"/>
      <w:r w:rsidRPr="001370A2">
        <w:rPr>
          <w:rFonts w:cstheme="minorHAnsi"/>
        </w:rPr>
        <w:t xml:space="preserve"> (v.0.4.3; </w:t>
      </w:r>
      <w:r w:rsidRPr="001370A2">
        <w:rPr>
          <w:rFonts w:cstheme="minorHAnsi"/>
        </w:rPr>
        <w:fldChar w:fldCharType="begin"/>
      </w:r>
      <w:r w:rsidRPr="001370A2">
        <w:rPr>
          <w:rFonts w:cstheme="minorHAnsi"/>
        </w:rPr>
        <w:instrText xml:space="preserve"> ADDIN ZOTERO_ITEM CSL_CITATION {"citationID":"28NqkUcp","properties":{"formattedCitation":"(Schmieder and Edwards, 2011)","plainCitation":"(Schmieder and Edwards, 2011)","dontUpdate":true,"noteIndex":0},"citationItems":[{"id":281,"uris":["http://zotero.org/users/9227957/items/5LZ8IE9P"],"itemData":{"id":281,"type":"article-journal","container-title":"Bioinformatics","issue":"6","note":"publisher: Oxford University Press","page":"863–864","source":"Google Scholar","title":"Quality control and preprocessing of metagenomic datasets","volume":"27","author":[{"family":"Schmieder","given":"Robert"},{"family":"Edwards","given":"Robert"}],"issued":{"date-parts":[["2011"]]}}}],"schema":"https://github.com/citation-style-language/schema/raw/master/csl-citation.json"} </w:instrText>
      </w:r>
      <w:r w:rsidRPr="001370A2">
        <w:rPr>
          <w:rFonts w:cstheme="minorHAnsi"/>
        </w:rPr>
        <w:fldChar w:fldCharType="separate"/>
      </w:r>
      <w:r w:rsidRPr="001370A2">
        <w:rPr>
          <w:rFonts w:cstheme="minorHAnsi"/>
        </w:rPr>
        <w:t>Schmieder and Edwards, 2011)</w:t>
      </w:r>
      <w:r w:rsidRPr="001370A2">
        <w:rPr>
          <w:rFonts w:cstheme="minorHAnsi"/>
        </w:rPr>
        <w:fldChar w:fldCharType="end"/>
      </w:r>
      <w:r w:rsidRPr="001370A2">
        <w:rPr>
          <w:rFonts w:cstheme="minorHAnsi"/>
        </w:rPr>
        <w:t xml:space="preserve"> and overlapped reads were clustered into operational taxonomic units (OTUs) using VSEARCH at 97% sequence identity. Naïve </w:t>
      </w:r>
      <w:r>
        <w:rPr>
          <w:rFonts w:cstheme="minorHAnsi"/>
        </w:rPr>
        <w:t>Bayesian</w:t>
      </w:r>
      <w:r w:rsidRPr="001370A2">
        <w:rPr>
          <w:rFonts w:cstheme="minorHAnsi"/>
        </w:rPr>
        <w:t xml:space="preserve"> classifiers, implemented in QIIME2 </w:t>
      </w:r>
      <w:r w:rsidRPr="001370A2">
        <w:rPr>
          <w:rFonts w:cstheme="minorHAnsi"/>
        </w:rPr>
        <w:fldChar w:fldCharType="begin"/>
      </w:r>
      <w:r w:rsidRPr="001370A2">
        <w:rPr>
          <w:rFonts w:cstheme="minorHAnsi"/>
        </w:rPr>
        <w:instrText xml:space="preserve"> ADDIN ZOTERO_ITEM CSL_CITATION {"citationID":"aYsT5Jg9","properties":{"formattedCitation":"(Bolyen et al., 2019; Pedregosa et al., 2011)","plainCitation":"(Bolyen et al., 2019; Pedregosa et al., 2011)","noteIndex":0},"citationItems":[{"id":289,"uris":["http://zotero.org/users/9227957/items/2ZF4W6LK"],"itemData":{"id":289,"type":"article-journal","container-title":"Nature biotechnology","issue":"8","note":"publisher: Nature Publishing Group","page":"852–857","source":"Google Scholar","title":"Reproducible, interactive, scalable and extensible microbiome data science using QIIME 2","volume":"37","author":[{"family":"Bolyen","given":"Evan"},{"family":"Rideout","given":"Jai Ram"},{"family":"Dillon","given":"Matthew R."},{"family":"Bokulich","given":"Nicholas A."},{"family":"Abnet","given":"Christian C."},{"family":"Al-Ghalith","given":"Gabriel A."},{"family":"Alexander","given":"Harriet"},{"family":"Alm","given":"Eric J."},{"family":"Arumugam","given":"Manimozhiyan"},{"family":"Asnicar","given":"Francesco"}],"issued":{"date-parts":[["2019"]]}}},{"id":287,"uris":["http://zotero.org/users/9227957/items/U6EWWAQF"],"itemData":{"id":287,"type":"article-journal","container-title":"the Journal of machine Learning research","note":"publisher: JMLR. org","page":"2825–2830","source":"Google Scholar","title":"Scikit-learn: Machine learning in Python","title-short":"Scikit-learn","volume":"12","author":[{"family":"Pedregosa","given":"Fabian"},{"family":"Varoquaux","given":"Gaël"},{"family":"Gramfort","given":"Alexandre"},{"family":"Michel","given":"Vincent"},{"family":"Thirion","given":"Bertrand"},{"family":"Grisel","given":"Olivier"},{"family":"Blondel","given":"Mathieu"},{"family":"Prettenhofer","given":"Peter"},{"family":"Weiss","given":"Ron"},{"family":"Dubourg","given":"Vincent"}],"issued":{"date-parts":[["2011"]]}}}],"schema":"https://github.com/citation-style-language/schema/raw/master/csl-citation.json"} </w:instrText>
      </w:r>
      <w:r w:rsidRPr="001370A2">
        <w:rPr>
          <w:rFonts w:cstheme="minorHAnsi"/>
        </w:rPr>
        <w:fldChar w:fldCharType="separate"/>
      </w:r>
      <w:r w:rsidRPr="001370A2">
        <w:rPr>
          <w:rFonts w:cstheme="minorHAnsi"/>
        </w:rPr>
        <w:t>(Bolyen et al., 2019; Pedregosa et al., 2011)</w:t>
      </w:r>
      <w:r w:rsidRPr="001370A2">
        <w:rPr>
          <w:rFonts w:cstheme="minorHAnsi"/>
        </w:rPr>
        <w:fldChar w:fldCharType="end"/>
      </w:r>
      <w:r w:rsidRPr="001370A2">
        <w:rPr>
          <w:rFonts w:cstheme="minorHAnsi"/>
        </w:rPr>
        <w:t xml:space="preserve"> were used to classify OTUs against the Silva 13</w:t>
      </w:r>
      <w:r>
        <w:rPr>
          <w:rFonts w:cstheme="minorHAnsi"/>
        </w:rPr>
        <w:t>8</w:t>
      </w:r>
      <w:r w:rsidRPr="001370A2">
        <w:rPr>
          <w:rFonts w:cstheme="minorHAnsi"/>
        </w:rPr>
        <w:t xml:space="preserve"> database</w:t>
      </w:r>
      <w:r w:rsidR="004305CA">
        <w:rPr>
          <w:rFonts w:cstheme="minorHAnsi"/>
        </w:rPr>
        <w:t xml:space="preserve"> </w:t>
      </w:r>
      <w:r w:rsidR="004305CA">
        <w:rPr>
          <w:rFonts w:cstheme="minorHAnsi"/>
        </w:rPr>
        <w:fldChar w:fldCharType="begin"/>
      </w:r>
      <w:r w:rsidR="004305CA">
        <w:rPr>
          <w:rFonts w:cstheme="minorHAnsi"/>
        </w:rPr>
        <w:instrText xml:space="preserve"> ADDIN ZOTERO_ITEM CSL_CITATION {"citationID":"xlkGMz6U","properties":{"formattedCitation":"(Quast et al., 2012)","plainCitation":"(Quast et al., 2012)","noteIndex":0},"citationItems":[{"id":284,"uris":["http://zotero.org/users/9227957/items/8BPE9VHF"],"itemData":{"id":284,"type":"article-journal","container-title":"Nucleic acids research","issue":"D1","note":"publisher: Oxford University Press","page":"D590–D596","source":"Google Scholar","title":"The SILVA ribosomal RNA gene database project: improved data processing and web-based tools","title-short":"The SILVA ribosomal RNA gene database project","volume":"41","author":[{"family":"Quast","given":"Christian"},{"family":"Pruesse","given":"Elmar"},{"family":"Yilmaz","given":"Pelin"},{"family":"Gerken","given":"Jan"},{"family":"Schweer","given":"Timmy"},{"family":"Yarza","given":"Pablo"},{"family":"Peplies","given":"Jörg"},{"family":"Glöckner","given":"Frank Oliver"}],"issued":{"date-parts":[["2012"]]}}}],"schema":"https://github.com/citation-style-language/schema/raw/master/csl-citation.json"} </w:instrText>
      </w:r>
      <w:r w:rsidR="004305CA">
        <w:rPr>
          <w:rFonts w:cstheme="minorHAnsi"/>
        </w:rPr>
        <w:fldChar w:fldCharType="separate"/>
      </w:r>
      <w:r w:rsidR="004305CA" w:rsidRPr="004305CA">
        <w:rPr>
          <w:rFonts w:ascii="Calibri" w:hAnsi="Calibri" w:cs="Calibri"/>
        </w:rPr>
        <w:t>(Quast et al., 2012)</w:t>
      </w:r>
      <w:r w:rsidR="004305CA">
        <w:rPr>
          <w:rFonts w:cstheme="minorHAnsi"/>
        </w:rPr>
        <w:fldChar w:fldCharType="end"/>
      </w:r>
      <w:r w:rsidR="004305CA">
        <w:rPr>
          <w:rFonts w:cstheme="minorHAnsi"/>
        </w:rPr>
        <w:t>.</w:t>
      </w:r>
      <w:r w:rsidRPr="001370A2">
        <w:rPr>
          <w:rFonts w:cstheme="minorHAnsi"/>
        </w:rPr>
        <w:t xml:space="preserve"> Phylogenetic trees were generated using </w:t>
      </w:r>
      <w:proofErr w:type="spellStart"/>
      <w:r w:rsidRPr="001370A2">
        <w:rPr>
          <w:rFonts w:cstheme="minorHAnsi"/>
        </w:rPr>
        <w:t>FastTree</w:t>
      </w:r>
      <w:proofErr w:type="spellEnd"/>
      <w:r w:rsidRPr="001370A2">
        <w:rPr>
          <w:rFonts w:cstheme="minorHAnsi"/>
        </w:rPr>
        <w:t xml:space="preserve"> </w:t>
      </w:r>
      <w:r w:rsidRPr="001370A2">
        <w:rPr>
          <w:rFonts w:cstheme="minorHAnsi"/>
        </w:rPr>
        <w:fldChar w:fldCharType="begin"/>
      </w:r>
      <w:r w:rsidRPr="001370A2">
        <w:rPr>
          <w:rFonts w:cstheme="minorHAnsi"/>
        </w:rPr>
        <w:instrText xml:space="preserve"> ADDIN ZOTERO_ITEM CSL_CITATION {"citationID":"QjnmRFbN","properties":{"formattedCitation":"(Price et al., 2010)","plainCitation":"(Price et al., 2010)","noteIndex":0},"citationItems":[{"id":485,"uris":["http://zotero.org/users/9227957/items/M8GZNFIV"],"itemData":{"id":485,"type":"article-journal","abstract":"Background We recently described FastTree, a tool for inferring phylogenies for alignments with up to hundreds of thousands of sequences. Here, we describe improvements to FastTree that improve its accuracy without sacrificing scalability. Methodology/Principal Findings Where FastTree 1 used nearest-neighbor interchanges (NNIs) and the minimum-evolution criterion to improve the tree, FastTree 2 adds minimum-evolution subtree-pruning-regrafting (SPRs) and maximum-likelihood NNIs. FastTree 2 uses heuristics to restrict the search for better trees and estimates a rate of evolution for each site (the “CAT” approximation). Nevertheless, for both simulated and genuine alignments, FastTree 2 is slightly more accurate than a standard implementation of maximum-likelihood NNIs (PhyML 3 with default settings). Although FastTree 2 is not quite as accurate as methods that use maximum-likelihood SPRs, most of the splits that disagree are poorly supported, and for large alignments, FastTree 2 is 100–1,000 times faster. FastTree 2 inferred a topology and likelihood-based local support values for 237,882 distinct 16S ribosomal RNAs on a desktop computer in 22 hours and 5.8 gigabytes of memory. Conclusions/Significance FastTree 2 allows the inference of maximum-likelihood phylogenies for huge alignments. FastTree 2 is freely available at http://www.microbesonline.org/fasttree.","container-title":"PLOS ONE","DOI":"10.1371/journal.pone.0009490","ISSN":"1932-6203","issue":"3","journalAbbreviation":"PLOS ONE","language":"en","note":"publisher: Public Library of Science","page":"e9490","source":"PLoS Journals","title":"FastTree 2 – Approximately Maximum-Likelihood Trees for Large Alignments","volume":"5","author":[{"family":"Price","given":"Morgan N."},{"family":"Dehal","given":"Paramvir S."},{"family":"Arkin","given":"Adam P."}],"issued":{"date-parts":[["2010",3,10]]}}}],"schema":"https://github.com/citation-style-language/schema/raw/master/csl-citation.json"} </w:instrText>
      </w:r>
      <w:r w:rsidRPr="001370A2">
        <w:rPr>
          <w:rFonts w:cstheme="minorHAnsi"/>
        </w:rPr>
        <w:fldChar w:fldCharType="separate"/>
      </w:r>
      <w:r w:rsidRPr="001370A2">
        <w:rPr>
          <w:rFonts w:cstheme="minorHAnsi"/>
        </w:rPr>
        <w:t>(Price et al., 2010)</w:t>
      </w:r>
      <w:r w:rsidRPr="001370A2">
        <w:rPr>
          <w:rFonts w:cstheme="minorHAnsi"/>
        </w:rPr>
        <w:fldChar w:fldCharType="end"/>
      </w:r>
      <w:r w:rsidRPr="001370A2">
        <w:rPr>
          <w:rFonts w:cstheme="minorHAnsi"/>
        </w:rPr>
        <w:t>.</w:t>
      </w:r>
    </w:p>
    <w:p w14:paraId="335643DA" w14:textId="77777777" w:rsidR="004305CA" w:rsidRPr="001370A2" w:rsidRDefault="004305CA" w:rsidP="004305CA">
      <w:pPr>
        <w:pStyle w:val="Heading2"/>
        <w:spacing w:line="480" w:lineRule="auto"/>
        <w:rPr>
          <w:rFonts w:cstheme="minorHAnsi"/>
        </w:rPr>
      </w:pPr>
      <w:r w:rsidRPr="001370A2">
        <w:rPr>
          <w:rFonts w:cstheme="minorHAnsi"/>
        </w:rPr>
        <w:t>Statistical analysis</w:t>
      </w:r>
    </w:p>
    <w:p w14:paraId="0F75CC27" w14:textId="6B1E2CC5" w:rsidR="004305CA" w:rsidRDefault="004305CA" w:rsidP="004305CA">
      <w:pPr>
        <w:spacing w:line="480" w:lineRule="auto"/>
        <w:rPr>
          <w:rFonts w:cstheme="minorHAnsi"/>
        </w:rPr>
      </w:pPr>
      <w:r w:rsidRPr="001370A2">
        <w:rPr>
          <w:rFonts w:cstheme="minorHAnsi"/>
        </w:rPr>
        <w:t xml:space="preserve">All data were analysed in R </w:t>
      </w:r>
      <w:r w:rsidRPr="001370A2">
        <w:rPr>
          <w:rFonts w:cstheme="minorHAnsi"/>
        </w:rPr>
        <w:fldChar w:fldCharType="begin"/>
      </w:r>
      <w:r>
        <w:rPr>
          <w:rFonts w:cstheme="minorHAnsi"/>
        </w:rPr>
        <w:instrText xml:space="preserve"> ADDIN ZOTERO_ITEM CSL_CITATION {"citationID":"LXlbU6W6","properties":{"formattedCitation":"(R Core Team, 2022)","plainCitation":"(R Core Team, 2022)","noteIndex":0},"citationItems":[{"id":435,"uris":["http://zotero.org/users/9227957/items/H2N25X43"],"itemData":{"id":435,"type":"manuscript","title":"R: A language and environment for statistical computing. R Foundation for Statistical Computing, Vienna, Austria. URL https://www.R-project.org/.","author":[{"family":"R Core Team","given":""}],"issued":{"date-parts":[["2022"]]}}}],"schema":"https://github.com/citation-style-language/schema/raw/master/csl-citation.json"} </w:instrText>
      </w:r>
      <w:r w:rsidRPr="001370A2">
        <w:rPr>
          <w:rFonts w:cstheme="minorHAnsi"/>
        </w:rPr>
        <w:fldChar w:fldCharType="separate"/>
      </w:r>
      <w:r w:rsidRPr="004305CA">
        <w:rPr>
          <w:rFonts w:ascii="Calibri" w:hAnsi="Calibri" w:cs="Calibri"/>
        </w:rPr>
        <w:t>(R Core Team, 2022)</w:t>
      </w:r>
      <w:r w:rsidRPr="001370A2">
        <w:rPr>
          <w:rFonts w:cstheme="minorHAnsi"/>
        </w:rPr>
        <w:fldChar w:fldCharType="end"/>
      </w:r>
      <w:r w:rsidRPr="001370A2">
        <w:rPr>
          <w:rFonts w:cstheme="minorHAnsi"/>
        </w:rPr>
        <w:t xml:space="preserve"> using the packages </w:t>
      </w:r>
      <w:proofErr w:type="spellStart"/>
      <w:r>
        <w:rPr>
          <w:rFonts w:cstheme="minorHAnsi"/>
        </w:rPr>
        <w:t>P</w:t>
      </w:r>
      <w:r w:rsidRPr="001370A2">
        <w:rPr>
          <w:rFonts w:cstheme="minorHAnsi"/>
        </w:rPr>
        <w:t>hylo</w:t>
      </w:r>
      <w:r>
        <w:rPr>
          <w:rFonts w:cstheme="minorHAnsi"/>
        </w:rPr>
        <w:t>S</w:t>
      </w:r>
      <w:r w:rsidRPr="001370A2">
        <w:rPr>
          <w:rFonts w:cstheme="minorHAnsi"/>
        </w:rPr>
        <w:t>eq</w:t>
      </w:r>
      <w:proofErr w:type="spellEnd"/>
      <w:r w:rsidRPr="001370A2">
        <w:rPr>
          <w:rFonts w:cstheme="minorHAnsi"/>
        </w:rPr>
        <w:t xml:space="preserve"> </w:t>
      </w:r>
      <w:r w:rsidRPr="001370A2">
        <w:rPr>
          <w:rFonts w:cstheme="minorHAnsi"/>
        </w:rPr>
        <w:fldChar w:fldCharType="begin"/>
      </w:r>
      <w:r w:rsidRPr="001370A2">
        <w:rPr>
          <w:rFonts w:cstheme="minorHAnsi"/>
        </w:rPr>
        <w:instrText xml:space="preserve"> ADDIN ZOTERO_ITEM CSL_CITATION {"citationID":"Dd7HbuJj","properties":{"formattedCitation":"(McMurdie &amp; Holmes, 2013)","plainCitation":"(McMurdie &amp; Holmes, 2013)","noteIndex":0},"citationItems":[{"id":474,"uris":["http://zotero.org/users/9227957/items/TKR5ZFJL"],"itemData":{"id":474,"type":"article-journal","abstract":"Background The analysis of microbial communities through DNA sequencing brings many challenges: the integration of different types of data with methods from ecology, genetics, phylogenetics, multivariate statistics, visualization and testing. With the increased breadth of experimental designs now being pursued, project-specific statistical analyses are often needed, and these analyses are often difficult (or impossible) for peer researchers to independently reproduce. The vast majority of the requisite tools for performing these analyses reproducibly are already implemented in R and its extensions (packages), but with limited support for high throughput microbiome census data. Results Here we describe a software project, phyloseq, dedicated to the object-oriented representation and analysis of microbiome census data in R. It supports importing data from a variety of common formats, as well as many analysis techniques. These include calibration, filtering, subsetting, agglomeration, multi-table comparisons, diversity analysis, parallelized Fast UniFrac, ordination methods, and production of publication-quality graphics; all in a manner that is easy to document, share, and modify. We show how to apply functions from other R packages to phyloseq-represented data, illustrating the availability of a large number of open source analysis techniques. We discuss the use of phyloseq with tools for reproducible research, a practice common in other fields but still rare in the analysis of highly parallel microbiome census data. We have made available all of the materials necessary to completely reproduce the analysis and figures included in this article, an example of best practices for reproducible research. Conclusions The phyloseq project for R is a new open-source software package, freely available on the web from both GitHub and Bioconductor.","container-title":"PLOS ONE","DOI":"10.1371/journal.pone.0061217","ISSN":"1932-6203","issue":"4","journalAbbreviation":"PLOS ONE","language":"en","note":"publisher: Public Library of Science","page":"e61217","source":"PLoS Journals","title":"phyloseq: An R Package for Reproducible Interactive Analysis and Graphics of Microbiome Census Data","title-short":"phyloseq","volume":"8","author":[{"family":"McMurdie","given":"Paul J."},{"family":"Holmes","given":"Susan"}],"issued":{"date-parts":[["2013",4,22]]}}}],"schema":"https://github.com/citation-style-language/schema/raw/master/csl-citation.json"} </w:instrText>
      </w:r>
      <w:r w:rsidRPr="001370A2">
        <w:rPr>
          <w:rFonts w:cstheme="minorHAnsi"/>
        </w:rPr>
        <w:fldChar w:fldCharType="separate"/>
      </w:r>
      <w:r w:rsidRPr="001370A2">
        <w:rPr>
          <w:rFonts w:cstheme="minorHAnsi"/>
        </w:rPr>
        <w:t>(</w:t>
      </w:r>
      <w:proofErr w:type="spellStart"/>
      <w:r w:rsidRPr="001370A2">
        <w:rPr>
          <w:rFonts w:cstheme="minorHAnsi"/>
        </w:rPr>
        <w:t>McMurdie</w:t>
      </w:r>
      <w:proofErr w:type="spellEnd"/>
      <w:r w:rsidRPr="001370A2">
        <w:rPr>
          <w:rFonts w:cstheme="minorHAnsi"/>
        </w:rPr>
        <w:t xml:space="preserve"> &amp; Holmes, 2013)</w:t>
      </w:r>
      <w:r w:rsidRPr="001370A2">
        <w:rPr>
          <w:rFonts w:cstheme="minorHAnsi"/>
        </w:rPr>
        <w:fldChar w:fldCharType="end"/>
      </w:r>
      <w:r w:rsidRPr="001370A2">
        <w:rPr>
          <w:rFonts w:cstheme="minorHAnsi"/>
        </w:rPr>
        <w:t xml:space="preserve">, </w:t>
      </w:r>
      <w:proofErr w:type="spellStart"/>
      <w:r w:rsidRPr="001370A2">
        <w:rPr>
          <w:rFonts w:cstheme="minorHAnsi"/>
        </w:rPr>
        <w:t>microeco</w:t>
      </w:r>
      <w:proofErr w:type="spellEnd"/>
      <w:r w:rsidRPr="001370A2">
        <w:rPr>
          <w:rFonts w:cstheme="minorHAnsi"/>
        </w:rPr>
        <w:t xml:space="preserve"> </w:t>
      </w:r>
      <w:r w:rsidRPr="001370A2">
        <w:rPr>
          <w:rFonts w:cstheme="minorHAnsi"/>
        </w:rPr>
        <w:fldChar w:fldCharType="begin"/>
      </w:r>
      <w:r w:rsidRPr="001370A2">
        <w:rPr>
          <w:rFonts w:cstheme="minorHAnsi"/>
        </w:rPr>
        <w:instrText xml:space="preserve"> ADDIN ZOTERO_ITEM CSL_CITATION {"citationID":"rPc8gTFr","properties":{"formattedCitation":"(Liu et al., 2021)","plainCitation":"(Liu et al., 2021)","noteIndex":0},"citationItems":[{"id":294,"uris":["http://zotero.org/users/9227957/items/5XLMBRAH"],"itemData":{"id":294,"type":"article-journal","container-title":"FEMS microbiology ecology","issue":"2","note":"publisher: Oxford University Press","page":"fiaa255","source":"Google Scholar","title":"microeco: an R package for data mining in microbial community ecology","title-short":"microeco","volume":"97","author":[{"family":"Liu","given":"Chi"},{"family":"Cui","given":"Yaoming"},{"family":"Li","given":"Xiangzhen"},{"family":"Yao","given":"Minjie"}],"issued":{"date-parts":[["2021"]]}}}],"schema":"https://github.com/citation-style-language/schema/raw/master/csl-citation.json"} </w:instrText>
      </w:r>
      <w:r w:rsidRPr="001370A2">
        <w:rPr>
          <w:rFonts w:cstheme="minorHAnsi"/>
        </w:rPr>
        <w:fldChar w:fldCharType="separate"/>
      </w:r>
      <w:r w:rsidRPr="001370A2">
        <w:rPr>
          <w:rFonts w:cstheme="minorHAnsi"/>
        </w:rPr>
        <w:t>(Liu et al., 2021)</w:t>
      </w:r>
      <w:r w:rsidRPr="001370A2">
        <w:rPr>
          <w:rFonts w:cstheme="minorHAnsi"/>
        </w:rPr>
        <w:fldChar w:fldCharType="end"/>
      </w:r>
      <w:r>
        <w:rPr>
          <w:rFonts w:cstheme="minorHAnsi"/>
        </w:rPr>
        <w:t xml:space="preserve">, </w:t>
      </w:r>
      <w:proofErr w:type="spellStart"/>
      <w:r>
        <w:rPr>
          <w:rFonts w:cstheme="minorHAnsi"/>
        </w:rPr>
        <w:t>metacoder</w:t>
      </w:r>
      <w:proofErr w:type="spellEnd"/>
      <w:r>
        <w:rPr>
          <w:rFonts w:cstheme="minorHAnsi"/>
        </w:rPr>
        <w:t xml:space="preserve"> </w:t>
      </w:r>
      <w:r>
        <w:rPr>
          <w:rFonts w:cstheme="minorHAnsi"/>
        </w:rPr>
        <w:fldChar w:fldCharType="begin"/>
      </w:r>
      <w:r>
        <w:rPr>
          <w:rFonts w:cstheme="minorHAnsi"/>
        </w:rPr>
        <w:instrText xml:space="preserve"> ADDIN ZOTERO_ITEM CSL_CITATION {"citationID":"m4Vjeun4","properties":{"formattedCitation":"(Foster et al., 2017)","plainCitation":"(Foster et al., 2017)","noteIndex":0},"citationItems":[{"id":677,"uris":["http://zotero.org/users/9227957/items/F232GJIC"],"itemData":{"id":677,"type":"article-journal","abstract":"Community-level data, the type generated by an increasing number of metabarcoding studies, is often graphed as stacked bar charts or pie graphs that use color to represent taxa. These graph types do not convey the hierarchical structure of taxonomic classifications and are limited by the use of color for categories. As an alternative, we developed metacoder, an R package for easily parsing, manipulating, and graphing publication-ready plots of hierarchical data. Metacoder includes a dynamic and flexible function that can parse most text-based formats that contain taxonomic classifications, taxon names, taxon identifiers, or sequence identifiers. Metacoder can then subset, sample, and order this parsed data using a set of intuitive functions that take into account the hierarchical nature of the data. Finally, an extremely flexible plotting function enables quantitative representation of up to 4 arbitrary statistics simultaneously in a tree format by mapping statistics to the color and size of tree nodes and edges. Metacoder also allows exploration of barcode primer bias by integrating functions to run digital PCR. Although it has been designed for data from metabarcoding research, metacoder can easily be applied to any data that has a hierarchical component such as gene ontology or geographic location data. Our package complements currently available tools for community analysis and is provided open source with an extensive online user manual.","container-title":"PLOS Computational Biology","DOI":"10.1371/journal.pcbi.1005404","ISSN":"1553-7358","issue":"2","journalAbbreviation":"PLOS Computational Biology","language":"en","note":"publisher: Public Library of Science","page":"e1005404","source":"PLoS Journals","title":"Metacoder: An R package for visualization and manipulation of community taxonomic diversity data","title-short":"Metacoder","volume":"13","author":[{"family":"Foster","given":"Zachary S. L."},{"family":"Sharpton","given":"Thomas J."},{"family":"Grünwald","given":"Niklaus J."}],"issued":{"date-parts":[["2017",2,21]]}}}],"schema":"https://github.com/citation-style-language/schema/raw/master/csl-citation.json"} </w:instrText>
      </w:r>
      <w:r>
        <w:rPr>
          <w:rFonts w:cstheme="minorHAnsi"/>
        </w:rPr>
        <w:fldChar w:fldCharType="separate"/>
      </w:r>
      <w:r w:rsidRPr="004979A6">
        <w:rPr>
          <w:rFonts w:ascii="Calibri" w:hAnsi="Calibri" w:cs="Calibri"/>
        </w:rPr>
        <w:t>(Foster et al., 2017)</w:t>
      </w:r>
      <w:r>
        <w:rPr>
          <w:rFonts w:cstheme="minorHAnsi"/>
        </w:rPr>
        <w:fldChar w:fldCharType="end"/>
      </w:r>
      <w:r w:rsidRPr="001370A2">
        <w:rPr>
          <w:rFonts w:cstheme="minorHAnsi"/>
        </w:rPr>
        <w:t xml:space="preserve"> and vegan </w:t>
      </w:r>
      <w:r w:rsidRPr="001370A2">
        <w:rPr>
          <w:rFonts w:cstheme="minorHAnsi"/>
        </w:rPr>
        <w:fldChar w:fldCharType="begin"/>
      </w:r>
      <w:r w:rsidRPr="001370A2">
        <w:rPr>
          <w:rFonts w:cstheme="minorHAnsi"/>
        </w:rPr>
        <w:instrText xml:space="preserve"> ADDIN ZOTERO_ITEM CSL_CITATION {"citationID":"MK3BxgGs","properties":{"formattedCitation":"(Oksanen, 2007)","plainCitation":"(Oksanen, 2007)","noteIndex":0},"citationItems":[{"id":476,"uris":["http://zotero.org/users/9227957/items/LXX7ZGGA"],"itemData":{"id":476,"type":"article-journal","container-title":"http://www.cran.r-project.org","source":"cir.nii.ac.jp","title":"vegan : Community Ecology Package. R package version 1.8-5","title-short":"vegan","URL":"https://cir.nii.ac.jp/crid/1570854175539033984","author":[{"family":"Oksanen","given":"J"}],"accessed":{"date-parts":[["2022",7,30]]},"issued":{"date-parts":[["2007"]]}}}],"schema":"https://github.com/citation-style-language/schema/raw/master/csl-citation.json"} </w:instrText>
      </w:r>
      <w:r w:rsidRPr="001370A2">
        <w:rPr>
          <w:rFonts w:cstheme="minorHAnsi"/>
        </w:rPr>
        <w:fldChar w:fldCharType="separate"/>
      </w:r>
      <w:r w:rsidRPr="001370A2">
        <w:rPr>
          <w:rFonts w:cstheme="minorHAnsi"/>
        </w:rPr>
        <w:t>(Oksanen, 2007)</w:t>
      </w:r>
      <w:r w:rsidRPr="001370A2">
        <w:rPr>
          <w:rFonts w:cstheme="minorHAnsi"/>
        </w:rPr>
        <w:fldChar w:fldCharType="end"/>
      </w:r>
      <w:r w:rsidRPr="001370A2">
        <w:rPr>
          <w:rFonts w:cstheme="minorHAnsi"/>
        </w:rPr>
        <w:t xml:space="preserve">. OTUs </w:t>
      </w:r>
      <w:r>
        <w:rPr>
          <w:rFonts w:cstheme="minorHAnsi"/>
        </w:rPr>
        <w:t>that</w:t>
      </w:r>
      <w:r w:rsidRPr="001370A2">
        <w:rPr>
          <w:rFonts w:cstheme="minorHAnsi"/>
        </w:rPr>
        <w:t xml:space="preserve"> were not assigned to the kingdoms of </w:t>
      </w:r>
      <w:r>
        <w:rPr>
          <w:rFonts w:cstheme="minorHAnsi"/>
        </w:rPr>
        <w:t>B</w:t>
      </w:r>
      <w:r w:rsidRPr="001370A2">
        <w:rPr>
          <w:rFonts w:cstheme="minorHAnsi"/>
        </w:rPr>
        <w:t xml:space="preserve">acteria and </w:t>
      </w:r>
      <w:r>
        <w:rPr>
          <w:rFonts w:cstheme="minorHAnsi"/>
        </w:rPr>
        <w:t>A</w:t>
      </w:r>
      <w:r w:rsidRPr="001370A2">
        <w:rPr>
          <w:rFonts w:cstheme="minorHAnsi"/>
        </w:rPr>
        <w:t>rchaea were removed</w:t>
      </w:r>
      <w:r>
        <w:rPr>
          <w:rFonts w:cstheme="minorHAnsi"/>
        </w:rPr>
        <w:t xml:space="preserve">, as were sequences assigned as </w:t>
      </w:r>
      <w:r w:rsidRPr="001370A2">
        <w:rPr>
          <w:rFonts w:cstheme="minorHAnsi"/>
        </w:rPr>
        <w:t xml:space="preserve">chloroplast or mitochondria. To limit </w:t>
      </w:r>
      <w:r>
        <w:rPr>
          <w:rFonts w:cstheme="minorHAnsi"/>
        </w:rPr>
        <w:t>sample depth</w:t>
      </w:r>
      <w:r w:rsidRPr="001370A2">
        <w:rPr>
          <w:rFonts w:cstheme="minorHAnsi"/>
        </w:rPr>
        <w:t xml:space="preserve"> effects on diversity measurements</w:t>
      </w:r>
      <w:r>
        <w:rPr>
          <w:rFonts w:cstheme="minorHAnsi"/>
        </w:rPr>
        <w:t>,</w:t>
      </w:r>
      <w:r w:rsidRPr="001370A2">
        <w:rPr>
          <w:rFonts w:cstheme="minorHAnsi"/>
        </w:rPr>
        <w:t xml:space="preserve"> samples were rarefied to 10000 reads. Alpha diversity was assessed via Chao1 richness and the Shannon’s index of entropy. Generalised linear models were used to assess the significance of predictor variables. Akaike Information Criterion (AIC) was used to determine the best-fit model. Beta-diversity measures were visualised by principal coordinates analysis (</w:t>
      </w:r>
      <w:proofErr w:type="spellStart"/>
      <w:r w:rsidRPr="001370A2">
        <w:rPr>
          <w:rFonts w:cstheme="minorHAnsi"/>
        </w:rPr>
        <w:t>PCoA</w:t>
      </w:r>
      <w:proofErr w:type="spellEnd"/>
      <w:r w:rsidRPr="001370A2">
        <w:rPr>
          <w:rFonts w:cstheme="minorHAnsi"/>
        </w:rPr>
        <w:t xml:space="preserve">) plots using Bray-Curtis and weighted </w:t>
      </w:r>
      <w:proofErr w:type="spellStart"/>
      <w:r w:rsidRPr="001370A2">
        <w:rPr>
          <w:rFonts w:cstheme="minorHAnsi"/>
        </w:rPr>
        <w:t>UniFrac</w:t>
      </w:r>
      <w:proofErr w:type="spellEnd"/>
      <w:r w:rsidRPr="001370A2">
        <w:rPr>
          <w:rFonts w:cstheme="minorHAnsi"/>
        </w:rPr>
        <w:t xml:space="preserve"> distance measures. Permutational multivariate analysis of variance (PERMANOVA) was used to test the effects of sampling date (month), sex and genetic origin on the intestinal microbial communities among individual fish.</w:t>
      </w:r>
    </w:p>
    <w:p w14:paraId="79E9AB0C" w14:textId="77777777" w:rsidR="00053390" w:rsidRPr="00B255CD" w:rsidRDefault="00053390" w:rsidP="00053390">
      <w:pPr>
        <w:pStyle w:val="Heading2"/>
        <w:spacing w:line="480" w:lineRule="auto"/>
        <w:rPr>
          <w:rFonts w:cstheme="minorHAnsi"/>
        </w:rPr>
      </w:pPr>
      <w:bookmarkStart w:id="2" w:name="_Hlk136345198"/>
      <w:r w:rsidRPr="00B255CD">
        <w:rPr>
          <w:rFonts w:cstheme="minorHAnsi"/>
        </w:rPr>
        <w:t>Distance-based redundancy analysis (</w:t>
      </w:r>
      <w:proofErr w:type="spellStart"/>
      <w:r w:rsidRPr="00B255CD">
        <w:rPr>
          <w:rFonts w:cstheme="minorHAnsi"/>
        </w:rPr>
        <w:t>dbRDA</w:t>
      </w:r>
      <w:proofErr w:type="spellEnd"/>
      <w:r w:rsidRPr="00B255CD">
        <w:rPr>
          <w:rFonts w:cstheme="minorHAnsi"/>
        </w:rPr>
        <w:t>)</w:t>
      </w:r>
    </w:p>
    <w:p w14:paraId="1453F2AF" w14:textId="2B084557" w:rsidR="00053390" w:rsidRDefault="00053390" w:rsidP="00053390">
      <w:pPr>
        <w:spacing w:line="480" w:lineRule="auto"/>
      </w:pPr>
      <w:r w:rsidRPr="00B255CD">
        <w:t>We used distance-based redundancy analysis (</w:t>
      </w:r>
      <w:proofErr w:type="spellStart"/>
      <w:r w:rsidRPr="00B255CD">
        <w:t>dbRDA</w:t>
      </w:r>
      <w:proofErr w:type="spellEnd"/>
      <w:r w:rsidRPr="00B255CD">
        <w:t>) to determine how much of the variation in intestinal</w:t>
      </w:r>
      <w:r>
        <w:t xml:space="preserve"> or environmental</w:t>
      </w:r>
      <w:r w:rsidRPr="00B255CD">
        <w:t xml:space="preserve"> microbial communities could be explained by external environmental factors. Environmental variables were log10 transformed to </w:t>
      </w:r>
      <w:r>
        <w:t>improve comparability of</w:t>
      </w:r>
      <w:r w:rsidRPr="00B255CD">
        <w:t xml:space="preserve"> canonical </w:t>
      </w:r>
      <w:r w:rsidRPr="00B255CD">
        <w:lastRenderedPageBreak/>
        <w:t>coefficient</w:t>
      </w:r>
      <w:r>
        <w:t xml:space="preserve">s </w:t>
      </w:r>
      <w:r>
        <w:fldChar w:fldCharType="begin"/>
      </w:r>
      <w:r>
        <w:instrText xml:space="preserve"> ADDIN ZOTERO_ITEM CSL_CITATION {"citationID":"326g4N2k","properties":{"formattedCitation":"(Buttigieg &amp; Ramette, 2014)","plainCitation":"(Buttigieg &amp; Ramette, 2014)","noteIndex":0},"citationItems":[{"id":480,"uris":["http://zotero.org/users/9227957/items/QI3YSVV4"],"itemData":{"id":480,"type":"article-journal","abstract":"The application of multivariate statistical analyses has become a consistent feature in microbial ecology. However, many microbial ecologists are still in the process of developing a deep understanding of these methods and appreciating their limitations. As a consequence, staying abreast of progress and debate in this arena poses an additional challenge to many microbial ecologists. To address these issues, we present the GUide to STatistical Analysis in Microbial Ecology (GUSTA ME): a dynamic, web-based resource providing accessible descriptions of numerous multivariate techniques relevant to microbial ecologists. A combination of interactive elements allows users to discover and navigate between methods relevant to their needs and examine how they have been used by others in the field. We have designed GUSTA ME to become a community-led and -curated service, which we hope will provide a common reference and forum to discuss and disseminate analytical techniques relevant to the microbial ecology community.","container-title":"FEMS Microbiology Ecology","DOI":"10.1111/1574-6941.12437","ISSN":"0168-6496","issue":"3","journalAbbreviation":"FEMS Microbiology Ecology","page":"543-550","source":"Silverchair","title":"A guide to statistical analysis in microbial ecology: a community-focused, living review of multivariate data analyses","title-short":"A guide to statistical analysis in microbial ecology","volume":"90","author":[{"family":"Buttigieg","given":"Pier Luigi"},{"family":"Ramette","given":"Alban"}],"issued":{"date-parts":[["2014",12,1]]}}}],"schema":"https://github.com/citation-style-language/schema/raw/master/csl-citation.json"} </w:instrText>
      </w:r>
      <w:r>
        <w:fldChar w:fldCharType="separate"/>
      </w:r>
      <w:r w:rsidRPr="00053390">
        <w:rPr>
          <w:rFonts w:ascii="Calibri" w:hAnsi="Calibri" w:cs="Calibri"/>
        </w:rPr>
        <w:t>(Buttigieg &amp; Ramette, 2014)</w:t>
      </w:r>
      <w:r>
        <w:fldChar w:fldCharType="end"/>
      </w:r>
      <w:r>
        <w:t>. Candidate predictors tested were host-specific factors such as</w:t>
      </w:r>
      <w:r w:rsidRPr="00B255CD">
        <w:t xml:space="preserve"> fish length </w:t>
      </w:r>
      <w:r>
        <w:t xml:space="preserve">or </w:t>
      </w:r>
      <w:r w:rsidRPr="00B255CD">
        <w:t>weight</w:t>
      </w:r>
      <w:r>
        <w:t xml:space="preserve"> and environmental factors such as </w:t>
      </w:r>
      <w:r w:rsidRPr="00B255CD">
        <w:t>water temperature</w:t>
      </w:r>
      <w:r>
        <w:t>, w</w:t>
      </w:r>
      <w:r w:rsidRPr="00B255CD">
        <w:t>ater level and</w:t>
      </w:r>
      <w:r>
        <w:t xml:space="preserve"> river discharge</w:t>
      </w:r>
      <w:r w:rsidRPr="00B255CD">
        <w:t>, dissolved oxygen (DO) and conductivity</w:t>
      </w:r>
      <w:r>
        <w:t>. Environmental factors</w:t>
      </w:r>
      <w:r w:rsidDel="00493D96">
        <w:t xml:space="preserve"> </w:t>
      </w:r>
      <w:r>
        <w:t>were used to predict seasonal differences in the bacterial communities collected from the water column. To estimate the perturbation of aquatic bacteria due to flooding events, the average river discharge was calculated as the seven-day mean prior to sampling timepoints.</w:t>
      </w:r>
      <w:r w:rsidRPr="00B255CD">
        <w:t xml:space="preserve"> </w:t>
      </w:r>
      <w:bookmarkEnd w:id="2"/>
    </w:p>
    <w:p w14:paraId="39A94B3D" w14:textId="77777777" w:rsidR="00A958CE" w:rsidRPr="001370A2" w:rsidRDefault="00A958CE" w:rsidP="00A958CE">
      <w:pPr>
        <w:pStyle w:val="Heading2"/>
        <w:spacing w:line="480" w:lineRule="auto"/>
        <w:rPr>
          <w:rFonts w:cstheme="minorHAnsi"/>
        </w:rPr>
      </w:pPr>
      <w:r w:rsidRPr="001370A2">
        <w:rPr>
          <w:rFonts w:cstheme="minorHAnsi"/>
        </w:rPr>
        <w:t>Source tracking analysis</w:t>
      </w:r>
    </w:p>
    <w:p w14:paraId="5B251BD3" w14:textId="7758E648" w:rsidR="00A958CE" w:rsidRDefault="00A958CE" w:rsidP="00A958CE">
      <w:pPr>
        <w:spacing w:line="480" w:lineRule="auto"/>
      </w:pPr>
      <w:r w:rsidRPr="001370A2">
        <w:rPr>
          <w:rFonts w:cstheme="minorHAnsi"/>
        </w:rPr>
        <w:t>Fast expectation-maximization for microbial source tracking (FEAST</w:t>
      </w:r>
      <w:r>
        <w:rPr>
          <w:rFonts w:cstheme="minorHAnsi"/>
        </w:rPr>
        <w:t xml:space="preserve">, </w:t>
      </w:r>
      <w:r w:rsidRPr="001370A2">
        <w:rPr>
          <w:rFonts w:cstheme="minorHAnsi"/>
        </w:rPr>
        <w:fldChar w:fldCharType="begin"/>
      </w:r>
      <w:r>
        <w:rPr>
          <w:rFonts w:cstheme="minorHAnsi"/>
        </w:rPr>
        <w:instrText xml:space="preserve"> ADDIN ZOTERO_ITEM CSL_CITATION {"citationID":"zl2KnZW0","properties":{"formattedCitation":"(Shenhav et al., 2019)","plainCitation":"(Shenhav et al., 2019)","dontUpdate":true,"noteIndex":0},"citationItems":[{"id":483,"uris":["http://zotero.org/users/9227957/items/3CVTW6JP"],"itemData":{"id":483,"type":"article-journal","abstract":"A major challenge of analyzing the compositional structure of microbiome data is identifying its potential origins. Here, we introduce fast expectation-maximization microbial source tracking (FEAST), a ready-to-use scalable framework that can simultaneously estimate the contribution of thousands of potential source environments in a timely manner, thereby helping unravel the origins of complex microbial communities (https://github.com/cozygene/FEAST). The information gained from FEAST may provide insight into quantifying contamination, tracking the formation of developing microbial communities, as well as distinguishing and characterizing bacteria-related health conditions.","container-title":"Nature Methods","DOI":"10.1038/s41592-019-0431-x","ISSN":"1548-7105","issue":"7","journalAbbreviation":"Nat Methods","language":"en","license":"2019 The Author(s), under exclusive licence to Springer Nature America, Inc.","note":"number: 7\npublisher: Nature Publishing Group","page":"627-632","source":"www.nature.com","title":"FEAST: fast expectation-maximization for microbial source tracking","title-short":"FEAST","volume":"16","author":[{"family":"Shenhav","given":"Liat"},{"family":"Thompson","given":"Mike"},{"family":"Joseph","given":"Tyler A."},{"family":"Briscoe","given":"Leah"},{"family":"Furman","given":"Ori"},{"family":"Bogumil","given":"David"},{"family":"Mizrahi","given":"Itzhak"},{"family":"Pe’er","given":"Itsik"},{"family":"Halperin","given":"Eran"}],"issued":{"date-parts":[["2019",7]]}}}],"schema":"https://github.com/citation-style-language/schema/raw/master/csl-citation.json"} </w:instrText>
      </w:r>
      <w:r w:rsidRPr="001370A2">
        <w:rPr>
          <w:rFonts w:cstheme="minorHAnsi"/>
        </w:rPr>
        <w:fldChar w:fldCharType="separate"/>
      </w:r>
      <w:r w:rsidRPr="001370A2">
        <w:rPr>
          <w:rFonts w:cstheme="minorHAnsi"/>
        </w:rPr>
        <w:t>Shenhav et al., 2019)</w:t>
      </w:r>
      <w:r w:rsidRPr="001370A2">
        <w:rPr>
          <w:rFonts w:cstheme="minorHAnsi"/>
        </w:rPr>
        <w:fldChar w:fldCharType="end"/>
      </w:r>
      <w:r w:rsidRPr="001370A2">
        <w:rPr>
          <w:rFonts w:cstheme="minorHAnsi"/>
        </w:rPr>
        <w:t xml:space="preserve"> was used to analyse the contribution and the relative importance of fish feed (macroinvertebrates</w:t>
      </w:r>
      <w:r>
        <w:rPr>
          <w:rFonts w:cstheme="minorHAnsi"/>
        </w:rPr>
        <w:t>)</w:t>
      </w:r>
      <w:r w:rsidRPr="001370A2">
        <w:rPr>
          <w:rFonts w:cstheme="minorHAnsi"/>
        </w:rPr>
        <w:t xml:space="preserve"> and </w:t>
      </w:r>
      <w:r>
        <w:rPr>
          <w:rFonts w:cstheme="minorHAnsi"/>
        </w:rPr>
        <w:t xml:space="preserve">planktonic </w:t>
      </w:r>
      <w:r w:rsidRPr="001370A2">
        <w:rPr>
          <w:rFonts w:cstheme="minorHAnsi"/>
        </w:rPr>
        <w:t>water bacteria to intestinal microbial communit</w:t>
      </w:r>
      <w:r>
        <w:rPr>
          <w:rFonts w:cstheme="minorHAnsi"/>
        </w:rPr>
        <w:t>y composition</w:t>
      </w:r>
      <w:r w:rsidRPr="001370A2">
        <w:rPr>
          <w:rFonts w:cstheme="minorHAnsi"/>
        </w:rPr>
        <w:t xml:space="preserve"> of the individual fish.</w:t>
      </w:r>
      <w:r>
        <w:rPr>
          <w:rFonts w:cstheme="minorHAnsi"/>
        </w:rPr>
        <w:t xml:space="preserve"> The tool </w:t>
      </w:r>
      <w:r w:rsidRPr="00A958CE">
        <w:rPr>
          <w:rFonts w:cstheme="minorHAnsi"/>
        </w:rPr>
        <w:t>estimates the contribution of different source environments to a microbial community, referred to as the sink. It also identifies the fraction of the sink attributed to other unidentified origins, known as the unknown source.</w:t>
      </w:r>
      <w:r>
        <w:rPr>
          <w:rFonts w:cstheme="minorHAnsi"/>
        </w:rPr>
        <w:t xml:space="preserve"> Mixing proportions were calculated for each individual fish by using five macroinvertebrate samples (each from one order) and three water samples (reflecting top, mid and </w:t>
      </w:r>
      <w:proofErr w:type="spellStart"/>
      <w:r>
        <w:rPr>
          <w:rFonts w:cstheme="minorHAnsi"/>
        </w:rPr>
        <w:t>bot</w:t>
      </w:r>
      <w:proofErr w:type="spellEnd"/>
      <w:r>
        <w:rPr>
          <w:rFonts w:cstheme="minorHAnsi"/>
        </w:rPr>
        <w:t xml:space="preserve"> locations within the study site). These eight “sources” were sampled at the same timepoint as the respective fish.</w:t>
      </w:r>
    </w:p>
    <w:p w14:paraId="2915AFB5" w14:textId="4E005B9B" w:rsidR="00761E82" w:rsidRDefault="00761135" w:rsidP="00761135">
      <w:pPr>
        <w:pStyle w:val="Heading2"/>
        <w:spacing w:line="480" w:lineRule="auto"/>
      </w:pPr>
      <w:r>
        <w:t>Abundance-occupancy analysis and neutral model fitting</w:t>
      </w:r>
    </w:p>
    <w:p w14:paraId="1205EC61" w14:textId="2F45DE3D" w:rsidR="00761135" w:rsidRDefault="00761135" w:rsidP="00F77274">
      <w:pPr>
        <w:spacing w:line="480" w:lineRule="auto"/>
      </w:pPr>
      <w:r w:rsidRPr="00E83F5C">
        <w:t xml:space="preserve">We employed </w:t>
      </w:r>
      <w:r>
        <w:t xml:space="preserve">a </w:t>
      </w:r>
      <w:r w:rsidRPr="00E83F5C">
        <w:t>Shade</w:t>
      </w:r>
      <w:r>
        <w:t>-</w:t>
      </w:r>
      <w:proofErr w:type="spellStart"/>
      <w:r w:rsidRPr="00E83F5C">
        <w:t>Stopnisek</w:t>
      </w:r>
      <w:proofErr w:type="spellEnd"/>
      <w:r w:rsidRPr="00E83F5C">
        <w:t xml:space="preserve"> abundancy-occupancy analysis to identify potential </w:t>
      </w:r>
      <w:r>
        <w:t>‘</w:t>
      </w:r>
      <w:r w:rsidRPr="00E83F5C">
        <w:t>core</w:t>
      </w:r>
      <w:r>
        <w:t>’</w:t>
      </w:r>
      <w:r w:rsidRPr="00E83F5C">
        <w:t xml:space="preserve"> </w:t>
      </w:r>
      <w:r>
        <w:t xml:space="preserve">OTUs </w:t>
      </w:r>
      <w:r w:rsidRPr="00E83F5C">
        <w:t>in the intestinal microbiome of Atlantic salmon</w:t>
      </w:r>
      <w:r>
        <w:t xml:space="preserve"> </w:t>
      </w:r>
      <w:r>
        <w:fldChar w:fldCharType="begin"/>
      </w:r>
      <w:r>
        <w:instrText xml:space="preserve"> ADDIN ZOTERO_ITEM CSL_CITATION {"citationID":"C1ynDiYC","properties":{"formattedCitation":"(Shade &amp; Stopnisek, 2019)","plainCitation":"(Shade &amp; Stopnisek, 2019)","noteIndex":0},"citationItems":[{"id":674,"uris":["http://zotero.org/users/9227957/items/PZCJAEDE"],"itemData":{"id":674,"type":"article-journal","abstract":"Core microbiome members are consistent features of a dataset that are hypothesized to reflect underlying functional relationships with the host. A review of the recent plant-microbiome literature reveals a variety of study-specific approaches used to define the core, which presents a challenge to building a general plant-microbiome framework. Abundance-occupancy distributions, used in macroecology to describe changes in community diversity over space, offer an ecological approach for prioritizing core membership for both spatial and temporal studies. Additionally, neutral models fit to the abundance-occupancy distributions can provide insights into deterministically selected core members. We provide examples and code to systematically explore a core plant microbiome from abundance-occupancy distributions. Though we focus on examples from and discussions relevant to the plant microbiome, the abundance-occupancy method can be widely and generally applied to prioritize core membership for any microbiome.","collection-title":"Environmental Microbiology","container-title":"Current Opinion in Microbiology","DOI":"10.1016/j.mib.2019.09.008","ISSN":"1369-5274","journalAbbreviation":"Current Opinion in Microbiology","language":"en","page":"50-58","source":"ScienceDirect","title":"Abundance-occupancy distributions to prioritize plant core microbiome membership","volume":"49","author":[{"family":"Shade","given":"Ashley"},{"family":"Stopnisek","given":"Nejc"}],"issued":{"date-parts":[["2019",6,1]]}}}],"schema":"https://github.com/citation-style-language/schema/raw/master/csl-citation.json"} </w:instrText>
      </w:r>
      <w:r>
        <w:fldChar w:fldCharType="separate"/>
      </w:r>
      <w:r w:rsidRPr="00E83F5C">
        <w:rPr>
          <w:rFonts w:ascii="Calibri" w:hAnsi="Calibri" w:cs="Calibri"/>
        </w:rPr>
        <w:t>(Shade &amp; Stopnisek, 2019)</w:t>
      </w:r>
      <w:r>
        <w:fldChar w:fldCharType="end"/>
      </w:r>
      <w:r>
        <w:t>, which</w:t>
      </w:r>
      <w:r w:rsidRPr="00E83F5C">
        <w:t xml:space="preserve"> uses abundance-occupancy distributions fitted to Sloan's neutral </w:t>
      </w:r>
      <w:r>
        <w:t xml:space="preserve">model </w:t>
      </w:r>
      <w:r>
        <w:fldChar w:fldCharType="begin"/>
      </w:r>
      <w:r>
        <w:instrText xml:space="preserve"> ADDIN ZOTERO_ITEM CSL_CITATION {"citationID":"9Gjzvp8N","properties":{"formattedCitation":"(Sloan et al., 2006)","plainCitation":"(Sloan et al., 2006)","noteIndex":0},"citationItems":[{"id":567,"uris":["http://zotero.org/users/9227957/items/FN9I4UZ3"],"itemData":{"id":567,"type":"article-journal","abstract":"Naturally occurring populations of bacteria and archaea are vital to life on the earth and are of enormous practical significance in medicine, engineering and agriculture. However, the rules governing the formation of such communities are still poorly understood, and there is a need for a usable mathematical description of this process. Typically, microbial community structure is thought to be shaped mainly by deterministic factors such as competition and niche differentiation. Here we show, for a wide range of prokaryotic communities, that the relative abundance and frequency with which different taxa are observed in samples can be explained by a neutral community model (NCM). The NCM, which is a stochastic, birth–death immigration process, does not explicitly represent the deterministic factors and therefore cannot be a complete or literal description of community assembly. However, its success suggests that chance and immigration are important forces in shaping the patterns seen in prokaryotic communities.","container-title":"Environmental Microbiology","DOI":"10.1111/j.1462-2920.2005.00956.x","ISSN":"1462-2920","issue":"4","language":"en","note":"_eprint: https://onlinelibrary.wiley.com/doi/pdf/10.1111/j.1462-2920.2005.00956.x","page":"732-740","source":"Wiley Online Library","title":"Quantifying the roles of immigration and chance in shaping prokaryote community structure","volume":"8","author":[{"family":"Sloan","given":"William T."},{"family":"Lunn","given":"Mary"},{"family":"Woodcock","given":"Stephen"},{"family":"Head","given":"Ian M."},{"family":"Nee","given":"Sean"},{"family":"Curtis","given":"Thomas P."}],"issued":{"date-parts":[["2006"]]}}}],"schema":"https://github.com/citation-style-language/schema/raw/master/csl-citation.json"} </w:instrText>
      </w:r>
      <w:r>
        <w:fldChar w:fldCharType="separate"/>
      </w:r>
      <w:r w:rsidRPr="00E83F5C">
        <w:rPr>
          <w:rFonts w:ascii="Calibri" w:hAnsi="Calibri" w:cs="Calibri"/>
        </w:rPr>
        <w:t>(Sloan et al., 2006)</w:t>
      </w:r>
      <w:r>
        <w:fldChar w:fldCharType="end"/>
      </w:r>
      <w:r>
        <w:t>.</w:t>
      </w:r>
      <w:r w:rsidR="00DA65E6">
        <w:t xml:space="preserve"> </w:t>
      </w:r>
      <w:r w:rsidRPr="00E83F5C">
        <w:t>To determine the core OTUs, we ranked the OTUs based on their occupancy (the frequency of their occurrence in the samples)</w:t>
      </w:r>
      <w:r>
        <w:t xml:space="preserve"> </w:t>
      </w:r>
      <w:r w:rsidRPr="00E83F5C">
        <w:t>and weighted them by their abundance.</w:t>
      </w:r>
      <w:r>
        <w:t xml:space="preserve"> </w:t>
      </w:r>
      <w:r w:rsidRPr="00E83F5C">
        <w:t xml:space="preserve">Only </w:t>
      </w:r>
      <w:r>
        <w:t xml:space="preserve">OTUs </w:t>
      </w:r>
      <w:r w:rsidRPr="00E83F5C">
        <w:t xml:space="preserve">present in all sampling </w:t>
      </w:r>
      <w:r>
        <w:t>timepoints</w:t>
      </w:r>
      <w:r w:rsidRPr="00E83F5C">
        <w:t xml:space="preserve"> were considered core.</w:t>
      </w:r>
      <w:r>
        <w:t xml:space="preserve"> In addition, a potential core OTU had to pass a core inclusion threshold.</w:t>
      </w:r>
      <w:r w:rsidRPr="00E83F5C">
        <w:t xml:space="preserve"> The</w:t>
      </w:r>
      <w:r>
        <w:t>refore, we quantified the</w:t>
      </w:r>
      <w:r w:rsidRPr="00E83F5C">
        <w:t xml:space="preserve"> contribution of the core subset of taxa to beta diversity using the Bray-Curtis resemblance. To determine the core inclusion threshold, we used a minimum percentage increase in </w:t>
      </w:r>
      <w:r>
        <w:lastRenderedPageBreak/>
        <w:t>beta diversity</w:t>
      </w:r>
      <w:r w:rsidRPr="00E83F5C">
        <w:t xml:space="preserve"> of </w:t>
      </w:r>
      <w:r>
        <w:t>4</w:t>
      </w:r>
      <w:r w:rsidRPr="00E83F5C">
        <w:t>% to identify the point at which further increases would offer marginal returns in explanatory value.</w:t>
      </w:r>
      <w:r>
        <w:t xml:space="preserve"> Important to note is that the inclusion threshold percentage depends on the study design and must be </w:t>
      </w:r>
      <w:r w:rsidR="00882BE4">
        <w:t>chosen</w:t>
      </w:r>
      <w:r>
        <w:t xml:space="preserve"> accordingly. </w:t>
      </w:r>
      <w:r w:rsidRPr="00E83F5C">
        <w:t xml:space="preserve">To </w:t>
      </w:r>
      <w:r>
        <w:t>estimate</w:t>
      </w:r>
      <w:r w:rsidRPr="00E83F5C">
        <w:t xml:space="preserve"> the importance of neutral processes in the assembly of the intestinal microbiome, we applied the Sloan neutral model</w:t>
      </w:r>
      <w:r>
        <w:t>. The model</w:t>
      </w:r>
      <w:r w:rsidRPr="00A20331">
        <w:t xml:space="preserve"> assumes </w:t>
      </w:r>
      <w:r>
        <w:t>that community composition dynamics</w:t>
      </w:r>
      <w:r w:rsidRPr="00A20331">
        <w:t xml:space="preserve"> are primarily driven by random processes such as </w:t>
      </w:r>
      <w:r>
        <w:t xml:space="preserve">ecological drift and </w:t>
      </w:r>
      <w:r w:rsidRPr="00A20331">
        <w:t>dispersal rather than by species-specific interactions or adaptations.</w:t>
      </w:r>
      <w:r>
        <w:t xml:space="preserve"> </w:t>
      </w:r>
      <w:r w:rsidRPr="00A20331">
        <w:t>OTUs</w:t>
      </w:r>
      <w:r>
        <w:t xml:space="preserve"> that </w:t>
      </w:r>
      <w:r w:rsidRPr="00A20331">
        <w:t>occur more frequently than expected</w:t>
      </w:r>
      <w:r w:rsidR="00E841BA">
        <w:t xml:space="preserve"> are interpreted as potentially having </w:t>
      </w:r>
      <w:r>
        <w:t>additional factors influenc</w:t>
      </w:r>
      <w:r w:rsidR="00E841BA">
        <w:t>ing</w:t>
      </w:r>
      <w:r w:rsidRPr="00A20331">
        <w:t xml:space="preserve"> their abundance</w:t>
      </w:r>
      <w:r w:rsidR="00E841BA">
        <w:t>, such as</w:t>
      </w:r>
      <w:r w:rsidRPr="00A20331">
        <w:t xml:space="preserve"> </w:t>
      </w:r>
      <w:r w:rsidR="00E841BA">
        <w:t xml:space="preserve">microbe-microbe </w:t>
      </w:r>
      <w:r w:rsidRPr="00A20331">
        <w:t>interactions, niche differentiation</w:t>
      </w:r>
      <w:r w:rsidR="00E841BA">
        <w:t xml:space="preserve"> or </w:t>
      </w:r>
      <w:r>
        <w:t>host filtering</w:t>
      </w:r>
      <w:r w:rsidR="00E841BA">
        <w:t>.</w:t>
      </w:r>
      <w:r w:rsidR="00882BE4">
        <w:t xml:space="preserve"> </w:t>
      </w:r>
      <w:r w:rsidR="00A70DE7">
        <w:t>In this study we refer to OTUs that occur more frequently as expected as being positively selected.</w:t>
      </w:r>
      <w:r w:rsidR="00A70DE7" w:rsidRPr="00A20331">
        <w:t xml:space="preserve"> </w:t>
      </w:r>
      <w:r w:rsidRPr="00A20331">
        <w:t>Conversely, if certain OTUs occur less frequently than expected</w:t>
      </w:r>
      <w:r>
        <w:t>,</w:t>
      </w:r>
      <w:r w:rsidRPr="00A20331">
        <w:t xml:space="preserve"> it may suggest that they are subject to competitive exclusion, environmental filtering or other processes that limit their abundance. </w:t>
      </w:r>
      <w:r w:rsidRPr="00864BAD">
        <w:t xml:space="preserve">To fit the occupancy of OTUs and their mean relative abundances across the metacommunity to the model, we used the R code </w:t>
      </w:r>
      <w:r w:rsidR="00E841BA">
        <w:t>of</w:t>
      </w:r>
      <w:r w:rsidRPr="00864BAD">
        <w:t xml:space="preserve"> </w:t>
      </w:r>
      <w:r>
        <w:fldChar w:fldCharType="begin"/>
      </w:r>
      <w:r w:rsidR="00853599">
        <w:instrText xml:space="preserve"> ADDIN ZOTERO_ITEM CSL_CITATION {"citationID":"oNQGwRkO","properties":{"formattedCitation":"(Burns et al., 2016)","plainCitation":"(Burns et al., 2016)","dontUpdate":true,"noteIndex":0},"citationItems":[{"id":351,"uris":["http://zotero.org/users/9227957/items/X8LLN5PK"],"itemData":{"id":351,"type":"article-journal","abstract":"Despite their importance to host health and development, the communities of microorganisms associated with humans and other animals are characterized by a large degree of unexplained variation across individual hosts. The processes that drive such inter-individual variation are not well understood. To address this, we surveyed the microbial communities associated with the intestine of the zebrafish, Danio rerio, over developmental time. We compared our observations of community composition and distribution across hosts with that predicted by a neutral assembly model, which assumes that community assembly is driven solely by chance and dispersal. We found that as hosts develop from larvae to adults, the fit of the model to observed microbial distributions decreases, suggesting that the relative importance of non-neutral processes, such as microbe-microbe interactions, active dispersal, or selection by the host, increases as hosts mature. We also observed that taxa which depart in their distributions from the neutral prediction form ecologically distinct sub-groups, which are phylogenetically clustered with respect to the full metacommunity. These results demonstrate that neutral processes are sufficient to generate substantial variation in microbiota composition across individual hosts, and suggest that potentially unique or important taxa may be identified by their divergence from neutral distributions.","container-title":"The ISME Journal","DOI":"10.1038/ismej.2015.142","ISSN":"1751-7370","issue":"3","journalAbbreviation":"ISME J","language":"en","license":"2016 International Society for Microbial Ecology","note":"number: 3\npublisher: Nature Publishing Group","page":"655-664","source":"www.nature.com","title":"Contribution of neutral processes to the assembly of gut microbial communities in the zebrafish over host development","volume":"10","author":[{"family":"Burns","given":"Adam R."},{"family":"Stephens","given":"W. Zac"},{"family":"Stagaman","given":"Keaton"},{"family":"Wong","given":"Sandi"},{"family":"Rawls","given":"John F."},{"family":"Guillemin","given":"Karen"},{"family":"Bohannan","given":"Brendan JM"}],"issued":{"date-parts":[["2016",3]]}}}],"schema":"https://github.com/citation-style-language/schema/raw/master/csl-citation.json"} </w:instrText>
      </w:r>
      <w:r>
        <w:fldChar w:fldCharType="separate"/>
      </w:r>
      <w:r w:rsidRPr="004D3219">
        <w:rPr>
          <w:rFonts w:ascii="Calibri" w:hAnsi="Calibri" w:cs="Calibri"/>
        </w:rPr>
        <w:t>Burns et al., 2016</w:t>
      </w:r>
      <w:r>
        <w:fldChar w:fldCharType="end"/>
      </w:r>
      <w:r>
        <w:t>.</w:t>
      </w:r>
    </w:p>
    <w:p w14:paraId="3F9C4E7A" w14:textId="77777777" w:rsidR="00E841BA" w:rsidRPr="001370A2" w:rsidRDefault="00E841BA" w:rsidP="00E841BA">
      <w:pPr>
        <w:pStyle w:val="Heading2"/>
        <w:spacing w:line="480" w:lineRule="auto"/>
        <w:rPr>
          <w:rFonts w:cstheme="minorHAnsi"/>
        </w:rPr>
      </w:pPr>
      <w:r w:rsidRPr="001370A2">
        <w:rPr>
          <w:rFonts w:cstheme="minorHAnsi"/>
        </w:rPr>
        <w:t>Differential abundance testing</w:t>
      </w:r>
    </w:p>
    <w:p w14:paraId="6A7B638D" w14:textId="6836771E" w:rsidR="00E841BA" w:rsidRDefault="00E841BA" w:rsidP="00E841BA">
      <w:pPr>
        <w:spacing w:line="480" w:lineRule="auto"/>
        <w:rPr>
          <w:rFonts w:cstheme="minorHAnsi"/>
        </w:rPr>
      </w:pPr>
      <w:r w:rsidRPr="001370A2">
        <w:rPr>
          <w:rFonts w:cstheme="minorHAnsi"/>
        </w:rPr>
        <w:t>We used analysis of compositions of microbiomes with bias correction (ANCOM-BC</w:t>
      </w:r>
      <w:r w:rsidRPr="001370A2">
        <w:rPr>
          <w:rFonts w:cstheme="minorHAnsi"/>
        </w:rPr>
        <w:fldChar w:fldCharType="begin"/>
      </w:r>
      <w:r>
        <w:rPr>
          <w:rFonts w:cstheme="minorHAnsi"/>
        </w:rPr>
        <w:instrText xml:space="preserve"> ADDIN ZOTERO_ITEM CSL_CITATION {"citationID":"68npzWgQ","properties":{"formattedCitation":"(Lin &amp; Peddada, 2020)","plainCitation":"(Lin &amp; Peddada, 2020)","dontUpdate":true,"noteIndex":0},"citationItems":[{"id":503,"uris":["http://zotero.org/users/9227957/items/QFH3C6QL"],"itemData":{"id":503,"type":"article-journal","abstract":"Differential abundance (DA) analysis of microbiome data continues to be a challenging problem due to the complexity of the data. In this article we define the notion of “sampling fraction” and demonstrate a major hurdle in performing DA analysis of microbiome data is the bias introduced by differences in the sampling fractions across samples. We introduce a methodology called Analysis of Compositions of Microbiomes with Bias Correction (ANCOM-BC), which estimates the unknown sampling fractions and corrects the bias induced by their differences among samples. The absolute abundance data are modeled using a linear regression framework. This formulation makes a fundamental advancement in the field because, unlike the existing methods, it (a) provides statistically valid test with appropriate p-values, (b) provides confidence intervals for differential abundance of each taxon, (c) controls the False Discovery Rate (FDR), (d) maintains adequate power, and (e) is computationally simple to implement.","container-title":"Nature Communications","DOI":"10.1038/s41467-020-17041-7","ISSN":"2041-1723","issue":"1","journalAbbreviation":"Nat Commun","language":"en","license":"2020 The Author(s)","note":"number: 1\npublisher: Nature Publishing Group","page":"3514","source":"www.nature.com","title":"Analysis of compositions of microbiomes with bias correction","volume":"11","author":[{"family":"Lin","given":"Huang"},{"family":"Peddada","given":"Shyamal Das"}],"issued":{"date-parts":[["2020",7,14]]}}}],"schema":"https://github.com/citation-style-language/schema/raw/master/csl-citation.json"} </w:instrText>
      </w:r>
      <w:r w:rsidRPr="001370A2">
        <w:rPr>
          <w:rFonts w:cstheme="minorHAnsi"/>
        </w:rPr>
        <w:fldChar w:fldCharType="separate"/>
      </w:r>
      <w:r w:rsidRPr="001370A2">
        <w:rPr>
          <w:rFonts w:cstheme="minorHAnsi"/>
        </w:rPr>
        <w:t>; Lin &amp; Peddada, 2020)</w:t>
      </w:r>
      <w:r w:rsidRPr="001370A2">
        <w:rPr>
          <w:rFonts w:cstheme="minorHAnsi"/>
        </w:rPr>
        <w:fldChar w:fldCharType="end"/>
      </w:r>
      <w:r w:rsidRPr="001370A2">
        <w:rPr>
          <w:rFonts w:cstheme="minorHAnsi"/>
        </w:rPr>
        <w:t xml:space="preserve"> to identify differentially abundant taxa between environments. ANCOM-BC was recently recommended as a very robust method </w:t>
      </w:r>
      <w:r>
        <w:rPr>
          <w:rFonts w:cstheme="minorHAnsi"/>
        </w:rPr>
        <w:t>for</w:t>
      </w:r>
      <w:r w:rsidRPr="001370A2">
        <w:rPr>
          <w:rFonts w:cstheme="minorHAnsi"/>
        </w:rPr>
        <w:t xml:space="preserve"> accurately determin</w:t>
      </w:r>
      <w:r>
        <w:rPr>
          <w:rFonts w:cstheme="minorHAnsi"/>
        </w:rPr>
        <w:t>ing</w:t>
      </w:r>
      <w:r w:rsidRPr="001370A2">
        <w:rPr>
          <w:rFonts w:cstheme="minorHAnsi"/>
        </w:rPr>
        <w:t xml:space="preserve"> differentially abundant taxa </w:t>
      </w:r>
      <w:r w:rsidRPr="001370A2">
        <w:rPr>
          <w:rFonts w:cstheme="minorHAnsi"/>
        </w:rPr>
        <w:fldChar w:fldCharType="begin"/>
      </w:r>
      <w:r w:rsidRPr="001370A2">
        <w:rPr>
          <w:rFonts w:cstheme="minorHAnsi"/>
        </w:rPr>
        <w:instrText xml:space="preserve"> ADDIN ZOTERO_ITEM CSL_CITATION {"citationID":"64yJfunl","properties":{"formattedCitation":"(Nearing et al., 2022)","plainCitation":"(Nearing et al., 2022)","noteIndex":0},"citationItems":[{"id":509,"uris":["http://zotero.org/users/9227957/items/DE4WP7KX"],"itemData":{"id":509,"type":"article-journal","abstract":"Identifying differentially abundant microbes is a common goal of microbiome studies. Multiple methods are used interchangeably for this purpose in the literature. Yet, there are few large-scale studies systematically exploring the appropriateness of using these tools interchangeably, and the scale and significance of the differences between them. Here, we compare the performance of 14 differential abundance testing methods on 38 16S rRNA gene datasets with two sample groups. We test for differences in amplicon sequence variants and operational taxonomic units (ASVs) between these groups. Our findings confirm that these tools identified drastically different numbers and sets of significant ASVs, and that results depend on data pre-processing. For many tools the number of features identified correlate with aspects of the data, such as sample size, sequencing depth, and effect size of community differences. ALDEx2 and ANCOM-II produce the most consistent results across studies and agree best with the intersect of results from different approaches. Nevertheless, we recommend that researchers should use a consensus approach based on multiple differential abundance methods to help ensure robust biological interpretations.","container-title":"Nature Communications","DOI":"10.1038/s41467-022-28034-z","ISSN":"2041-1723","issue":"1","journalAbbreviation":"Nat Commun","language":"en","license":"2022 The Author(s)","note":"number: 1\npublisher: Nature Publishing Group","page":"342","source":"www.nature.com","title":"Microbiome differential abundance methods produce different results across 38 datasets","volume":"13","author":[{"family":"Nearing","given":"Jacob T."},{"family":"Douglas","given":"Gavin M."},{"family":"Hayes","given":"Molly G."},{"family":"MacDonald","given":"Jocelyn"},{"family":"Desai","given":"Dhwani K."},{"family":"Allward","given":"Nicole"},{"family":"Jones","given":"Casey M. A."},{"family":"Wright","given":"Robyn J."},{"family":"Dhanani","given":"Akhilesh S."},{"family":"Comeau","given":"André M."},{"family":"Langille","given":"Morgan G. I."}],"issued":{"date-parts":[["2022",1,17]]}}}],"schema":"https://github.com/citation-style-language/schema/raw/master/csl-citation.json"} </w:instrText>
      </w:r>
      <w:r w:rsidRPr="001370A2">
        <w:rPr>
          <w:rFonts w:cstheme="minorHAnsi"/>
        </w:rPr>
        <w:fldChar w:fldCharType="separate"/>
      </w:r>
      <w:r w:rsidRPr="001370A2">
        <w:rPr>
          <w:rFonts w:cstheme="minorHAnsi"/>
        </w:rPr>
        <w:t>(Nearing et al., 2022)</w:t>
      </w:r>
      <w:r w:rsidRPr="001370A2">
        <w:rPr>
          <w:rFonts w:cstheme="minorHAnsi"/>
        </w:rPr>
        <w:fldChar w:fldCharType="end"/>
      </w:r>
      <w:r w:rsidRPr="001370A2">
        <w:rPr>
          <w:rFonts w:cstheme="minorHAnsi"/>
        </w:rPr>
        <w:t xml:space="preserve">. The method </w:t>
      </w:r>
      <w:r w:rsidRPr="001370A2">
        <w:rPr>
          <w:rFonts w:cstheme="minorHAnsi"/>
          <w:color w:val="222222"/>
          <w:shd w:val="clear" w:color="auto" w:fill="FFFFFF"/>
        </w:rPr>
        <w:t xml:space="preserve">is based on a log-linear model </w:t>
      </w:r>
      <w:r>
        <w:rPr>
          <w:rFonts w:cstheme="minorHAnsi"/>
          <w:color w:val="222222"/>
          <w:shd w:val="clear" w:color="auto" w:fill="FFFFFF"/>
        </w:rPr>
        <w:t>that</w:t>
      </w:r>
      <w:r w:rsidRPr="001370A2">
        <w:rPr>
          <w:rFonts w:cstheme="minorHAnsi"/>
          <w:color w:val="222222"/>
          <w:shd w:val="clear" w:color="auto" w:fill="FFFFFF"/>
        </w:rPr>
        <w:t xml:space="preserve"> accounts for sampling fraction</w:t>
      </w:r>
      <w:r>
        <w:rPr>
          <w:rFonts w:cstheme="minorHAnsi"/>
          <w:color w:val="222222"/>
          <w:shd w:val="clear" w:color="auto" w:fill="FFFFFF"/>
        </w:rPr>
        <w:t>s</w:t>
      </w:r>
      <w:r w:rsidRPr="001370A2">
        <w:rPr>
          <w:rFonts w:cstheme="minorHAnsi"/>
          <w:color w:val="222222"/>
          <w:shd w:val="clear" w:color="auto" w:fill="FFFFFF"/>
        </w:rPr>
        <w:t xml:space="preserve"> across samples and deals with the</w:t>
      </w:r>
      <w:r>
        <w:rPr>
          <w:rFonts w:cstheme="minorHAnsi"/>
          <w:color w:val="222222"/>
          <w:shd w:val="clear" w:color="auto" w:fill="FFFFFF"/>
        </w:rPr>
        <w:t xml:space="preserve"> sparse</w:t>
      </w:r>
      <w:r w:rsidRPr="001370A2">
        <w:rPr>
          <w:rFonts w:cstheme="minorHAnsi"/>
          <w:color w:val="222222"/>
          <w:shd w:val="clear" w:color="auto" w:fill="FFFFFF"/>
        </w:rPr>
        <w:t xml:space="preserve"> compositionality of microbiome data. In addition, ANCOM-BC can deal with different scenarios for zero-counts.</w:t>
      </w:r>
      <w:r w:rsidRPr="001370A2">
        <w:rPr>
          <w:rFonts w:cstheme="minorHAnsi"/>
        </w:rPr>
        <w:t xml:space="preserve"> Here, we did not correct for structural zeros since we assumed that the presence of taxa </w:t>
      </w:r>
      <w:r w:rsidR="009D0F3A" w:rsidRPr="001370A2">
        <w:rPr>
          <w:rFonts w:cstheme="minorHAnsi"/>
        </w:rPr>
        <w:t>w</w:t>
      </w:r>
      <w:r w:rsidR="009D0F3A">
        <w:rPr>
          <w:rFonts w:cstheme="minorHAnsi"/>
        </w:rPr>
        <w:t>as</w:t>
      </w:r>
      <w:r w:rsidRPr="001370A2">
        <w:rPr>
          <w:rFonts w:cstheme="minorHAnsi"/>
        </w:rPr>
        <w:t xml:space="preserve"> not </w:t>
      </w:r>
      <w:r>
        <w:rPr>
          <w:rFonts w:cstheme="minorHAnsi"/>
        </w:rPr>
        <w:t>unique</w:t>
      </w:r>
      <w:r w:rsidRPr="001370A2">
        <w:rPr>
          <w:rFonts w:cstheme="minorHAnsi"/>
        </w:rPr>
        <w:t xml:space="preserve"> to a certain sampling timepoint. The iteration convergence tolerance for the expectation-maximization algorithm was kept at its default value of 1e</w:t>
      </w:r>
      <w:r w:rsidRPr="00545F0F">
        <w:rPr>
          <w:rFonts w:cstheme="minorHAnsi"/>
          <w:vertAlign w:val="superscript"/>
        </w:rPr>
        <w:t>-5</w:t>
      </w:r>
      <w:r w:rsidRPr="001370A2">
        <w:rPr>
          <w:rFonts w:cstheme="minorHAnsi"/>
        </w:rPr>
        <w:t xml:space="preserve">. Significance was determined by using </w:t>
      </w:r>
      <w:proofErr w:type="spellStart"/>
      <w:r w:rsidRPr="001370A2">
        <w:rPr>
          <w:rFonts w:cstheme="minorHAnsi"/>
        </w:rPr>
        <w:t>Benjamini</w:t>
      </w:r>
      <w:proofErr w:type="spellEnd"/>
      <w:r w:rsidRPr="001370A2">
        <w:rPr>
          <w:rFonts w:cstheme="minorHAnsi"/>
        </w:rPr>
        <w:t xml:space="preserve">-Hochberg corrected p-values </w:t>
      </w:r>
      <w:r w:rsidRPr="001370A2">
        <w:rPr>
          <w:rFonts w:cstheme="minorHAnsi"/>
        </w:rPr>
        <w:fldChar w:fldCharType="begin"/>
      </w:r>
      <w:r w:rsidRPr="001370A2">
        <w:rPr>
          <w:rFonts w:cstheme="minorHAnsi"/>
        </w:rPr>
        <w:instrText xml:space="preserve"> ADDIN ZOTERO_ITEM CSL_CITATION {"citationID":"ucKG30uA","properties":{"formattedCitation":"(Benjamini &amp; Hochberg, 1995)","plainCitation":"(Benjamini &amp; Hochberg, 1995)","noteIndex":0},"citationItems":[{"id":306,"uris":["http://zotero.org/users/9227957/items/MK9XFBPT"],"itemData":{"id":306,"type":"article-journal","container-title":"Journal of the Royal statistical society: series B (Methodological)","issue":"1","note":"publisher: Wiley Online Library","page":"289–300","source":"Google Scholar","title":"Controlling the false discovery rate: a practical and powerful approach to multiple testing","title-short":"Controlling the false discovery rate","volume":"57","author":[{"family":"Benjamini","given":"Yoav"},{"family":"Hochberg","given":"Yosef"}],"issued":{"date-parts":[["1995"]]}}}],"schema":"https://github.com/citation-style-language/schema/raw/master/csl-citation.json"} </w:instrText>
      </w:r>
      <w:r w:rsidRPr="001370A2">
        <w:rPr>
          <w:rFonts w:cstheme="minorHAnsi"/>
        </w:rPr>
        <w:fldChar w:fldCharType="separate"/>
      </w:r>
      <w:r w:rsidRPr="001370A2">
        <w:rPr>
          <w:rFonts w:cstheme="minorHAnsi"/>
        </w:rPr>
        <w:t>(</w:t>
      </w:r>
      <w:proofErr w:type="spellStart"/>
      <w:r w:rsidRPr="001370A2">
        <w:rPr>
          <w:rFonts w:cstheme="minorHAnsi"/>
        </w:rPr>
        <w:t>Benjamini</w:t>
      </w:r>
      <w:proofErr w:type="spellEnd"/>
      <w:r w:rsidRPr="001370A2">
        <w:rPr>
          <w:rFonts w:cstheme="minorHAnsi"/>
        </w:rPr>
        <w:t xml:space="preserve"> &amp; Hochberg, 1995)</w:t>
      </w:r>
      <w:r w:rsidRPr="001370A2">
        <w:rPr>
          <w:rFonts w:cstheme="minorHAnsi"/>
        </w:rPr>
        <w:fldChar w:fldCharType="end"/>
      </w:r>
      <w:r w:rsidRPr="001370A2">
        <w:rPr>
          <w:rFonts w:cstheme="minorHAnsi"/>
        </w:rPr>
        <w:t>.</w:t>
      </w:r>
    </w:p>
    <w:p w14:paraId="1AA71222" w14:textId="59D69ADF" w:rsidR="00E841BA" w:rsidRDefault="00E841BA" w:rsidP="00E841BA">
      <w:pPr>
        <w:spacing w:line="480" w:lineRule="auto"/>
        <w:rPr>
          <w:rFonts w:cstheme="minorHAnsi"/>
        </w:rPr>
      </w:pPr>
      <w:r>
        <w:rPr>
          <w:rFonts w:cstheme="minorHAnsi"/>
        </w:rPr>
        <w:lastRenderedPageBreak/>
        <w:t>In addition, we used random forest analysis</w:t>
      </w:r>
      <w:r w:rsidR="00853599">
        <w:rPr>
          <w:rFonts w:cstheme="minorHAnsi"/>
        </w:rPr>
        <w:t xml:space="preserve"> implemented in the </w:t>
      </w:r>
      <w:proofErr w:type="spellStart"/>
      <w:r w:rsidR="00853599">
        <w:rPr>
          <w:rFonts w:cstheme="minorHAnsi"/>
        </w:rPr>
        <w:t>microeco</w:t>
      </w:r>
      <w:proofErr w:type="spellEnd"/>
      <w:r w:rsidR="00853599">
        <w:rPr>
          <w:rFonts w:cstheme="minorHAnsi"/>
        </w:rPr>
        <w:t xml:space="preserve"> package </w:t>
      </w:r>
      <w:r w:rsidR="00853599">
        <w:rPr>
          <w:rFonts w:cstheme="minorHAnsi"/>
        </w:rPr>
        <w:fldChar w:fldCharType="begin"/>
      </w:r>
      <w:r w:rsidR="00853599">
        <w:rPr>
          <w:rFonts w:cstheme="minorHAnsi"/>
        </w:rPr>
        <w:instrText xml:space="preserve"> ADDIN ZOTERO_ITEM CSL_CITATION {"citationID":"QfgtDqg3","properties":{"formattedCitation":"(Liu et al., 2021)","plainCitation":"(Liu et al., 2021)","noteIndex":0},"citationItems":[{"id":294,"uris":["http://zotero.org/users/9227957/items/5XLMBRAH"],"itemData":{"id":294,"type":"article-journal","container-title":"FEMS microbiology ecology","issue":"2","note":"publisher: Oxford University Press","page":"fiaa255","source":"Google Scholar","title":"microeco: an R package for data mining in microbial community ecology","title-short":"microeco","volume":"97","author":[{"family":"Liu","given":"Chi"},{"family":"Cui","given":"Yaoming"},{"family":"Li","given":"Xiangzhen"},{"family":"Yao","given":"Minjie"}],"issued":{"date-parts":[["2021"]]}}}],"schema":"https://github.com/citation-style-language/schema/raw/master/csl-citation.json"} </w:instrText>
      </w:r>
      <w:r w:rsidR="00853599">
        <w:rPr>
          <w:rFonts w:cstheme="minorHAnsi"/>
        </w:rPr>
        <w:fldChar w:fldCharType="separate"/>
      </w:r>
      <w:r w:rsidR="00853599" w:rsidRPr="00853599">
        <w:rPr>
          <w:rFonts w:ascii="Calibri" w:hAnsi="Calibri" w:cs="Calibri"/>
        </w:rPr>
        <w:t>(Liu et al., 2021)</w:t>
      </w:r>
      <w:r w:rsidR="00853599">
        <w:rPr>
          <w:rFonts w:cstheme="minorHAnsi"/>
        </w:rPr>
        <w:fldChar w:fldCharType="end"/>
      </w:r>
      <w:r>
        <w:rPr>
          <w:rFonts w:cstheme="minorHAnsi"/>
        </w:rPr>
        <w:t xml:space="preserve">, to highlight the relative abundance of core OTUs grouped on genera </w:t>
      </w:r>
      <w:r w:rsidRPr="00C84522">
        <w:rPr>
          <w:rFonts w:cstheme="minorHAnsi"/>
        </w:rPr>
        <w:t>with respect to the sampling month.</w:t>
      </w:r>
      <w:r w:rsidR="00882BE4">
        <w:rPr>
          <w:rFonts w:cstheme="minorHAnsi"/>
        </w:rPr>
        <w:t xml:space="preserve"> The aim was to determine if seasonality in gut microbial community composition persists in core OTUs</w:t>
      </w:r>
      <w:r w:rsidR="00A70DE7">
        <w:rPr>
          <w:rFonts w:cstheme="minorHAnsi"/>
        </w:rPr>
        <w:t xml:space="preserve"> and</w:t>
      </w:r>
      <w:r w:rsidR="00882BE4" w:rsidRPr="0015347E">
        <w:rPr>
          <w:rFonts w:cstheme="minorHAnsi"/>
        </w:rPr>
        <w:t xml:space="preserve"> to identify</w:t>
      </w:r>
      <w:r w:rsidR="00A70DE7">
        <w:rPr>
          <w:rFonts w:cstheme="minorHAnsi"/>
        </w:rPr>
        <w:t xml:space="preserve"> which</w:t>
      </w:r>
      <w:r w:rsidR="00882BE4" w:rsidRPr="0015347E">
        <w:rPr>
          <w:rFonts w:cstheme="minorHAnsi"/>
        </w:rPr>
        <w:t xml:space="preserve"> </w:t>
      </w:r>
      <w:r w:rsidR="00882BE4">
        <w:rPr>
          <w:rFonts w:cstheme="minorHAnsi"/>
        </w:rPr>
        <w:t xml:space="preserve">positively selected </w:t>
      </w:r>
      <w:r w:rsidR="00882BE4" w:rsidRPr="0015347E">
        <w:rPr>
          <w:rFonts w:cstheme="minorHAnsi"/>
        </w:rPr>
        <w:t>core OTUs exhibit seasonal patterns</w:t>
      </w:r>
      <w:r w:rsidRPr="00C84522">
        <w:rPr>
          <w:rFonts w:cstheme="minorHAnsi"/>
        </w:rPr>
        <w:t xml:space="preserve"> </w:t>
      </w:r>
      <w:r>
        <w:rPr>
          <w:rFonts w:cstheme="minorHAnsi"/>
        </w:rPr>
        <w:fldChar w:fldCharType="begin"/>
      </w:r>
      <w:r>
        <w:rPr>
          <w:rFonts w:cstheme="minorHAnsi"/>
        </w:rPr>
        <w:instrText xml:space="preserve"> ADDIN ZOTERO_ITEM CSL_CITATION {"citationID":"OK9aCJLW","properties":{"formattedCitation":"(Beck &amp; Foster, 2014; White et al., 2009; Yatsunenko et al., 2012)","plainCitation":"(Beck &amp; Foster, 2014; White et al., 2009; Yatsunenko et al., 2012)","noteIndex":0},"citationItems":[{"id":304,"uris":["http://zotero.org/users/9227957/items/BFBUFPYJ"],"itemData":{"id":304,"type":"article-journal","container-title":"PloS one","issue":"2","note":"publisher: Public Library of Science San Francisco, USA","page":"e87830","source":"Google Scholar","title":"Machine learning techniques accurately classify microbial communities by bacterial vaginosis characteristics","volume":"9","author":[{"family":"Beck","given":"Daniel"},{"family":"Foster","given":"James A."}],"issued":{"date-parts":[["2014"]]}}},{"id":299,"uris":["http://zotero.org/users/9227957/items/FP27NTD6"],"itemData":{"id":299,"type":"article-journal","container-title":"PLoS computational biology","issue":"4","note":"publisher: Public Library of Science San Francisco, USA","page":"e1000352","source":"Google Scholar","title":"Statistical methods for detecting differentially abundant features in clinical metagenomic samples","volume":"5","author":[{"family":"White","given":"James Robert"},{"family":"Nagarajan","given":"Niranjan"},{"family":"Pop","given":"Mihai"}],"issued":{"date-parts":[["2009"]]}}},{"id":301,"uris":["http://zotero.org/users/9227957/items/YNWHK5S3"],"itemData":{"id":301,"type":"article-journal","container-title":"nature","issue":"7402","note":"publisher: Nature Publishing Group","page":"222–227","source":"Google Scholar","title":"Human gut microbiome viewed across age and geography","volume":"486","author":[{"family":"Yatsunenko","given":"Tanya"},{"family":"Rey","given":"Federico E."},{"family":"Manary","given":"Mark J."},{"family":"Trehan","given":"Indi"},{"family":"Dominguez-Bello","given":"Maria Gloria"},{"family":"Contreras","given":"Monica"},{"family":"Magris","given":"Magda"},{"family":"Hidalgo","given":"Glida"},{"family":"Baldassano","given":"Robert N."},{"family":"Anokhin","given":"Andrey P."}],"issued":{"date-parts":[["2012"]]}}}],"schema":"https://github.com/citation-style-language/schema/raw/master/csl-citation.json"} </w:instrText>
      </w:r>
      <w:r>
        <w:rPr>
          <w:rFonts w:cstheme="minorHAnsi"/>
        </w:rPr>
        <w:fldChar w:fldCharType="separate"/>
      </w:r>
      <w:r w:rsidRPr="00515FAA">
        <w:rPr>
          <w:rFonts w:ascii="Calibri" w:hAnsi="Calibri" w:cs="Calibri"/>
        </w:rPr>
        <w:t>(Beck &amp; Foster, 2014; White et al., 2009; Yatsunenko et al., 2012)</w:t>
      </w:r>
      <w:r>
        <w:rPr>
          <w:rFonts w:cstheme="minorHAnsi"/>
        </w:rPr>
        <w:fldChar w:fldCharType="end"/>
      </w:r>
      <w:r>
        <w:rPr>
          <w:rFonts w:cstheme="minorHAnsi"/>
        </w:rPr>
        <w:t xml:space="preserve">. </w:t>
      </w:r>
      <w:proofErr w:type="spellStart"/>
      <w:r w:rsidRPr="00515FAA">
        <w:rPr>
          <w:rFonts w:cstheme="minorHAnsi"/>
        </w:rPr>
        <w:t>MeanDecreaseGini</w:t>
      </w:r>
      <w:proofErr w:type="spellEnd"/>
      <w:r w:rsidRPr="00515FAA">
        <w:rPr>
          <w:rFonts w:cstheme="minorHAnsi"/>
        </w:rPr>
        <w:t xml:space="preserve"> was used to determine the importance of differentially expressed taxa</w:t>
      </w:r>
      <w:r>
        <w:rPr>
          <w:rFonts w:cstheme="minorHAnsi"/>
        </w:rPr>
        <w:t xml:space="preserve"> per sampling month</w:t>
      </w:r>
      <w:r w:rsidRPr="00515FAA">
        <w:rPr>
          <w:rFonts w:cstheme="minorHAnsi"/>
        </w:rPr>
        <w:t>. P</w:t>
      </w:r>
      <w:r>
        <w:rPr>
          <w:rFonts w:cstheme="minorHAnsi"/>
        </w:rPr>
        <w:t>-</w:t>
      </w:r>
      <w:r w:rsidRPr="00515FAA">
        <w:rPr>
          <w:rFonts w:cstheme="minorHAnsi"/>
        </w:rPr>
        <w:t xml:space="preserve">values were adjusted for multiple comparisons using the </w:t>
      </w:r>
      <w:proofErr w:type="spellStart"/>
      <w:r w:rsidRPr="00515FAA">
        <w:rPr>
          <w:rFonts w:cstheme="minorHAnsi"/>
        </w:rPr>
        <w:t>Benjamini</w:t>
      </w:r>
      <w:proofErr w:type="spellEnd"/>
      <w:r w:rsidRPr="00515FAA">
        <w:rPr>
          <w:rFonts w:cstheme="minorHAnsi"/>
        </w:rPr>
        <w:t>–Hochberg method</w:t>
      </w:r>
      <w:r>
        <w:rPr>
          <w:rFonts w:cstheme="minorHAnsi"/>
        </w:rPr>
        <w:t xml:space="preserve"> </w:t>
      </w:r>
      <w:r>
        <w:rPr>
          <w:rFonts w:cstheme="minorHAnsi"/>
        </w:rPr>
        <w:fldChar w:fldCharType="begin"/>
      </w:r>
      <w:r>
        <w:rPr>
          <w:rFonts w:cstheme="minorHAnsi"/>
        </w:rPr>
        <w:instrText xml:space="preserve"> ADDIN ZOTERO_ITEM CSL_CITATION {"citationID":"bbnPfMqn","properties":{"formattedCitation":"(Benjamini &amp; Hochberg, 1995)","plainCitation":"(Benjamini &amp; Hochberg, 1995)","noteIndex":0},"citationItems":[{"id":306,"uris":["http://zotero.org/users/9227957/items/MK9XFBPT"],"itemData":{"id":306,"type":"article-journal","container-title":"Journal of the Royal statistical society: series B (Methodological)","issue":"1","note":"publisher: Wiley Online Library","page":"289–300","source":"Google Scholar","title":"Controlling the false discovery rate: a practical and powerful approach to multiple testing","title-short":"Controlling the false discovery rate","volume":"57","author":[{"family":"Benjamini","given":"Yoav"},{"family":"Hochberg","given":"Yosef"}],"issued":{"date-parts":[["1995"]]}}}],"schema":"https://github.com/citation-style-language/schema/raw/master/csl-citation.json"} </w:instrText>
      </w:r>
      <w:r>
        <w:rPr>
          <w:rFonts w:cstheme="minorHAnsi"/>
        </w:rPr>
        <w:fldChar w:fldCharType="separate"/>
      </w:r>
      <w:r w:rsidRPr="00515FAA">
        <w:rPr>
          <w:rFonts w:ascii="Calibri" w:hAnsi="Calibri" w:cs="Calibri"/>
        </w:rPr>
        <w:t>(</w:t>
      </w:r>
      <w:proofErr w:type="spellStart"/>
      <w:r w:rsidRPr="00515FAA">
        <w:rPr>
          <w:rFonts w:ascii="Calibri" w:hAnsi="Calibri" w:cs="Calibri"/>
        </w:rPr>
        <w:t>Benjamini</w:t>
      </w:r>
      <w:proofErr w:type="spellEnd"/>
      <w:r w:rsidRPr="00515FAA">
        <w:rPr>
          <w:rFonts w:ascii="Calibri" w:hAnsi="Calibri" w:cs="Calibri"/>
        </w:rPr>
        <w:t xml:space="preserve"> &amp; Hochberg, 1995)</w:t>
      </w:r>
      <w:r>
        <w:rPr>
          <w:rFonts w:cstheme="minorHAnsi"/>
        </w:rPr>
        <w:fldChar w:fldCharType="end"/>
      </w:r>
      <w:r>
        <w:rPr>
          <w:rFonts w:cstheme="minorHAnsi"/>
        </w:rPr>
        <w:t>.</w:t>
      </w:r>
    </w:p>
    <w:p w14:paraId="2AFA7EDF" w14:textId="77777777" w:rsidR="009D0F3A" w:rsidRDefault="009D0F3A" w:rsidP="009D0F3A">
      <w:pPr>
        <w:pStyle w:val="Heading1"/>
        <w:spacing w:line="480" w:lineRule="auto"/>
      </w:pPr>
      <w:r>
        <w:t>Results</w:t>
      </w:r>
    </w:p>
    <w:p w14:paraId="66E20441" w14:textId="77777777" w:rsidR="009D0F3A" w:rsidRPr="0014353A" w:rsidRDefault="009D0F3A" w:rsidP="009D0F3A">
      <w:pPr>
        <w:pStyle w:val="Heading2"/>
        <w:spacing w:line="480" w:lineRule="auto"/>
      </w:pPr>
      <w:r w:rsidRPr="00DC7FA5">
        <w:t xml:space="preserve">Distinct </w:t>
      </w:r>
      <w:r>
        <w:t>compositions</w:t>
      </w:r>
      <w:r w:rsidRPr="00DC7FA5">
        <w:t xml:space="preserve"> of </w:t>
      </w:r>
      <w:r>
        <w:t>g</w:t>
      </w:r>
      <w:r w:rsidRPr="00DC7FA5">
        <w:t xml:space="preserve">ut, </w:t>
      </w:r>
      <w:r>
        <w:t>w</w:t>
      </w:r>
      <w:r w:rsidRPr="00DC7FA5">
        <w:t xml:space="preserve">ater, and </w:t>
      </w:r>
      <w:r>
        <w:t>m</w:t>
      </w:r>
      <w:r w:rsidRPr="00DC7FA5">
        <w:t xml:space="preserve">acroinvertebrate </w:t>
      </w:r>
      <w:r>
        <w:t>m</w:t>
      </w:r>
      <w:r w:rsidRPr="00DC7FA5">
        <w:t xml:space="preserve">icrobial </w:t>
      </w:r>
      <w:r>
        <w:t>c</w:t>
      </w:r>
      <w:r w:rsidRPr="00DC7FA5">
        <w:t>ommunities</w:t>
      </w:r>
    </w:p>
    <w:p w14:paraId="07CA2A40" w14:textId="16420B34" w:rsidR="009D0F3A" w:rsidRDefault="009D0F3A" w:rsidP="009D0F3A">
      <w:pPr>
        <w:spacing w:line="480" w:lineRule="auto"/>
        <w:rPr>
          <w:rFonts w:cstheme="minorHAnsi"/>
        </w:rPr>
      </w:pPr>
      <w:r>
        <w:rPr>
          <w:rFonts w:cstheme="minorHAnsi"/>
        </w:rPr>
        <w:t>The microbial community compositions of gut, water and macroinvertebrate samples differed significantly</w:t>
      </w:r>
      <w:r w:rsidRPr="001370A2">
        <w:rPr>
          <w:rFonts w:cstheme="minorHAnsi"/>
        </w:rPr>
        <w:t xml:space="preserve"> (F=20.67; R</w:t>
      </w:r>
      <w:r w:rsidRPr="001370A2">
        <w:rPr>
          <w:rFonts w:cstheme="minorHAnsi"/>
          <w:vertAlign w:val="superscript"/>
        </w:rPr>
        <w:t>2</w:t>
      </w:r>
      <w:r w:rsidRPr="001370A2">
        <w:rPr>
          <w:rFonts w:cstheme="minorHAnsi"/>
        </w:rPr>
        <w:t>=0.21; p=0.001</w:t>
      </w:r>
      <w:r>
        <w:rPr>
          <w:rFonts w:cstheme="minorHAnsi"/>
        </w:rPr>
        <w:t xml:space="preserve">; </w:t>
      </w:r>
      <w:r w:rsidR="001C2319">
        <w:rPr>
          <w:rFonts w:cstheme="minorHAnsi"/>
        </w:rPr>
        <w:fldChar w:fldCharType="begin"/>
      </w:r>
      <w:r w:rsidR="001C2319">
        <w:rPr>
          <w:rFonts w:cstheme="minorHAnsi"/>
        </w:rPr>
        <w:instrText xml:space="preserve"> REF _Ref138177488 \h </w:instrText>
      </w:r>
      <w:r w:rsidR="001C2319">
        <w:rPr>
          <w:rFonts w:cstheme="minorHAnsi"/>
        </w:rPr>
      </w:r>
      <w:r w:rsidR="001C2319">
        <w:rPr>
          <w:rFonts w:cstheme="minorHAnsi"/>
        </w:rPr>
        <w:fldChar w:fldCharType="separate"/>
      </w:r>
      <w:r w:rsidR="00B15C60" w:rsidRPr="001C2319">
        <w:t xml:space="preserve">Figure </w:t>
      </w:r>
      <w:r w:rsidR="00B15C60">
        <w:rPr>
          <w:noProof/>
        </w:rPr>
        <w:t>2</w:t>
      </w:r>
      <w:r w:rsidR="001C2319">
        <w:rPr>
          <w:rFonts w:cstheme="minorHAnsi"/>
        </w:rPr>
        <w:fldChar w:fldCharType="end"/>
      </w:r>
      <w:r>
        <w:rPr>
          <w:rFonts w:cstheme="minorHAnsi"/>
        </w:rPr>
        <w:t>a)</w:t>
      </w:r>
      <w:r w:rsidRPr="001370A2">
        <w:rPr>
          <w:rFonts w:cstheme="minorHAnsi"/>
        </w:rPr>
        <w:t>.</w:t>
      </w:r>
      <w:r>
        <w:rPr>
          <w:rFonts w:cstheme="minorHAnsi"/>
        </w:rPr>
        <w:t xml:space="preserve"> Water communities showed significantly more diversity than gut and macroinvertebrate communities (</w:t>
      </w:r>
      <w:r w:rsidR="001C2319">
        <w:rPr>
          <w:rFonts w:cstheme="minorHAnsi"/>
        </w:rPr>
        <w:fldChar w:fldCharType="begin"/>
      </w:r>
      <w:r w:rsidR="001C2319">
        <w:rPr>
          <w:rFonts w:cstheme="minorHAnsi"/>
        </w:rPr>
        <w:instrText xml:space="preserve"> REF _Ref138177488 \h </w:instrText>
      </w:r>
      <w:r w:rsidR="001C2319">
        <w:rPr>
          <w:rFonts w:cstheme="minorHAnsi"/>
        </w:rPr>
      </w:r>
      <w:r w:rsidR="001C2319">
        <w:rPr>
          <w:rFonts w:cstheme="minorHAnsi"/>
        </w:rPr>
        <w:fldChar w:fldCharType="separate"/>
      </w:r>
      <w:r w:rsidR="00B15C60" w:rsidRPr="001C2319">
        <w:t xml:space="preserve">Figure </w:t>
      </w:r>
      <w:r w:rsidR="00B15C60">
        <w:rPr>
          <w:noProof/>
        </w:rPr>
        <w:t>2</w:t>
      </w:r>
      <w:r w:rsidR="001C2319">
        <w:rPr>
          <w:rFonts w:cstheme="minorHAnsi"/>
        </w:rPr>
        <w:fldChar w:fldCharType="end"/>
      </w:r>
      <w:r>
        <w:rPr>
          <w:rFonts w:cstheme="minorHAnsi"/>
        </w:rPr>
        <w:t xml:space="preserve">b, c). </w:t>
      </w:r>
      <w:r w:rsidRPr="001370A2">
        <w:rPr>
          <w:rFonts w:cstheme="minorHAnsi"/>
        </w:rPr>
        <w:t xml:space="preserve">ANCOM-BC detected </w:t>
      </w:r>
      <w:r>
        <w:rPr>
          <w:rFonts w:cstheme="minorHAnsi"/>
        </w:rPr>
        <w:t>513</w:t>
      </w:r>
      <w:r w:rsidRPr="001370A2">
        <w:rPr>
          <w:rFonts w:cstheme="minorHAnsi"/>
        </w:rPr>
        <w:t xml:space="preserve"> taxa on genus level that were differentially abundant between at least two </w:t>
      </w:r>
      <w:r>
        <w:rPr>
          <w:rFonts w:cstheme="minorHAnsi"/>
        </w:rPr>
        <w:t>bacterial environments (gut, macroinvertebrate, water)</w:t>
      </w:r>
      <w:r w:rsidR="008D009C">
        <w:rPr>
          <w:rFonts w:cstheme="minorHAnsi"/>
        </w:rPr>
        <w:t>.</w:t>
      </w:r>
      <w:r>
        <w:rPr>
          <w:rFonts w:cstheme="minorHAnsi"/>
        </w:rPr>
        <w:t xml:space="preserve"> </w:t>
      </w:r>
      <w:proofErr w:type="spellStart"/>
      <w:r w:rsidRPr="00CF3854">
        <w:rPr>
          <w:rFonts w:cstheme="minorHAnsi"/>
          <w:i/>
          <w:iCs/>
        </w:rPr>
        <w:t>Schlegellela</w:t>
      </w:r>
      <w:proofErr w:type="spellEnd"/>
      <w:r>
        <w:rPr>
          <w:rFonts w:cstheme="minorHAnsi"/>
        </w:rPr>
        <w:t xml:space="preserve">, </w:t>
      </w:r>
      <w:r>
        <w:rPr>
          <w:rFonts w:cstheme="minorHAnsi"/>
          <w:i/>
          <w:iCs/>
        </w:rPr>
        <w:t>Corynebacterium</w:t>
      </w:r>
      <w:r>
        <w:rPr>
          <w:rFonts w:cstheme="minorHAnsi"/>
        </w:rPr>
        <w:t xml:space="preserve">, </w:t>
      </w:r>
      <w:r w:rsidRPr="00CF3854">
        <w:rPr>
          <w:rFonts w:cstheme="minorHAnsi"/>
          <w:i/>
          <w:iCs/>
        </w:rPr>
        <w:t>Staphylococcus</w:t>
      </w:r>
      <w:r>
        <w:rPr>
          <w:rFonts w:cstheme="minorHAnsi"/>
          <w:i/>
          <w:iCs/>
        </w:rPr>
        <w:t xml:space="preserve"> </w:t>
      </w:r>
      <w:r>
        <w:rPr>
          <w:rFonts w:cstheme="minorHAnsi"/>
        </w:rPr>
        <w:t xml:space="preserve">and </w:t>
      </w:r>
      <w:proofErr w:type="spellStart"/>
      <w:r w:rsidRPr="00CF3854">
        <w:rPr>
          <w:rFonts w:cstheme="minorHAnsi"/>
          <w:i/>
          <w:iCs/>
        </w:rPr>
        <w:t>Acidovorax</w:t>
      </w:r>
      <w:proofErr w:type="spellEnd"/>
      <w:r>
        <w:rPr>
          <w:rFonts w:cstheme="minorHAnsi"/>
        </w:rPr>
        <w:t xml:space="preserve"> were most abundant in fish guts, whereas Flavobacterium, </w:t>
      </w:r>
      <w:proofErr w:type="spellStart"/>
      <w:r w:rsidRPr="00CF3854">
        <w:rPr>
          <w:rFonts w:cstheme="minorHAnsi"/>
          <w:i/>
          <w:iCs/>
        </w:rPr>
        <w:t>Sphingo</w:t>
      </w:r>
      <w:r>
        <w:rPr>
          <w:rFonts w:cstheme="minorHAnsi"/>
          <w:i/>
          <w:iCs/>
        </w:rPr>
        <w:t>r</w:t>
      </w:r>
      <w:r w:rsidRPr="00CF3854">
        <w:rPr>
          <w:rFonts w:cstheme="minorHAnsi"/>
          <w:i/>
          <w:iCs/>
        </w:rPr>
        <w:t>habdus</w:t>
      </w:r>
      <w:proofErr w:type="spellEnd"/>
      <w:r>
        <w:rPr>
          <w:rFonts w:cstheme="minorHAnsi"/>
        </w:rPr>
        <w:t xml:space="preserve">, </w:t>
      </w:r>
      <w:proofErr w:type="spellStart"/>
      <w:r w:rsidRPr="00CF3854">
        <w:rPr>
          <w:rFonts w:cstheme="minorHAnsi"/>
          <w:i/>
          <w:iCs/>
        </w:rPr>
        <w:t>Novosphingobium</w:t>
      </w:r>
      <w:proofErr w:type="spellEnd"/>
      <w:r>
        <w:rPr>
          <w:rFonts w:cstheme="minorHAnsi"/>
        </w:rPr>
        <w:t xml:space="preserve"> and </w:t>
      </w:r>
      <w:proofErr w:type="spellStart"/>
      <w:r w:rsidRPr="00CF3854">
        <w:rPr>
          <w:rFonts w:cstheme="minorHAnsi"/>
          <w:i/>
          <w:iCs/>
        </w:rPr>
        <w:t>Methylotenera</w:t>
      </w:r>
      <w:proofErr w:type="spellEnd"/>
      <w:r>
        <w:rPr>
          <w:rFonts w:cstheme="minorHAnsi"/>
        </w:rPr>
        <w:t xml:space="preserve"> were dominant in macroinvertebrates</w:t>
      </w:r>
      <w:r w:rsidR="008D009C">
        <w:rPr>
          <w:rFonts w:cstheme="minorHAnsi"/>
        </w:rPr>
        <w:t xml:space="preserve"> (</w:t>
      </w:r>
      <w:r w:rsidR="008D009C">
        <w:rPr>
          <w:rFonts w:cstheme="minorHAnsi"/>
        </w:rPr>
        <w:fldChar w:fldCharType="begin"/>
      </w:r>
      <w:r w:rsidR="008D009C">
        <w:rPr>
          <w:rFonts w:cstheme="minorHAnsi"/>
        </w:rPr>
        <w:instrText xml:space="preserve"> REF _Ref138177488 \h </w:instrText>
      </w:r>
      <w:r w:rsidR="008D009C">
        <w:rPr>
          <w:rFonts w:cstheme="minorHAnsi"/>
        </w:rPr>
      </w:r>
      <w:r w:rsidR="008D009C">
        <w:rPr>
          <w:rFonts w:cstheme="minorHAnsi"/>
        </w:rPr>
        <w:fldChar w:fldCharType="separate"/>
      </w:r>
      <w:r w:rsidR="00B15C60" w:rsidRPr="001C2319">
        <w:t xml:space="preserve">Figure </w:t>
      </w:r>
      <w:r w:rsidR="00B15C60">
        <w:rPr>
          <w:noProof/>
        </w:rPr>
        <w:t>2</w:t>
      </w:r>
      <w:r w:rsidR="008D009C">
        <w:rPr>
          <w:rFonts w:cstheme="minorHAnsi"/>
        </w:rPr>
        <w:fldChar w:fldCharType="end"/>
      </w:r>
      <w:r w:rsidR="008D009C">
        <w:rPr>
          <w:rFonts w:cstheme="minorHAnsi"/>
        </w:rPr>
        <w:t>d).</w:t>
      </w:r>
      <w:r>
        <w:rPr>
          <w:rFonts w:cstheme="minorHAnsi"/>
        </w:rPr>
        <w:t xml:space="preserve"> 108 genera showed negative log abundances in water samples but were positively enriched in gut communities. Biggest log fold changes between the gut and water environment were observed for </w:t>
      </w:r>
      <w:proofErr w:type="spellStart"/>
      <w:r w:rsidRPr="00545F0F">
        <w:rPr>
          <w:rFonts w:cstheme="minorHAnsi"/>
          <w:i/>
          <w:iCs/>
        </w:rPr>
        <w:t>Schlegella</w:t>
      </w:r>
      <w:proofErr w:type="spellEnd"/>
      <w:r>
        <w:rPr>
          <w:rFonts w:cstheme="minorHAnsi"/>
        </w:rPr>
        <w:t xml:space="preserve"> (W=</w:t>
      </w:r>
      <w:r w:rsidRPr="006D33E9">
        <w:t xml:space="preserve"> </w:t>
      </w:r>
      <w:r w:rsidRPr="006D33E9">
        <w:rPr>
          <w:rFonts w:cstheme="minorHAnsi"/>
        </w:rPr>
        <w:t>-16.48</w:t>
      </w:r>
      <w:r w:rsidRPr="00104281">
        <w:rPr>
          <w:rFonts w:cstheme="minorHAnsi"/>
        </w:rPr>
        <w:t>, p</w:t>
      </w:r>
      <w:r w:rsidRPr="00986671">
        <w:rPr>
          <w:rFonts w:cstheme="minorHAnsi"/>
          <w:color w:val="040C28"/>
        </w:rPr>
        <w:t>&lt;0.0001</w:t>
      </w:r>
      <w:r>
        <w:rPr>
          <w:rFonts w:cstheme="minorHAnsi"/>
        </w:rPr>
        <w:t xml:space="preserve">), </w:t>
      </w:r>
      <w:r w:rsidRPr="00545F0F">
        <w:rPr>
          <w:rFonts w:cstheme="minorHAnsi"/>
          <w:i/>
          <w:iCs/>
        </w:rPr>
        <w:t>Corynebacterium</w:t>
      </w:r>
      <w:r>
        <w:rPr>
          <w:rFonts w:cstheme="minorHAnsi"/>
        </w:rPr>
        <w:t xml:space="preserve"> (W=</w:t>
      </w:r>
      <w:r w:rsidRPr="006D33E9">
        <w:t xml:space="preserve"> </w:t>
      </w:r>
      <w:r w:rsidRPr="006D33E9">
        <w:rPr>
          <w:rFonts w:cstheme="minorHAnsi"/>
        </w:rPr>
        <w:t>-15.01</w:t>
      </w:r>
      <w:r>
        <w:rPr>
          <w:rFonts w:cstheme="minorHAnsi"/>
        </w:rPr>
        <w:t xml:space="preserve">, </w:t>
      </w:r>
      <w:r w:rsidRPr="00104281">
        <w:rPr>
          <w:rFonts w:cstheme="minorHAnsi"/>
        </w:rPr>
        <w:t>p</w:t>
      </w:r>
      <w:r w:rsidRPr="00986671">
        <w:rPr>
          <w:rFonts w:cstheme="minorHAnsi"/>
          <w:color w:val="040C28"/>
        </w:rPr>
        <w:t>&lt;0.0001</w:t>
      </w:r>
      <w:r>
        <w:rPr>
          <w:rFonts w:cstheme="minorHAnsi"/>
        </w:rPr>
        <w:t xml:space="preserve">), </w:t>
      </w:r>
      <w:r w:rsidRPr="00545F0F">
        <w:rPr>
          <w:rFonts w:cstheme="minorHAnsi"/>
          <w:i/>
          <w:iCs/>
        </w:rPr>
        <w:t>Staphylococcus</w:t>
      </w:r>
      <w:r>
        <w:rPr>
          <w:rFonts w:cstheme="minorHAnsi"/>
        </w:rPr>
        <w:t xml:space="preserve"> (W=</w:t>
      </w:r>
      <w:r w:rsidRPr="006D33E9">
        <w:t xml:space="preserve"> </w:t>
      </w:r>
      <w:r w:rsidRPr="006D33E9">
        <w:rPr>
          <w:rFonts w:cstheme="minorHAnsi"/>
        </w:rPr>
        <w:t>-14.08</w:t>
      </w:r>
      <w:r>
        <w:rPr>
          <w:rFonts w:cstheme="minorHAnsi"/>
        </w:rPr>
        <w:t>,</w:t>
      </w:r>
      <w:r w:rsidRPr="00545F0F">
        <w:rPr>
          <w:rFonts w:cstheme="minorHAnsi"/>
        </w:rPr>
        <w:t xml:space="preserve"> </w:t>
      </w:r>
      <w:r w:rsidRPr="00104281">
        <w:rPr>
          <w:rFonts w:cstheme="minorHAnsi"/>
        </w:rPr>
        <w:t>p</w:t>
      </w:r>
      <w:r w:rsidRPr="00986671">
        <w:rPr>
          <w:rFonts w:cstheme="minorHAnsi"/>
          <w:color w:val="040C28"/>
        </w:rPr>
        <w:t>&lt;0.0001</w:t>
      </w:r>
      <w:r>
        <w:rPr>
          <w:rFonts w:cstheme="minorHAnsi"/>
        </w:rPr>
        <w:t xml:space="preserve">), </w:t>
      </w:r>
      <w:proofErr w:type="spellStart"/>
      <w:r w:rsidRPr="00545F0F">
        <w:rPr>
          <w:rFonts w:cstheme="minorHAnsi"/>
          <w:i/>
          <w:iCs/>
        </w:rPr>
        <w:t>Delftia</w:t>
      </w:r>
      <w:proofErr w:type="spellEnd"/>
      <w:r>
        <w:rPr>
          <w:rFonts w:cstheme="minorHAnsi"/>
        </w:rPr>
        <w:t xml:space="preserve"> (W=</w:t>
      </w:r>
      <w:r w:rsidRPr="006D33E9">
        <w:t xml:space="preserve"> </w:t>
      </w:r>
      <w:r w:rsidRPr="006D33E9">
        <w:rPr>
          <w:rFonts w:cstheme="minorHAnsi"/>
        </w:rPr>
        <w:t>-16.85</w:t>
      </w:r>
      <w:r>
        <w:rPr>
          <w:rFonts w:cstheme="minorHAnsi"/>
        </w:rPr>
        <w:t>,</w:t>
      </w:r>
      <w:r w:rsidRPr="00545F0F">
        <w:rPr>
          <w:rFonts w:cstheme="minorHAnsi"/>
        </w:rPr>
        <w:t xml:space="preserve"> </w:t>
      </w:r>
      <w:r w:rsidRPr="00104281">
        <w:rPr>
          <w:rFonts w:cstheme="minorHAnsi"/>
        </w:rPr>
        <w:t>p</w:t>
      </w:r>
      <w:r w:rsidRPr="00986671">
        <w:rPr>
          <w:rFonts w:cstheme="minorHAnsi"/>
          <w:color w:val="040C28"/>
        </w:rPr>
        <w:t>&lt;0.0001</w:t>
      </w:r>
      <w:r>
        <w:rPr>
          <w:rFonts w:cstheme="minorHAnsi"/>
        </w:rPr>
        <w:t xml:space="preserve">) and </w:t>
      </w:r>
      <w:proofErr w:type="spellStart"/>
      <w:r w:rsidRPr="00545F0F">
        <w:rPr>
          <w:rFonts w:cstheme="minorHAnsi"/>
          <w:i/>
          <w:iCs/>
        </w:rPr>
        <w:t>Acidovorax</w:t>
      </w:r>
      <w:proofErr w:type="spellEnd"/>
      <w:r>
        <w:rPr>
          <w:rFonts w:cstheme="minorHAnsi"/>
        </w:rPr>
        <w:t xml:space="preserve"> (W=</w:t>
      </w:r>
      <w:r w:rsidRPr="006D33E9">
        <w:t xml:space="preserve"> </w:t>
      </w:r>
      <w:r w:rsidRPr="006D33E9">
        <w:rPr>
          <w:rFonts w:cstheme="minorHAnsi"/>
        </w:rPr>
        <w:t>-13.26</w:t>
      </w:r>
      <w:r>
        <w:rPr>
          <w:rFonts w:cstheme="minorHAnsi"/>
        </w:rPr>
        <w:t>,</w:t>
      </w:r>
      <w:r w:rsidRPr="00545F0F">
        <w:rPr>
          <w:rFonts w:cstheme="minorHAnsi"/>
        </w:rPr>
        <w:t xml:space="preserve"> </w:t>
      </w:r>
      <w:r w:rsidRPr="00104281">
        <w:rPr>
          <w:rFonts w:cstheme="minorHAnsi"/>
        </w:rPr>
        <w:t>p</w:t>
      </w:r>
      <w:r w:rsidRPr="00986671">
        <w:rPr>
          <w:rFonts w:cstheme="minorHAnsi"/>
          <w:color w:val="040C28"/>
        </w:rPr>
        <w:t>&lt;0.0001</w:t>
      </w:r>
      <w:r>
        <w:rPr>
          <w:rFonts w:cstheme="minorHAnsi"/>
        </w:rPr>
        <w:t xml:space="preserve">). Many genera belonging to the </w:t>
      </w:r>
      <w:r w:rsidR="00853599">
        <w:rPr>
          <w:rFonts w:cstheme="minorHAnsi"/>
        </w:rPr>
        <w:t>p</w:t>
      </w:r>
      <w:r>
        <w:rPr>
          <w:rFonts w:cstheme="minorHAnsi"/>
        </w:rPr>
        <w:t xml:space="preserve">hylum of </w:t>
      </w:r>
      <w:r w:rsidRPr="0028139C">
        <w:rPr>
          <w:rFonts w:cstheme="minorHAnsi"/>
        </w:rPr>
        <w:t>Firmicutes</w:t>
      </w:r>
      <w:r>
        <w:rPr>
          <w:rFonts w:cstheme="minorHAnsi"/>
        </w:rPr>
        <w:t xml:space="preserve"> e.g., </w:t>
      </w:r>
      <w:r w:rsidRPr="008523A1">
        <w:rPr>
          <w:rFonts w:cstheme="minorHAnsi"/>
          <w:i/>
          <w:iCs/>
        </w:rPr>
        <w:t>Mycoplasma</w:t>
      </w:r>
      <w:r>
        <w:rPr>
          <w:rFonts w:cstheme="minorHAnsi"/>
        </w:rPr>
        <w:t xml:space="preserve">, </w:t>
      </w:r>
      <w:r w:rsidRPr="008523A1">
        <w:rPr>
          <w:rFonts w:cstheme="minorHAnsi"/>
          <w:i/>
          <w:iCs/>
        </w:rPr>
        <w:t>Clostridium</w:t>
      </w:r>
      <w:r>
        <w:rPr>
          <w:rFonts w:cstheme="minorHAnsi"/>
        </w:rPr>
        <w:t xml:space="preserve"> </w:t>
      </w:r>
      <w:proofErr w:type="spellStart"/>
      <w:r w:rsidRPr="008523A1">
        <w:rPr>
          <w:rFonts w:cstheme="minorHAnsi"/>
          <w:i/>
          <w:iCs/>
        </w:rPr>
        <w:t>sensu</w:t>
      </w:r>
      <w:proofErr w:type="spellEnd"/>
      <w:r>
        <w:rPr>
          <w:rFonts w:cstheme="minorHAnsi"/>
        </w:rPr>
        <w:t xml:space="preserve"> </w:t>
      </w:r>
      <w:proofErr w:type="spellStart"/>
      <w:r w:rsidRPr="008523A1">
        <w:rPr>
          <w:rFonts w:cstheme="minorHAnsi"/>
          <w:i/>
          <w:iCs/>
        </w:rPr>
        <w:t>strict</w:t>
      </w:r>
      <w:r>
        <w:rPr>
          <w:rFonts w:cstheme="minorHAnsi"/>
          <w:i/>
          <w:iCs/>
        </w:rPr>
        <w:t>o</w:t>
      </w:r>
      <w:proofErr w:type="spellEnd"/>
      <w:r>
        <w:rPr>
          <w:rFonts w:cstheme="minorHAnsi"/>
          <w:i/>
          <w:iCs/>
        </w:rPr>
        <w:t>,</w:t>
      </w:r>
      <w:r>
        <w:rPr>
          <w:rFonts w:cstheme="minorHAnsi"/>
        </w:rPr>
        <w:t xml:space="preserve"> </w:t>
      </w:r>
      <w:r w:rsidRPr="008523A1">
        <w:rPr>
          <w:rFonts w:cstheme="minorHAnsi"/>
          <w:i/>
          <w:iCs/>
        </w:rPr>
        <w:t>Bacillus</w:t>
      </w:r>
      <w:r>
        <w:rPr>
          <w:rFonts w:cstheme="minorHAnsi"/>
        </w:rPr>
        <w:t xml:space="preserve"> and several taxa belonging to the order of </w:t>
      </w:r>
      <w:r w:rsidRPr="008523A1">
        <w:rPr>
          <w:rFonts w:cstheme="minorHAnsi"/>
          <w:i/>
          <w:iCs/>
        </w:rPr>
        <w:t>Lactobacillus</w:t>
      </w:r>
      <w:r>
        <w:rPr>
          <w:rFonts w:cstheme="minorHAnsi"/>
        </w:rPr>
        <w:t xml:space="preserve"> were also positively enriched in salmon guts.</w:t>
      </w:r>
    </w:p>
    <w:p w14:paraId="19FC3323" w14:textId="77777777" w:rsidR="001C2319" w:rsidRDefault="001C2319" w:rsidP="001C2319">
      <w:pPr>
        <w:keepNext/>
        <w:spacing w:line="240" w:lineRule="auto"/>
      </w:pPr>
      <w:r w:rsidRPr="001C2319">
        <w:rPr>
          <w:noProof/>
        </w:rPr>
        <w:lastRenderedPageBreak/>
        <w:drawing>
          <wp:inline distT="0" distB="0" distL="0" distR="0" wp14:anchorId="113F14C9" wp14:editId="2EBE1316">
            <wp:extent cx="5731510" cy="6477000"/>
            <wp:effectExtent l="0" t="0" r="2540" b="0"/>
            <wp:docPr id="10880401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40193"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731510" cy="6477000"/>
                    </a:xfrm>
                    <a:prstGeom prst="rect">
                      <a:avLst/>
                    </a:prstGeom>
                  </pic:spPr>
                </pic:pic>
              </a:graphicData>
            </a:graphic>
          </wp:inline>
        </w:drawing>
      </w:r>
    </w:p>
    <w:p w14:paraId="2A3A88AE" w14:textId="1056A7A9" w:rsidR="00094FDC" w:rsidRDefault="001C2319" w:rsidP="000074A7">
      <w:pPr>
        <w:pStyle w:val="Caption"/>
      </w:pPr>
      <w:bookmarkStart w:id="3" w:name="_Ref138177488"/>
      <w:r w:rsidRPr="001C2319">
        <w:t xml:space="preserve">Figure </w:t>
      </w:r>
      <w:fldSimple w:instr=" SEQ Figure \* ARABIC ">
        <w:r w:rsidR="00B15C60">
          <w:rPr>
            <w:noProof/>
          </w:rPr>
          <w:t>2</w:t>
        </w:r>
      </w:fldSimple>
      <w:bookmarkEnd w:id="3"/>
      <w:r w:rsidRPr="001C2319">
        <w:t>: Principal coordinate analysis (</w:t>
      </w:r>
      <w:proofErr w:type="spellStart"/>
      <w:r w:rsidRPr="001C2319">
        <w:t>PCoA</w:t>
      </w:r>
      <w:proofErr w:type="spellEnd"/>
      <w:r w:rsidRPr="001C2319">
        <w:t xml:space="preserve">) of bacterial communities from gut, </w:t>
      </w:r>
      <w:proofErr w:type="gramStart"/>
      <w:r w:rsidRPr="001C2319">
        <w:t>water</w:t>
      </w:r>
      <w:proofErr w:type="gramEnd"/>
      <w:r w:rsidRPr="001C2319">
        <w:t xml:space="preserve"> and macroinvertebrate samples. (B) Chao1 richness of bacterial communities collected from gut, </w:t>
      </w:r>
      <w:proofErr w:type="gramStart"/>
      <w:r w:rsidRPr="001C2319">
        <w:t>macroinvertebrate</w:t>
      </w:r>
      <w:proofErr w:type="gramEnd"/>
      <w:r w:rsidRPr="001C2319">
        <w:t xml:space="preserve"> and water environments. (C) Shannon diversity index of bacterial communities collected from different environments. Significance was determined by pairwise t-testing. Significance codes: ***&lt;0.001; ns=not significant. (D) Bias-corrected log observed abundances, calculated by analysis of compositions of microbiomes with bias correction (ANCOM-BC). The heatmap shows 25 differentially abundant taxa on genus level. In total, 513 genera were significantly differentially abundant between at least two environments. Values and respective colour schemes depict bias-corrected log observed abundances.</w:t>
      </w:r>
    </w:p>
    <w:p w14:paraId="4BACC7F1" w14:textId="07A556D1" w:rsidR="00094FDC" w:rsidRPr="0014353A" w:rsidRDefault="008B2D3C" w:rsidP="00094FDC">
      <w:pPr>
        <w:pStyle w:val="Heading2"/>
        <w:spacing w:line="480" w:lineRule="auto"/>
        <w:rPr>
          <w:rFonts w:cstheme="minorHAnsi"/>
        </w:rPr>
      </w:pPr>
      <w:r>
        <w:rPr>
          <w:rFonts w:cstheme="minorHAnsi"/>
        </w:rPr>
        <w:lastRenderedPageBreak/>
        <w:t>Influences</w:t>
      </w:r>
      <w:r w:rsidR="00094FDC">
        <w:rPr>
          <w:rFonts w:cstheme="minorHAnsi"/>
        </w:rPr>
        <w:t xml:space="preserve"> of seasonality</w:t>
      </w:r>
      <w:r w:rsidR="00094FDC" w:rsidRPr="001370A2">
        <w:rPr>
          <w:rFonts w:cstheme="minorHAnsi"/>
        </w:rPr>
        <w:t xml:space="preserve"> and </w:t>
      </w:r>
      <w:r w:rsidR="00094FDC">
        <w:rPr>
          <w:rFonts w:cstheme="minorHAnsi"/>
        </w:rPr>
        <w:t>host genetic origin</w:t>
      </w:r>
      <w:r w:rsidR="00094FDC" w:rsidRPr="001370A2">
        <w:rPr>
          <w:rFonts w:cstheme="minorHAnsi"/>
        </w:rPr>
        <w:t xml:space="preserve"> </w:t>
      </w:r>
      <w:r w:rsidR="00094FDC">
        <w:rPr>
          <w:rFonts w:cstheme="minorHAnsi"/>
        </w:rPr>
        <w:t xml:space="preserve">on </w:t>
      </w:r>
      <w:r w:rsidR="00094FDC" w:rsidRPr="001370A2">
        <w:rPr>
          <w:rFonts w:cstheme="minorHAnsi"/>
        </w:rPr>
        <w:t xml:space="preserve">gut microbial communities </w:t>
      </w:r>
    </w:p>
    <w:p w14:paraId="3E7F3D5F" w14:textId="2AF4341D" w:rsidR="00094FDC" w:rsidRDefault="00094FDC" w:rsidP="00094FDC">
      <w:pPr>
        <w:spacing w:line="480" w:lineRule="auto"/>
      </w:pPr>
      <w:r w:rsidRPr="001370A2">
        <w:t xml:space="preserve">Gut microbial community composition of Atlantic salmon </w:t>
      </w:r>
      <w:r>
        <w:t xml:space="preserve">juveniles </w:t>
      </w:r>
      <w:r w:rsidRPr="001370A2">
        <w:t>varied considerably</w:t>
      </w:r>
      <w:r>
        <w:t xml:space="preserve"> among </w:t>
      </w:r>
      <w:r w:rsidRPr="001370A2">
        <w:t>sampling months</w:t>
      </w:r>
      <w:r>
        <w:t xml:space="preserve"> (</w:t>
      </w:r>
      <w:r w:rsidR="001B0039">
        <w:fldChar w:fldCharType="begin"/>
      </w:r>
      <w:r w:rsidR="001B0039">
        <w:instrText xml:space="preserve"> REF _Ref138178907 \h </w:instrText>
      </w:r>
      <w:r w:rsidR="001B0039">
        <w:fldChar w:fldCharType="separate"/>
      </w:r>
      <w:r w:rsidR="00B15C60">
        <w:t xml:space="preserve">Figure </w:t>
      </w:r>
      <w:r w:rsidR="00B15C60">
        <w:rPr>
          <w:noProof/>
        </w:rPr>
        <w:t>3</w:t>
      </w:r>
      <w:r w:rsidR="001B0039">
        <w:fldChar w:fldCharType="end"/>
      </w:r>
      <w:r>
        <w:t xml:space="preserve">a). However, monthly clusters did not align sequentially from January to November and instead appeared to be randomly separated by </w:t>
      </w:r>
      <w:proofErr w:type="spellStart"/>
      <w:r>
        <w:t>PCoA</w:t>
      </w:r>
      <w:proofErr w:type="spellEnd"/>
      <w:r>
        <w:t xml:space="preserve"> ordination. </w:t>
      </w:r>
      <w:r w:rsidRPr="00B9285D">
        <w:t xml:space="preserve">Interestingly, </w:t>
      </w:r>
      <w:proofErr w:type="spellStart"/>
      <w:r w:rsidRPr="00B9285D">
        <w:t>PCoA</w:t>
      </w:r>
      <w:proofErr w:type="spellEnd"/>
      <w:r w:rsidRPr="00B9285D">
        <w:t xml:space="preserve"> ordination clustered </w:t>
      </w:r>
      <w:r>
        <w:t>fish samples</w:t>
      </w:r>
      <w:r w:rsidRPr="00B9285D">
        <w:t xml:space="preserve"> from </w:t>
      </w:r>
      <w:r>
        <w:t xml:space="preserve">the </w:t>
      </w:r>
      <w:r w:rsidRPr="00B9285D">
        <w:t xml:space="preserve">wild and hybrid wild female origin in March, </w:t>
      </w:r>
      <w:proofErr w:type="gramStart"/>
      <w:r w:rsidRPr="00B9285D">
        <w:t>May</w:t>
      </w:r>
      <w:proofErr w:type="gramEnd"/>
      <w:r w:rsidRPr="00B9285D">
        <w:t xml:space="preserve"> and November, indicating a potential genetic</w:t>
      </w:r>
      <w:r>
        <w:t xml:space="preserve"> and/or maternal</w:t>
      </w:r>
      <w:r w:rsidRPr="00B9285D">
        <w:t xml:space="preserve"> effect on gut microbial community structure. </w:t>
      </w:r>
      <w:r w:rsidR="001468C8" w:rsidRPr="001468C8">
        <w:t xml:space="preserve">However, it is important to note that our sampling design lacks statistical power in terms of the number of fish per sampling time point, specifically in relation to their genetic origin </w:t>
      </w:r>
      <w:r w:rsidR="008B2D3C">
        <w:t xml:space="preserve">(see </w:t>
      </w:r>
      <w:r w:rsidR="001B0039" w:rsidRPr="001B0039">
        <w:fldChar w:fldCharType="begin"/>
      </w:r>
      <w:r w:rsidR="001B0039" w:rsidRPr="001B0039">
        <w:instrText xml:space="preserve"> REF _Ref138176939 \h  \* MERGEFORMAT </w:instrText>
      </w:r>
      <w:r w:rsidR="001B0039" w:rsidRPr="001B0039">
        <w:fldChar w:fldCharType="separate"/>
      </w:r>
      <w:r w:rsidR="00B15C60" w:rsidRPr="00B15C60">
        <w:t xml:space="preserve">Table S </w:t>
      </w:r>
      <w:r w:rsidR="00B15C60" w:rsidRPr="00B15C60">
        <w:rPr>
          <w:noProof/>
        </w:rPr>
        <w:t>1</w:t>
      </w:r>
      <w:r w:rsidR="001B0039" w:rsidRPr="001B0039">
        <w:fldChar w:fldCharType="end"/>
      </w:r>
      <w:r w:rsidR="008B2D3C">
        <w:t>)</w:t>
      </w:r>
      <w:r w:rsidRPr="00B9285D">
        <w:t>. Therefore, results indicating a genetic effect associated with the origin of the fish (farm, wild or hybrid) must be treated with care.</w:t>
      </w:r>
      <w:r>
        <w:t xml:space="preserve"> </w:t>
      </w:r>
      <w:r w:rsidRPr="00786894">
        <w:t xml:space="preserve">PERMANOVA </w:t>
      </w:r>
      <w:r w:rsidR="008B2D3C">
        <w:t xml:space="preserve">indicated </w:t>
      </w:r>
      <w:r w:rsidRPr="00786894">
        <w:t xml:space="preserve">statistical support for the differences observed in </w:t>
      </w:r>
      <w:proofErr w:type="spellStart"/>
      <w:r w:rsidRPr="00786894">
        <w:t>PCoA</w:t>
      </w:r>
      <w:proofErr w:type="spellEnd"/>
      <w:r w:rsidRPr="00786894">
        <w:t xml:space="preserve"> ordination. Sampling month (16.4%), genetic origin (5.4%) and their interaction term (20.5%) explained almost half of the observable variation. </w:t>
      </w:r>
      <w:r w:rsidR="008B2D3C">
        <w:t>Fish sex</w:t>
      </w:r>
      <w:r w:rsidRPr="00786894">
        <w:t xml:space="preserve"> had no significant effect on gut microbial community composition</w:t>
      </w:r>
      <w:r>
        <w:t>, and</w:t>
      </w:r>
      <w:r w:rsidRPr="00786894">
        <w:t xml:space="preserve"> 56.5% of </w:t>
      </w:r>
      <w:r>
        <w:t xml:space="preserve">the </w:t>
      </w:r>
      <w:r w:rsidRPr="00786894">
        <w:t>variation remained unexplained (</w:t>
      </w:r>
      <w:r w:rsidR="001B0039" w:rsidRPr="001B0039">
        <w:fldChar w:fldCharType="begin"/>
      </w:r>
      <w:r w:rsidR="001B0039" w:rsidRPr="001B0039">
        <w:instrText xml:space="preserve"> REF _Ref115364505 \h  \* MERGEFORMAT </w:instrText>
      </w:r>
      <w:r w:rsidR="001B0039" w:rsidRPr="001B0039">
        <w:fldChar w:fldCharType="separate"/>
      </w:r>
      <w:r w:rsidR="00B15C60" w:rsidRPr="00B15C60">
        <w:t xml:space="preserve">Table S </w:t>
      </w:r>
      <w:r w:rsidR="00B15C60" w:rsidRPr="00B15C60">
        <w:rPr>
          <w:noProof/>
        </w:rPr>
        <w:t>2</w:t>
      </w:r>
      <w:r w:rsidR="001B0039" w:rsidRPr="001B0039">
        <w:fldChar w:fldCharType="end"/>
      </w:r>
      <w:r w:rsidRPr="00786894">
        <w:t xml:space="preserve">). Pairwise testing revealed that the microbial community composition </w:t>
      </w:r>
      <w:r>
        <w:t>significantly differed</w:t>
      </w:r>
      <w:r w:rsidRPr="00786894">
        <w:t xml:space="preserve"> between all sampling months (</w:t>
      </w:r>
      <w:r w:rsidR="001B0039">
        <w:fldChar w:fldCharType="begin"/>
      </w:r>
      <w:r w:rsidR="001B0039" w:rsidRPr="001B0039">
        <w:instrText xml:space="preserve"> REF _Ref115364595 \h  \* MERGEFORMAT </w:instrText>
      </w:r>
      <w:r w:rsidR="001B0039">
        <w:fldChar w:fldCharType="separate"/>
      </w:r>
      <w:r w:rsidR="00B15C60" w:rsidRPr="00B15C60">
        <w:t>Table</w:t>
      </w:r>
      <w:r w:rsidR="00B15C60" w:rsidRPr="00CC2734">
        <w:rPr>
          <w:b/>
          <w:bCs/>
        </w:rPr>
        <w:t xml:space="preserve"> </w:t>
      </w:r>
      <w:r w:rsidR="00B15C60" w:rsidRPr="00B15C60">
        <w:t xml:space="preserve">S </w:t>
      </w:r>
      <w:r w:rsidR="00B15C60" w:rsidRPr="00B15C60">
        <w:rPr>
          <w:noProof/>
        </w:rPr>
        <w:t>3</w:t>
      </w:r>
      <w:r w:rsidR="001B0039">
        <w:fldChar w:fldCharType="end"/>
      </w:r>
      <w:r w:rsidRPr="00786894">
        <w:t xml:space="preserve">). </w:t>
      </w:r>
      <w:r w:rsidR="008B2D3C">
        <w:t>For</w:t>
      </w:r>
      <w:r w:rsidRPr="00786894">
        <w:t xml:space="preserve"> genetic origin, we found that the microbial communities in wild fish differed significantly</w:t>
      </w:r>
      <w:r w:rsidR="008B2D3C">
        <w:t xml:space="preserve"> from</w:t>
      </w:r>
      <w:r w:rsidRPr="00786894">
        <w:t xml:space="preserve"> </w:t>
      </w:r>
      <w:r>
        <w:t xml:space="preserve">those of </w:t>
      </w:r>
      <w:r w:rsidRPr="00786894">
        <w:t>farmed</w:t>
      </w:r>
      <w:r>
        <w:t xml:space="preserve"> fish</w:t>
      </w:r>
      <w:r w:rsidRPr="00786894">
        <w:t xml:space="preserve"> (F=2.121, p=0.01) and hybrid farmed female (F=1.858, p= 0.01) fish</w:t>
      </w:r>
      <w:r>
        <w:t xml:space="preserve"> but not to hybrid wild female fish (F=0.897, p=0.66,</w:t>
      </w:r>
      <w:r w:rsidR="001B0039">
        <w:t xml:space="preserve"> </w:t>
      </w:r>
      <w:r w:rsidR="001B0039" w:rsidRPr="001B0039">
        <w:fldChar w:fldCharType="begin"/>
      </w:r>
      <w:r w:rsidR="001B0039" w:rsidRPr="001B0039">
        <w:instrText xml:space="preserve"> REF _Ref115364620 \h  \* MERGEFORMAT </w:instrText>
      </w:r>
      <w:r w:rsidR="001B0039" w:rsidRPr="001B0039">
        <w:fldChar w:fldCharType="separate"/>
      </w:r>
      <w:r w:rsidR="00B15C60" w:rsidRPr="00B15C60">
        <w:t xml:space="preserve">Table S </w:t>
      </w:r>
      <w:r w:rsidR="00B15C60" w:rsidRPr="00B15C60">
        <w:rPr>
          <w:noProof/>
        </w:rPr>
        <w:t>4</w:t>
      </w:r>
      <w:r w:rsidR="001B0039" w:rsidRPr="001B0039">
        <w:fldChar w:fldCharType="end"/>
      </w:r>
      <w:r w:rsidRPr="00786894">
        <w:t xml:space="preserve">). </w:t>
      </w:r>
      <w:r>
        <w:t>However, these</w:t>
      </w:r>
      <w:r w:rsidRPr="00786894">
        <w:t xml:space="preserve"> significant </w:t>
      </w:r>
      <w:r>
        <w:t>differences might only be present in certain sampling months</w:t>
      </w:r>
      <w:r w:rsidR="008B2D3C">
        <w:t>.</w:t>
      </w:r>
      <w:r w:rsidR="0017579A">
        <w:t xml:space="preserve"> Unfortunately, we couldn’t elaborate on this further due to the formerly mentioned </w:t>
      </w:r>
      <w:r w:rsidR="001468C8">
        <w:t xml:space="preserve">flaws in </w:t>
      </w:r>
      <w:proofErr w:type="gramStart"/>
      <w:r w:rsidR="001468C8">
        <w:t>the our</w:t>
      </w:r>
      <w:proofErr w:type="gramEnd"/>
      <w:r w:rsidR="001468C8">
        <w:t xml:space="preserve"> sampling</w:t>
      </w:r>
      <w:r w:rsidR="0017579A">
        <w:t xml:space="preserve"> design.</w:t>
      </w:r>
    </w:p>
    <w:p w14:paraId="326230AA" w14:textId="34B6521C" w:rsidR="00094FDC" w:rsidRDefault="00094FDC" w:rsidP="00094FDC">
      <w:pPr>
        <w:spacing w:line="480" w:lineRule="auto"/>
      </w:pPr>
      <w:r w:rsidRPr="00890CC3">
        <w:t xml:space="preserve">Fish gut microbiomes showed </w:t>
      </w:r>
      <w:r w:rsidR="008B2D3C">
        <w:t>their</w:t>
      </w:r>
      <w:r w:rsidRPr="00890CC3">
        <w:t xml:space="preserve"> highest</w:t>
      </w:r>
      <w:r w:rsidR="008B2D3C">
        <w:t xml:space="preserve"> average</w:t>
      </w:r>
      <w:r w:rsidRPr="00890CC3">
        <w:t xml:space="preserve"> diversity in January </w:t>
      </w:r>
      <w:r w:rsidR="001B0039">
        <w:t>(</w:t>
      </w:r>
      <w:r w:rsidR="001B0039">
        <w:fldChar w:fldCharType="begin"/>
      </w:r>
      <w:r w:rsidR="001B0039">
        <w:instrText xml:space="preserve"> REF _Ref138178907 \h </w:instrText>
      </w:r>
      <w:r w:rsidR="00671A8B">
        <w:instrText xml:space="preserve"> \* MERGEFORMAT </w:instrText>
      </w:r>
      <w:r w:rsidR="001B0039">
        <w:fldChar w:fldCharType="separate"/>
      </w:r>
      <w:r w:rsidR="00B15C60">
        <w:t xml:space="preserve">Figure </w:t>
      </w:r>
      <w:r w:rsidR="00B15C60">
        <w:rPr>
          <w:noProof/>
        </w:rPr>
        <w:t>3</w:t>
      </w:r>
      <w:r w:rsidR="001B0039">
        <w:fldChar w:fldCharType="end"/>
      </w:r>
      <w:r>
        <w:t>b</w:t>
      </w:r>
      <w:r w:rsidRPr="00890CC3">
        <w:t xml:space="preserve">, c). Alpha diversity measures were lowest in March and May and increased again over the summer months. The results from the generalised linear models showed that only the sampling time had a significant effect on alpha diversity measures. No significant effects on alpha diversity measures were found for genetic origin or sex </w:t>
      </w:r>
      <w:r>
        <w:t>(</w:t>
      </w:r>
      <w:r w:rsidR="001B0039" w:rsidRPr="001B0039">
        <w:fldChar w:fldCharType="begin"/>
      </w:r>
      <w:r w:rsidR="001B0039" w:rsidRPr="001B0039">
        <w:instrText xml:space="preserve"> REF _Ref115364781 \h  \* MERGEFORMAT </w:instrText>
      </w:r>
      <w:r w:rsidR="001B0039" w:rsidRPr="001B0039">
        <w:fldChar w:fldCharType="separate"/>
      </w:r>
      <w:r w:rsidR="00B15C60" w:rsidRPr="00B15C60">
        <w:t xml:space="preserve">Table S </w:t>
      </w:r>
      <w:r w:rsidR="00B15C60" w:rsidRPr="00B15C60">
        <w:rPr>
          <w:noProof/>
        </w:rPr>
        <w:t>5</w:t>
      </w:r>
      <w:r w:rsidR="001B0039" w:rsidRPr="001B0039">
        <w:fldChar w:fldCharType="end"/>
      </w:r>
      <w:r w:rsidR="001B0039" w:rsidRPr="001B0039">
        <w:t>,</w:t>
      </w:r>
      <w:r w:rsidR="001B0039" w:rsidRPr="001B0039">
        <w:fldChar w:fldCharType="begin"/>
      </w:r>
      <w:r w:rsidR="001B0039" w:rsidRPr="001B0039">
        <w:instrText xml:space="preserve"> REF _Ref115364783 \h  \* MERGEFORMAT </w:instrText>
      </w:r>
      <w:r w:rsidR="001B0039" w:rsidRPr="001B0039">
        <w:fldChar w:fldCharType="separate"/>
      </w:r>
      <w:r w:rsidR="00B15C60" w:rsidRPr="00B15C60">
        <w:t>Table S</w:t>
      </w:r>
      <w:r w:rsidR="00B15C60" w:rsidRPr="00B15C60">
        <w:rPr>
          <w:noProof/>
        </w:rPr>
        <w:t xml:space="preserve"> 6</w:t>
      </w:r>
      <w:r w:rsidR="001B0039" w:rsidRPr="001B0039">
        <w:fldChar w:fldCharType="end"/>
      </w:r>
      <w:r>
        <w:t>).</w:t>
      </w:r>
    </w:p>
    <w:p w14:paraId="585D0FA1" w14:textId="77777777" w:rsidR="001B0039" w:rsidRDefault="0093493B" w:rsidP="001B0039">
      <w:pPr>
        <w:keepNext/>
        <w:spacing w:line="240" w:lineRule="auto"/>
      </w:pPr>
      <w:r>
        <w:rPr>
          <w:noProof/>
          <w14:ligatures w14:val="standardContextual"/>
        </w:rPr>
        <w:lastRenderedPageBreak/>
        <w:drawing>
          <wp:inline distT="0" distB="0" distL="0" distR="0" wp14:anchorId="5907B776" wp14:editId="6CC0747E">
            <wp:extent cx="5731510" cy="2938145"/>
            <wp:effectExtent l="0" t="0" r="2540" b="0"/>
            <wp:docPr id="18559976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97602"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731510" cy="2938145"/>
                    </a:xfrm>
                    <a:prstGeom prst="rect">
                      <a:avLst/>
                    </a:prstGeom>
                  </pic:spPr>
                </pic:pic>
              </a:graphicData>
            </a:graphic>
          </wp:inline>
        </w:drawing>
      </w:r>
    </w:p>
    <w:p w14:paraId="1156D818" w14:textId="3269709D" w:rsidR="00094FDC" w:rsidRDefault="001B0039" w:rsidP="000074A7">
      <w:pPr>
        <w:spacing w:line="240" w:lineRule="auto"/>
      </w:pPr>
      <w:bookmarkStart w:id="4" w:name="_Ref138178907"/>
      <w:r>
        <w:t xml:space="preserve">Figure </w:t>
      </w:r>
      <w:fldSimple w:instr=" SEQ Figure \* ARABIC ">
        <w:r w:rsidR="00B15C60">
          <w:rPr>
            <w:noProof/>
          </w:rPr>
          <w:t>3</w:t>
        </w:r>
      </w:fldSimple>
      <w:bookmarkEnd w:id="4"/>
      <w:r>
        <w:t xml:space="preserve">: </w:t>
      </w:r>
      <w:r w:rsidRPr="00890CC3">
        <w:t>Alpha and beta diversity of Atlantic salmon gut microbiomes obtained from samples collected in the river environment. (A) Principal coordinate analysis (</w:t>
      </w:r>
      <w:proofErr w:type="spellStart"/>
      <w:r w:rsidRPr="00890CC3">
        <w:t>PCoA</w:t>
      </w:r>
      <w:proofErr w:type="spellEnd"/>
      <w:r w:rsidRPr="00890CC3">
        <w:t>) of gut samples grouped by sampling month. Each data point represents an individual sample. Shapes represent the genetic background of fish (F=Farmed, HFF=Hybrid Farmed Female, HWF=Hybrid Wild Female, W=Wild). Percentages in parenthesis indicate the amount of variation shown on each axis. Lines mark the centroids of each group. Distance matrix was calculated based on Bray-</w:t>
      </w:r>
      <w:proofErr w:type="gramStart"/>
      <w:r w:rsidRPr="00890CC3">
        <w:t>Curtis</w:t>
      </w:r>
      <w:proofErr w:type="gramEnd"/>
      <w:r w:rsidRPr="00890CC3">
        <w:t xml:space="preserve"> dissimilarities. (B) Chao1 richness for gut samples grouped by sampling month. (C) Shannon diversity index for gut samples grouped by sampling month.</w:t>
      </w:r>
    </w:p>
    <w:p w14:paraId="034B7C8D" w14:textId="5279F7D2" w:rsidR="0093493B" w:rsidRPr="0014353A" w:rsidRDefault="0093493B" w:rsidP="0093493B">
      <w:pPr>
        <w:pStyle w:val="Heading2"/>
        <w:spacing w:line="480" w:lineRule="auto"/>
        <w:rPr>
          <w:rFonts w:cstheme="minorHAnsi"/>
        </w:rPr>
      </w:pPr>
      <w:r>
        <w:rPr>
          <w:rFonts w:cstheme="minorHAnsi"/>
        </w:rPr>
        <w:t>E</w:t>
      </w:r>
      <w:r w:rsidRPr="001370A2">
        <w:rPr>
          <w:rFonts w:cstheme="minorHAnsi"/>
        </w:rPr>
        <w:t>nvironmental and host</w:t>
      </w:r>
      <w:r>
        <w:rPr>
          <w:rFonts w:cstheme="minorHAnsi"/>
        </w:rPr>
        <w:t>-</w:t>
      </w:r>
      <w:r w:rsidRPr="001370A2">
        <w:rPr>
          <w:rFonts w:cstheme="minorHAnsi"/>
        </w:rPr>
        <w:t>specific</w:t>
      </w:r>
      <w:r>
        <w:rPr>
          <w:rFonts w:cstheme="minorHAnsi"/>
        </w:rPr>
        <w:t xml:space="preserve"> factors</w:t>
      </w:r>
      <w:r w:rsidRPr="001370A2">
        <w:rPr>
          <w:rFonts w:cstheme="minorHAnsi"/>
        </w:rPr>
        <w:t xml:space="preserve"> </w:t>
      </w:r>
      <w:r>
        <w:rPr>
          <w:rFonts w:cstheme="minorHAnsi"/>
        </w:rPr>
        <w:t>correlate with</w:t>
      </w:r>
      <w:r w:rsidRPr="001370A2">
        <w:rPr>
          <w:rFonts w:cstheme="minorHAnsi"/>
        </w:rPr>
        <w:t xml:space="preserve"> gut microbial community</w:t>
      </w:r>
      <w:r>
        <w:rPr>
          <w:rFonts w:cstheme="minorHAnsi"/>
        </w:rPr>
        <w:t xml:space="preserve"> </w:t>
      </w:r>
      <w:proofErr w:type="gramStart"/>
      <w:r w:rsidRPr="001370A2">
        <w:rPr>
          <w:rFonts w:cstheme="minorHAnsi"/>
        </w:rPr>
        <w:t>compositio</w:t>
      </w:r>
      <w:r>
        <w:rPr>
          <w:rFonts w:cstheme="minorHAnsi"/>
        </w:rPr>
        <w:t>n</w:t>
      </w:r>
      <w:proofErr w:type="gramEnd"/>
    </w:p>
    <w:p w14:paraId="01F5D1A4" w14:textId="4EF89CD4" w:rsidR="0093493B" w:rsidRDefault="0093493B" w:rsidP="0093493B">
      <w:pPr>
        <w:spacing w:line="480" w:lineRule="auto"/>
        <w:rPr>
          <w:rFonts w:cstheme="minorHAnsi"/>
        </w:rPr>
      </w:pPr>
      <w:r>
        <w:t>We used distance-based redundancy analysis (</w:t>
      </w:r>
      <w:proofErr w:type="spellStart"/>
      <w:r>
        <w:t>dbRDA</w:t>
      </w:r>
      <w:proofErr w:type="spellEnd"/>
      <w:r>
        <w:t xml:space="preserve">) to attempt to </w:t>
      </w:r>
      <w:r w:rsidRPr="001370A2">
        <w:rPr>
          <w:rFonts w:cstheme="minorHAnsi"/>
        </w:rPr>
        <w:t xml:space="preserve">explain monthly differences in gut microbial community composition </w:t>
      </w:r>
      <w:r>
        <w:rPr>
          <w:rFonts w:cstheme="minorHAnsi"/>
        </w:rPr>
        <w:t>in terms of</w:t>
      </w:r>
      <w:r w:rsidRPr="001370A2">
        <w:rPr>
          <w:rFonts w:cstheme="minorHAnsi"/>
        </w:rPr>
        <w:t xml:space="preserve"> environmental </w:t>
      </w:r>
      <w:r>
        <w:rPr>
          <w:rFonts w:cstheme="minorHAnsi"/>
        </w:rPr>
        <w:t xml:space="preserve">(e.g., seasonal) </w:t>
      </w:r>
      <w:r w:rsidRPr="001370A2">
        <w:rPr>
          <w:rFonts w:cstheme="minorHAnsi"/>
        </w:rPr>
        <w:t>and host</w:t>
      </w:r>
      <w:r>
        <w:rPr>
          <w:rFonts w:cstheme="minorHAnsi"/>
        </w:rPr>
        <w:t>-</w:t>
      </w:r>
      <w:r w:rsidRPr="001370A2">
        <w:rPr>
          <w:rFonts w:cstheme="minorHAnsi"/>
        </w:rPr>
        <w:t xml:space="preserve">specific </w:t>
      </w:r>
      <w:r>
        <w:rPr>
          <w:rFonts w:cstheme="minorHAnsi"/>
        </w:rPr>
        <w:t xml:space="preserve">(e.g., </w:t>
      </w:r>
      <w:r w:rsidR="00365AA3">
        <w:rPr>
          <w:rFonts w:cstheme="minorHAnsi"/>
        </w:rPr>
        <w:t>host developmental stage</w:t>
      </w:r>
      <w:r>
        <w:rPr>
          <w:rFonts w:cstheme="minorHAnsi"/>
        </w:rPr>
        <w:t xml:space="preserve">) </w:t>
      </w:r>
      <w:r w:rsidRPr="001370A2">
        <w:rPr>
          <w:rFonts w:cstheme="minorHAnsi"/>
        </w:rPr>
        <w:t>factors</w:t>
      </w:r>
      <w:r>
        <w:rPr>
          <w:rFonts w:cstheme="minorHAnsi"/>
        </w:rPr>
        <w:t xml:space="preserve">. </w:t>
      </w:r>
      <w:r w:rsidRPr="001370A2">
        <w:rPr>
          <w:rFonts w:cstheme="minorHAnsi"/>
        </w:rPr>
        <w:t>Distance-based linear models revealed that water temperature (F=</w:t>
      </w:r>
      <w:r>
        <w:rPr>
          <w:rFonts w:cstheme="minorHAnsi"/>
        </w:rPr>
        <w:t>2.56</w:t>
      </w:r>
      <w:r w:rsidRPr="001370A2">
        <w:rPr>
          <w:rFonts w:cstheme="minorHAnsi"/>
        </w:rPr>
        <w:t>; R</w:t>
      </w:r>
      <w:r w:rsidRPr="001370A2">
        <w:rPr>
          <w:rFonts w:cstheme="minorHAnsi"/>
          <w:vertAlign w:val="superscript"/>
        </w:rPr>
        <w:t>2</w:t>
      </w:r>
      <w:r w:rsidRPr="001370A2">
        <w:rPr>
          <w:rFonts w:cstheme="minorHAnsi"/>
        </w:rPr>
        <w:t>=0.0</w:t>
      </w:r>
      <w:r>
        <w:rPr>
          <w:rFonts w:cstheme="minorHAnsi"/>
        </w:rPr>
        <w:t>3</w:t>
      </w:r>
      <w:r w:rsidRPr="001370A2">
        <w:rPr>
          <w:rFonts w:cstheme="minorHAnsi"/>
        </w:rPr>
        <w:t>)</w:t>
      </w:r>
      <w:r>
        <w:rPr>
          <w:rFonts w:cstheme="minorHAnsi"/>
        </w:rPr>
        <w:t xml:space="preserve"> </w:t>
      </w:r>
      <w:r w:rsidRPr="001370A2">
        <w:rPr>
          <w:rFonts w:cstheme="minorHAnsi"/>
        </w:rPr>
        <w:t>and fish age</w:t>
      </w:r>
      <w:r>
        <w:rPr>
          <w:rFonts w:cstheme="minorHAnsi"/>
        </w:rPr>
        <w:t xml:space="preserve"> (</w:t>
      </w:r>
      <w:r w:rsidRPr="001370A2">
        <w:rPr>
          <w:rFonts w:cstheme="minorHAnsi"/>
        </w:rPr>
        <w:t>F=</w:t>
      </w:r>
      <w:r>
        <w:rPr>
          <w:rFonts w:cstheme="minorHAnsi"/>
        </w:rPr>
        <w:t>3.58</w:t>
      </w:r>
      <w:r w:rsidRPr="001370A2">
        <w:rPr>
          <w:rFonts w:cstheme="minorHAnsi"/>
        </w:rPr>
        <w:t>; R</w:t>
      </w:r>
      <w:r w:rsidRPr="001370A2">
        <w:rPr>
          <w:rFonts w:cstheme="minorHAnsi"/>
          <w:vertAlign w:val="superscript"/>
        </w:rPr>
        <w:t>2</w:t>
      </w:r>
      <w:r w:rsidRPr="001370A2">
        <w:rPr>
          <w:rFonts w:cstheme="minorHAnsi"/>
        </w:rPr>
        <w:t>=0.</w:t>
      </w:r>
      <w:r>
        <w:rPr>
          <w:rFonts w:cstheme="minorHAnsi"/>
        </w:rPr>
        <w:t>04</w:t>
      </w:r>
      <w:r w:rsidRPr="001370A2">
        <w:rPr>
          <w:rFonts w:cstheme="minorHAnsi"/>
        </w:rPr>
        <w:t>) were significant predictors of gut microbial community patterns</w:t>
      </w:r>
      <w:r>
        <w:rPr>
          <w:rFonts w:cstheme="minorHAnsi"/>
        </w:rPr>
        <w:t xml:space="preserve"> (</w:t>
      </w:r>
      <w:r w:rsidR="001B0039" w:rsidRPr="001B0039">
        <w:rPr>
          <w:rFonts w:cstheme="minorHAnsi"/>
        </w:rPr>
        <w:fldChar w:fldCharType="begin"/>
      </w:r>
      <w:r w:rsidR="001B0039" w:rsidRPr="001B0039">
        <w:rPr>
          <w:rFonts w:cstheme="minorHAnsi"/>
        </w:rPr>
        <w:instrText xml:space="preserve"> REF _Ref115364840 \h  \* MERGEFORMAT </w:instrText>
      </w:r>
      <w:r w:rsidR="001B0039" w:rsidRPr="001B0039">
        <w:rPr>
          <w:rFonts w:cstheme="minorHAnsi"/>
        </w:rPr>
      </w:r>
      <w:r w:rsidR="001B0039" w:rsidRPr="001B0039">
        <w:rPr>
          <w:rFonts w:cstheme="minorHAnsi"/>
        </w:rPr>
        <w:fldChar w:fldCharType="separate"/>
      </w:r>
      <w:r w:rsidR="00B15C60" w:rsidRPr="00B15C60">
        <w:t xml:space="preserve">Table S </w:t>
      </w:r>
      <w:r w:rsidR="00B15C60" w:rsidRPr="00B15C60">
        <w:rPr>
          <w:noProof/>
        </w:rPr>
        <w:t>7</w:t>
      </w:r>
      <w:r w:rsidR="001B0039" w:rsidRPr="001B0039">
        <w:rPr>
          <w:rFonts w:cstheme="minorHAnsi"/>
        </w:rPr>
        <w:fldChar w:fldCharType="end"/>
      </w:r>
      <w:r>
        <w:rPr>
          <w:rFonts w:cstheme="minorHAnsi"/>
        </w:rPr>
        <w:t>)</w:t>
      </w:r>
      <w:r w:rsidRPr="001370A2">
        <w:rPr>
          <w:rFonts w:cstheme="minorHAnsi"/>
        </w:rPr>
        <w:t>. However,</w:t>
      </w:r>
      <w:r>
        <w:rPr>
          <w:rFonts w:cstheme="minorHAnsi"/>
        </w:rPr>
        <w:t xml:space="preserve"> inspection of</w:t>
      </w:r>
      <w:r w:rsidR="001B0039">
        <w:rPr>
          <w:rFonts w:cstheme="minorHAnsi"/>
        </w:rPr>
        <w:t xml:space="preserve"> </w:t>
      </w:r>
      <w:r w:rsidR="001B0039">
        <w:rPr>
          <w:rFonts w:cstheme="minorHAnsi"/>
        </w:rPr>
        <w:fldChar w:fldCharType="begin"/>
      </w:r>
      <w:r w:rsidR="001B0039">
        <w:rPr>
          <w:rFonts w:cstheme="minorHAnsi"/>
        </w:rPr>
        <w:instrText xml:space="preserve"> REF _Ref138179256 \h </w:instrText>
      </w:r>
      <w:r w:rsidR="001B0039">
        <w:rPr>
          <w:rFonts w:cstheme="minorHAnsi"/>
        </w:rPr>
      </w:r>
      <w:r w:rsidR="001B0039">
        <w:rPr>
          <w:rFonts w:cstheme="minorHAnsi"/>
        </w:rPr>
        <w:fldChar w:fldCharType="separate"/>
      </w:r>
      <w:r w:rsidR="00B15C60">
        <w:t xml:space="preserve">Figure </w:t>
      </w:r>
      <w:r w:rsidR="00B15C60">
        <w:rPr>
          <w:noProof/>
        </w:rPr>
        <w:t>4</w:t>
      </w:r>
      <w:r w:rsidR="001B0039">
        <w:rPr>
          <w:rFonts w:cstheme="minorHAnsi"/>
        </w:rPr>
        <w:fldChar w:fldCharType="end"/>
      </w:r>
      <w:r w:rsidR="001B0039">
        <w:rPr>
          <w:rFonts w:cstheme="minorHAnsi"/>
        </w:rPr>
        <w:t>a</w:t>
      </w:r>
      <w:r>
        <w:rPr>
          <w:rFonts w:cstheme="minorHAnsi"/>
        </w:rPr>
        <w:t xml:space="preserve">, together with </w:t>
      </w:r>
      <w:r w:rsidR="00365AA3">
        <w:rPr>
          <w:rFonts w:cstheme="minorHAnsi"/>
        </w:rPr>
        <w:t xml:space="preserve">the statistical evaluation of the model </w:t>
      </w:r>
      <w:r>
        <w:rPr>
          <w:rFonts w:cstheme="minorHAnsi"/>
        </w:rPr>
        <w:t>suggests that the model only explains the community differences between a subset sampling timepoints. The c</w:t>
      </w:r>
      <w:r w:rsidRPr="001370A2">
        <w:rPr>
          <w:rFonts w:cstheme="minorHAnsi"/>
        </w:rPr>
        <w:t xml:space="preserve">ombination of </w:t>
      </w:r>
      <w:r w:rsidR="00365AA3">
        <w:rPr>
          <w:rFonts w:cstheme="minorHAnsi"/>
        </w:rPr>
        <w:t>temperature and fish age</w:t>
      </w:r>
      <w:r>
        <w:rPr>
          <w:rFonts w:cstheme="minorHAnsi"/>
        </w:rPr>
        <w:t xml:space="preserve"> </w:t>
      </w:r>
      <w:r w:rsidRPr="001370A2">
        <w:rPr>
          <w:rFonts w:cstheme="minorHAnsi"/>
        </w:rPr>
        <w:t xml:space="preserve">only explained around </w:t>
      </w:r>
      <w:r>
        <w:rPr>
          <w:rFonts w:cstheme="minorHAnsi"/>
        </w:rPr>
        <w:t>7.3</w:t>
      </w:r>
      <w:r w:rsidRPr="001370A2">
        <w:rPr>
          <w:rFonts w:cstheme="minorHAnsi"/>
        </w:rPr>
        <w:t>% of the total variation, which indicates that</w:t>
      </w:r>
      <w:r>
        <w:rPr>
          <w:rFonts w:cstheme="minorHAnsi"/>
        </w:rPr>
        <w:t xml:space="preserve"> in our study</w:t>
      </w:r>
      <w:r w:rsidRPr="001370A2">
        <w:rPr>
          <w:rFonts w:cstheme="minorHAnsi"/>
        </w:rPr>
        <w:t xml:space="preserve"> the </w:t>
      </w:r>
      <w:r>
        <w:rPr>
          <w:rFonts w:cstheme="minorHAnsi"/>
        </w:rPr>
        <w:t>direct</w:t>
      </w:r>
      <w:r w:rsidRPr="001370A2">
        <w:rPr>
          <w:rFonts w:cstheme="minorHAnsi"/>
        </w:rPr>
        <w:t xml:space="preserve"> effect </w:t>
      </w:r>
      <w:r>
        <w:rPr>
          <w:rFonts w:cstheme="minorHAnsi"/>
        </w:rPr>
        <w:t xml:space="preserve">of water temperature and host age </w:t>
      </w:r>
      <w:r w:rsidRPr="001370A2">
        <w:rPr>
          <w:rFonts w:cstheme="minorHAnsi"/>
        </w:rPr>
        <w:t xml:space="preserve">on gut bacteria might be minor. </w:t>
      </w:r>
    </w:p>
    <w:p w14:paraId="09993213" w14:textId="027509A4" w:rsidR="00475A74" w:rsidRDefault="00365AA3" w:rsidP="0093493B">
      <w:pPr>
        <w:spacing w:line="480" w:lineRule="auto"/>
        <w:rPr>
          <w:rFonts w:cstheme="minorHAnsi"/>
        </w:rPr>
      </w:pPr>
      <w:r>
        <w:rPr>
          <w:rFonts w:cstheme="minorHAnsi"/>
        </w:rPr>
        <w:lastRenderedPageBreak/>
        <w:t xml:space="preserve">Temperature was lowest for the January sampling event at </w:t>
      </w:r>
      <w:r w:rsidR="0093493B" w:rsidRPr="001370A2">
        <w:rPr>
          <w:rFonts w:cstheme="minorHAnsi"/>
        </w:rPr>
        <w:t>around 6°C</w:t>
      </w:r>
      <w:r w:rsidR="0093493B">
        <w:rPr>
          <w:rFonts w:cstheme="minorHAnsi"/>
        </w:rPr>
        <w:t xml:space="preserve"> (</w:t>
      </w:r>
      <w:r w:rsidR="001B0039">
        <w:rPr>
          <w:rFonts w:cstheme="minorHAnsi"/>
        </w:rPr>
        <w:fldChar w:fldCharType="begin"/>
      </w:r>
      <w:r w:rsidR="001B0039">
        <w:rPr>
          <w:rFonts w:cstheme="minorHAnsi"/>
        </w:rPr>
        <w:instrText xml:space="preserve"> REF _Ref138179256 \h </w:instrText>
      </w:r>
      <w:r w:rsidR="001B0039">
        <w:rPr>
          <w:rFonts w:cstheme="minorHAnsi"/>
        </w:rPr>
      </w:r>
      <w:r w:rsidR="001B0039">
        <w:rPr>
          <w:rFonts w:cstheme="minorHAnsi"/>
        </w:rPr>
        <w:fldChar w:fldCharType="separate"/>
      </w:r>
      <w:r w:rsidR="00B15C60">
        <w:t xml:space="preserve">Figure </w:t>
      </w:r>
      <w:r w:rsidR="00B15C60">
        <w:rPr>
          <w:noProof/>
        </w:rPr>
        <w:t>4</w:t>
      </w:r>
      <w:r w:rsidR="001B0039">
        <w:rPr>
          <w:rFonts w:cstheme="minorHAnsi"/>
        </w:rPr>
        <w:fldChar w:fldCharType="end"/>
      </w:r>
      <w:r w:rsidR="001B0039">
        <w:rPr>
          <w:rFonts w:cstheme="minorHAnsi"/>
        </w:rPr>
        <w:t>b</w:t>
      </w:r>
      <w:r w:rsidR="0093493B">
        <w:rPr>
          <w:rFonts w:cstheme="minorHAnsi"/>
        </w:rPr>
        <w:t>)</w:t>
      </w:r>
      <w:r w:rsidR="0093493B" w:rsidRPr="001370A2">
        <w:rPr>
          <w:rFonts w:cstheme="minorHAnsi"/>
        </w:rPr>
        <w:t>. Intermediate temperature</w:t>
      </w:r>
      <w:r w:rsidR="0093493B">
        <w:rPr>
          <w:rFonts w:cstheme="minorHAnsi"/>
        </w:rPr>
        <w:t>s</w:t>
      </w:r>
      <w:r w:rsidR="0093493B" w:rsidRPr="001370A2">
        <w:rPr>
          <w:rFonts w:cstheme="minorHAnsi"/>
        </w:rPr>
        <w:t xml:space="preserve"> w</w:t>
      </w:r>
      <w:r w:rsidR="0093493B">
        <w:rPr>
          <w:rFonts w:cstheme="minorHAnsi"/>
        </w:rPr>
        <w:t>ere</w:t>
      </w:r>
      <w:r w:rsidR="0093493B" w:rsidRPr="001370A2">
        <w:rPr>
          <w:rFonts w:cstheme="minorHAnsi"/>
        </w:rPr>
        <w:t xml:space="preserve"> detected in March, May</w:t>
      </w:r>
      <w:r w:rsidR="0093493B">
        <w:rPr>
          <w:rFonts w:cstheme="minorHAnsi"/>
        </w:rPr>
        <w:t xml:space="preserve">, </w:t>
      </w:r>
      <w:proofErr w:type="gramStart"/>
      <w:r w:rsidR="0093493B" w:rsidRPr="001370A2">
        <w:rPr>
          <w:rFonts w:cstheme="minorHAnsi"/>
        </w:rPr>
        <w:t>June</w:t>
      </w:r>
      <w:proofErr w:type="gramEnd"/>
      <w:r w:rsidR="0093493B">
        <w:rPr>
          <w:rFonts w:cstheme="minorHAnsi"/>
        </w:rPr>
        <w:t xml:space="preserve"> and</w:t>
      </w:r>
      <w:r w:rsidR="0093493B" w:rsidRPr="001370A2">
        <w:rPr>
          <w:rFonts w:cstheme="minorHAnsi"/>
        </w:rPr>
        <w:t xml:space="preserve"> </w:t>
      </w:r>
      <w:r w:rsidR="0093493B">
        <w:rPr>
          <w:rFonts w:cstheme="minorHAnsi"/>
        </w:rPr>
        <w:t xml:space="preserve">November </w:t>
      </w:r>
      <w:r w:rsidR="0093493B" w:rsidRPr="001370A2">
        <w:rPr>
          <w:rFonts w:cstheme="minorHAnsi"/>
        </w:rPr>
        <w:t>(app. 9°C, 10°C</w:t>
      </w:r>
      <w:r w:rsidR="0093493B">
        <w:rPr>
          <w:rFonts w:cstheme="minorHAnsi"/>
        </w:rPr>
        <w:t xml:space="preserve">, </w:t>
      </w:r>
      <w:r w:rsidR="0093493B" w:rsidRPr="001370A2">
        <w:rPr>
          <w:rFonts w:cstheme="minorHAnsi"/>
        </w:rPr>
        <w:t>12°C</w:t>
      </w:r>
      <w:r w:rsidR="0093493B">
        <w:rPr>
          <w:rFonts w:cstheme="minorHAnsi"/>
        </w:rPr>
        <w:t xml:space="preserve"> and 8°C</w:t>
      </w:r>
      <w:r w:rsidR="0093493B" w:rsidRPr="001370A2">
        <w:rPr>
          <w:rFonts w:cstheme="minorHAnsi"/>
        </w:rPr>
        <w:t>, respectively) and highest in July (app. 16°C).</w:t>
      </w:r>
      <w:r w:rsidR="0093493B">
        <w:rPr>
          <w:rFonts w:cstheme="minorHAnsi"/>
        </w:rPr>
        <w:t xml:space="preserve"> We observed increased frequencies of high river flow rates during spring and autumn (</w:t>
      </w:r>
      <w:r w:rsidR="001B0039">
        <w:rPr>
          <w:rFonts w:cstheme="minorHAnsi"/>
        </w:rPr>
        <w:fldChar w:fldCharType="begin"/>
      </w:r>
      <w:r w:rsidR="001B0039">
        <w:rPr>
          <w:rFonts w:cstheme="minorHAnsi"/>
        </w:rPr>
        <w:instrText xml:space="preserve"> REF _Ref138179330 \h </w:instrText>
      </w:r>
      <w:r w:rsidR="001B0039">
        <w:rPr>
          <w:rFonts w:cstheme="minorHAnsi"/>
        </w:rPr>
      </w:r>
      <w:r w:rsidR="001B0039">
        <w:rPr>
          <w:rFonts w:cstheme="minorHAnsi"/>
        </w:rPr>
        <w:fldChar w:fldCharType="separate"/>
      </w:r>
      <w:r w:rsidR="00B15C60">
        <w:t xml:space="preserve">Figure S </w:t>
      </w:r>
      <w:r w:rsidR="00B15C60">
        <w:rPr>
          <w:noProof/>
        </w:rPr>
        <w:t>1</w:t>
      </w:r>
      <w:r w:rsidR="001B0039">
        <w:rPr>
          <w:rFonts w:cstheme="minorHAnsi"/>
        </w:rPr>
        <w:fldChar w:fldCharType="end"/>
      </w:r>
      <w:r w:rsidR="0093493B">
        <w:rPr>
          <w:rFonts w:cstheme="minorHAnsi"/>
        </w:rPr>
        <w:t xml:space="preserve">). </w:t>
      </w:r>
      <w:r>
        <w:rPr>
          <w:rFonts w:cstheme="minorHAnsi"/>
        </w:rPr>
        <w:t>March had the highest mean discharge rate</w:t>
      </w:r>
      <w:r w:rsidR="0093493B">
        <w:rPr>
          <w:rFonts w:cstheme="minorHAnsi"/>
        </w:rPr>
        <w:t xml:space="preserve"> (747(l/s)) </w:t>
      </w:r>
      <w:r>
        <w:rPr>
          <w:rFonts w:cstheme="minorHAnsi"/>
        </w:rPr>
        <w:t>followed by</w:t>
      </w:r>
      <w:r w:rsidR="0093493B">
        <w:rPr>
          <w:rFonts w:cstheme="minorHAnsi"/>
        </w:rPr>
        <w:t xml:space="preserve"> November (729(l/s)) and January (570(l/s)). Lower discharge rates were recorded in May (78(l/s)), June (88(l/s)) and July (128(l/s)). Observed conductivity was highest in May (0.14(mS/cm) and June (0.13(mS/cm))</w:t>
      </w:r>
      <w:r w:rsidR="00397C43">
        <w:rPr>
          <w:rFonts w:cstheme="minorHAnsi"/>
        </w:rPr>
        <w:t xml:space="preserve">. Other sampling timepoints showed lower conductivity </w:t>
      </w:r>
      <w:r w:rsidR="0093493B">
        <w:rPr>
          <w:rFonts w:cstheme="minorHAnsi"/>
        </w:rPr>
        <w:t>(0.09(mS/cm),</w:t>
      </w:r>
      <w:r w:rsidR="001B0039">
        <w:rPr>
          <w:rFonts w:cstheme="minorHAnsi"/>
        </w:rPr>
        <w:t xml:space="preserve"> </w:t>
      </w:r>
      <w:r w:rsidR="001B0039">
        <w:rPr>
          <w:rFonts w:cstheme="minorHAnsi"/>
        </w:rPr>
        <w:fldChar w:fldCharType="begin"/>
      </w:r>
      <w:r w:rsidR="001B0039">
        <w:rPr>
          <w:rFonts w:cstheme="minorHAnsi"/>
        </w:rPr>
        <w:instrText xml:space="preserve"> REF _Ref138179330 \h </w:instrText>
      </w:r>
      <w:r w:rsidR="001B0039">
        <w:rPr>
          <w:rFonts w:cstheme="minorHAnsi"/>
        </w:rPr>
      </w:r>
      <w:r w:rsidR="001B0039">
        <w:rPr>
          <w:rFonts w:cstheme="minorHAnsi"/>
        </w:rPr>
        <w:fldChar w:fldCharType="separate"/>
      </w:r>
      <w:r w:rsidR="00B15C60">
        <w:t xml:space="preserve">Figure S </w:t>
      </w:r>
      <w:r w:rsidR="00B15C60">
        <w:rPr>
          <w:noProof/>
        </w:rPr>
        <w:t>1</w:t>
      </w:r>
      <w:r w:rsidR="001B0039">
        <w:rPr>
          <w:rFonts w:cstheme="minorHAnsi"/>
        </w:rPr>
        <w:fldChar w:fldCharType="end"/>
      </w:r>
      <w:r w:rsidR="0093493B">
        <w:rPr>
          <w:rFonts w:cstheme="minorHAnsi"/>
        </w:rPr>
        <w:t>).</w:t>
      </w:r>
      <w:r w:rsidR="0093493B" w:rsidRPr="001370A2">
        <w:rPr>
          <w:rFonts w:cstheme="minorHAnsi"/>
        </w:rPr>
        <w:t xml:space="preserve"> Dissolved oxygen</w:t>
      </w:r>
      <w:r w:rsidR="0093493B">
        <w:rPr>
          <w:rFonts w:cstheme="minorHAnsi"/>
        </w:rPr>
        <w:t xml:space="preserve"> in the </w:t>
      </w:r>
      <w:proofErr w:type="spellStart"/>
      <w:r w:rsidR="0093493B" w:rsidRPr="001370A2">
        <w:rPr>
          <w:rFonts w:cstheme="minorHAnsi"/>
        </w:rPr>
        <w:t>Srahrevagh</w:t>
      </w:r>
      <w:proofErr w:type="spellEnd"/>
      <w:r w:rsidR="0093493B" w:rsidRPr="001370A2">
        <w:rPr>
          <w:rFonts w:cstheme="minorHAnsi"/>
        </w:rPr>
        <w:t xml:space="preserve"> river was negatively correlated with</w:t>
      </w:r>
      <w:r w:rsidR="0093493B">
        <w:rPr>
          <w:rFonts w:cstheme="minorHAnsi"/>
        </w:rPr>
        <w:t xml:space="preserve"> </w:t>
      </w:r>
      <w:r w:rsidR="0093493B" w:rsidRPr="001370A2">
        <w:rPr>
          <w:rFonts w:cstheme="minorHAnsi"/>
        </w:rPr>
        <w:t>temperature and showed corresponding patterns</w:t>
      </w:r>
      <w:r w:rsidR="0093493B">
        <w:rPr>
          <w:rFonts w:cstheme="minorHAnsi"/>
        </w:rPr>
        <w:t xml:space="preserve"> over time </w:t>
      </w:r>
      <w:r w:rsidR="0093493B" w:rsidRPr="00375BC3">
        <w:rPr>
          <w:rFonts w:cstheme="minorHAnsi"/>
        </w:rPr>
        <w:t>(</w:t>
      </w:r>
      <w:r w:rsidR="001B0039">
        <w:rPr>
          <w:rFonts w:cstheme="minorHAnsi"/>
        </w:rPr>
        <w:fldChar w:fldCharType="begin"/>
      </w:r>
      <w:r w:rsidR="001B0039">
        <w:rPr>
          <w:rFonts w:cstheme="minorHAnsi"/>
        </w:rPr>
        <w:instrText xml:space="preserve"> REF _Ref138179256 \h </w:instrText>
      </w:r>
      <w:r w:rsidR="001B0039">
        <w:rPr>
          <w:rFonts w:cstheme="minorHAnsi"/>
        </w:rPr>
      </w:r>
      <w:r w:rsidR="001B0039">
        <w:rPr>
          <w:rFonts w:cstheme="minorHAnsi"/>
        </w:rPr>
        <w:fldChar w:fldCharType="separate"/>
      </w:r>
      <w:r w:rsidR="00B15C60">
        <w:t xml:space="preserve">Figure </w:t>
      </w:r>
      <w:r w:rsidR="00B15C60">
        <w:rPr>
          <w:noProof/>
        </w:rPr>
        <w:t>4</w:t>
      </w:r>
      <w:r w:rsidR="001B0039">
        <w:rPr>
          <w:rFonts w:cstheme="minorHAnsi"/>
        </w:rPr>
        <w:fldChar w:fldCharType="end"/>
      </w:r>
      <w:r w:rsidR="001B0039">
        <w:rPr>
          <w:rFonts w:cstheme="minorHAnsi"/>
        </w:rPr>
        <w:t>c</w:t>
      </w:r>
      <w:r w:rsidR="0093493B">
        <w:rPr>
          <w:rFonts w:cstheme="minorHAnsi"/>
        </w:rPr>
        <w:t>).</w:t>
      </w:r>
    </w:p>
    <w:p w14:paraId="09F46940" w14:textId="77777777" w:rsidR="001B0039" w:rsidRDefault="00397C43" w:rsidP="001B0039">
      <w:pPr>
        <w:keepNext/>
        <w:spacing w:line="480" w:lineRule="auto"/>
      </w:pPr>
      <w:r w:rsidRPr="00397C43">
        <w:rPr>
          <w:rFonts w:cstheme="minorHAnsi"/>
          <w:noProof/>
        </w:rPr>
        <w:drawing>
          <wp:inline distT="0" distB="0" distL="0" distR="0" wp14:anchorId="584EA563" wp14:editId="7F7CA0A7">
            <wp:extent cx="5731510" cy="3062605"/>
            <wp:effectExtent l="0" t="0" r="2540" b="0"/>
            <wp:docPr id="10615906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90636"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31510" cy="3062605"/>
                    </a:xfrm>
                    <a:prstGeom prst="rect">
                      <a:avLst/>
                    </a:prstGeom>
                  </pic:spPr>
                </pic:pic>
              </a:graphicData>
            </a:graphic>
          </wp:inline>
        </w:drawing>
      </w:r>
    </w:p>
    <w:p w14:paraId="7CD81232" w14:textId="61AC7D24" w:rsidR="009D2BB2" w:rsidRPr="00B15C60" w:rsidRDefault="001B0039" w:rsidP="00B15C60">
      <w:pPr>
        <w:spacing w:line="240" w:lineRule="auto"/>
        <w:rPr>
          <w:rFonts w:cstheme="minorHAnsi"/>
        </w:rPr>
      </w:pPr>
      <w:bookmarkStart w:id="5" w:name="_Ref138179256"/>
      <w:r>
        <w:t xml:space="preserve">Figure </w:t>
      </w:r>
      <w:fldSimple w:instr=" SEQ Figure \* ARABIC ">
        <w:r w:rsidR="00B15C60">
          <w:rPr>
            <w:noProof/>
          </w:rPr>
          <w:t>4</w:t>
        </w:r>
      </w:fldSimple>
      <w:bookmarkEnd w:id="5"/>
      <w:r>
        <w:t xml:space="preserve">: </w:t>
      </w:r>
      <w:r w:rsidRPr="001370A2">
        <w:t>Distance</w:t>
      </w:r>
      <w:r>
        <w:t>-</w:t>
      </w:r>
      <w:r w:rsidRPr="001370A2">
        <w:t>based Redundancy Analysis (</w:t>
      </w:r>
      <w:proofErr w:type="spellStart"/>
      <w:r w:rsidRPr="001370A2">
        <w:t>dbRDA</w:t>
      </w:r>
      <w:proofErr w:type="spellEnd"/>
      <w:r w:rsidRPr="001370A2">
        <w:t>) shows correlations between gut microbial community composition and temperature, fish age and dissolved oxygen (A). Relative position of gut samples in the bi</w:t>
      </w:r>
      <w:r>
        <w:t>-</w:t>
      </w:r>
      <w:r w:rsidRPr="001370A2">
        <w:t>plot is based on Bray-</w:t>
      </w:r>
      <w:proofErr w:type="gramStart"/>
      <w:r w:rsidRPr="001370A2">
        <w:t>Curtis</w:t>
      </w:r>
      <w:proofErr w:type="gramEnd"/>
      <w:r w:rsidRPr="001370A2">
        <w:t xml:space="preserve"> dissimilarities. Vectors indicate the weight and direction of </w:t>
      </w:r>
      <w:r>
        <w:t xml:space="preserve">those </w:t>
      </w:r>
      <w:r w:rsidRPr="001370A2">
        <w:t>environmental and host</w:t>
      </w:r>
      <w:r>
        <w:t>-</w:t>
      </w:r>
      <w:r w:rsidRPr="001370A2">
        <w:t xml:space="preserve">specific factors that were best predictors of gut bacterial composition as suggested by the results of the distance-based linear model. The </w:t>
      </w:r>
      <w:proofErr w:type="spellStart"/>
      <w:r w:rsidRPr="001370A2">
        <w:t>dbRDA</w:t>
      </w:r>
      <w:proofErr w:type="spellEnd"/>
      <w:r w:rsidRPr="001370A2">
        <w:t xml:space="preserve"> axes describe the percentage of the fitted or total variation explained by each axis while being constrained to account for group differences. (B) Water temperature [°C] of the </w:t>
      </w:r>
      <w:proofErr w:type="spellStart"/>
      <w:r w:rsidRPr="001370A2">
        <w:t>Srahrevagh</w:t>
      </w:r>
      <w:proofErr w:type="spellEnd"/>
      <w:r w:rsidRPr="001370A2">
        <w:t xml:space="preserve"> river in 2019 measured in 30-minute intervals.</w:t>
      </w:r>
      <w:r>
        <w:t xml:space="preserve"> </w:t>
      </w:r>
      <w:r w:rsidRPr="001370A2">
        <w:t>(</w:t>
      </w:r>
      <w:r>
        <w:t>C</w:t>
      </w:r>
      <w:r w:rsidRPr="001370A2">
        <w:t xml:space="preserve">) Dissolved oxygen [mg/l] of the </w:t>
      </w:r>
      <w:proofErr w:type="spellStart"/>
      <w:r w:rsidRPr="001370A2">
        <w:t>Srahrevagh</w:t>
      </w:r>
      <w:proofErr w:type="spellEnd"/>
      <w:r w:rsidRPr="001370A2">
        <w:t xml:space="preserve"> river in 2019 measured in 2-minute intervals.</w:t>
      </w:r>
      <w:r>
        <w:t xml:space="preserve"> </w:t>
      </w:r>
      <w:r w:rsidRPr="001370A2">
        <w:t xml:space="preserve">Blue lines depict mean </w:t>
      </w:r>
      <w:r>
        <w:t>values fitted with loess regression.</w:t>
      </w:r>
    </w:p>
    <w:p w14:paraId="5BA9610A" w14:textId="77777777" w:rsidR="00397C43" w:rsidRPr="0014353A" w:rsidRDefault="00397C43" w:rsidP="00397C43">
      <w:pPr>
        <w:pStyle w:val="Heading2"/>
        <w:spacing w:line="480" w:lineRule="auto"/>
        <w:rPr>
          <w:rFonts w:cstheme="minorHAnsi"/>
        </w:rPr>
      </w:pPr>
      <w:r w:rsidRPr="001370A2">
        <w:rPr>
          <w:rFonts w:cstheme="minorHAnsi"/>
        </w:rPr>
        <w:lastRenderedPageBreak/>
        <w:t>The role of environmental bacteria in shaping gut microbial communities</w:t>
      </w:r>
    </w:p>
    <w:p w14:paraId="0BFCB5B8" w14:textId="24CB7A25" w:rsidR="00397C43" w:rsidRPr="00191ACF" w:rsidRDefault="00397C43" w:rsidP="00397C43">
      <w:pPr>
        <w:spacing w:line="480" w:lineRule="auto"/>
        <w:rPr>
          <w:rFonts w:cstheme="minorHAnsi"/>
        </w:rPr>
      </w:pPr>
      <w:r>
        <w:rPr>
          <w:rFonts w:cstheme="minorHAnsi"/>
        </w:rPr>
        <w:t>M</w:t>
      </w:r>
      <w:r w:rsidRPr="001370A2">
        <w:rPr>
          <w:rFonts w:cstheme="minorHAnsi"/>
        </w:rPr>
        <w:t xml:space="preserve">icrobial communities in the water column showed a </w:t>
      </w:r>
      <w:r>
        <w:rPr>
          <w:rFonts w:cstheme="minorHAnsi"/>
        </w:rPr>
        <w:t>pronounced</w:t>
      </w:r>
      <w:r w:rsidRPr="001370A2">
        <w:rPr>
          <w:rFonts w:cstheme="minorHAnsi"/>
        </w:rPr>
        <w:t xml:space="preserve"> seasonal pattern</w:t>
      </w:r>
      <w:r>
        <w:rPr>
          <w:rFonts w:cstheme="minorHAnsi"/>
        </w:rPr>
        <w:t xml:space="preserve"> </w:t>
      </w:r>
      <w:r w:rsidRPr="001370A2">
        <w:rPr>
          <w:rFonts w:cstheme="minorHAnsi"/>
        </w:rPr>
        <w:t>(F=10.34; R</w:t>
      </w:r>
      <w:r w:rsidRPr="001370A2">
        <w:rPr>
          <w:rFonts w:cstheme="minorHAnsi"/>
          <w:vertAlign w:val="superscript"/>
        </w:rPr>
        <w:t>2</w:t>
      </w:r>
      <w:r w:rsidRPr="001370A2">
        <w:rPr>
          <w:rFonts w:cstheme="minorHAnsi"/>
        </w:rPr>
        <w:t>=0.81; p=0.001</w:t>
      </w:r>
      <w:r>
        <w:rPr>
          <w:rFonts w:cstheme="minorHAnsi"/>
        </w:rPr>
        <w:t>)</w:t>
      </w:r>
      <w:r w:rsidRPr="001370A2">
        <w:rPr>
          <w:rFonts w:cstheme="minorHAnsi"/>
        </w:rPr>
        <w:t>.</w:t>
      </w:r>
      <w:r>
        <w:rPr>
          <w:rFonts w:cstheme="minorHAnsi"/>
        </w:rPr>
        <w:t xml:space="preserve"> </w:t>
      </w:r>
      <w:proofErr w:type="spellStart"/>
      <w:r>
        <w:rPr>
          <w:rFonts w:cstheme="minorHAnsi"/>
        </w:rPr>
        <w:t>DbRDA</w:t>
      </w:r>
      <w:proofErr w:type="spellEnd"/>
      <w:r>
        <w:rPr>
          <w:rFonts w:cstheme="minorHAnsi"/>
        </w:rPr>
        <w:t xml:space="preserve"> analysis revealed that water temperature (</w:t>
      </w:r>
      <w:r w:rsidRPr="001370A2">
        <w:rPr>
          <w:rFonts w:cstheme="minorHAnsi"/>
        </w:rPr>
        <w:t>F=</w:t>
      </w:r>
      <w:r>
        <w:rPr>
          <w:rFonts w:cstheme="minorHAnsi"/>
        </w:rPr>
        <w:t>13.09</w:t>
      </w:r>
      <w:r w:rsidRPr="001370A2">
        <w:rPr>
          <w:rFonts w:cstheme="minorHAnsi"/>
        </w:rPr>
        <w:t>; R</w:t>
      </w:r>
      <w:r w:rsidRPr="001370A2">
        <w:rPr>
          <w:rFonts w:cstheme="minorHAnsi"/>
          <w:vertAlign w:val="superscript"/>
        </w:rPr>
        <w:t>2</w:t>
      </w:r>
      <w:r w:rsidRPr="001370A2">
        <w:rPr>
          <w:rFonts w:cstheme="minorHAnsi"/>
        </w:rPr>
        <w:t>=0.</w:t>
      </w:r>
      <w:r>
        <w:rPr>
          <w:rFonts w:cstheme="minorHAnsi"/>
        </w:rPr>
        <w:t>29</w:t>
      </w:r>
      <w:r w:rsidRPr="001370A2">
        <w:rPr>
          <w:rFonts w:cstheme="minorHAnsi"/>
        </w:rPr>
        <w:t>; p=0.00</w:t>
      </w:r>
      <w:r>
        <w:rPr>
          <w:rFonts w:cstheme="minorHAnsi"/>
        </w:rPr>
        <w:t>1), conductivity (</w:t>
      </w:r>
      <w:r w:rsidRPr="001370A2">
        <w:rPr>
          <w:rFonts w:cstheme="minorHAnsi"/>
        </w:rPr>
        <w:t>F=</w:t>
      </w:r>
      <w:r>
        <w:rPr>
          <w:rFonts w:cstheme="minorHAnsi"/>
        </w:rPr>
        <w:t>11.34</w:t>
      </w:r>
      <w:r w:rsidRPr="001370A2">
        <w:rPr>
          <w:rFonts w:cstheme="minorHAnsi"/>
        </w:rPr>
        <w:t>; R</w:t>
      </w:r>
      <w:r w:rsidRPr="001370A2">
        <w:rPr>
          <w:rFonts w:cstheme="minorHAnsi"/>
          <w:vertAlign w:val="superscript"/>
        </w:rPr>
        <w:t>2</w:t>
      </w:r>
      <w:r w:rsidRPr="001370A2">
        <w:rPr>
          <w:rFonts w:cstheme="minorHAnsi"/>
        </w:rPr>
        <w:t>=</w:t>
      </w:r>
      <w:r>
        <w:rPr>
          <w:rFonts w:cstheme="minorHAnsi"/>
        </w:rPr>
        <w:t>0.25</w:t>
      </w:r>
      <w:r w:rsidRPr="001370A2">
        <w:rPr>
          <w:rFonts w:cstheme="minorHAnsi"/>
        </w:rPr>
        <w:t>; p=0.00</w:t>
      </w:r>
      <w:r>
        <w:rPr>
          <w:rFonts w:cstheme="minorHAnsi"/>
        </w:rPr>
        <w:t>1), dissolved oxygen (</w:t>
      </w:r>
      <w:r w:rsidRPr="001370A2">
        <w:rPr>
          <w:rFonts w:cstheme="minorHAnsi"/>
        </w:rPr>
        <w:t>F=</w:t>
      </w:r>
      <w:r>
        <w:rPr>
          <w:rFonts w:cstheme="minorHAnsi"/>
        </w:rPr>
        <w:t>4.52</w:t>
      </w:r>
      <w:r w:rsidRPr="001370A2">
        <w:rPr>
          <w:rFonts w:cstheme="minorHAnsi"/>
        </w:rPr>
        <w:t>; R</w:t>
      </w:r>
      <w:r w:rsidRPr="001370A2">
        <w:rPr>
          <w:rFonts w:cstheme="minorHAnsi"/>
          <w:vertAlign w:val="superscript"/>
        </w:rPr>
        <w:t>2</w:t>
      </w:r>
      <w:r w:rsidRPr="001370A2">
        <w:rPr>
          <w:rFonts w:cstheme="minorHAnsi"/>
        </w:rPr>
        <w:t>=0.</w:t>
      </w:r>
      <w:r>
        <w:rPr>
          <w:rFonts w:cstheme="minorHAnsi"/>
        </w:rPr>
        <w:t>10</w:t>
      </w:r>
      <w:r w:rsidRPr="001370A2">
        <w:rPr>
          <w:rFonts w:cstheme="minorHAnsi"/>
        </w:rPr>
        <w:t>; p=0.00</w:t>
      </w:r>
      <w:r>
        <w:rPr>
          <w:rFonts w:cstheme="minorHAnsi"/>
        </w:rPr>
        <w:t>9) and river discharge (</w:t>
      </w:r>
      <w:r w:rsidRPr="001370A2">
        <w:rPr>
          <w:rFonts w:cstheme="minorHAnsi"/>
        </w:rPr>
        <w:t>F=</w:t>
      </w:r>
      <w:r>
        <w:rPr>
          <w:rFonts w:cstheme="minorHAnsi"/>
        </w:rPr>
        <w:t>5.60</w:t>
      </w:r>
      <w:r w:rsidRPr="001370A2">
        <w:rPr>
          <w:rFonts w:cstheme="minorHAnsi"/>
        </w:rPr>
        <w:t>; R</w:t>
      </w:r>
      <w:r w:rsidRPr="001370A2">
        <w:rPr>
          <w:rFonts w:cstheme="minorHAnsi"/>
          <w:vertAlign w:val="superscript"/>
        </w:rPr>
        <w:t>2</w:t>
      </w:r>
      <w:r w:rsidRPr="001370A2">
        <w:rPr>
          <w:rFonts w:cstheme="minorHAnsi"/>
        </w:rPr>
        <w:t>=0</w:t>
      </w:r>
      <w:r>
        <w:rPr>
          <w:rFonts w:cstheme="minorHAnsi"/>
        </w:rPr>
        <w:t>.08</w:t>
      </w:r>
      <w:r w:rsidRPr="001370A2">
        <w:rPr>
          <w:rFonts w:cstheme="minorHAnsi"/>
        </w:rPr>
        <w:t>; p=0.</w:t>
      </w:r>
      <w:r>
        <w:rPr>
          <w:rFonts w:cstheme="minorHAnsi"/>
        </w:rPr>
        <w:t>024) were all significant predictors of the seasonal changes in bacterial community composition in the water column (</w:t>
      </w:r>
      <w:r w:rsidR="00492A36">
        <w:rPr>
          <w:rFonts w:cstheme="minorHAnsi"/>
        </w:rPr>
        <w:fldChar w:fldCharType="begin"/>
      </w:r>
      <w:r w:rsidR="00492A36">
        <w:rPr>
          <w:rFonts w:cstheme="minorHAnsi"/>
        </w:rPr>
        <w:instrText xml:space="preserve"> REF _Ref138179527 \h </w:instrText>
      </w:r>
      <w:r w:rsidR="00492A36">
        <w:rPr>
          <w:rFonts w:cstheme="minorHAnsi"/>
        </w:rPr>
      </w:r>
      <w:r w:rsidR="00492A36">
        <w:rPr>
          <w:rFonts w:cstheme="minorHAnsi"/>
        </w:rPr>
        <w:fldChar w:fldCharType="separate"/>
      </w:r>
      <w:r w:rsidR="00B15C60">
        <w:t xml:space="preserve">Figure </w:t>
      </w:r>
      <w:r w:rsidR="00B15C60">
        <w:rPr>
          <w:noProof/>
        </w:rPr>
        <w:t>5</w:t>
      </w:r>
      <w:r w:rsidR="00492A36">
        <w:rPr>
          <w:rFonts w:cstheme="minorHAnsi"/>
        </w:rPr>
        <w:fldChar w:fldCharType="end"/>
      </w:r>
      <w:r>
        <w:rPr>
          <w:rFonts w:cstheme="minorHAnsi"/>
        </w:rPr>
        <w:t xml:space="preserve">a). </w:t>
      </w:r>
      <w:r w:rsidRPr="001370A2">
        <w:rPr>
          <w:rFonts w:cstheme="minorHAnsi"/>
        </w:rPr>
        <w:t xml:space="preserve">Microbial communities derived from macroinvertebrate samples were clustered by their origin, but also showed </w:t>
      </w:r>
      <w:r>
        <w:rPr>
          <w:rFonts w:cstheme="minorHAnsi"/>
        </w:rPr>
        <w:t>temporal trends</w:t>
      </w:r>
      <w:r w:rsidRPr="001370A2">
        <w:rPr>
          <w:rFonts w:cstheme="minorHAnsi"/>
        </w:rPr>
        <w:t xml:space="preserve"> within groups</w:t>
      </w:r>
      <w:r>
        <w:rPr>
          <w:rFonts w:cstheme="minorHAnsi"/>
        </w:rPr>
        <w:t xml:space="preserve"> (</w:t>
      </w:r>
      <w:r w:rsidR="00492A36">
        <w:rPr>
          <w:rFonts w:cstheme="minorHAnsi"/>
        </w:rPr>
        <w:fldChar w:fldCharType="begin"/>
      </w:r>
      <w:r w:rsidR="00492A36">
        <w:rPr>
          <w:rFonts w:cstheme="minorHAnsi"/>
        </w:rPr>
        <w:instrText xml:space="preserve"> REF _Ref138179527 \h </w:instrText>
      </w:r>
      <w:r w:rsidR="00492A36">
        <w:rPr>
          <w:rFonts w:cstheme="minorHAnsi"/>
        </w:rPr>
      </w:r>
      <w:r w:rsidR="00492A36">
        <w:rPr>
          <w:rFonts w:cstheme="minorHAnsi"/>
        </w:rPr>
        <w:fldChar w:fldCharType="separate"/>
      </w:r>
      <w:r w:rsidR="00B15C60">
        <w:t xml:space="preserve">Figure </w:t>
      </w:r>
      <w:r w:rsidR="00B15C60">
        <w:rPr>
          <w:noProof/>
        </w:rPr>
        <w:t>5</w:t>
      </w:r>
      <w:r w:rsidR="00492A36">
        <w:rPr>
          <w:rFonts w:cstheme="minorHAnsi"/>
        </w:rPr>
        <w:fldChar w:fldCharType="end"/>
      </w:r>
      <w:r>
        <w:rPr>
          <w:rFonts w:cstheme="minorHAnsi"/>
        </w:rPr>
        <w:t>b)</w:t>
      </w:r>
      <w:r w:rsidRPr="001370A2">
        <w:rPr>
          <w:rFonts w:cstheme="minorHAnsi"/>
        </w:rPr>
        <w:t xml:space="preserve">. PERMANOVA </w:t>
      </w:r>
      <w:r>
        <w:rPr>
          <w:rFonts w:cstheme="minorHAnsi"/>
        </w:rPr>
        <w:t xml:space="preserve">supports </w:t>
      </w:r>
      <w:r w:rsidRPr="001370A2">
        <w:rPr>
          <w:rFonts w:cstheme="minorHAnsi"/>
        </w:rPr>
        <w:t>this observation. Macroinvertebrate origin (</w:t>
      </w:r>
      <w:r>
        <w:rPr>
          <w:rFonts w:cstheme="minorHAnsi"/>
        </w:rPr>
        <w:t xml:space="preserve">taxonomic </w:t>
      </w:r>
      <w:r w:rsidRPr="001370A2">
        <w:rPr>
          <w:rFonts w:cstheme="minorHAnsi"/>
        </w:rPr>
        <w:t>order) explained 30.6% of the observable variation</w:t>
      </w:r>
      <w:r>
        <w:rPr>
          <w:rFonts w:cstheme="minorHAnsi"/>
        </w:rPr>
        <w:t xml:space="preserve"> in macroinvertebrate community composition</w:t>
      </w:r>
      <w:r w:rsidRPr="001370A2">
        <w:rPr>
          <w:rFonts w:cstheme="minorHAnsi"/>
        </w:rPr>
        <w:t xml:space="preserve"> and sampling month explained 14.8%, </w:t>
      </w:r>
      <w:r>
        <w:rPr>
          <w:rFonts w:cstheme="minorHAnsi"/>
        </w:rPr>
        <w:t xml:space="preserve">with </w:t>
      </w:r>
      <w:r w:rsidRPr="001370A2">
        <w:rPr>
          <w:rFonts w:cstheme="minorHAnsi"/>
        </w:rPr>
        <w:t>54.5% of variation remain</w:t>
      </w:r>
      <w:r>
        <w:rPr>
          <w:rFonts w:cstheme="minorHAnsi"/>
        </w:rPr>
        <w:t>ing</w:t>
      </w:r>
      <w:r w:rsidRPr="001370A2">
        <w:rPr>
          <w:rFonts w:cstheme="minorHAnsi"/>
        </w:rPr>
        <w:t xml:space="preserve"> unexplained. Pairwise testing revealed that all macroinvertebrate orders showed significant differences in microbial community composition except </w:t>
      </w:r>
      <w:r w:rsidRPr="00397C43">
        <w:rPr>
          <w:rFonts w:cstheme="minorHAnsi"/>
        </w:rPr>
        <w:t>Ephemeroptera</w:t>
      </w:r>
      <w:r w:rsidRPr="001370A2">
        <w:rPr>
          <w:rFonts w:cstheme="minorHAnsi"/>
        </w:rPr>
        <w:t xml:space="preserve"> and </w:t>
      </w:r>
      <w:proofErr w:type="spellStart"/>
      <w:r w:rsidRPr="00397C43">
        <w:rPr>
          <w:rFonts w:cstheme="minorHAnsi"/>
        </w:rPr>
        <w:t>Plecoptera</w:t>
      </w:r>
      <w:proofErr w:type="spellEnd"/>
      <w:r w:rsidRPr="001370A2">
        <w:rPr>
          <w:rFonts w:cstheme="minorHAnsi"/>
        </w:rPr>
        <w:t xml:space="preserve"> (F=1.05; R</w:t>
      </w:r>
      <w:r w:rsidRPr="001370A2">
        <w:rPr>
          <w:rFonts w:cstheme="minorHAnsi"/>
          <w:vertAlign w:val="superscript"/>
        </w:rPr>
        <w:t>2</w:t>
      </w:r>
      <w:r w:rsidRPr="001370A2">
        <w:rPr>
          <w:rFonts w:cstheme="minorHAnsi"/>
        </w:rPr>
        <w:t>=0.09; p=0.37), which both showed seasonal differences</w:t>
      </w:r>
      <w:r>
        <w:rPr>
          <w:rFonts w:cstheme="minorHAnsi"/>
        </w:rPr>
        <w:t xml:space="preserve"> (</w:t>
      </w:r>
      <w:r w:rsidR="001B0039" w:rsidRPr="001B0039">
        <w:rPr>
          <w:rFonts w:cstheme="minorHAnsi"/>
        </w:rPr>
        <w:fldChar w:fldCharType="begin"/>
      </w:r>
      <w:r w:rsidR="001B0039" w:rsidRPr="001B0039">
        <w:rPr>
          <w:rFonts w:cstheme="minorHAnsi"/>
        </w:rPr>
        <w:instrText xml:space="preserve"> REF _Ref115364947 \h  \* MERGEFORMAT </w:instrText>
      </w:r>
      <w:r w:rsidR="001B0039" w:rsidRPr="001B0039">
        <w:rPr>
          <w:rFonts w:cstheme="minorHAnsi"/>
        </w:rPr>
      </w:r>
      <w:r w:rsidR="001B0039" w:rsidRPr="001B0039">
        <w:rPr>
          <w:rFonts w:cstheme="minorHAnsi"/>
        </w:rPr>
        <w:fldChar w:fldCharType="separate"/>
      </w:r>
      <w:r w:rsidR="00B15C60" w:rsidRPr="00B15C60">
        <w:t xml:space="preserve">Table S </w:t>
      </w:r>
      <w:r w:rsidR="00B15C60" w:rsidRPr="00B15C60">
        <w:rPr>
          <w:noProof/>
        </w:rPr>
        <w:t>8</w:t>
      </w:r>
      <w:r w:rsidR="001B0039" w:rsidRPr="001B0039">
        <w:rPr>
          <w:rFonts w:cstheme="minorHAnsi"/>
        </w:rPr>
        <w:fldChar w:fldCharType="end"/>
      </w:r>
      <w:r>
        <w:rPr>
          <w:rFonts w:cstheme="minorHAnsi"/>
        </w:rPr>
        <w:t>)</w:t>
      </w:r>
      <w:r w:rsidRPr="001370A2">
        <w:rPr>
          <w:rFonts w:cstheme="minorHAnsi"/>
        </w:rPr>
        <w:t>.</w:t>
      </w:r>
    </w:p>
    <w:p w14:paraId="78D41BB2" w14:textId="2B040922" w:rsidR="00397C43" w:rsidRDefault="00397C43" w:rsidP="00397C43">
      <w:pPr>
        <w:spacing w:line="480" w:lineRule="auto"/>
        <w:rPr>
          <w:rFonts w:cstheme="minorHAnsi"/>
        </w:rPr>
      </w:pPr>
      <w:r w:rsidRPr="001370A2">
        <w:rPr>
          <w:rFonts w:cstheme="minorHAnsi"/>
        </w:rPr>
        <w:t>Source tracking analysis revealed monthly variations in mixing proportions in gut microbial communities</w:t>
      </w:r>
      <w:r>
        <w:rPr>
          <w:rFonts w:cstheme="minorHAnsi"/>
        </w:rPr>
        <w:t xml:space="preserve"> (</w:t>
      </w:r>
      <w:r w:rsidR="00492A36">
        <w:rPr>
          <w:rFonts w:cstheme="minorHAnsi"/>
          <w:b/>
          <w:bCs/>
        </w:rPr>
        <w:fldChar w:fldCharType="begin"/>
      </w:r>
      <w:r w:rsidR="00492A36">
        <w:rPr>
          <w:rFonts w:cstheme="minorHAnsi"/>
        </w:rPr>
        <w:instrText xml:space="preserve"> REF _Ref138179527 \h </w:instrText>
      </w:r>
      <w:r w:rsidR="00492A36">
        <w:rPr>
          <w:rFonts w:cstheme="minorHAnsi"/>
          <w:b/>
          <w:bCs/>
        </w:rPr>
      </w:r>
      <w:r w:rsidR="00492A36">
        <w:rPr>
          <w:rFonts w:cstheme="minorHAnsi"/>
          <w:b/>
          <w:bCs/>
        </w:rPr>
        <w:fldChar w:fldCharType="separate"/>
      </w:r>
      <w:r w:rsidR="00B15C60">
        <w:t xml:space="preserve">Figure </w:t>
      </w:r>
      <w:r w:rsidR="00B15C60">
        <w:rPr>
          <w:noProof/>
        </w:rPr>
        <w:t>5</w:t>
      </w:r>
      <w:r w:rsidR="00492A36">
        <w:rPr>
          <w:rFonts w:cstheme="minorHAnsi"/>
          <w:b/>
          <w:bCs/>
        </w:rPr>
        <w:fldChar w:fldCharType="end"/>
      </w:r>
      <w:r w:rsidR="00492A36" w:rsidRPr="001468C8">
        <w:rPr>
          <w:rFonts w:cstheme="minorHAnsi"/>
        </w:rPr>
        <w:t>c</w:t>
      </w:r>
      <w:r>
        <w:rPr>
          <w:rFonts w:cstheme="minorHAnsi"/>
        </w:rPr>
        <w:t>)</w:t>
      </w:r>
      <w:r w:rsidRPr="001370A2">
        <w:rPr>
          <w:rFonts w:cstheme="minorHAnsi"/>
        </w:rPr>
        <w:t>. In January</w:t>
      </w:r>
      <w:r>
        <w:rPr>
          <w:rFonts w:cstheme="minorHAnsi"/>
        </w:rPr>
        <w:t>,</w:t>
      </w:r>
      <w:r w:rsidRPr="001370A2">
        <w:rPr>
          <w:rFonts w:cstheme="minorHAnsi"/>
        </w:rPr>
        <w:t xml:space="preserve"> bacteria from the water body contributed </w:t>
      </w:r>
      <w:r>
        <w:rPr>
          <w:rFonts w:cstheme="minorHAnsi"/>
        </w:rPr>
        <w:t>approximately</w:t>
      </w:r>
      <w:r w:rsidRPr="001370A2">
        <w:rPr>
          <w:rFonts w:cstheme="minorHAnsi"/>
        </w:rPr>
        <w:t xml:space="preserve"> 36% of </w:t>
      </w:r>
      <w:r>
        <w:rPr>
          <w:rFonts w:cstheme="minorHAnsi"/>
        </w:rPr>
        <w:t>intestinal genera</w:t>
      </w:r>
      <w:r w:rsidRPr="001370A2">
        <w:rPr>
          <w:rFonts w:cstheme="minorHAnsi"/>
        </w:rPr>
        <w:t xml:space="preserve">, whereas taxa from </w:t>
      </w:r>
      <w:r>
        <w:rPr>
          <w:rFonts w:cstheme="minorHAnsi"/>
        </w:rPr>
        <w:t xml:space="preserve">the potential </w:t>
      </w:r>
      <w:r w:rsidRPr="001370A2">
        <w:rPr>
          <w:rFonts w:cstheme="minorHAnsi"/>
        </w:rPr>
        <w:t xml:space="preserve">food sources (macroinvertebrates) contributed </w:t>
      </w:r>
      <w:r>
        <w:rPr>
          <w:rFonts w:cstheme="minorHAnsi"/>
        </w:rPr>
        <w:t>about</w:t>
      </w:r>
      <w:r w:rsidRPr="001370A2">
        <w:rPr>
          <w:rFonts w:cstheme="minorHAnsi"/>
        </w:rPr>
        <w:t xml:space="preserve"> 21%. The macroinvertebrate contribution steadily increased</w:t>
      </w:r>
      <w:r>
        <w:rPr>
          <w:rFonts w:cstheme="minorHAnsi"/>
        </w:rPr>
        <w:t xml:space="preserve"> over</w:t>
      </w:r>
      <w:r w:rsidRPr="001370A2">
        <w:rPr>
          <w:rFonts w:cstheme="minorHAnsi"/>
        </w:rPr>
        <w:t xml:space="preserve"> the following sampling months, to around 50% in June, </w:t>
      </w:r>
      <w:proofErr w:type="gramStart"/>
      <w:r w:rsidRPr="001370A2">
        <w:rPr>
          <w:rFonts w:cstheme="minorHAnsi"/>
        </w:rPr>
        <w:t>July</w:t>
      </w:r>
      <w:proofErr w:type="gramEnd"/>
      <w:r w:rsidRPr="001370A2">
        <w:rPr>
          <w:rFonts w:cstheme="minorHAnsi"/>
        </w:rPr>
        <w:t xml:space="preserve"> and November. The contribution of taxa which couldn’t be associated with either water or food sources declined after May (53%) reaching its lowest percentage in November (23%). Water source contributions were lowest in June at about 8% and highest in January (36%) and November (23%). Within food sources, macroinvertebrates from the order </w:t>
      </w:r>
      <w:r w:rsidRPr="00397C43">
        <w:rPr>
          <w:rFonts w:cstheme="minorHAnsi"/>
        </w:rPr>
        <w:t>Diptera</w:t>
      </w:r>
      <w:r w:rsidRPr="001370A2">
        <w:rPr>
          <w:rFonts w:cstheme="minorHAnsi"/>
          <w:i/>
          <w:iCs/>
        </w:rPr>
        <w:t xml:space="preserve"> </w:t>
      </w:r>
      <w:r w:rsidRPr="001370A2">
        <w:rPr>
          <w:rFonts w:cstheme="minorHAnsi"/>
        </w:rPr>
        <w:t>were the most dominant source of bacteria for gut communities.</w:t>
      </w:r>
      <w:r>
        <w:rPr>
          <w:rFonts w:cstheme="minorHAnsi"/>
        </w:rPr>
        <w:t xml:space="preserve"> Microbial </w:t>
      </w:r>
      <w:r w:rsidRPr="001370A2">
        <w:rPr>
          <w:rFonts w:cstheme="minorHAnsi"/>
        </w:rPr>
        <w:t xml:space="preserve">taxa derived from </w:t>
      </w:r>
      <w:r w:rsidRPr="00397C43">
        <w:rPr>
          <w:rFonts w:cstheme="minorHAnsi"/>
        </w:rPr>
        <w:t>Diptera</w:t>
      </w:r>
      <w:r w:rsidRPr="001370A2">
        <w:rPr>
          <w:rFonts w:cstheme="minorHAnsi"/>
        </w:rPr>
        <w:t xml:space="preserve"> were almost completely absent in November</w:t>
      </w:r>
      <w:r>
        <w:rPr>
          <w:rFonts w:cstheme="minorHAnsi"/>
        </w:rPr>
        <w:t>, when</w:t>
      </w:r>
      <w:r w:rsidRPr="001370A2">
        <w:rPr>
          <w:rFonts w:cstheme="minorHAnsi"/>
        </w:rPr>
        <w:t xml:space="preserve"> </w:t>
      </w:r>
      <w:r w:rsidRPr="00397C43">
        <w:rPr>
          <w:rFonts w:cstheme="minorHAnsi"/>
        </w:rPr>
        <w:t>Ephemeroptera</w:t>
      </w:r>
      <w:r w:rsidRPr="001370A2">
        <w:rPr>
          <w:rFonts w:cstheme="minorHAnsi"/>
          <w:i/>
          <w:iCs/>
        </w:rPr>
        <w:t xml:space="preserve"> </w:t>
      </w:r>
      <w:r>
        <w:rPr>
          <w:rFonts w:cstheme="minorHAnsi"/>
        </w:rPr>
        <w:t>became</w:t>
      </w:r>
      <w:r w:rsidRPr="001370A2">
        <w:rPr>
          <w:rFonts w:cstheme="minorHAnsi"/>
        </w:rPr>
        <w:t xml:space="preserve"> the </w:t>
      </w:r>
      <w:r>
        <w:rPr>
          <w:rFonts w:cstheme="minorHAnsi"/>
        </w:rPr>
        <w:t>largest</w:t>
      </w:r>
      <w:r w:rsidRPr="001370A2">
        <w:rPr>
          <w:rFonts w:cstheme="minorHAnsi"/>
        </w:rPr>
        <w:t xml:space="preserve"> source contributor. Similar observations </w:t>
      </w:r>
      <w:r>
        <w:rPr>
          <w:rFonts w:cstheme="minorHAnsi"/>
        </w:rPr>
        <w:t>were</w:t>
      </w:r>
      <w:r w:rsidRPr="001370A2">
        <w:rPr>
          <w:rFonts w:cstheme="minorHAnsi"/>
        </w:rPr>
        <w:t xml:space="preserve"> made for March. Source contributions for individual fish are shown in</w:t>
      </w:r>
      <w:r w:rsidR="00492A36">
        <w:rPr>
          <w:rFonts w:cstheme="minorHAnsi"/>
          <w:b/>
          <w:bCs/>
        </w:rPr>
        <w:t xml:space="preserve"> </w:t>
      </w:r>
      <w:r w:rsidR="00492A36">
        <w:rPr>
          <w:rFonts w:cstheme="minorHAnsi"/>
          <w:b/>
          <w:bCs/>
        </w:rPr>
        <w:fldChar w:fldCharType="begin"/>
      </w:r>
      <w:r w:rsidR="00492A36">
        <w:rPr>
          <w:rFonts w:cstheme="minorHAnsi"/>
          <w:b/>
          <w:bCs/>
        </w:rPr>
        <w:instrText xml:space="preserve"> REF _Ref138179590 \h </w:instrText>
      </w:r>
      <w:r w:rsidR="00492A36">
        <w:rPr>
          <w:rFonts w:cstheme="minorHAnsi"/>
          <w:b/>
          <w:bCs/>
        </w:rPr>
      </w:r>
      <w:r w:rsidR="00492A36">
        <w:rPr>
          <w:rFonts w:cstheme="minorHAnsi"/>
          <w:b/>
          <w:bCs/>
        </w:rPr>
        <w:fldChar w:fldCharType="separate"/>
      </w:r>
      <w:r w:rsidR="00B15C60">
        <w:t xml:space="preserve">Figure S </w:t>
      </w:r>
      <w:r w:rsidR="00B15C60">
        <w:rPr>
          <w:noProof/>
        </w:rPr>
        <w:t>2</w:t>
      </w:r>
      <w:r w:rsidR="00492A36">
        <w:rPr>
          <w:rFonts w:cstheme="minorHAnsi"/>
          <w:b/>
          <w:bCs/>
        </w:rPr>
        <w:fldChar w:fldCharType="end"/>
      </w:r>
      <w:r>
        <w:rPr>
          <w:rFonts w:cstheme="minorHAnsi"/>
        </w:rPr>
        <w:t>.</w:t>
      </w:r>
    </w:p>
    <w:p w14:paraId="5C69B96B" w14:textId="77777777" w:rsidR="00492A36" w:rsidRDefault="00882BE4" w:rsidP="00492A36">
      <w:pPr>
        <w:keepNext/>
        <w:spacing w:line="240" w:lineRule="auto"/>
      </w:pPr>
      <w:r w:rsidRPr="00882BE4">
        <w:rPr>
          <w:rFonts w:cstheme="minorHAnsi"/>
          <w:noProof/>
        </w:rPr>
        <w:lastRenderedPageBreak/>
        <w:drawing>
          <wp:inline distT="0" distB="0" distL="0" distR="0" wp14:anchorId="7F88C190" wp14:editId="479E53F8">
            <wp:extent cx="5731510" cy="5397500"/>
            <wp:effectExtent l="0" t="0" r="2540" b="0"/>
            <wp:docPr id="790465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46558"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731510" cy="5397500"/>
                    </a:xfrm>
                    <a:prstGeom prst="rect">
                      <a:avLst/>
                    </a:prstGeom>
                  </pic:spPr>
                </pic:pic>
              </a:graphicData>
            </a:graphic>
          </wp:inline>
        </w:drawing>
      </w:r>
    </w:p>
    <w:p w14:paraId="00F03756" w14:textId="6F552CB6" w:rsidR="00AF09EE" w:rsidRDefault="00492A36" w:rsidP="00882BE4">
      <w:pPr>
        <w:spacing w:line="240" w:lineRule="auto"/>
        <w:rPr>
          <w:rFonts w:cstheme="minorHAnsi"/>
        </w:rPr>
      </w:pPr>
      <w:bookmarkStart w:id="6" w:name="_Ref138179527"/>
      <w:r>
        <w:t xml:space="preserve">Figure </w:t>
      </w:r>
      <w:fldSimple w:instr=" SEQ Figure \* ARABIC ">
        <w:r w:rsidR="00B15C60">
          <w:rPr>
            <w:noProof/>
          </w:rPr>
          <w:t>5</w:t>
        </w:r>
      </w:fldSimple>
      <w:bookmarkEnd w:id="6"/>
      <w:r>
        <w:t xml:space="preserve">: </w:t>
      </w:r>
      <w:r w:rsidRPr="00736697">
        <w:rPr>
          <w:rFonts w:cstheme="minorHAnsi"/>
        </w:rPr>
        <w:t>(A</w:t>
      </w:r>
      <w:r>
        <w:rPr>
          <w:rFonts w:cstheme="minorHAnsi"/>
        </w:rPr>
        <w:t xml:space="preserve">) </w:t>
      </w:r>
      <w:r w:rsidRPr="00736697">
        <w:rPr>
          <w:rFonts w:cstheme="minorHAnsi"/>
        </w:rPr>
        <w:t>Distance based Redundancy Analysis (</w:t>
      </w:r>
      <w:proofErr w:type="spellStart"/>
      <w:r w:rsidRPr="00736697">
        <w:rPr>
          <w:rFonts w:cstheme="minorHAnsi"/>
        </w:rPr>
        <w:t>dbRDA</w:t>
      </w:r>
      <w:proofErr w:type="spellEnd"/>
      <w:r w:rsidRPr="00736697">
        <w:rPr>
          <w:rFonts w:cstheme="minorHAnsi"/>
        </w:rPr>
        <w:t xml:space="preserve">) shows correlations between microbial community composition of the water column and temperature, dissolved oxygen, </w:t>
      </w:r>
      <w:proofErr w:type="gramStart"/>
      <w:r w:rsidRPr="00736697">
        <w:rPr>
          <w:rFonts w:cstheme="minorHAnsi"/>
        </w:rPr>
        <w:t>conductivity</w:t>
      </w:r>
      <w:proofErr w:type="gramEnd"/>
      <w:r w:rsidRPr="00736697">
        <w:rPr>
          <w:rFonts w:cstheme="minorHAnsi"/>
        </w:rPr>
        <w:t xml:space="preserve"> and river flow rate (discharge rate)</w:t>
      </w:r>
      <w:r>
        <w:rPr>
          <w:rFonts w:cstheme="minorHAnsi"/>
        </w:rPr>
        <w:t xml:space="preserve">. (B) </w:t>
      </w:r>
      <w:r w:rsidRPr="00736697">
        <w:rPr>
          <w:rFonts w:cstheme="minorHAnsi"/>
        </w:rPr>
        <w:t>Principal coordinate analysis (</w:t>
      </w:r>
      <w:proofErr w:type="spellStart"/>
      <w:r w:rsidRPr="00736697">
        <w:rPr>
          <w:rFonts w:cstheme="minorHAnsi"/>
        </w:rPr>
        <w:t>PCoA</w:t>
      </w:r>
      <w:proofErr w:type="spellEnd"/>
      <w:r w:rsidRPr="00736697">
        <w:rPr>
          <w:rFonts w:cstheme="minorHAnsi"/>
        </w:rPr>
        <w:t>) of microbial communities from macroinvertebrate samples grouped by origin</w:t>
      </w:r>
      <w:r>
        <w:rPr>
          <w:rFonts w:cstheme="minorHAnsi"/>
        </w:rPr>
        <w:t xml:space="preserve">. (C) </w:t>
      </w:r>
      <w:r w:rsidRPr="001370A2">
        <w:rPr>
          <w:rFonts w:cstheme="minorHAnsi"/>
          <w:color w:val="222222"/>
          <w:shd w:val="clear" w:color="auto" w:fill="FFFFFF"/>
        </w:rPr>
        <w:t xml:space="preserve">Fast expectation-maximization for microbial source tracking (FEAST) estimations of average microbial source contributions for Atlantic </w:t>
      </w:r>
      <w:r>
        <w:rPr>
          <w:rFonts w:cstheme="minorHAnsi"/>
          <w:color w:val="222222"/>
          <w:shd w:val="clear" w:color="auto" w:fill="FFFFFF"/>
        </w:rPr>
        <w:t>s</w:t>
      </w:r>
      <w:r w:rsidRPr="001370A2">
        <w:rPr>
          <w:rFonts w:cstheme="minorHAnsi"/>
          <w:color w:val="222222"/>
          <w:shd w:val="clear" w:color="auto" w:fill="FFFFFF"/>
        </w:rPr>
        <w:t xml:space="preserve">almon gut communities per sampling month. Mixing proportions were calculated by using taxa counts on genus level. Sources contain </w:t>
      </w:r>
      <w:r>
        <w:rPr>
          <w:rFonts w:cstheme="minorHAnsi"/>
          <w:color w:val="222222"/>
          <w:shd w:val="clear" w:color="auto" w:fill="FFFFFF"/>
        </w:rPr>
        <w:t>five</w:t>
      </w:r>
      <w:r w:rsidRPr="001370A2">
        <w:rPr>
          <w:rFonts w:cstheme="minorHAnsi"/>
          <w:color w:val="222222"/>
          <w:shd w:val="clear" w:color="auto" w:fill="FFFFFF"/>
        </w:rPr>
        <w:t xml:space="preserve"> different macroinvertebrate</w:t>
      </w:r>
      <w:r>
        <w:rPr>
          <w:rFonts w:cstheme="minorHAnsi"/>
          <w:color w:val="222222"/>
          <w:shd w:val="clear" w:color="auto" w:fill="FFFFFF"/>
        </w:rPr>
        <w:t xml:space="preserve"> orders</w:t>
      </w:r>
      <w:r w:rsidRPr="001370A2">
        <w:rPr>
          <w:rFonts w:cstheme="minorHAnsi"/>
          <w:color w:val="222222"/>
          <w:shd w:val="clear" w:color="auto" w:fill="FFFFFF"/>
        </w:rPr>
        <w:t xml:space="preserve"> (</w:t>
      </w:r>
      <w:r>
        <w:rPr>
          <w:rFonts w:cstheme="minorHAnsi"/>
          <w:color w:val="222222"/>
          <w:shd w:val="clear" w:color="auto" w:fill="FFFFFF"/>
        </w:rPr>
        <w:t xml:space="preserve">potential </w:t>
      </w:r>
      <w:r w:rsidRPr="001370A2">
        <w:rPr>
          <w:rFonts w:cstheme="minorHAnsi"/>
          <w:color w:val="222222"/>
          <w:shd w:val="clear" w:color="auto" w:fill="FFFFFF"/>
        </w:rPr>
        <w:t>f</w:t>
      </w:r>
      <w:r>
        <w:rPr>
          <w:rFonts w:cstheme="minorHAnsi"/>
          <w:color w:val="222222"/>
          <w:shd w:val="clear" w:color="auto" w:fill="FFFFFF"/>
        </w:rPr>
        <w:t>ood</w:t>
      </w:r>
      <w:r w:rsidRPr="001370A2">
        <w:rPr>
          <w:rFonts w:cstheme="minorHAnsi"/>
          <w:color w:val="222222"/>
          <w:shd w:val="clear" w:color="auto" w:fill="FFFFFF"/>
        </w:rPr>
        <w:t xml:space="preserve"> </w:t>
      </w:r>
      <w:r>
        <w:rPr>
          <w:rFonts w:cstheme="minorHAnsi"/>
          <w:color w:val="222222"/>
          <w:shd w:val="clear" w:color="auto" w:fill="FFFFFF"/>
        </w:rPr>
        <w:t>source</w:t>
      </w:r>
      <w:r w:rsidRPr="001370A2">
        <w:rPr>
          <w:rFonts w:cstheme="minorHAnsi"/>
          <w:color w:val="222222"/>
          <w:shd w:val="clear" w:color="auto" w:fill="FFFFFF"/>
        </w:rPr>
        <w:t xml:space="preserve">) and three different water samples, collected from the top, the middle (mid) and the bottom (bot) </w:t>
      </w:r>
      <w:r>
        <w:rPr>
          <w:rFonts w:cstheme="minorHAnsi"/>
          <w:color w:val="222222"/>
          <w:shd w:val="clear" w:color="auto" w:fill="FFFFFF"/>
        </w:rPr>
        <w:t>section</w:t>
      </w:r>
      <w:r w:rsidRPr="001370A2">
        <w:rPr>
          <w:rFonts w:cstheme="minorHAnsi"/>
          <w:color w:val="222222"/>
          <w:shd w:val="clear" w:color="auto" w:fill="FFFFFF"/>
        </w:rPr>
        <w:t xml:space="preserve"> of the </w:t>
      </w:r>
      <w:proofErr w:type="spellStart"/>
      <w:r w:rsidRPr="001370A2">
        <w:rPr>
          <w:rFonts w:cstheme="minorHAnsi"/>
        </w:rPr>
        <w:t>Srahrevagh</w:t>
      </w:r>
      <w:proofErr w:type="spellEnd"/>
      <w:r w:rsidRPr="001370A2">
        <w:rPr>
          <w:rFonts w:cstheme="minorHAnsi"/>
        </w:rPr>
        <w:t xml:space="preserve"> river</w:t>
      </w:r>
      <w:r>
        <w:rPr>
          <w:rFonts w:cstheme="minorHAnsi"/>
        </w:rPr>
        <w:t xml:space="preserve"> (see </w:t>
      </w:r>
      <w:r>
        <w:rPr>
          <w:rFonts w:cstheme="minorHAnsi"/>
        </w:rPr>
        <w:fldChar w:fldCharType="begin"/>
      </w:r>
      <w:r>
        <w:rPr>
          <w:rFonts w:cstheme="minorHAnsi"/>
        </w:rPr>
        <w:instrText xml:space="preserve"> REF _Ref138177108 \h </w:instrText>
      </w:r>
      <w:r>
        <w:rPr>
          <w:rFonts w:cstheme="minorHAnsi"/>
        </w:rPr>
      </w:r>
      <w:r>
        <w:rPr>
          <w:rFonts w:cstheme="minorHAnsi"/>
        </w:rPr>
        <w:fldChar w:fldCharType="separate"/>
      </w:r>
      <w:r w:rsidR="00B15C60">
        <w:t xml:space="preserve">Figure </w:t>
      </w:r>
      <w:r w:rsidR="00B15C60">
        <w:rPr>
          <w:noProof/>
        </w:rPr>
        <w:t>1</w:t>
      </w:r>
      <w:r>
        <w:rPr>
          <w:rFonts w:cstheme="minorHAnsi"/>
        </w:rPr>
        <w:fldChar w:fldCharType="end"/>
      </w:r>
      <w:r>
        <w:rPr>
          <w:rFonts w:cstheme="minorHAnsi"/>
        </w:rPr>
        <w:t>)</w:t>
      </w:r>
      <w:r w:rsidRPr="001370A2">
        <w:rPr>
          <w:rFonts w:cstheme="minorHAnsi"/>
        </w:rPr>
        <w:t xml:space="preserve">. Source samples were collected at the same sampling day as </w:t>
      </w:r>
      <w:r>
        <w:rPr>
          <w:rFonts w:cstheme="minorHAnsi"/>
        </w:rPr>
        <w:t xml:space="preserve">the </w:t>
      </w:r>
      <w:r w:rsidRPr="001370A2">
        <w:rPr>
          <w:rFonts w:cstheme="minorHAnsi"/>
        </w:rPr>
        <w:t>fish gut</w:t>
      </w:r>
      <w:r>
        <w:rPr>
          <w:rFonts w:cstheme="minorHAnsi"/>
        </w:rPr>
        <w:t xml:space="preserve"> samples</w:t>
      </w:r>
      <w:r w:rsidRPr="001370A2">
        <w:rPr>
          <w:rFonts w:cstheme="minorHAnsi"/>
        </w:rPr>
        <w:t>.</w:t>
      </w:r>
    </w:p>
    <w:p w14:paraId="65D5E327" w14:textId="77777777" w:rsidR="00AF09EE" w:rsidRDefault="00AF09EE" w:rsidP="00B7361F">
      <w:pPr>
        <w:pStyle w:val="Heading2"/>
        <w:spacing w:line="480" w:lineRule="auto"/>
        <w:rPr>
          <w:rFonts w:cstheme="minorHAnsi"/>
        </w:rPr>
      </w:pPr>
      <w:r>
        <w:t>Potential core taxa of juvenile Atlantic Salmon intestinal microbiomes</w:t>
      </w:r>
    </w:p>
    <w:p w14:paraId="59784DF2" w14:textId="7E4C3BE3" w:rsidR="00AF09EE" w:rsidRDefault="00AF09EE" w:rsidP="00B7361F">
      <w:pPr>
        <w:spacing w:line="480" w:lineRule="auto"/>
        <w:rPr>
          <w:rFonts w:cstheme="minorHAnsi"/>
        </w:rPr>
      </w:pPr>
      <w:r>
        <w:rPr>
          <w:rFonts w:cstheme="minorHAnsi"/>
        </w:rPr>
        <w:t>Our neutral model estimated that 6821/7911 (86.22%) of OTUs detected in our study were randomly assembled in fish intestines, whereas 987 (12.47%) occurred more frequently than expected by the neutral model (</w:t>
      </w:r>
      <w:r w:rsidR="0028139C">
        <w:rPr>
          <w:rFonts w:cstheme="minorHAnsi"/>
        </w:rPr>
        <w:fldChar w:fldCharType="begin"/>
      </w:r>
      <w:r w:rsidR="0028139C">
        <w:rPr>
          <w:rFonts w:cstheme="minorHAnsi"/>
        </w:rPr>
        <w:instrText xml:space="preserve"> REF _Ref138179946 \h </w:instrText>
      </w:r>
      <w:r w:rsidR="0028139C">
        <w:rPr>
          <w:rFonts w:cstheme="minorHAnsi"/>
        </w:rPr>
      </w:r>
      <w:r w:rsidR="0028139C">
        <w:rPr>
          <w:rFonts w:cstheme="minorHAnsi"/>
        </w:rPr>
        <w:fldChar w:fldCharType="separate"/>
      </w:r>
      <w:r w:rsidR="00B15C60">
        <w:t xml:space="preserve">Figure </w:t>
      </w:r>
      <w:r w:rsidR="00B15C60">
        <w:rPr>
          <w:noProof/>
        </w:rPr>
        <w:t>6</w:t>
      </w:r>
      <w:r w:rsidR="0028139C">
        <w:rPr>
          <w:rFonts w:cstheme="minorHAnsi"/>
        </w:rPr>
        <w:fldChar w:fldCharType="end"/>
      </w:r>
      <w:r w:rsidR="007A4AAA">
        <w:rPr>
          <w:rFonts w:cstheme="minorHAnsi"/>
        </w:rPr>
        <w:t>a,</w:t>
      </w:r>
      <w:r w:rsidR="0028139C">
        <w:rPr>
          <w:rFonts w:cstheme="minorHAnsi"/>
        </w:rPr>
        <w:t xml:space="preserve"> </w:t>
      </w:r>
      <w:r>
        <w:rPr>
          <w:rFonts w:cstheme="minorHAnsi"/>
        </w:rPr>
        <w:t xml:space="preserve">b). The model assigned 117 OTUs as ‘core’ OTUs, of which 78 occurred </w:t>
      </w:r>
      <w:r>
        <w:rPr>
          <w:rFonts w:cstheme="minorHAnsi"/>
        </w:rPr>
        <w:lastRenderedPageBreak/>
        <w:t>significantly more frequently than expected by the neutral model, 17 were considered neutral, and 22 OTUs occurred less frequently than expected.</w:t>
      </w:r>
    </w:p>
    <w:p w14:paraId="775323A3" w14:textId="3011C6DA" w:rsidR="00AF09EE" w:rsidRDefault="00AF09EE" w:rsidP="00AF09EE">
      <w:pPr>
        <w:spacing w:line="480" w:lineRule="auto"/>
        <w:rPr>
          <w:rFonts w:cstheme="minorHAnsi"/>
        </w:rPr>
      </w:pPr>
      <w:r w:rsidRPr="00C84522">
        <w:rPr>
          <w:rFonts w:cstheme="minorHAnsi"/>
        </w:rPr>
        <w:t>After grouping the 117 core OTUs by genus, we discovered that certain genera appeared in multiple sections of the neutral model</w:t>
      </w:r>
      <w:r>
        <w:rPr>
          <w:rFonts w:cstheme="minorHAnsi"/>
        </w:rPr>
        <w:t xml:space="preserve"> (</w:t>
      </w:r>
      <w:r w:rsidR="0028139C">
        <w:rPr>
          <w:rFonts w:cstheme="minorHAnsi"/>
        </w:rPr>
        <w:fldChar w:fldCharType="begin"/>
      </w:r>
      <w:r w:rsidR="0028139C">
        <w:rPr>
          <w:rFonts w:cstheme="minorHAnsi"/>
        </w:rPr>
        <w:instrText xml:space="preserve"> REF _Ref138179966 \h </w:instrText>
      </w:r>
      <w:r w:rsidR="0028139C">
        <w:rPr>
          <w:rFonts w:cstheme="minorHAnsi"/>
        </w:rPr>
      </w:r>
      <w:r w:rsidR="0028139C">
        <w:rPr>
          <w:rFonts w:cstheme="minorHAnsi"/>
        </w:rPr>
        <w:fldChar w:fldCharType="separate"/>
      </w:r>
      <w:r w:rsidR="00B15C60">
        <w:t xml:space="preserve">Figure S </w:t>
      </w:r>
      <w:r w:rsidR="00B15C60">
        <w:rPr>
          <w:noProof/>
        </w:rPr>
        <w:t>3</w:t>
      </w:r>
      <w:r w:rsidR="0028139C">
        <w:rPr>
          <w:rFonts w:cstheme="minorHAnsi"/>
        </w:rPr>
        <w:fldChar w:fldCharType="end"/>
      </w:r>
      <w:r>
        <w:rPr>
          <w:rFonts w:cstheme="minorHAnsi"/>
        </w:rPr>
        <w:t>): t</w:t>
      </w:r>
      <w:r w:rsidRPr="00C84522">
        <w:rPr>
          <w:rFonts w:cstheme="minorHAnsi"/>
        </w:rPr>
        <w:t>hese genera were observed more frequently than expected, less frequently than expected, or with the same frequency as expected.</w:t>
      </w:r>
      <w:r>
        <w:rPr>
          <w:rFonts w:cstheme="minorHAnsi"/>
        </w:rPr>
        <w:t xml:space="preserve"> </w:t>
      </w:r>
      <w:r w:rsidRPr="00C84522">
        <w:rPr>
          <w:rFonts w:cstheme="minorHAnsi"/>
          <w:i/>
          <w:iCs/>
        </w:rPr>
        <w:t>Corynebacterium</w:t>
      </w:r>
      <w:r w:rsidRPr="00C84522">
        <w:rPr>
          <w:rFonts w:cstheme="minorHAnsi"/>
        </w:rPr>
        <w:t xml:space="preserve"> and </w:t>
      </w:r>
      <w:proofErr w:type="spellStart"/>
      <w:r w:rsidRPr="00C84522">
        <w:rPr>
          <w:rFonts w:cstheme="minorHAnsi"/>
          <w:i/>
          <w:iCs/>
        </w:rPr>
        <w:t>Pseudoalteromonas</w:t>
      </w:r>
      <w:proofErr w:type="spellEnd"/>
      <w:r w:rsidRPr="00C84522">
        <w:rPr>
          <w:rFonts w:cstheme="minorHAnsi"/>
        </w:rPr>
        <w:t xml:space="preserve"> were the only genera that appeared in all three sections of the neutral model. Additionally, OTUs associated with </w:t>
      </w:r>
      <w:r w:rsidRPr="00C84522">
        <w:rPr>
          <w:rFonts w:cstheme="minorHAnsi"/>
          <w:i/>
          <w:iCs/>
        </w:rPr>
        <w:t>Pseudomonas</w:t>
      </w:r>
      <w:r w:rsidRPr="00C84522">
        <w:rPr>
          <w:rFonts w:cstheme="minorHAnsi"/>
        </w:rPr>
        <w:t xml:space="preserve">, </w:t>
      </w:r>
      <w:proofErr w:type="spellStart"/>
      <w:r w:rsidRPr="00C84522">
        <w:rPr>
          <w:rFonts w:cstheme="minorHAnsi"/>
          <w:i/>
          <w:iCs/>
        </w:rPr>
        <w:t>Acidovorax</w:t>
      </w:r>
      <w:proofErr w:type="spellEnd"/>
      <w:r w:rsidRPr="00C84522">
        <w:rPr>
          <w:rFonts w:cstheme="minorHAnsi"/>
        </w:rPr>
        <w:t xml:space="preserve">, </w:t>
      </w:r>
      <w:proofErr w:type="spellStart"/>
      <w:r w:rsidRPr="00C84522">
        <w:rPr>
          <w:rFonts w:cstheme="minorHAnsi"/>
          <w:i/>
          <w:iCs/>
        </w:rPr>
        <w:t>Turicella</w:t>
      </w:r>
      <w:proofErr w:type="spellEnd"/>
      <w:r w:rsidRPr="00C84522">
        <w:rPr>
          <w:rFonts w:cstheme="minorHAnsi"/>
        </w:rPr>
        <w:t xml:space="preserve">, </w:t>
      </w:r>
      <w:proofErr w:type="spellStart"/>
      <w:r w:rsidRPr="00C84522">
        <w:rPr>
          <w:rFonts w:cstheme="minorHAnsi"/>
          <w:i/>
          <w:iCs/>
        </w:rPr>
        <w:t>Schlegellea</w:t>
      </w:r>
      <w:proofErr w:type="spellEnd"/>
      <w:r w:rsidRPr="00C84522">
        <w:rPr>
          <w:rFonts w:cstheme="minorHAnsi"/>
        </w:rPr>
        <w:t xml:space="preserve">, and </w:t>
      </w:r>
      <w:proofErr w:type="spellStart"/>
      <w:r w:rsidRPr="00C84522">
        <w:rPr>
          <w:rFonts w:cstheme="minorHAnsi"/>
          <w:i/>
          <w:iCs/>
        </w:rPr>
        <w:t>Xanthobacteriaceae</w:t>
      </w:r>
      <w:proofErr w:type="spellEnd"/>
      <w:r w:rsidRPr="00C84522">
        <w:rPr>
          <w:rFonts w:cstheme="minorHAnsi"/>
        </w:rPr>
        <w:t xml:space="preserve"> were present in two sections of the neutral model</w:t>
      </w:r>
      <w:r>
        <w:rPr>
          <w:rFonts w:cstheme="minorHAnsi"/>
        </w:rPr>
        <w:t xml:space="preserve">. </w:t>
      </w:r>
    </w:p>
    <w:p w14:paraId="4B8B258A" w14:textId="705A1487" w:rsidR="00AF09EE" w:rsidRDefault="00AF09EE" w:rsidP="00AF09EE">
      <w:pPr>
        <w:spacing w:line="480" w:lineRule="auto"/>
        <w:rPr>
          <w:rFonts w:cstheme="minorHAnsi"/>
        </w:rPr>
      </w:pPr>
      <w:r>
        <w:rPr>
          <w:rFonts w:cstheme="minorHAnsi"/>
        </w:rPr>
        <w:t>We used a taxonomic heat tree to illustrate the distribution of the 78 core OTUs that did occur more frequently than expected in the salmon gut (</w:t>
      </w:r>
      <w:r w:rsidR="003C01CA">
        <w:rPr>
          <w:rFonts w:cstheme="minorHAnsi"/>
        </w:rPr>
        <w:fldChar w:fldCharType="begin"/>
      </w:r>
      <w:r w:rsidR="003C01CA">
        <w:rPr>
          <w:rFonts w:cstheme="minorHAnsi"/>
        </w:rPr>
        <w:instrText xml:space="preserve"> REF _Ref138180532 \h </w:instrText>
      </w:r>
      <w:r w:rsidR="003C01CA">
        <w:rPr>
          <w:rFonts w:cstheme="minorHAnsi"/>
        </w:rPr>
      </w:r>
      <w:r w:rsidR="003C01CA">
        <w:rPr>
          <w:rFonts w:cstheme="minorHAnsi"/>
        </w:rPr>
        <w:fldChar w:fldCharType="separate"/>
      </w:r>
      <w:r w:rsidR="00B15C60">
        <w:t xml:space="preserve">Figure S </w:t>
      </w:r>
      <w:r w:rsidR="00B15C60">
        <w:rPr>
          <w:noProof/>
        </w:rPr>
        <w:t>4</w:t>
      </w:r>
      <w:r w:rsidR="003C01CA">
        <w:rPr>
          <w:rFonts w:cstheme="minorHAnsi"/>
        </w:rPr>
        <w:fldChar w:fldCharType="end"/>
      </w:r>
      <w:r>
        <w:rPr>
          <w:rFonts w:cstheme="minorHAnsi"/>
        </w:rPr>
        <w:t xml:space="preserve">). Those OTUs were dominated by </w:t>
      </w:r>
      <w:r w:rsidRPr="0028139C">
        <w:rPr>
          <w:rFonts w:cstheme="minorHAnsi"/>
        </w:rPr>
        <w:t>Proteobacteria</w:t>
      </w:r>
      <w:r>
        <w:rPr>
          <w:rFonts w:cstheme="minorHAnsi"/>
          <w:i/>
          <w:iCs/>
        </w:rPr>
        <w:t xml:space="preserve"> </w:t>
      </w:r>
      <w:r>
        <w:rPr>
          <w:rFonts w:cstheme="minorHAnsi"/>
        </w:rPr>
        <w:t xml:space="preserve">(85.7%), followed by </w:t>
      </w:r>
      <w:r w:rsidRPr="0028139C">
        <w:rPr>
          <w:rFonts w:cstheme="minorHAnsi"/>
        </w:rPr>
        <w:t>Firmicutes</w:t>
      </w:r>
      <w:r>
        <w:rPr>
          <w:rFonts w:cstheme="minorHAnsi"/>
        </w:rPr>
        <w:t xml:space="preserve"> (10%) and </w:t>
      </w:r>
      <w:proofErr w:type="spellStart"/>
      <w:r w:rsidRPr="0028139C">
        <w:rPr>
          <w:rFonts w:cstheme="minorHAnsi"/>
        </w:rPr>
        <w:t>Actinobacteriota</w:t>
      </w:r>
      <w:proofErr w:type="spellEnd"/>
      <w:r>
        <w:rPr>
          <w:rFonts w:cstheme="minorHAnsi"/>
        </w:rPr>
        <w:t xml:space="preserve"> (3.5%). At genus level we identified 25 different taxa. Here, </w:t>
      </w:r>
      <w:proofErr w:type="spellStart"/>
      <w:r w:rsidRPr="00FC2833">
        <w:rPr>
          <w:rFonts w:cstheme="minorHAnsi"/>
          <w:i/>
          <w:iCs/>
        </w:rPr>
        <w:t>Variovorax</w:t>
      </w:r>
      <w:proofErr w:type="spellEnd"/>
      <w:r>
        <w:rPr>
          <w:rFonts w:cstheme="minorHAnsi"/>
          <w:i/>
          <w:iCs/>
        </w:rPr>
        <w:t xml:space="preserve"> </w:t>
      </w:r>
      <w:r w:rsidRPr="00FC2833">
        <w:rPr>
          <w:rFonts w:cstheme="minorHAnsi"/>
        </w:rPr>
        <w:t>(</w:t>
      </w:r>
      <w:r>
        <w:rPr>
          <w:rFonts w:cstheme="minorHAnsi"/>
        </w:rPr>
        <w:t>18.4</w:t>
      </w:r>
      <w:r w:rsidRPr="00FC2833">
        <w:rPr>
          <w:rFonts w:cstheme="minorHAnsi"/>
        </w:rPr>
        <w:t>%)</w:t>
      </w:r>
      <w:r>
        <w:rPr>
          <w:rFonts w:cstheme="minorHAnsi"/>
        </w:rPr>
        <w:t xml:space="preserve">, </w:t>
      </w:r>
      <w:r w:rsidRPr="005B684F">
        <w:rPr>
          <w:rFonts w:cstheme="minorHAnsi"/>
          <w:i/>
          <w:iCs/>
        </w:rPr>
        <w:t>Pseudomonas</w:t>
      </w:r>
      <w:r>
        <w:rPr>
          <w:rFonts w:cstheme="minorHAnsi"/>
        </w:rPr>
        <w:t xml:space="preserve"> (11.2), </w:t>
      </w:r>
      <w:r w:rsidRPr="00FC2833">
        <w:rPr>
          <w:rFonts w:cstheme="minorHAnsi"/>
          <w:i/>
          <w:iCs/>
        </w:rPr>
        <w:t>Staphylococcus</w:t>
      </w:r>
      <w:r>
        <w:rPr>
          <w:rFonts w:cstheme="minorHAnsi"/>
          <w:i/>
          <w:iCs/>
        </w:rPr>
        <w:t xml:space="preserve"> </w:t>
      </w:r>
      <w:r w:rsidRPr="00FC2833">
        <w:rPr>
          <w:rFonts w:cstheme="minorHAnsi"/>
        </w:rPr>
        <w:t>(</w:t>
      </w:r>
      <w:r>
        <w:rPr>
          <w:rFonts w:cstheme="minorHAnsi"/>
        </w:rPr>
        <w:t>6.7</w:t>
      </w:r>
      <w:r w:rsidRPr="00FC2833">
        <w:rPr>
          <w:rFonts w:cstheme="minorHAnsi"/>
        </w:rPr>
        <w:t>%)</w:t>
      </w:r>
      <w:r>
        <w:rPr>
          <w:rFonts w:cstheme="minorHAnsi"/>
        </w:rPr>
        <w:t xml:space="preserve">, </w:t>
      </w:r>
      <w:proofErr w:type="spellStart"/>
      <w:r w:rsidRPr="00FC2833">
        <w:rPr>
          <w:rFonts w:cstheme="minorHAnsi"/>
          <w:i/>
          <w:iCs/>
        </w:rPr>
        <w:t>Delftia</w:t>
      </w:r>
      <w:proofErr w:type="spellEnd"/>
      <w:r>
        <w:rPr>
          <w:rFonts w:cstheme="minorHAnsi"/>
          <w:i/>
          <w:iCs/>
        </w:rPr>
        <w:t xml:space="preserve"> </w:t>
      </w:r>
      <w:r w:rsidRPr="00FC2833">
        <w:rPr>
          <w:rFonts w:cstheme="minorHAnsi"/>
        </w:rPr>
        <w:t>(</w:t>
      </w:r>
      <w:r>
        <w:rPr>
          <w:rFonts w:cstheme="minorHAnsi"/>
        </w:rPr>
        <w:t>5.8</w:t>
      </w:r>
      <w:r w:rsidRPr="00FC2833">
        <w:rPr>
          <w:rFonts w:cstheme="minorHAnsi"/>
        </w:rPr>
        <w:t>%)</w:t>
      </w:r>
      <w:r>
        <w:rPr>
          <w:rFonts w:cstheme="minorHAnsi"/>
        </w:rPr>
        <w:t xml:space="preserve">, </w:t>
      </w:r>
      <w:proofErr w:type="spellStart"/>
      <w:r w:rsidRPr="00FC2833">
        <w:rPr>
          <w:rFonts w:cstheme="minorHAnsi"/>
          <w:i/>
          <w:iCs/>
        </w:rPr>
        <w:t>Pseudoalteromonas</w:t>
      </w:r>
      <w:proofErr w:type="spellEnd"/>
      <w:r>
        <w:rPr>
          <w:rFonts w:cstheme="minorHAnsi"/>
          <w:i/>
          <w:iCs/>
        </w:rPr>
        <w:t xml:space="preserve"> </w:t>
      </w:r>
      <w:r w:rsidRPr="00FC2833">
        <w:rPr>
          <w:rFonts w:cstheme="minorHAnsi"/>
        </w:rPr>
        <w:t>(</w:t>
      </w:r>
      <w:r>
        <w:rPr>
          <w:rFonts w:cstheme="minorHAnsi"/>
        </w:rPr>
        <w:t>4.4</w:t>
      </w:r>
      <w:r w:rsidRPr="00FC2833">
        <w:rPr>
          <w:rFonts w:cstheme="minorHAnsi"/>
        </w:rPr>
        <w:t>%)</w:t>
      </w:r>
      <w:r>
        <w:rPr>
          <w:rFonts w:cstheme="minorHAnsi"/>
        </w:rPr>
        <w:t xml:space="preserve"> and </w:t>
      </w:r>
      <w:proofErr w:type="spellStart"/>
      <w:r w:rsidRPr="00FC2833">
        <w:rPr>
          <w:rFonts w:cstheme="minorHAnsi"/>
          <w:i/>
          <w:iCs/>
        </w:rPr>
        <w:t>Schlegella</w:t>
      </w:r>
      <w:proofErr w:type="spellEnd"/>
      <w:r>
        <w:rPr>
          <w:rFonts w:cstheme="minorHAnsi"/>
        </w:rPr>
        <w:t xml:space="preserve"> </w:t>
      </w:r>
      <w:r w:rsidRPr="00FC2833">
        <w:rPr>
          <w:rFonts w:cstheme="minorHAnsi"/>
        </w:rPr>
        <w:t>(</w:t>
      </w:r>
      <w:r>
        <w:rPr>
          <w:rFonts w:cstheme="minorHAnsi"/>
        </w:rPr>
        <w:t>4.4</w:t>
      </w:r>
      <w:r w:rsidRPr="00FC2833">
        <w:rPr>
          <w:rFonts w:cstheme="minorHAnsi"/>
        </w:rPr>
        <w:t>%)</w:t>
      </w:r>
      <w:r>
        <w:rPr>
          <w:rFonts w:cstheme="minorHAnsi"/>
        </w:rPr>
        <w:t xml:space="preserve"> were the most dominant contributors to the deterministically selected core taxa. Other notable genera included </w:t>
      </w:r>
      <w:r w:rsidRPr="005B684F">
        <w:rPr>
          <w:rFonts w:cstheme="minorHAnsi"/>
          <w:i/>
          <w:iCs/>
        </w:rPr>
        <w:t>Acinetobacter</w:t>
      </w:r>
      <w:r>
        <w:rPr>
          <w:rFonts w:cstheme="minorHAnsi"/>
        </w:rPr>
        <w:t xml:space="preserve"> (2.5%), </w:t>
      </w:r>
      <w:r w:rsidRPr="005B684F">
        <w:rPr>
          <w:rFonts w:cstheme="minorHAnsi"/>
          <w:i/>
          <w:iCs/>
        </w:rPr>
        <w:t>Streptococcus</w:t>
      </w:r>
      <w:r>
        <w:rPr>
          <w:rFonts w:cstheme="minorHAnsi"/>
        </w:rPr>
        <w:t xml:space="preserve"> (1.8%), </w:t>
      </w:r>
      <w:proofErr w:type="spellStart"/>
      <w:r w:rsidRPr="005B684F">
        <w:rPr>
          <w:rFonts w:cstheme="minorHAnsi"/>
          <w:i/>
          <w:iCs/>
        </w:rPr>
        <w:t>Carnobacterium</w:t>
      </w:r>
      <w:proofErr w:type="spellEnd"/>
      <w:r>
        <w:rPr>
          <w:rFonts w:cstheme="minorHAnsi"/>
        </w:rPr>
        <w:t xml:space="preserve"> (1.3%) and </w:t>
      </w:r>
      <w:proofErr w:type="spellStart"/>
      <w:r w:rsidRPr="005B684F">
        <w:rPr>
          <w:rFonts w:cstheme="minorHAnsi"/>
          <w:i/>
          <w:iCs/>
        </w:rPr>
        <w:t>Fibrobacter</w:t>
      </w:r>
      <w:proofErr w:type="spellEnd"/>
      <w:r>
        <w:rPr>
          <w:rFonts w:cstheme="minorHAnsi"/>
        </w:rPr>
        <w:t xml:space="preserve"> (0.9%). A further 16 OTUs could not be assigned to a specific genus by the reference database, most of those OTUs belonged to the </w:t>
      </w:r>
      <w:proofErr w:type="spellStart"/>
      <w:r w:rsidRPr="005B684F">
        <w:rPr>
          <w:rFonts w:cstheme="minorHAnsi"/>
          <w:i/>
          <w:iCs/>
        </w:rPr>
        <w:t>Comamonadaceae</w:t>
      </w:r>
      <w:proofErr w:type="spellEnd"/>
      <w:r>
        <w:rPr>
          <w:rFonts w:cstheme="minorHAnsi"/>
        </w:rPr>
        <w:t xml:space="preserve"> family. </w:t>
      </w:r>
    </w:p>
    <w:p w14:paraId="342C0CC1" w14:textId="1B1435DC" w:rsidR="00AF09EE" w:rsidRDefault="007A4AAA" w:rsidP="00AF09EE">
      <w:pPr>
        <w:spacing w:line="480" w:lineRule="auto"/>
        <w:rPr>
          <w:rFonts w:cstheme="minorHAnsi"/>
        </w:rPr>
      </w:pPr>
      <w:r>
        <w:rPr>
          <w:rFonts w:cstheme="minorHAnsi"/>
        </w:rPr>
        <w:t>When restricted to just core taxa we found that 17 out of 25 genera</w:t>
      </w:r>
      <w:r w:rsidR="00AF09EE">
        <w:rPr>
          <w:rFonts w:cstheme="minorHAnsi"/>
        </w:rPr>
        <w:t xml:space="preserve"> were differentially abundant in at least one sampling month. Interestingly, genera </w:t>
      </w:r>
      <w:r w:rsidR="00AF09EE" w:rsidRPr="006952BC">
        <w:rPr>
          <w:rFonts w:cstheme="minorHAnsi"/>
          <w:i/>
          <w:iCs/>
        </w:rPr>
        <w:t>Pseudomonas</w:t>
      </w:r>
      <w:r w:rsidR="00AF09EE">
        <w:rPr>
          <w:rFonts w:cstheme="minorHAnsi"/>
        </w:rPr>
        <w:t xml:space="preserve">, </w:t>
      </w:r>
      <w:proofErr w:type="spellStart"/>
      <w:r w:rsidR="00AF09EE" w:rsidRPr="006952BC">
        <w:rPr>
          <w:rFonts w:cstheme="minorHAnsi"/>
          <w:i/>
          <w:iCs/>
        </w:rPr>
        <w:t>Streptoccus</w:t>
      </w:r>
      <w:proofErr w:type="spellEnd"/>
      <w:r w:rsidR="00AF09EE">
        <w:rPr>
          <w:rFonts w:cstheme="minorHAnsi"/>
        </w:rPr>
        <w:t xml:space="preserve">, </w:t>
      </w:r>
      <w:proofErr w:type="spellStart"/>
      <w:r w:rsidR="00AF09EE" w:rsidRPr="006952BC">
        <w:rPr>
          <w:rFonts w:cstheme="minorHAnsi"/>
          <w:i/>
          <w:iCs/>
        </w:rPr>
        <w:t>Carnobacterium</w:t>
      </w:r>
      <w:proofErr w:type="spellEnd"/>
      <w:r w:rsidR="00AF09EE">
        <w:rPr>
          <w:rFonts w:cstheme="minorHAnsi"/>
        </w:rPr>
        <w:t xml:space="preserve">, </w:t>
      </w:r>
      <w:proofErr w:type="spellStart"/>
      <w:r w:rsidR="00AF09EE" w:rsidRPr="006952BC">
        <w:rPr>
          <w:rFonts w:cstheme="minorHAnsi"/>
          <w:i/>
          <w:iCs/>
        </w:rPr>
        <w:t>Acientobacter</w:t>
      </w:r>
      <w:proofErr w:type="spellEnd"/>
      <w:r w:rsidR="00AF09EE">
        <w:rPr>
          <w:rFonts w:cstheme="minorHAnsi"/>
        </w:rPr>
        <w:t xml:space="preserve">, </w:t>
      </w:r>
      <w:proofErr w:type="spellStart"/>
      <w:r w:rsidR="00AF09EE" w:rsidRPr="006952BC">
        <w:rPr>
          <w:rFonts w:cstheme="minorHAnsi"/>
          <w:i/>
          <w:iCs/>
        </w:rPr>
        <w:t>Bosea</w:t>
      </w:r>
      <w:proofErr w:type="spellEnd"/>
      <w:r w:rsidR="00AF09EE">
        <w:rPr>
          <w:rFonts w:cstheme="minorHAnsi"/>
        </w:rPr>
        <w:t xml:space="preserve">, </w:t>
      </w:r>
      <w:proofErr w:type="spellStart"/>
      <w:r w:rsidR="00AF09EE" w:rsidRPr="006952BC">
        <w:rPr>
          <w:rFonts w:cstheme="minorHAnsi"/>
          <w:i/>
          <w:iCs/>
        </w:rPr>
        <w:t>Methylothenera</w:t>
      </w:r>
      <w:proofErr w:type="spellEnd"/>
      <w:r w:rsidR="00AF09EE">
        <w:rPr>
          <w:rFonts w:cstheme="minorHAnsi"/>
        </w:rPr>
        <w:t xml:space="preserve">, </w:t>
      </w:r>
      <w:proofErr w:type="spellStart"/>
      <w:r w:rsidR="00AF09EE" w:rsidRPr="006952BC">
        <w:rPr>
          <w:rFonts w:cstheme="minorHAnsi"/>
          <w:i/>
          <w:iCs/>
        </w:rPr>
        <w:t>Gallionella</w:t>
      </w:r>
      <w:proofErr w:type="spellEnd"/>
      <w:r w:rsidR="00AF09EE">
        <w:rPr>
          <w:rFonts w:cstheme="minorHAnsi"/>
        </w:rPr>
        <w:t xml:space="preserve"> and </w:t>
      </w:r>
      <w:proofErr w:type="spellStart"/>
      <w:r w:rsidR="00AF09EE" w:rsidRPr="006952BC">
        <w:rPr>
          <w:rFonts w:cstheme="minorHAnsi"/>
          <w:i/>
          <w:iCs/>
        </w:rPr>
        <w:t>Sphingomonas</w:t>
      </w:r>
      <w:proofErr w:type="spellEnd"/>
      <w:r w:rsidR="00AF09EE">
        <w:rPr>
          <w:rFonts w:cstheme="minorHAnsi"/>
        </w:rPr>
        <w:t xml:space="preserve"> showed no significant seasonal differences in their relative abundance (</w:t>
      </w:r>
      <w:r w:rsidR="0028139C">
        <w:rPr>
          <w:rFonts w:cstheme="minorHAnsi"/>
        </w:rPr>
        <w:fldChar w:fldCharType="begin"/>
      </w:r>
      <w:r w:rsidR="0028139C">
        <w:rPr>
          <w:rFonts w:cstheme="minorHAnsi"/>
        </w:rPr>
        <w:instrText xml:space="preserve"> REF _Ref138179946 \h </w:instrText>
      </w:r>
      <w:r w:rsidR="0028139C">
        <w:rPr>
          <w:rFonts w:cstheme="minorHAnsi"/>
        </w:rPr>
      </w:r>
      <w:r w:rsidR="0028139C">
        <w:rPr>
          <w:rFonts w:cstheme="minorHAnsi"/>
        </w:rPr>
        <w:fldChar w:fldCharType="separate"/>
      </w:r>
      <w:r w:rsidR="00B15C60">
        <w:t xml:space="preserve">Figure </w:t>
      </w:r>
      <w:r w:rsidR="00B15C60">
        <w:rPr>
          <w:noProof/>
        </w:rPr>
        <w:t>6</w:t>
      </w:r>
      <w:r w:rsidR="0028139C">
        <w:rPr>
          <w:rFonts w:cstheme="minorHAnsi"/>
        </w:rPr>
        <w:fldChar w:fldCharType="end"/>
      </w:r>
      <w:r w:rsidR="00AF09EE">
        <w:rPr>
          <w:rFonts w:cstheme="minorHAnsi"/>
        </w:rPr>
        <w:t>c).</w:t>
      </w:r>
    </w:p>
    <w:p w14:paraId="182F2465" w14:textId="77777777" w:rsidR="0028139C" w:rsidRDefault="008A4FF4" w:rsidP="0028139C">
      <w:pPr>
        <w:keepNext/>
        <w:spacing w:line="240" w:lineRule="auto"/>
      </w:pPr>
      <w:r>
        <w:rPr>
          <w:rFonts w:cstheme="minorHAnsi"/>
          <w:noProof/>
        </w:rPr>
        <w:lastRenderedPageBreak/>
        <w:drawing>
          <wp:inline distT="0" distB="0" distL="0" distR="0" wp14:anchorId="58AA6040" wp14:editId="04D7E470">
            <wp:extent cx="5724525" cy="5486400"/>
            <wp:effectExtent l="0" t="0" r="0" b="0"/>
            <wp:docPr id="1191109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4525" cy="5486400"/>
                    </a:xfrm>
                    <a:prstGeom prst="rect">
                      <a:avLst/>
                    </a:prstGeom>
                    <a:noFill/>
                    <a:ln>
                      <a:noFill/>
                    </a:ln>
                  </pic:spPr>
                </pic:pic>
              </a:graphicData>
            </a:graphic>
          </wp:inline>
        </w:drawing>
      </w:r>
    </w:p>
    <w:p w14:paraId="5DCB9311" w14:textId="4A33CB86" w:rsidR="00AF09EE" w:rsidRPr="000074A7" w:rsidRDefault="0028139C" w:rsidP="000074A7">
      <w:pPr>
        <w:spacing w:line="240" w:lineRule="auto"/>
      </w:pPr>
      <w:bookmarkStart w:id="7" w:name="_Ref138179946"/>
      <w:r>
        <w:t xml:space="preserve">Figure </w:t>
      </w:r>
      <w:fldSimple w:instr=" SEQ Figure \* ARABIC ">
        <w:r w:rsidR="00B15C60">
          <w:rPr>
            <w:noProof/>
          </w:rPr>
          <w:t>6</w:t>
        </w:r>
      </w:fldSimple>
      <w:bookmarkEnd w:id="7"/>
      <w:r>
        <w:t xml:space="preserve">: </w:t>
      </w:r>
      <w:r>
        <w:rPr>
          <w:rFonts w:cstheme="minorHAnsi"/>
        </w:rPr>
        <w:t xml:space="preserve">(A)Abundance-occupancy distribution of OTUs from Atlantic salmon intestines sampled at six sampling timepoints over a period of 10 months. Each point represents an OTU. </w:t>
      </w:r>
      <w:r w:rsidRPr="00675FB5">
        <w:t xml:space="preserve">The </w:t>
      </w:r>
      <w:r>
        <w:t>black</w:t>
      </w:r>
      <w:r w:rsidRPr="00675FB5">
        <w:t xml:space="preserve"> line represents the fit of the neutral model, and the dashed line</w:t>
      </w:r>
      <w:r>
        <w:t>s</w:t>
      </w:r>
      <w:r w:rsidRPr="00675FB5">
        <w:t xml:space="preserve"> </w:t>
      </w:r>
      <w:r>
        <w:t>represents</w:t>
      </w:r>
      <w:r w:rsidRPr="00675FB5">
        <w:t xml:space="preserve"> 95% confidence</w:t>
      </w:r>
      <w:r>
        <w:t xml:space="preserve"> intervals</w:t>
      </w:r>
      <w:r w:rsidRPr="00675FB5">
        <w:t xml:space="preserve"> around the model prediction. </w:t>
      </w:r>
      <w:r w:rsidRPr="002C522F">
        <w:t xml:space="preserve">OTUs that occur more frequently than predicted by the model are shown </w:t>
      </w:r>
      <w:r>
        <w:t>above (upper)</w:t>
      </w:r>
      <w:r w:rsidRPr="002C522F">
        <w:t xml:space="preserve"> </w:t>
      </w:r>
      <w:r>
        <w:t>the interval and are marked in blue. OTUs</w:t>
      </w:r>
      <w:r w:rsidRPr="002C522F">
        <w:t xml:space="preserve"> that occur less frequently than predicted are shown </w:t>
      </w:r>
      <w:r>
        <w:t>below (under) the interval and are marked in orange</w:t>
      </w:r>
      <w:r w:rsidRPr="002C522F">
        <w:t>.</w:t>
      </w:r>
      <w:r>
        <w:t xml:space="preserve"> OTUs that fit the neutral model are marked in white. OTUs that are classified as upper and under are likely to be deterministically selected by the intestinal environment. </w:t>
      </w:r>
      <w:r>
        <w:rPr>
          <w:rFonts w:cstheme="minorHAnsi"/>
        </w:rPr>
        <w:t xml:space="preserve">Yellow glowing OTUs represent core OTUs and were estimated by </w:t>
      </w:r>
      <w:r w:rsidRPr="00E03983">
        <w:t xml:space="preserve">abundance–occurrence relationships and </w:t>
      </w:r>
      <w:r>
        <w:t xml:space="preserve">their </w:t>
      </w:r>
      <w:r w:rsidRPr="00E03983">
        <w:t>contribution to Bray</w:t>
      </w:r>
      <w:r>
        <w:t>-</w:t>
      </w:r>
      <w:r w:rsidRPr="00E03983">
        <w:t>Curtis similarity</w:t>
      </w:r>
      <w:r>
        <w:t xml:space="preserve"> according to </w:t>
      </w:r>
      <w:r>
        <w:fldChar w:fldCharType="begin"/>
      </w:r>
      <w:r>
        <w:instrText xml:space="preserve"> ADDIN ZOTERO_ITEM CSL_CITATION {"citationID":"jR11sClx","properties":{"formattedCitation":"(Shade &amp; Stopnisek, 2019)","plainCitation":"(Shade &amp; Stopnisek, 2019)","noteIndex":0},"citationItems":[{"id":674,"uris":["http://zotero.org/users/9227957/items/PZCJAEDE"],"itemData":{"id":674,"type":"article-journal","abstract":"Core microbiome members are consistent features of a dataset that are hypothesized to reflect underlying functional relationships with the host. A review of the recent plant-microbiome literature reveals a variety of study-specific approaches used to define the core, which presents a challenge to building a general plant-microbiome framework. Abundance-occupancy distributions, used in macroecology to describe changes in community diversity over space, offer an ecological approach for prioritizing core membership for both spatial and temporal studies. Additionally, neutral models fit to the abundance-occupancy distributions can provide insights into deterministically selected core members. We provide examples and code to systematically explore a core plant microbiome from abundance-occupancy distributions. Though we focus on examples from and discussions relevant to the plant microbiome, the abundance-occupancy method can be widely and generally applied to prioritize core membership for any microbiome.","collection-title":"Environmental Microbiology","container-title":"Current Opinion in Microbiology","DOI":"10.1016/j.mib.2019.09.008","ISSN":"1369-5274","journalAbbreviation":"Current Opinion in Microbiology","language":"en","page":"50-58","source":"ScienceDirect","title":"Abundance-occupancy distributions to prioritize plant core microbiome membership","volume":"49","author":[{"family":"Shade","given":"Ashley"},{"family":"Stopnisek","given":"Nejc"}],"issued":{"date-parts":[["2019",6,1]]}}}],"schema":"https://github.com/citation-style-language/schema/raw/master/csl-citation.json"} </w:instrText>
      </w:r>
      <w:r>
        <w:fldChar w:fldCharType="separate"/>
      </w:r>
      <w:r w:rsidRPr="001D4145">
        <w:rPr>
          <w:rFonts w:ascii="Calibri" w:hAnsi="Calibri" w:cs="Calibri"/>
        </w:rPr>
        <w:t>(Shade &amp; Stopnisek, 2019)</w:t>
      </w:r>
      <w:r>
        <w:fldChar w:fldCharType="end"/>
      </w:r>
      <w:r>
        <w:t>. Core OTUs that appear more frequently than expected by the neutral model were used for further analysis (roughly highlighted by the blue ellipsis). (B) Pie plots of percentages of OTUs that fit the neutral model (white), occur more frequently than predicted (blue) or less frequently than predicted (orange). Second pie plot depicts percentages for the core OTUs highlighted by the yellow glow in the abundance-occupancy plot. (C) Differential abundance analysis of deterministically selected core OTUs grouped on genus level. 17 out of 25 genera were differently abundant between at least two sampling months.</w:t>
      </w:r>
      <w:r w:rsidRPr="00C36D7E">
        <w:t xml:space="preserve"> Mean Decrease Gini indicator represents the importance of each genus in distinguishing between </w:t>
      </w:r>
      <w:r>
        <w:t>sampling months</w:t>
      </w:r>
      <w:r w:rsidRPr="00C36D7E">
        <w:t>.</w:t>
      </w:r>
    </w:p>
    <w:p w14:paraId="743324BE" w14:textId="5B0EE8A9" w:rsidR="00067B13" w:rsidRPr="00067B13" w:rsidRDefault="008A4FF4" w:rsidP="00B7361F">
      <w:pPr>
        <w:pStyle w:val="Heading1"/>
        <w:spacing w:line="480" w:lineRule="auto"/>
      </w:pPr>
      <w:r>
        <w:lastRenderedPageBreak/>
        <w:t>Discussion</w:t>
      </w:r>
    </w:p>
    <w:p w14:paraId="4EC04838" w14:textId="0954598C" w:rsidR="008A4FF4" w:rsidRDefault="00067B13" w:rsidP="00B7361F">
      <w:pPr>
        <w:spacing w:line="480" w:lineRule="auto"/>
      </w:pPr>
      <w:r>
        <w:rPr>
          <w:rFonts w:cstheme="minorHAnsi"/>
        </w:rPr>
        <w:t xml:space="preserve">We assessed the role of host specific and environmental factors, as well as stochastic processes, in shaping the gut microbial development of Atlantic salmon living in a natural river. We found that </w:t>
      </w:r>
      <w:r>
        <w:t xml:space="preserve">bacterial community compositions collected from water and macroinvertebrate samples were significantly different from each other and the salmon intestine. This aligns with findings that gut microbial communities in fish are shaped by the environmental filter conditioned by the gut ecosystem </w:t>
      </w:r>
      <w:r>
        <w:fldChar w:fldCharType="begin"/>
      </w:r>
      <w:r>
        <w:instrText xml:space="preserve"> ADDIN ZOTERO_ITEM CSL_CITATION {"citationID":"MJhWBBcl","properties":{"formattedCitation":"(Cheaib et al., 2020; Kim et al., 2021)","plainCitation":"(Cheaib et al., 2020; Kim et al., 2021)","noteIndex":0},"citationItems":[{"id":488,"uris":["http://zotero.org/users/9227957/items/39ZX65WA"],"itemData":{"id":488,"type":"article-journal","abstract":"The eco-evolutionary processes ruling post-disturbance microbial assembly remain poorly studied, particularly in host-microbiome systems. The community recovery depends not only on the type, duration, intensity, and gradient of disturbance, but also on the initial community structure, phylogenetic composition, legacy, and habitat (soil, water, host). In this study, yellow perch (Perca flavescens) juveniles were exposed over 90 days to constant and gradual sublethal doses of cadmium chloride. Afterward, the exposure of aquaria tank system to cadmium was ceased for 60 days. The skin, gut and water tank microbiomes in control and treatment groups, were characterized before, during and after the cadmium exposure using 16s rDNA libraries and high throughput sequencing technology (Illumina, Miseq).","container-title":"Microbiome","DOI":"10.1186/s40168-020-0789-0","ISSN":"2049-2618","issue":"1","journalAbbreviation":"Microbiome","page":"14","source":"BioMed Central","title":"Community recovery dynamics in yellow perch microbiome after gradual and constant metallic perturbations","volume":"8","author":[{"family":"Cheaib","given":"Bachar"},{"family":"Seghouani","given":"Hamza"},{"family":"Ijaz","given":"Umer Zeeshan"},{"family":"Derome","given":"Nicolas"}],"issued":{"date-parts":[["2020",2,10]]}}},{"id":557,"uris":["http://zotero.org/users/9227957/items/Q6KUWCPI"],"itemData":{"id":557,"type":"article-journal","abstract":"Our understanding of the gut microbiota of animals is largely based on studies of mammals. To better understand the evolutionary basis of symbiotic relationships between animal hosts and indigenous microbes, it is necessary to investigate the gut microbiota of non-mammalian vertebrate species. In particular, fish have the highest species diversity among groups of vertebrates, with approximately 33,000 species. In this study, we comprehensively characterized gut bacterial communities in fish.","container-title":"Microbiome","DOI":"10.1186/s40168-021-01113-x","ISSN":"2049-2618","issue":"1","journalAbbreviation":"Microbiome","page":"166","source":"BioMed Central","title":"Host habitat is the major determinant of the gut microbiome of fish","volume":"9","author":[{"family":"Kim","given":"Pil Soo"},{"family":"Shin","given":"Na-Ri"},{"family":"Lee","given":"Jae-Bong"},{"family":"Kim","given":"Min-Soo"},{"family":"Whon","given":"Tae Woong"},{"family":"Hyun","given":"Dong-Wook"},{"family":"Yun","given":"Ji-Hyun"},{"family":"Jung","given":"Mi-Ja"},{"family":"Kim","given":"Joon Yong"},{"family":"Bae","given":"Jin-Woo"}],"issued":{"date-parts":[["2021",7,31]]}}}],"schema":"https://github.com/citation-style-language/schema/raw/master/csl-citation.json"} </w:instrText>
      </w:r>
      <w:r>
        <w:fldChar w:fldCharType="separate"/>
      </w:r>
      <w:r w:rsidRPr="00067B13">
        <w:rPr>
          <w:rFonts w:ascii="Calibri" w:hAnsi="Calibri" w:cs="Calibri"/>
        </w:rPr>
        <w:t>(Cheaib et al., 2020; Kim et al., 2021)</w:t>
      </w:r>
      <w:r>
        <w:fldChar w:fldCharType="end"/>
      </w:r>
      <w:r>
        <w:t>. In theory,</w:t>
      </w:r>
      <w:r w:rsidR="009D2BB2">
        <w:t xml:space="preserve"> most</w:t>
      </w:r>
      <w:r>
        <w:t xml:space="preserve"> microbes found in the gut originate from the surrounding environment. </w:t>
      </w:r>
      <w:r w:rsidR="009D2BB2">
        <w:t>However, l</w:t>
      </w:r>
      <w:r>
        <w:t>ow-abundance environmental bacteria can further evolve to be more prolific coloni</w:t>
      </w:r>
      <w:r w:rsidR="0063553C">
        <w:t>s</w:t>
      </w:r>
      <w:r>
        <w:t xml:space="preserve">ers of a fish’s intestine, whereas highly abundant environmental bacteria might lack the capability of surviving in the gut environment </w:t>
      </w:r>
      <w:r>
        <w:fldChar w:fldCharType="begin"/>
      </w:r>
      <w:r>
        <w:instrText xml:space="preserve"> ADDIN ZOTERO_ITEM CSL_CITATION {"citationID":"wTRC6EAj","properties":{"formattedCitation":"(L\\uc0\\u243{}pez Nadal et al., 2020; Robinson et al., 2018)","plainCitation":"(López Nadal et al., 2020; Robinson et al., 2018)","noteIndex":0},"citationItems":[{"id":605,"uris":["http://zotero.org/users/9227957/items/HBK9N6B2"],"itemData":{"id":605,"type":"article-journal","abstract":"Aquafeed companies aim to provide solutions to the various challenges related to nutrition and health in aquaculture. Solutions to promote feed efficiency and growth, as well as improving the fish health or protect the fish gut from inflammation may include dietary additives such as prebiotics and probiotics. The general assumption is that feed additives can alter the fish microbiota which, in turn, interacts with the host immune system. However, the exact mechanisms by which feed influences host-microbe-immune interactions in fish still remain largely unexplored. Zebrafish rapidly have become a well-recognized animal model to study host-microbe-immune interactions because of the diverse set of research tools available for these small cyprinids. Genome editing technologies can create specific gene-deficient zebrafish that may contribute to our understanding of immune functions. Zebrafish larvae are optically transparent, which allows for in vivo imaging of specific (immune) cell populations in whole transgenic organisms. Germ-free individuals can be reared to study host-microbe interactions. Altogether, these unique zebrafish features may help shed light on the mechanisms by which feed influences host-microbe-immune interactions and ultimately fish health. In this review, we first describe the anatomy and function of the zebrafish gut: the main surface where feed influences host-microbe-immune interactions. Then, we further describe what is currently known about the molecular pathways that underlie this interaction in the zebrafish gut. Finally, we summarize and critically review most of the recent research on prebiotics and probiotics in relation to alterations of zebrafish microbiota and immune responses. We discuss the advantages and disadvantages of the zebrafish as an animal model for other fish species to study feed effects on host-microbe-immune interactions.","container-title":"Frontiers in Immunology","ISSN":"1664-3224","source":"Frontiers","title":"Feed, Microbiota, and Gut Immunity: Using the Zebrafish Model to Understand Fish Health","title-short":"Feed, Microbiota, and Gut Immunity","URL":"https://www.frontiersin.org/articles/10.3389/fimmu.2020.00114","volume":"11","author":[{"family":"López Nadal","given":"Adrià"},{"family":"Ikeda-Ohtsubo","given":"Wakako"},{"family":"Sipkema","given":"Detmer"},{"family":"Peggs","given":"David"},{"family":"McGurk","given":"Charles"},{"family":"Forlenza","given":"Maria"},{"family":"Wiegertjes","given":"Geert F."},{"family":"Brugman","given":"Sylvia"}],"accessed":{"date-parts":[["2022",10,9]]},"issued":{"date-parts":[["2020"]]}}},{"id":607,"uris":["http://zotero.org/users/9227957/items/FG6V5ZFB"],"itemData":{"id":607,"type":"article-journal","abstract":"All animals live in intimate association with microorganisms that profoundly influence their health and development, yet the traits that allow microorganisms to establish and maintain host associations are not well understood. To date, most investigations aimed at identifying traits required for host association have focused on intrahost niches. Consequently, little is known about the relative contribution of extrahost factors such as environmental growth and survival and immigration into hosts from the external environment, as promoters of host association. To address this, we developed a tractable experimental evolution system that investigates both intra- and extrahost factors contributing to bacterial adaptation to the vertebrate gut. We passaged replicate lines of a zebrafish bacterial isolate, Aeromonas veronii, through populations of germ-free larval zebrafish (Danio rerio), each time using gut-associated Aeromonas populations to inoculate the aquatic environment of the next zebrafish population. We observed rapid increased adaptation to the host in all replicate lines. The initial adaptations present in early-evolved isolates did not increase intrahost fitness but rather enhanced both immigration from the environment and interhost transmission. Only in later-evolved isolates did we find evidence for intrahost-specific adaptations, as demonstrated by comparing their competitive fitness in the host genotype to which they evolved to that in a different genotype. Our results show how selection for bacterial transmission between hosts and their environment can shape bacterial-host association. This work illuminates the nature of selective forces present in host–microbe systems and reveals specific mechanisms of increased host association. Furthermore, our findings demonstrate that the entire host–microbe–environment system must be considered when identifying microbial traits that contribute to host adaptation.","container-title":"PLOS Biology","DOI":"10.1371/journal.pbio.2006893","ISSN":"1545-7885","issue":"12","journalAbbreviation":"PLOS Biology","language":"en","note":"publisher: Public Library of Science","page":"e2006893","source":"PLoS Journals","title":"Experimental bacterial adaptation to the zebrafish gut reveals a primary role for immigration","volume":"16","author":[{"family":"Robinson","given":"Catherine D."},{"family":"Klein","given":"Helena S."},{"family":"Murphy","given":"Kyleah D."},{"family":"Parthasarathy","given":"Raghuveer"},{"family":"Guillemin","given":"Karen"},{"family":"Bohannan","given":"Brendan J. M."}],"issued":{"date-parts":[["2018",12,10]]}}}],"schema":"https://github.com/citation-style-language/schema/raw/master/csl-citation.json"} </w:instrText>
      </w:r>
      <w:r>
        <w:fldChar w:fldCharType="separate"/>
      </w:r>
      <w:r w:rsidRPr="005B27B7">
        <w:rPr>
          <w:rFonts w:ascii="Calibri" w:hAnsi="Calibri" w:cs="Calibri"/>
          <w:szCs w:val="24"/>
        </w:rPr>
        <w:t>(López Nadal et al., 2020; Robinson et al., 2018)</w:t>
      </w:r>
      <w:r>
        <w:fldChar w:fldCharType="end"/>
      </w:r>
      <w:r>
        <w:t>.</w:t>
      </w:r>
      <w:r w:rsidR="009D2BB2">
        <w:t xml:space="preserve"> </w:t>
      </w:r>
      <w:r w:rsidR="0084184B">
        <w:t>We</w:t>
      </w:r>
      <w:r w:rsidR="0084184B" w:rsidRPr="0084184B">
        <w:t xml:space="preserve"> found that certain taxa of </w:t>
      </w:r>
      <w:r w:rsidR="0084184B" w:rsidRPr="0028139C">
        <w:t>Firmicutes</w:t>
      </w:r>
      <w:r w:rsidR="0084184B" w:rsidRPr="0084184B">
        <w:t xml:space="preserve">, such as </w:t>
      </w:r>
      <w:r w:rsidR="0084184B" w:rsidRPr="0084184B">
        <w:rPr>
          <w:i/>
          <w:iCs/>
        </w:rPr>
        <w:t>Mycoplasma</w:t>
      </w:r>
      <w:r w:rsidR="0084184B" w:rsidRPr="0084184B">
        <w:t xml:space="preserve">, </w:t>
      </w:r>
      <w:r w:rsidR="0084184B" w:rsidRPr="0084184B">
        <w:rPr>
          <w:i/>
          <w:iCs/>
        </w:rPr>
        <w:t>Clostridium</w:t>
      </w:r>
      <w:r w:rsidR="0084184B" w:rsidRPr="0084184B">
        <w:t xml:space="preserve"> </w:t>
      </w:r>
      <w:proofErr w:type="spellStart"/>
      <w:r w:rsidR="0084184B" w:rsidRPr="0084184B">
        <w:rPr>
          <w:i/>
          <w:iCs/>
        </w:rPr>
        <w:t>sensu</w:t>
      </w:r>
      <w:proofErr w:type="spellEnd"/>
      <w:r w:rsidR="0084184B" w:rsidRPr="0084184B">
        <w:t xml:space="preserve"> </w:t>
      </w:r>
      <w:proofErr w:type="spellStart"/>
      <w:r w:rsidR="0084184B" w:rsidRPr="0084184B">
        <w:rPr>
          <w:i/>
          <w:iCs/>
        </w:rPr>
        <w:t>stricto</w:t>
      </w:r>
      <w:proofErr w:type="spellEnd"/>
      <w:r w:rsidR="0084184B" w:rsidRPr="0084184B">
        <w:t xml:space="preserve">, </w:t>
      </w:r>
      <w:r w:rsidR="0084184B" w:rsidRPr="0084184B">
        <w:rPr>
          <w:i/>
          <w:iCs/>
        </w:rPr>
        <w:t>Bacillus</w:t>
      </w:r>
      <w:r w:rsidR="0084184B" w:rsidRPr="0084184B">
        <w:t xml:space="preserve">, as well as several taxa belonging to the order </w:t>
      </w:r>
      <w:r w:rsidR="0084184B" w:rsidRPr="0084184B">
        <w:rPr>
          <w:i/>
          <w:iCs/>
        </w:rPr>
        <w:t>Lactobacillus</w:t>
      </w:r>
      <w:r w:rsidR="0084184B" w:rsidRPr="0084184B">
        <w:t xml:space="preserve">, were present in very low abundance in environmental samples. However, the same taxa were significantly enriched in </w:t>
      </w:r>
      <w:r w:rsidR="00A55BAB">
        <w:t>fish intestines</w:t>
      </w:r>
      <w:r w:rsidR="0084184B">
        <w:t xml:space="preserve">, indicating their </w:t>
      </w:r>
      <w:r w:rsidR="0084184B" w:rsidRPr="0084184B">
        <w:t>capability to thrive and multiply in the fish gut environment.</w:t>
      </w:r>
    </w:p>
    <w:p w14:paraId="3158F8C3" w14:textId="4F7DF0BE" w:rsidR="00067B13" w:rsidRDefault="00067B13" w:rsidP="0093493B">
      <w:pPr>
        <w:spacing w:line="480" w:lineRule="auto"/>
      </w:pPr>
      <w:r w:rsidRPr="00067B13">
        <w:t xml:space="preserve">Gut microbial community composition varied significantly between all sampling months. </w:t>
      </w:r>
      <w:r>
        <w:t>Fish caught in January had, on average, a significantly more diverse gut microbiome than fish caught in the other months.</w:t>
      </w:r>
      <w:r w:rsidRPr="00067B13">
        <w:t xml:space="preserve"> Microbial richness was lowest in spring and autumn, with intermediate levels in summer. The magnitude of the observed difference in diversity between January and the other months was a rather surprising find. In theory, the </w:t>
      </w:r>
      <w:r>
        <w:t xml:space="preserve">reduction </w:t>
      </w:r>
      <w:r w:rsidRPr="00067B13">
        <w:t xml:space="preserve">of feeding in winter should limit the amount of different ecological niches in the gut, leading to less diversity rather than more. However, based on the findings of the </w:t>
      </w:r>
      <w:r>
        <w:t>FEAST analysis</w:t>
      </w:r>
      <w:r w:rsidRPr="00067B13">
        <w:t xml:space="preserve"> we noticed that more bacteria from the water column were present in the gut in January compared to other sampling months. </w:t>
      </w:r>
      <w:r>
        <w:t>Given the high microbial diversity of the water column, this carryover might explain the high gut alpha diversity in January</w:t>
      </w:r>
      <w:r w:rsidRPr="00067B13">
        <w:t xml:space="preserve">. Bray-Curtis distances between sampling months did not follow a sequential pattern, and Bray-Curtis distances within sampling months did not increase gradually over time. The results suggest that Atlantic </w:t>
      </w:r>
      <w:r w:rsidRPr="00067B13">
        <w:lastRenderedPageBreak/>
        <w:t xml:space="preserve">salmon juveniles' gut microbial community composition is highly dynamic and undergoes considerable changes over time. This </w:t>
      </w:r>
      <w:r w:rsidR="00A55BAB">
        <w:t>indicates</w:t>
      </w:r>
      <w:r w:rsidRPr="00067B13">
        <w:t xml:space="preserve"> that the factors driving the changes in the gut microbiome may vary from one month to another and that multiple factors may be involved.</w:t>
      </w:r>
    </w:p>
    <w:p w14:paraId="26C00B9B" w14:textId="707F0132" w:rsidR="00A55BAB" w:rsidRDefault="00A55BAB" w:rsidP="0093493B">
      <w:pPr>
        <w:spacing w:line="480" w:lineRule="auto"/>
      </w:pPr>
      <w:r>
        <w:rPr>
          <w:rFonts w:cstheme="minorHAnsi"/>
        </w:rPr>
        <w:t xml:space="preserve">Potential deterministic processes could be seasonal temperature, genetic differences between hosts and diet volume or composition. Whilst temperature is a probable cause of differences in gut microbial community composition between sampling months, genetic background is a potential cause of inter-individual differences within a sampling timepoint. Dietary differences might drive monthly differences as well as inter-individual differences. </w:t>
      </w:r>
      <w:r w:rsidR="005912C4" w:rsidRPr="005912C4">
        <w:rPr>
          <w:rFonts w:cstheme="minorHAnsi"/>
        </w:rPr>
        <w:t>In our study, we observed that water temperature accounted for approximately 3% of the total variation in gut microbial community composition. Although it was a statistically significant predictor, we determined that the overall impact of temperature on the gut microbiome was relatively minor.</w:t>
      </w:r>
      <w:r w:rsidR="005912C4">
        <w:rPr>
          <w:rFonts w:cstheme="minorHAnsi"/>
        </w:rPr>
        <w:t xml:space="preserve"> </w:t>
      </w:r>
      <w:r>
        <w:rPr>
          <w:rFonts w:cstheme="minorHAnsi"/>
        </w:rPr>
        <w:t xml:space="preserve">Fish are poikilothermic, and each bacterial species has an optimum growing temperature determined by their thermodynamic limitations </w:t>
      </w:r>
      <w:r>
        <w:rPr>
          <w:rFonts w:cstheme="minorHAnsi"/>
        </w:rPr>
        <w:fldChar w:fldCharType="begin"/>
      </w:r>
      <w:r>
        <w:rPr>
          <w:rFonts w:cstheme="minorHAnsi"/>
        </w:rPr>
        <w:instrText xml:space="preserve"> ADDIN ZOTERO_ITEM CSL_CITATION {"citationID":"CIrfWqA5","properties":{"formattedCitation":"(Corkrey et al., 2012)","plainCitation":"(Corkrey et al., 2012)","noteIndex":0},"citationItems":[{"id":369,"uris":["http://zotero.org/users/9227957/items/8RK7XUHF"],"itemData":{"id":369,"type":"article-journal","abstract":"Background Mathematical models exist that quantify the effect of temperature on poikilotherm growth rate. One family of such models assumes a single rate-limiting ‘master reaction’ using terms describing the temperature-dependent denaturation of the reaction's enzyme. We consider whether such a model can describe growth in each domain of life. Methodology/Principal Findings A new model based on this assumption and using a hierarchical Bayesian approach fits simultaneously 95 data sets for temperature-related growth rates of diverse microorganisms from all three domains of life, Bacteria, Archaea and Eukarya. Remarkably, the model produces credible estimates of fundamental thermodynamic parameters describing protein thermal stability predicted over 20 years ago. Conclusions/Significance The analysis lends support to the concept of universal thermodynamic limits to microbial growth rate dictated by protein thermal stability that in turn govern biological rates. This suggests that the thermal stability of proteins is a unifying property in the evolution and adaptation of life on earth. The fundamental nature of this conclusion has importance for many fields of study including microbiology, protein chemistry, thermal biology, and ecological theory including, for example, the influence of the vast microbial biomass and activity in the biosphere that is poorly described in current climate models.","container-title":"PLOS ONE","DOI":"10.1371/journal.pone.0032003","ISSN":"1932-6203","issue":"2","journalAbbreviation":"PLOS ONE","language":"en","note":"publisher: Public Library of Science","page":"e32003","source":"PLoS Journals","title":"Universality of Thermodynamic Constants Governing Biological Growth Rates","volume":"7","author":[{"family":"Corkrey","given":"Ross"},{"family":"Olley","given":"June"},{"family":"Ratkowsky","given":"David"},{"family":"McMeekin","given":"Tom"},{"family":"Ross","given":"Tom"}],"issued":{"date-parts":[["2012",2,14]]}}}],"schema":"https://github.com/citation-style-language/schema/raw/master/csl-citation.json"} </w:instrText>
      </w:r>
      <w:r>
        <w:rPr>
          <w:rFonts w:cstheme="minorHAnsi"/>
        </w:rPr>
        <w:fldChar w:fldCharType="separate"/>
      </w:r>
      <w:r w:rsidRPr="00EC1495">
        <w:rPr>
          <w:rFonts w:ascii="Calibri" w:hAnsi="Calibri" w:cs="Calibri"/>
        </w:rPr>
        <w:t>(Corkrey et al., 2012)</w:t>
      </w:r>
      <w:r>
        <w:rPr>
          <w:rFonts w:cstheme="minorHAnsi"/>
        </w:rPr>
        <w:fldChar w:fldCharType="end"/>
      </w:r>
      <w:r>
        <w:rPr>
          <w:rFonts w:cstheme="minorHAnsi"/>
        </w:rPr>
        <w:t xml:space="preserve">. Hence, environmental temperature variations might </w:t>
      </w:r>
      <w:r w:rsidRPr="00ED2D69">
        <w:t>lead</w:t>
      </w:r>
      <w:r>
        <w:t xml:space="preserve"> </w:t>
      </w:r>
      <w:r w:rsidRPr="00ED2D69">
        <w:t>to</w:t>
      </w:r>
      <w:r>
        <w:t xml:space="preserve"> microbial </w:t>
      </w:r>
      <w:r w:rsidRPr="00ED2D69">
        <w:t>abundance</w:t>
      </w:r>
      <w:r>
        <w:t xml:space="preserve"> changes.</w:t>
      </w:r>
      <w:r w:rsidR="005912C4">
        <w:t xml:space="preserve"> Indeed some studies have suggested that elevated temperature can drive overabundance of pathogenic </w:t>
      </w:r>
      <w:r w:rsidR="005912C4" w:rsidRPr="00B06C83">
        <w:rPr>
          <w:i/>
          <w:iCs/>
        </w:rPr>
        <w:t>Vibrionaceae</w:t>
      </w:r>
      <w:r w:rsidR="005912C4">
        <w:t xml:space="preserve"> in some freshwater systems </w:t>
      </w:r>
      <w:r w:rsidR="005912C4">
        <w:fldChar w:fldCharType="begin"/>
      </w:r>
      <w:r w:rsidR="005912C4">
        <w:instrText xml:space="preserve"> ADDIN ZOTERO_ITEM CSL_CITATION {"citationID":"npPTaPLr","properties":{"formattedCitation":"(Suzzi et al., 2023)","plainCitation":"(Suzzi et al., 2023)","noteIndex":0},"citationItems":[{"id":1521,"uris":["http://zotero.org/users/9227957/items/7P3R7YMC"],"itemData":{"id":1521,"type":"article-journal","abstract":"Marine water temperatures are increasing globally, with eastern Australian estuaries warming faster than predicted. There is growing evidence that this rapid warming of coastal waters is increasing the abundance and virulence of pathogenic members of the Vibrionaceae, posing a significant health risk to both humans and aquatic organisms. Fish disease, notably outbreaks of emerging pathogens in response to environmental perturbations such as heatwaves, have been recognised in aquaculture settings. Considerably less is known about how rising sea surface temperatures will impact the microbiology of wild fish populations, particularly those within estuarine systems that are more vulnerable to warming. We used a combination of Vibrio-specific quantitative PCR and amplicon sequencing of the 16S rRNA and hsp60 genes to examine seawater and fish (Pelates sexlineatus) gut microbial communities across a quasi-natural experimental system, where thermal pollution from coal-fired power stations creates a temperature gradient of up to 6 °C, compatible with future predicted temperature increases. At the warmest site, fish hindgut microbial communities were in a state of dysbiosis characterised by shifts in beta diversity and a proliferation (71.5% relative abundance) of the potential fish pathogen Photobacterium damselae subsp. damselae. Comparable patterns were not identified in the surrounding seawater, indicating opportunistic proliferation within estuarine fish guts under thermal stress. A subsequent evaluation of predicted future warming-related risk due to pathogenic Vibrionaceae in temperate estuarine fish demonstrated that warming is likely to drive opportunistic pathogen increases in the upper latitudinal range of this estuarine fish, potentially impacting adaptations to future warming. These findings represent a breakthrough in our understanding of the dynamics of emerging pathogens in populations of wild aquatic organisms within environments likely to experience rapid warming under future climate change.","container-title":"Environmental Research","DOI":"10.1016/j.envres.2022.115144","ISSN":"0013-9351","journalAbbreviation":"Environmental Research","language":"en","page":"115144","source":"ScienceDirect","title":"Elevated estuary water temperature drives fish gut dysbiosis and increased loads of pathogenic vibrionaceae","volume":"219","author":[{"family":"Suzzi","given":"Alessandra L."},{"family":"Stat","given":"Michael"},{"family":"Gaston","given":"Troy F."},{"family":"Siboni","given":"Nachshon"},{"family":"Williams","given":"Nathan L. R."},{"family":"Seymour","given":"Justin R."},{"family":"Huggett","given":"Megan J."}],"issued":{"date-parts":[["2023",2,15]]}}}],"schema":"https://github.com/citation-style-language/schema/raw/master/csl-citation.json"} </w:instrText>
      </w:r>
      <w:r w:rsidR="005912C4">
        <w:fldChar w:fldCharType="separate"/>
      </w:r>
      <w:r w:rsidR="005912C4" w:rsidRPr="00B06C83">
        <w:rPr>
          <w:rFonts w:ascii="Calibri" w:hAnsi="Calibri" w:cs="Calibri"/>
        </w:rPr>
        <w:t>(Suzzi et al., 2023)</w:t>
      </w:r>
      <w:r w:rsidR="005912C4">
        <w:fldChar w:fldCharType="end"/>
      </w:r>
      <w:r w:rsidR="005912C4">
        <w:t xml:space="preserve">. </w:t>
      </w:r>
      <w:r w:rsidR="005912C4">
        <w:rPr>
          <w:rFonts w:cstheme="minorHAnsi"/>
        </w:rPr>
        <w:t xml:space="preserve">PERMANOVA results also suggest that a fish’s genetic origin impacts gut microbial communities. </w:t>
      </w:r>
      <w:r w:rsidR="005912C4" w:rsidRPr="005912C4">
        <w:rPr>
          <w:rFonts w:cstheme="minorHAnsi"/>
        </w:rPr>
        <w:t>However, given that we had an uneven and non-constant distribution of the genetic origins across our sampling months, we do not believe we can confidently say that there are effects of both month and genetic origin</w:t>
      </w:r>
      <w:r w:rsidR="005912C4">
        <w:rPr>
          <w:rFonts w:cstheme="minorHAnsi"/>
        </w:rPr>
        <w:t>.</w:t>
      </w:r>
    </w:p>
    <w:p w14:paraId="1A0077AE" w14:textId="3C9A687F" w:rsidR="008A4FF4" w:rsidRDefault="004E0874" w:rsidP="0093493B">
      <w:pPr>
        <w:spacing w:line="480" w:lineRule="auto"/>
        <w:rPr>
          <w:rFonts w:cstheme="minorHAnsi"/>
        </w:rPr>
      </w:pPr>
      <w:r>
        <w:rPr>
          <w:rFonts w:cstheme="minorHAnsi"/>
        </w:rPr>
        <w:t xml:space="preserve">If gut microbial community composition is indeed driven by host genetics, it would not be the first such example in fish. Genetic impacts on fish gut microbiomes have been observed among genetically divergent populations of sticklebacks </w:t>
      </w:r>
      <w:r>
        <w:rPr>
          <w:rFonts w:cstheme="minorHAnsi"/>
        </w:rPr>
        <w:fldChar w:fldCharType="begin"/>
      </w:r>
      <w:r>
        <w:rPr>
          <w:rFonts w:cstheme="minorHAnsi"/>
        </w:rPr>
        <w:instrText xml:space="preserve"> ADDIN ZOTERO_ITEM CSL_CITATION {"citationID":"03SMFSY2","properties":{"formattedCitation":"(Smith et al., 2015)","plainCitation":"(Smith et al., 2015)","noteIndex":0},"citationItems":[{"id":597,"uris":["http://zotero.org/users/9227957/items/GYJIALZT"],"itemData":{"id":597,"type":"article-journal","abstract":"To explain differences in gut microbial communities we must determine how processes regulating microbial community assembly (colonization, persistence) differ among hosts and affect microbiota composition. We surveyed the gut microbiota of threespine stickleback (Gasterosteus aculeatus) from 10 geographically clustered populations and sequenced environmental samples to track potential colonizing microbes and quantify the effects of host environment and genotype. Gut microbiota composition and diversity varied among populations. These among-population differences were associated with multiple covarying ecological variables: habitat type (lake, stream, estuary), lake geomorphology and food- (but not water-) associated microbiota. Fish genotype also covaried with gut microbiota composition; more genetically divergent populations exhibited more divergent gut microbiota. Our results suggest that population level differences in stickleback gut microbiota may depend more on internal sorting processes (host genotype) than on colonization processes (transient environmental effects).","container-title":"The ISME Journal","DOI":"10.1038/ismej.2015.64","ISSN":"1751-7370","issue":"11","journalAbbreviation":"ISME J","language":"en","license":"2015 International Society for Microbial Ecology","note":"number: 11\npublisher: Nature Publishing Group","page":"2515-2526","source":"www.nature.com","title":"Dietary input of microbes and host genetic variation shape among-population differences in stickleback gut microbiota","volume":"9","author":[{"family":"Smith","given":"Chris CR"},{"family":"Snowberg","given":"Lisa K."},{"family":"Gregory Caporaso","given":"J."},{"family":"Knight","given":"Rob"},{"family":"Bolnick","given":"Daniel I."}],"issued":{"date-parts":[["2015",11]]}}}],"schema":"https://github.com/citation-style-language/schema/raw/master/csl-citation.json"} </w:instrText>
      </w:r>
      <w:r>
        <w:rPr>
          <w:rFonts w:cstheme="minorHAnsi"/>
        </w:rPr>
        <w:fldChar w:fldCharType="separate"/>
      </w:r>
      <w:r w:rsidRPr="00911867">
        <w:rPr>
          <w:rFonts w:ascii="Calibri" w:hAnsi="Calibri" w:cs="Calibri"/>
        </w:rPr>
        <w:t>(Smith et al., 2015)</w:t>
      </w:r>
      <w:r>
        <w:rPr>
          <w:rFonts w:cstheme="minorHAnsi"/>
        </w:rPr>
        <w:fldChar w:fldCharType="end"/>
      </w:r>
      <w:r>
        <w:rPr>
          <w:rFonts w:cstheme="minorHAnsi"/>
        </w:rPr>
        <w:t xml:space="preserve">, guppies </w:t>
      </w:r>
      <w:r>
        <w:rPr>
          <w:rFonts w:cstheme="minorHAnsi"/>
        </w:rPr>
        <w:fldChar w:fldCharType="begin"/>
      </w:r>
      <w:r>
        <w:rPr>
          <w:rFonts w:cstheme="minorHAnsi"/>
        </w:rPr>
        <w:instrText xml:space="preserve"> ADDIN ZOTERO_ITEM CSL_CITATION {"citationID":"Mt6bvrW8","properties":{"formattedCitation":"(Sullam et al., 2015)","plainCitation":"(Sullam et al., 2015)","noteIndex":0},"citationItems":[{"id":594,"uris":["http://zotero.org/users/9227957/items/TZI8WHQZ"],"itemData":{"id":594,"type":"article-journal","abstract":"Diverse microbial consortia profoundly influence animal biology, necessitating an understanding of microbiome variation in studies of animal adaptation. Yet, little is known about such variability among fish, in spite of their importance in aquatic ecosystems. The Trinidadian guppy, Poecilia reticulata, is an intriguing candidate to test microbiome-related hypotheses on the drivers and consequences of animal adaptation, given the recent parallel origins of a similar ecotype across streams. To assess the relationships between the microbiome and host adaptation, we used 16S rRNA amplicon sequencing to characterize gut bacteria of two guppy ecotypes with known divergence in diet, life history, physiology and morphology collected from low-predation (LP) and high-predation (HP) habitats in four Trinidadian streams. Guts were populated by several recurring, core bacteria that are related to other fish associates and rarely detected in the environment. Although gut communities of lab-reared guppies differed from those in the wild, microbiome divergence between ecotypes from the same stream was evident under identical rearing conditions, suggesting host genetic divergence can affect associations with gut bacteria. In the field, gut communities varied over time, across streams and between ecotypes in a stream-specific manner. This latter finding, along with PICRUSt predictions of metagenome function, argues against strong parallelism of the gut microbiome in association with LP ecotype evolution. Thus, bacteria cannot be invoked in facilitating the heightened reliance of LP guppies on lower-quality diets. We argue that the macroevolutionary microbiome convergence seen across animals with similar diets may be a signature of secondary microbial shifts arising some time after host-driven adaptation.","container-title":"The ISME Journal","DOI":"10.1038/ismej.2014.231","ISSN":"1751-7370","issue":"7","journalAbbreviation":"ISME J","language":"en","license":"2015 International Society for Microbial Ecology","note":"number: 7\npublisher: Nature Publishing Group","page":"1508-1522","source":"www.nature.com","title":"Divergence across diet, time and populations rules out parallel evolution in the gut microbiomes of Trinidadian guppies","volume":"9","author":[{"family":"Sullam","given":"Karen E."},{"family":"Rubin","given":"Benjamin ER"},{"family":"Dalton","given":"Christopher M."},{"family":"Kilham","given":"Susan S."},{"family":"Flecker","given":"Alexander S."},{"family":"Russell","given":"Jacob A."}],"issued":{"date-parts":[["2015",7]]}}}],"schema":"https://github.com/citation-style-language/schema/raw/master/csl-citation.json"} </w:instrText>
      </w:r>
      <w:r>
        <w:rPr>
          <w:rFonts w:cstheme="minorHAnsi"/>
        </w:rPr>
        <w:fldChar w:fldCharType="separate"/>
      </w:r>
      <w:r w:rsidRPr="00985CB5">
        <w:rPr>
          <w:rFonts w:ascii="Calibri" w:hAnsi="Calibri" w:cs="Calibri"/>
        </w:rPr>
        <w:t>(Sullam et al., 2015)</w:t>
      </w:r>
      <w:r>
        <w:rPr>
          <w:rFonts w:cstheme="minorHAnsi"/>
        </w:rPr>
        <w:fldChar w:fldCharType="end"/>
      </w:r>
      <w:r>
        <w:rPr>
          <w:rFonts w:cstheme="minorHAnsi"/>
        </w:rPr>
        <w:t xml:space="preserve"> and very recently in Chinook salmon </w:t>
      </w:r>
      <w:r w:rsidRPr="004E0874">
        <w:rPr>
          <w:rFonts w:cstheme="minorHAnsi"/>
        </w:rPr>
        <w:t>(</w:t>
      </w:r>
      <w:r w:rsidRPr="004E0874">
        <w:rPr>
          <w:rFonts w:cstheme="minorHAnsi"/>
          <w:i/>
          <w:iCs/>
        </w:rPr>
        <w:t>Oncorhynchus</w:t>
      </w:r>
      <w:r w:rsidRPr="004E0874">
        <w:rPr>
          <w:rFonts w:cstheme="minorHAnsi"/>
        </w:rPr>
        <w:t xml:space="preserve"> </w:t>
      </w:r>
      <w:r w:rsidRPr="004E0874">
        <w:rPr>
          <w:rFonts w:cstheme="minorHAnsi"/>
          <w:i/>
          <w:iCs/>
        </w:rPr>
        <w:t>tshawytscha</w:t>
      </w:r>
      <w:r>
        <w:rPr>
          <w:rFonts w:cstheme="minorHAnsi"/>
        </w:rPr>
        <w:fldChar w:fldCharType="begin"/>
      </w:r>
      <w:r w:rsidR="00212746">
        <w:rPr>
          <w:rFonts w:cstheme="minorHAnsi"/>
        </w:rPr>
        <w:instrText xml:space="preserve"> ADDIN ZOTERO_ITEM CSL_CITATION {"citationID":"EIcjVMXr","properties":{"formattedCitation":"(Ziab et al., 2023)","plainCitation":"(Ziab et al., 2023)","dontUpdate":true,"noteIndex":0},"citationItems":[{"id":1565,"uris":["http://zotero.org/users/9227957/items/LUR2XJFR"],"itemData":{"id":1565,"type":"article-journal","abstract":"The microbiota consists of microbes living in or on an organism and has been implicated in host health and function. Environmental and host-related factors were shown to shape host microbiota composition and diversity in many fish species, but the role of host quantitative architecture across populations and among families within a population is not fully characterized. Here, Chinook salmon were used to determine if inter-population differences and additive genetic variation within populations influenced the gut microbiota diversity and composition. Specifically, hybrid stocks of Chinook salmon were created by crossing males from eight populations with eggs from an inbred line created from self-fertilized hermaphrodite salmon. Based on high-throughput sequencing of the 16S rRNA gene, significant gut microbial community diversity and composition differences were found among the hybrid stocks. Furthermore, additive genetic variance components varied among hybrid stocks, indicative of population-specific heritability patterns, suggesting the potential to select for specific gut microbiota composition for aquaculture purposes. Determining the role of host genetics in shaping their gut microbiota has important implications for predicting population responses to environmental changes and will thus impact conservation efforts for declining populations of Chinook salmon.","container-title":"Heredity","DOI":"10.1038/s41437-023-00620-x","ISSN":"1365-2540","language":"en","license":"2023 The Author(s), under exclusive licence to The Genetics Society","note":"publisher: Nature Publishing Group","page":"1-13","source":"www.nature.com","title":"The effects of host quantitative genetic architecture on the gut microbiota composition of Chinook salmon (Oncorhynchus tshawytscha)","author":[{"family":"Ziab","given":"Mubarak"},{"family":"Chaganti","given":"Subba Rao"},{"family":"Heath","given":"Daniel D."}],"issued":{"date-parts":[["2023",5,13]]}}}],"schema":"https://github.com/citation-style-language/schema/raw/master/csl-citation.json"} </w:instrText>
      </w:r>
      <w:r>
        <w:rPr>
          <w:rFonts w:cstheme="minorHAnsi"/>
        </w:rPr>
        <w:fldChar w:fldCharType="separate"/>
      </w:r>
      <w:r>
        <w:rPr>
          <w:rFonts w:ascii="Calibri" w:hAnsi="Calibri" w:cs="Calibri"/>
        </w:rPr>
        <w:t xml:space="preserve">, </w:t>
      </w:r>
      <w:r w:rsidRPr="004E0874">
        <w:rPr>
          <w:rFonts w:ascii="Calibri" w:hAnsi="Calibri" w:cs="Calibri"/>
        </w:rPr>
        <w:t>Ziab et al., 2023)</w:t>
      </w:r>
      <w:r>
        <w:rPr>
          <w:rFonts w:cstheme="minorHAnsi"/>
        </w:rPr>
        <w:fldChar w:fldCharType="end"/>
      </w:r>
      <w:r>
        <w:rPr>
          <w:rFonts w:cstheme="minorHAnsi"/>
        </w:rPr>
        <w:t xml:space="preserve">. In our system, genetic background might impact gut microbial communities in </w:t>
      </w:r>
      <w:r w:rsidR="006F5BE8">
        <w:rPr>
          <w:rFonts w:cstheme="minorHAnsi"/>
        </w:rPr>
        <w:t>several</w:t>
      </w:r>
      <w:r>
        <w:rPr>
          <w:rFonts w:cstheme="minorHAnsi"/>
        </w:rPr>
        <w:t xml:space="preserve"> ways. First, due to differences in feeding habits between farmed and wild fish. Farmed fish are from lineages that have </w:t>
      </w:r>
      <w:r>
        <w:rPr>
          <w:rFonts w:cstheme="minorHAnsi"/>
        </w:rPr>
        <w:lastRenderedPageBreak/>
        <w:t xml:space="preserve">been fed </w:t>
      </w:r>
      <w:r w:rsidRPr="00986671">
        <w:rPr>
          <w:rFonts w:cstheme="minorHAnsi"/>
          <w:i/>
        </w:rPr>
        <w:t>ad libitum</w:t>
      </w:r>
      <w:r>
        <w:rPr>
          <w:rFonts w:cstheme="minorHAnsi"/>
        </w:rPr>
        <w:t xml:space="preserve"> in a sheltered environment for multiple generations. Due to this </w:t>
      </w:r>
      <w:r w:rsidR="006F5BE8">
        <w:rPr>
          <w:rFonts w:cstheme="minorHAnsi"/>
        </w:rPr>
        <w:t>metabolic obligation</w:t>
      </w:r>
      <w:r>
        <w:rPr>
          <w:rFonts w:cstheme="minorHAnsi"/>
        </w:rPr>
        <w:t xml:space="preserve"> farmed fish might start feeding earlier in the year</w:t>
      </w:r>
      <w:r w:rsidR="006F5BE8">
        <w:rPr>
          <w:rFonts w:cstheme="minorHAnsi"/>
        </w:rPr>
        <w:t xml:space="preserve"> </w:t>
      </w:r>
      <w:proofErr w:type="gramStart"/>
      <w:r>
        <w:rPr>
          <w:rFonts w:cstheme="minorHAnsi"/>
        </w:rPr>
        <w:t>and also</w:t>
      </w:r>
      <w:proofErr w:type="gramEnd"/>
      <w:r>
        <w:rPr>
          <w:rFonts w:cstheme="minorHAnsi"/>
        </w:rPr>
        <w:t xml:space="preserve"> stay active later in the year than their wild counterparts. A second possibility could be that genetic differences between farmed and wild fish create different selective pressures in the gut environment, possibly in respect to variation among fish of different provenances in immune response genes </w:t>
      </w:r>
      <w:r>
        <w:rPr>
          <w:rFonts w:cstheme="minorHAnsi"/>
        </w:rPr>
        <w:fldChar w:fldCharType="begin"/>
      </w:r>
      <w:r>
        <w:rPr>
          <w:rFonts w:cstheme="minorHAnsi"/>
        </w:rPr>
        <w:instrText xml:space="preserve"> ADDIN ZOTERO_ITEM CSL_CITATION {"citationID":"V49LrVVe","properties":{"formattedCitation":"(de Eyto et al., 2007, 2011)","plainCitation":"(de Eyto et al., 2007, 2011)","noteIndex":0},"citationItems":[{"id":1527,"uris":["http://zotero.org/users/9227957/items/AFALPLYX"],"itemData":{"id":1527,"type":"article-journal","abstract":"Pathogen-driven balancing selection is thought to maintain polymorphism in major histocompatibility (MH) genes. However, there have been few empirical demonstrations of selection acting on MH loci in natural populations. To determine whether natural selection on MH genes has fitness consequences for wild Atlantic salmon in natural conditions, we compared observed genotype frequencies of Atlantic salmon (Salmo salar) surviving in a river six months after their introduction as eggs with frequencies expected from parental crosses. We found significant differences between expected and observed genotype frequencies at the MH class II alpha locus, but not at a MH class I-linked microsatellite or at seven non-MH-linked microsatellite loci. We therefore conclude that selection at the MH class II alpha locus was a result of disease-mediated natural selection, rather than any demographic event. We also show that survival was associated with additive allelic effects at the MH class II alpha locus. Our results have implications for both the conservation of wild salmon stocks and the management of disease in hatchery fish. We conclude that natural or hatchery populations have the best chance of dealing with episodic and variable disease challenges if MH genetic variation is preserved both within and among populations.","container-title":"Proceedings of the Royal Society B: Biological Sciences","DOI":"10.1098/rspb.2006.0053","issue":"1611","note":"publisher: Royal Society","page":"861-869","source":"royalsocietypublishing.org (Atypon)","title":"Natural selection acts on Atlantic salmon major histocompatibility (MH) variability in the wild","volume":"274","author":[{"family":"Eyto","given":"Elvira","non-dropping-particle":"de"},{"family":"McGinnity","given":"Philip"},{"family":"Consuegra","given":"Sofia"},{"family":"Coughlan","given":"Jamie"},{"family":"Tufto","given":"Jarle"},{"family":"Farrell","given":"Killian"},{"family":"Megens","given":"Hendrik-Jan"},{"family":"Jordan","given":"William"},{"family":"Cross","given":"Tom"},{"family":"Stet","given":"René J.M"}],"issued":{"date-parts":[["2007",1,4]]}}},{"id":1529,"uris":["http://zotero.org/users/9227957/items/JJA39FP4"],"itemData":{"id":1529,"type":"article-journal","abstract":"Laboratory studies on associations between disease resistance and susceptibility and major histocompatibility (MH) genes in Atlantic salmon Salmo salar have shown the importance of immunogenetics in understanding the capacity of populations to fight specific diseases. However, the occurrence and virulence of pathogens may vary spatially and temporally in the wild, making it more complicated to predict the overall effect that MH genes exert on fitness of natural populations and over several life-history stages. Here we show that MH variability is a significant determinant of salmon survival in fresh water, by comparing observed and expected genotype frequencies at MH and control microsatellite loci at parr and migrant stages in the wild. We found that additive allelic effects at immunogenetic loci were more likely to determine survival than dominance deviation, and that selection on certain MH alleles varied with life stage, possibly owing to varying pathogen prevalence and/or virulence over time. Our results highlight the importance of preserving genetic diversity (particularly at MH loci) in wild populations, so that they have the best chance of adapting to new and increased disease challenges as a result of projected climate warming and increasing aquaculture.","container-title":"Evolutionary Applications","DOI":"10.1111/j.1752-4571.2011.00197.x","ISSN":"1752-4571","issue":"6","language":"en","license":"© 2011 Blackwell Publishing Ltd","note":"_eprint: https://onlinelibrary.wiley.com/doi/pdf/10.1111/j.1752-4571.2011.00197.x","page":"749-762","source":"Wiley Online Library","title":"Varying disease-mediated selection at different life-history stages of Atlantic salmon in fresh water","volume":"4","author":[{"family":"Eyto","given":"Elvira","non-dropping-particle":"de"},{"family":"McGinnity","given":"Philip"},{"family":"Huisman","given":"Jisca"},{"family":"Coughlan","given":"Jamie"},{"family":"Consuegra","given":"Sofia"},{"family":"Farrell","given":"Killian"},{"family":"O’Toole","given":"Ciar"},{"family":"Tufto","given":"Jarle"},{"family":"Megens","given":"Hendrik-Jan"},{"family":"Jordan","given":"William"},{"family":"Cross","given":"Tom"},{"family":"Stet","given":"Rene′ J. M."}],"issued":{"date-parts":[["2011"]]}}}],"schema":"https://github.com/citation-style-language/schema/raw/master/csl-citation.json"} </w:instrText>
      </w:r>
      <w:r>
        <w:rPr>
          <w:rFonts w:cstheme="minorHAnsi"/>
        </w:rPr>
        <w:fldChar w:fldCharType="separate"/>
      </w:r>
      <w:r w:rsidRPr="00B06C83">
        <w:rPr>
          <w:rFonts w:ascii="Calibri" w:hAnsi="Calibri" w:cs="Calibri"/>
        </w:rPr>
        <w:t>(de Eyto et al., 2007, 2011)</w:t>
      </w:r>
      <w:r>
        <w:rPr>
          <w:rFonts w:cstheme="minorHAnsi"/>
        </w:rPr>
        <w:fldChar w:fldCharType="end"/>
      </w:r>
      <w:r w:rsidR="001468C8">
        <w:rPr>
          <w:rFonts w:cstheme="minorHAnsi"/>
        </w:rPr>
        <w:t>.</w:t>
      </w:r>
      <w:r>
        <w:rPr>
          <w:rFonts w:cstheme="minorHAnsi"/>
        </w:rPr>
        <w:t xml:space="preserve"> </w:t>
      </w:r>
      <w:r w:rsidR="001468C8">
        <w:rPr>
          <w:rFonts w:cstheme="minorHAnsi"/>
        </w:rPr>
        <w:t>Consequently, this genetic variation may lead</w:t>
      </w:r>
      <w:r>
        <w:rPr>
          <w:rFonts w:cstheme="minorHAnsi"/>
        </w:rPr>
        <w:t xml:space="preserve"> to the proliferation of different bacterial species. However, we also cannot discount the possibility of maternal effects</w:t>
      </w:r>
      <w:r w:rsidR="001468C8">
        <w:rPr>
          <w:rFonts w:cstheme="minorHAnsi"/>
        </w:rPr>
        <w:t xml:space="preserve">, </w:t>
      </w:r>
      <w:r>
        <w:rPr>
          <w:rFonts w:cstheme="minorHAnsi"/>
        </w:rPr>
        <w:t xml:space="preserve">whereby </w:t>
      </w:r>
      <w:r w:rsidR="00F64EB5">
        <w:rPr>
          <w:rFonts w:cstheme="minorHAnsi"/>
        </w:rPr>
        <w:t>microbes may be transferred during oviposition</w:t>
      </w:r>
      <w:r>
        <w:rPr>
          <w:rFonts w:cstheme="minorHAnsi"/>
        </w:rPr>
        <w:t xml:space="preserve">. Close co-diversification between adult salmon linages and Mycoplasma strains observed recently would be consistent with this </w:t>
      </w:r>
      <w:r w:rsidR="009B3C6F">
        <w:rPr>
          <w:rFonts w:cstheme="minorHAnsi"/>
        </w:rPr>
        <w:t>hypothesis</w:t>
      </w:r>
      <w:r>
        <w:rPr>
          <w:rFonts w:cstheme="minorHAnsi"/>
        </w:rPr>
        <w:t xml:space="preserve"> </w:t>
      </w:r>
      <w:r>
        <w:rPr>
          <w:rFonts w:cstheme="minorHAnsi"/>
        </w:rPr>
        <w:fldChar w:fldCharType="begin"/>
      </w:r>
      <w:r>
        <w:rPr>
          <w:rFonts w:cstheme="minorHAnsi"/>
        </w:rPr>
        <w:instrText xml:space="preserve"> ADDIN ZOTERO_ITEM CSL_CITATION {"citationID":"cmDkuQ9l","properties":{"formattedCitation":"(Rasmussen et al., 2023)","plainCitation":"(Rasmussen et al., 2023)","noteIndex":0},"citationItems":[{"id":700,"uris":["http://zotero.org/users/9227957/items/TYR8LFQX"],"itemData":{"id":700,"type":"article-journal","abstract":"Understanding the evolutionary relationships between a host and its intestinal resident bacteria can transform how we understand adaptive phenotypic traits. The interplay between hosts and their resident bacteria inevitably affects the intestinal environment and, thereby, the living conditions of both the host and the microbiota. Thereby this co-existence likely influences the fitness of both bacteria and host. Whether this co-existence leads to evolutionary co-diversification in animals is largely unexplored, mainly due to the complexity of the environment and microbial communities and the often low host selection. We present the gut metagenome from wild Atlantic salmon (Salmo salar), a new wild organism model with an intestinal microbiota of low complexity and a well-described population structure, making it well-suited for investigating co-evolution. Our data reveal a strong host selection of a core gut microbiota dominated by a single Mycoplasma species. We found a clear co-diversification between the population structure of Atlantic salmon and nucleotide variability of the intestinal Mycoplasma populations conforming to expectations from co-evolution between host and resident bacteria. Our results show that the stable microbiota of Atlantic salmon has evolved with its salmonid host populations while potentially providing adaptive traits to the salmon host populations, including defence mechanisms, biosynthesis of essential amino acids, and metabolism of B vitamins. We highlight Atlantic salmon as a novel model for studying co-evolution between vertebrate hosts and their resident bacteria.","container-title":"The ISME Journal","DOI":"10.1038/s41396-023-01379-z","ISSN":"1751-7370","issue":"5","journalAbbreviation":"ISME J","language":"en","license":"2023 The Author(s)","note":"number: 5\npublisher: Nature Publishing Group","page":"682-692","source":"www.nature.com","title":"Co-diversification of an intestinal Mycoplasma and its salmonid host","volume":"17","author":[{"family":"Rasmussen","given":"Jacob A."},{"family":"Kiilerich","given":"Pia"},{"family":"Madhun","given":"Abdullah S."},{"family":"Waagbø","given":"Rune"},{"family":"Lock","given":"Erik-Jan R."},{"family":"Madsen","given":"Lise"},{"family":"Gilbert","given":"M. Thomas P."},{"family":"Kristiansen","given":"Karsten"},{"family":"Limborg","given":"Morten T."}],"issued":{"date-parts":[["2023",5]]}}}],"schema":"https://github.com/citation-style-language/schema/raw/master/csl-citation.json"} </w:instrText>
      </w:r>
      <w:r>
        <w:rPr>
          <w:rFonts w:cstheme="minorHAnsi"/>
        </w:rPr>
        <w:fldChar w:fldCharType="separate"/>
      </w:r>
      <w:r w:rsidRPr="00B06C83">
        <w:rPr>
          <w:rFonts w:ascii="Calibri" w:hAnsi="Calibri" w:cs="Calibri"/>
        </w:rPr>
        <w:t>(Rasmussen et al., 2023)</w:t>
      </w:r>
      <w:r>
        <w:rPr>
          <w:rFonts w:cstheme="minorHAnsi"/>
        </w:rPr>
        <w:fldChar w:fldCharType="end"/>
      </w:r>
      <w:r>
        <w:rPr>
          <w:rFonts w:cstheme="minorHAnsi"/>
        </w:rPr>
        <w:t>.</w:t>
      </w:r>
      <w:r w:rsidR="001468C8">
        <w:rPr>
          <w:rFonts w:cstheme="minorHAnsi"/>
        </w:rPr>
        <w:t xml:space="preserve"> To assess the implications of genetic effects on gut microbial communities it is important to understand if differences in microbial communities between farmed, wild and hybrid fish persist over time and if those changes </w:t>
      </w:r>
      <w:r w:rsidR="0016766D">
        <w:rPr>
          <w:rFonts w:cstheme="minorHAnsi"/>
        </w:rPr>
        <w:t>correlate with</w:t>
      </w:r>
      <w:r w:rsidR="00F309F2">
        <w:rPr>
          <w:rFonts w:cstheme="minorHAnsi"/>
        </w:rPr>
        <w:t xml:space="preserve"> variations in</w:t>
      </w:r>
      <w:r w:rsidR="001468C8">
        <w:rPr>
          <w:rFonts w:cstheme="minorHAnsi"/>
        </w:rPr>
        <w:t xml:space="preserve"> host metabolism or disease susceptibility.</w:t>
      </w:r>
      <w:r w:rsidR="00F309F2" w:rsidRPr="00F309F2">
        <w:t xml:space="preserve"> </w:t>
      </w:r>
      <w:r w:rsidR="0016766D" w:rsidRPr="0016766D">
        <w:t>This knowledge is not only relevant for</w:t>
      </w:r>
      <w:r w:rsidR="0016766D">
        <w:t xml:space="preserve"> assessing the impact of introgression events to the fitness of salmonid populations</w:t>
      </w:r>
      <w:r w:rsidR="0016766D" w:rsidRPr="0016766D">
        <w:t xml:space="preserve"> but also for developing targeted strategies to promote fish health and mitigate potential negative effects.</w:t>
      </w:r>
    </w:p>
    <w:p w14:paraId="4501ADFC" w14:textId="31DE8A2E" w:rsidR="001B4BE2" w:rsidRDefault="0090689D" w:rsidP="001B4BE2">
      <w:pPr>
        <w:spacing w:line="480" w:lineRule="auto"/>
        <w:rPr>
          <w:rFonts w:cstheme="minorHAnsi"/>
        </w:rPr>
      </w:pPr>
      <w:r>
        <w:rPr>
          <w:rFonts w:cstheme="minorHAnsi"/>
        </w:rPr>
        <w:t xml:space="preserve">Diet is one of the most important drivers of gut microbial community composition </w:t>
      </w:r>
      <w:r>
        <w:rPr>
          <w:rFonts w:cstheme="minorHAnsi"/>
        </w:rPr>
        <w:fldChar w:fldCharType="begin"/>
      </w:r>
      <w:r>
        <w:rPr>
          <w:rFonts w:cstheme="minorHAnsi"/>
        </w:rPr>
        <w:instrText xml:space="preserve"> ADDIN ZOTERO_ITEM CSL_CITATION {"citationID":"Jmoh3fGd","properties":{"formattedCitation":"(Gajardo et al., 2017; Zarkasi et al., 2016)","plainCitation":"(Gajardo et al., 2017; Zarkasi et al., 2016)","noteIndex":0},"citationItems":[{"id":526,"uris":["http://zotero.org/users/9227957/items/8D35RXB4"],"itemData":{"id":526,"type":"article-journal","container-title":"Applied and Environmental Microbiology","DOI":"10.1128/AEM.02615-16","issue":"5","note":"publisher: American Society for Microbiology","page":"e02615-16","source":"journals.asm.org (Atypon)","title":"Alternative Protein Sources in the Diet Modulate Microbiota and Functionality in the Distal Intestine of Atlantic Salmon (Salmo salar)","volume":"83","author":[{"family":"Gajardo","given":"Karina"},{"family":"Jaramillo-Torres","given":"Alexander"},{"family":"Kortner","given":"Trond M."},{"family":"Merrifield","given":"Daniel L."},{"family":"Tinsley","given":"John"},{"family":"Bakke","given":"Anne Marie"},{"family":"Krogdahl","given":"Åshild"}],"issued":{"date-parts":[["2017",2,15]]}}},{"id":706,"uris":["http://zotero.org/users/9227957/items/8Y7DNQJC"],"itemData":{"id":706,"type":"article-journal","abstract":"To better understand salmon GI tract microbial community dynamics in relation to diet, a feeding trial was performed utilising diets with different proportions of fish meal, protein, lipid and energy levels. Salmon gut dysfunction has been associated with the occurrence of casts, or an empty hind gut. A categorical scoring system describing expressed digesta consistency was evaluated in relation to GI tract community structure. Faster growing fish generally had lower faecal scores while the diet cohorts showed minor differences in faecal score though the overall lowest scores were observed with a low protein, low energy diet. The GI tract bacterial communities were highly dynamic over time with the low protein, low energy diet associated with the most divergent community structure. This included transiently increased abundance of anaerobic (Bacteroidia and Clostridia) during January and February, and facultatively anaerobic (lactic acid bacteria) taxa from February onwards. The digesta had enriched populations of these groups in relation to faecal cast samples. The majority of samples (60–86 %) across all diet cohorts were eventually dominated by the genus Aliivibrio. The results suggest that an interaction between time of sampling and diet is most strongly related to community structure. Digesta categorization revealed microbes involved with metabolism of diet components change progressively over time and could be a useful system to assess feeding responses.","container-title":"Microbial Ecology","DOI":"10.1007/s00248-015-0728-y","ISSN":"1432-184X","issue":"3","journalAbbreviation":"Microb Ecol","language":"en","page":"589-603","source":"Springer Link","title":"Atlantic Salmon (Salmo salar L.) Gastrointestinal Microbial Community Dynamics in Relation to Digesta Properties and Diet","volume":"71","author":[{"family":"Zarkasi","given":"Kamarul Zaman"},{"family":"Taylor","given":"Richard S."},{"family":"Abell","given":"Guy C. J."},{"family":"Tamplin","given":"Mark L."},{"family":"Glencross","given":"Brett D."},{"family":"Bowman","given":"John P."}],"issued":{"date-parts":[["2016",4,1]]}}}],"schema":"https://github.com/citation-style-language/schema/raw/master/csl-citation.json"} </w:instrText>
      </w:r>
      <w:r>
        <w:rPr>
          <w:rFonts w:cstheme="minorHAnsi"/>
        </w:rPr>
        <w:fldChar w:fldCharType="separate"/>
      </w:r>
      <w:r w:rsidRPr="002F6A72">
        <w:rPr>
          <w:rFonts w:ascii="Calibri" w:hAnsi="Calibri" w:cs="Calibri"/>
        </w:rPr>
        <w:t>(Gajardo et al., 2017; Zarkasi et al., 2016)</w:t>
      </w:r>
      <w:r>
        <w:rPr>
          <w:rFonts w:cstheme="minorHAnsi"/>
        </w:rPr>
        <w:fldChar w:fldCharType="end"/>
      </w:r>
      <w:r>
        <w:rPr>
          <w:rFonts w:cstheme="minorHAnsi"/>
        </w:rPr>
        <w:t xml:space="preserve">. Intestinal microorganisms feed on food items that the host cannot digest, producing many host-beneficial metabolites in the process </w:t>
      </w:r>
      <w:r>
        <w:rPr>
          <w:rFonts w:cstheme="minorHAnsi"/>
        </w:rPr>
        <w:fldChar w:fldCharType="begin"/>
      </w:r>
      <w:r>
        <w:rPr>
          <w:rFonts w:cstheme="minorHAnsi"/>
        </w:rPr>
        <w:instrText xml:space="preserve"> ADDIN ZOTERO_ITEM CSL_CITATION {"citationID":"y51FosYh","properties":{"formattedCitation":"(Koh et al., 2016; R\\uc0\\u237{}os-Covi\\uc0\\u225{}n et al., 2016)","plainCitation":"(Koh et al., 2016; Ríos-Covián et al., 2016)","noteIndex":0},"citationItems":[{"id":708,"uris":["http://zotero.org/users/9227957/items/YEC232IG"],"itemData":{"id":708,"type":"article-journal","abstract":"A compelling set of links between the composition of the gut microbiota, the host diet, and host physiology has emerged. Do these links reflect cause-and-effect relationships, and what might be their mechanistic basis? A growing body of work implicates microbially produced metabolites as crucial executors of diet-based microbial influence on the host. Here, we will review data supporting the diverse functional roles carried out by a major class of bacterial metabolites, the short-chain fatty acids (SCFAs). SCFAs can directly activate G-coupled-receptors, inhibit histone deacetylases, and serve as energy substrates. They thus affect various physiological processes and may contribute to health and disease.","container-title":"Cell","DOI":"10.1016/j.cell.2016.05.041","ISSN":"0092-8674","issue":"6","journalAbbreviation":"Cell","language":"en","page":"1332-1345","source":"ScienceDirect","title":"From Dietary Fiber to Host Physiology: Short-Chain Fatty Acids as Key Bacterial Metabolites","title-short":"From Dietary Fiber to Host Physiology","volume":"165","author":[{"family":"Koh","given":"Ara"},{"family":"De Vadder","given":"Filipe"},{"family":"Kovatcheva-Datchary","given":"Petia"},{"family":"Bäckhed","given":"Fredrik"}],"issued":{"date-parts":[["2016",6,2]]}}},{"id":711,"uris":["http://zotero.org/users/9227957/items/TVU3DSH3"],"itemData":{"id":711,"type":"article-journal","abstract":"The colon is inhabited by a dense population of microorganisms, the so-called “gut microbiota,” able to ferment carbohydrates and proteins that escape absorption in the small intestine during digestion. This microbiota produces a wide range of metabolites, including short chain fatty acids (SCFA). These compounds are absorbed in the large bowel and are defined as 1-6 carbon volatile fatty acids which can present straight or branched-chain conformation. Their production is influenced by the pattern of food intake and diet-mediated changes in the gut microbiota. SCFA have distinct physiological effects: they contribute to shaping the gut environment, influence the physiology of the colon, they can be used as energy sources by host cells and the intestinal microbiota and they also participate in different host-signaling mechanisms. We summarize the current knowledge about the production of SCFA, including bacterial cross-feedings interactions, and the biological properties of these metabolites with impact on the human health.","container-title":"Frontiers in Microbiology","ISSN":"1664-302X","source":"Frontiers","title":"Intestinal Short Chain Fatty Acids and their Link with Diet and Human Health","URL":"https://www.frontiersin.org/articles/10.3389/fmicb.2016.00185","volume":"7","author":[{"family":"Ríos-Covián","given":"David"},{"family":"Ruas-Madiedo","given":"Patricia"},{"family":"Margolles","given":"Abelardo"},{"family":"Gueimonde","given":"Miguel"},{"family":"Reyes-Gavilán","given":"Clara G.","non-dropping-particle":"de los"},{"family":"Salazar","given":"Nuria"}],"accessed":{"date-parts":[["2023",5,7]]},"issued":{"date-parts":[["2016"]]}}}],"schema":"https://github.com/citation-style-language/schema/raw/master/csl-citation.json"} </w:instrText>
      </w:r>
      <w:r>
        <w:rPr>
          <w:rFonts w:cstheme="minorHAnsi"/>
        </w:rPr>
        <w:fldChar w:fldCharType="separate"/>
      </w:r>
      <w:r w:rsidRPr="000021DB">
        <w:rPr>
          <w:rFonts w:ascii="Calibri" w:hAnsi="Calibri" w:cs="Calibri"/>
          <w:szCs w:val="24"/>
        </w:rPr>
        <w:t>(Koh et al., 2016; Ríos-Covián et al., 2016)</w:t>
      </w:r>
      <w:r>
        <w:rPr>
          <w:rFonts w:cstheme="minorHAnsi"/>
        </w:rPr>
        <w:fldChar w:fldCharType="end"/>
      </w:r>
      <w:r>
        <w:rPr>
          <w:rFonts w:cstheme="minorHAnsi"/>
        </w:rPr>
        <w:t xml:space="preserve">. A change of diet composition or volume might therefore have major implications for gut bacteria growth and consequently for fish physiology and health. It is known that fish have reduced appetite in the winter months </w:t>
      </w:r>
      <w:r>
        <w:rPr>
          <w:rFonts w:cstheme="minorHAnsi"/>
        </w:rPr>
        <w:fldChar w:fldCharType="begin"/>
      </w:r>
      <w:r>
        <w:rPr>
          <w:rFonts w:cstheme="minorHAnsi"/>
        </w:rPr>
        <w:instrText xml:space="preserve"> ADDIN ZOTERO_ITEM CSL_CITATION {"citationID":"VyD7WwHn","properties":{"formattedCitation":"(Volkoff &amp; R\\uc0\\u248{}nnestad, 2020)","plainCitation":"(Volkoff &amp; Rønnestad, 2020)","noteIndex":0},"citationItems":[{"id":590,"uris":["http://zotero.org/users/9227957/items/SDTIJKXD"],"itemData":{"id":590,"type":"article-journal","abstract":"As most fish are ectotherms, their physiology is strongly affected by temperature. Temperature affects their metabolic rate and thus their energy balance and behavior, including locomotor and feeding behavior. Temperature influences the ability/desire of the fish to obtain food, and how they process food through digestion, absorb nutrients within the gastrointestinal tract, and store excess energy. As fish display a large variability in habitats, feeding habits, and anatomical and physiological features, the effects of temperature are complex and species-specific. The effects of temperature depend on the timing, intensity, and duration of exposure as well as the speed at which temperature changes occur. Whereas acute short-term variations of temperature might have drastic, often detrimental, effects on fish physiology, long-term gradual variations might lead to acclimation, e.g. variations in metabolic and digestive enzyme profiles. The goal of this review is to summarize our current knowledge on the effects of temperature on energy homeostasis, with specific focus on metabolism, feeding, digestion, and how fish are often able to “adapt” to changing environments through phenotypic and physiological changes.","container-title":"Temperature","DOI":"10.1080/23328940.2020.1765950","ISSN":"2332-8940","issue":"4","note":"publisher: Taylor &amp; Francis\n_eprint: https://doi.org/10.1080/23328940.2020.1765950","page":"307-320","source":"Taylor and Francis+NEJM","title":"Effects of temperature on feeding and digestive processes in fish","volume":"7","author":[{"family":"Volkoff","given":"Helene"},{"family":"Rønnestad","given":"Ivar"}],"issued":{"date-parts":[["2020",10,1]]}}}],"schema":"https://github.com/citation-style-language/schema/raw/master/csl-citation.json"} </w:instrText>
      </w:r>
      <w:r>
        <w:rPr>
          <w:rFonts w:cstheme="minorHAnsi"/>
        </w:rPr>
        <w:fldChar w:fldCharType="separate"/>
      </w:r>
      <w:r w:rsidRPr="000021DB">
        <w:rPr>
          <w:rFonts w:ascii="Calibri" w:hAnsi="Calibri" w:cs="Calibri"/>
          <w:szCs w:val="24"/>
        </w:rPr>
        <w:t>(Volkoff &amp; Rønnestad, 2020)</w:t>
      </w:r>
      <w:r>
        <w:rPr>
          <w:rFonts w:cstheme="minorHAnsi"/>
        </w:rPr>
        <w:fldChar w:fldCharType="end"/>
      </w:r>
      <w:r>
        <w:rPr>
          <w:rFonts w:cstheme="minorHAnsi"/>
        </w:rPr>
        <w:t xml:space="preserve">. Hence, it is unsurprising that we found a distinct cluster of winter samples in our </w:t>
      </w:r>
      <w:proofErr w:type="spellStart"/>
      <w:r>
        <w:rPr>
          <w:rFonts w:cstheme="minorHAnsi"/>
        </w:rPr>
        <w:t>PCoA</w:t>
      </w:r>
      <w:proofErr w:type="spellEnd"/>
      <w:r>
        <w:rPr>
          <w:rFonts w:cstheme="minorHAnsi"/>
        </w:rPr>
        <w:t xml:space="preserve">. </w:t>
      </w:r>
      <w:r w:rsidR="003434C6">
        <w:rPr>
          <w:rFonts w:cstheme="minorHAnsi"/>
        </w:rPr>
        <w:t xml:space="preserve">FEAST analysis showed that </w:t>
      </w:r>
      <w:r w:rsidR="003434C6">
        <w:t>t</w:t>
      </w:r>
      <w:r w:rsidR="003434C6" w:rsidRPr="002735DF">
        <w:t>he contribution percentages of food-derived bacteria were found to be the lowest in January, which is in agreement with a decrease in appetite of juvenile salmon during the winter season</w:t>
      </w:r>
      <w:r w:rsidR="003434C6">
        <w:t xml:space="preserve"> </w:t>
      </w:r>
      <w:r w:rsidR="003434C6">
        <w:fldChar w:fldCharType="begin"/>
      </w:r>
      <w:r w:rsidR="003434C6">
        <w:instrText xml:space="preserve"> ADDIN ZOTERO_ITEM CSL_CITATION {"citationID":"qZUEyjqR","properties":{"formattedCitation":"(Volkoff &amp; R\\uc0\\u248{}nnestad, 2020)","plainCitation":"(Volkoff &amp; Rønnestad, 2020)","noteIndex":0},"citationItems":[{"id":590,"uris":["http://zotero.org/users/9227957/items/SDTIJKXD"],"itemData":{"id":590,"type":"article-journal","abstract":"As most fish are ectotherms, their physiology is strongly affected by temperature. Temperature affects their metabolic rate and thus their energy balance and behavior, including locomotor and feeding behavior. Temperature influences the ability/desire of the fish to obtain food, and how they process food through digestion, absorb nutrients within the gastrointestinal tract, and store excess energy. As fish display a large variability in habitats, feeding habits, and anatomical and physiological features, the effects of temperature are complex and species-specific. The effects of temperature depend on the timing, intensity, and duration of exposure as well as the speed at which temperature changes occur. Whereas acute short-term variations of temperature might have drastic, often detrimental, effects on fish physiology, long-term gradual variations might lead to acclimation, e.g. variations in metabolic and digestive enzyme profiles. The goal of this review is to summarize our current knowledge on the effects of temperature on energy homeostasis, with specific focus on metabolism, feeding, digestion, and how fish are often able to “adapt” to changing environments through phenotypic and physiological changes.","container-title":"Temperature","DOI":"10.1080/23328940.2020.1765950","ISSN":"2332-8940","issue":"4","note":"publisher: Taylor &amp; Francis\n_eprint: https://doi.org/10.1080/23328940.2020.1765950","page":"307-320","source":"Taylor and Francis+NEJM","title":"Effects of temperature on feeding and digestive processes in fish","volume":"7","author":[{"family":"Volkoff","given":"Helene"},{"family":"Rønnestad","given":"Ivar"}],"issued":{"date-parts":[["2020",10,1]]}}}],"schema":"https://github.com/citation-style-language/schema/raw/master/csl-citation.json"} </w:instrText>
      </w:r>
      <w:r w:rsidR="003434C6">
        <w:fldChar w:fldCharType="separate"/>
      </w:r>
      <w:r w:rsidR="003434C6" w:rsidRPr="002735DF">
        <w:rPr>
          <w:rFonts w:ascii="Calibri" w:hAnsi="Calibri" w:cs="Calibri"/>
          <w:szCs w:val="24"/>
        </w:rPr>
        <w:t>(Volkoff &amp; Rønnestad, 2020)</w:t>
      </w:r>
      <w:r w:rsidR="003434C6">
        <w:fldChar w:fldCharType="end"/>
      </w:r>
      <w:r w:rsidR="003434C6" w:rsidRPr="002735DF">
        <w:t>.</w:t>
      </w:r>
      <w:r w:rsidR="003434C6">
        <w:t xml:space="preserve"> We found traces of bacterial taxa from all five macroinvertebrate groups in our fish, but </w:t>
      </w:r>
      <w:r w:rsidR="003434C6" w:rsidRPr="003434C6">
        <w:t>Diptera</w:t>
      </w:r>
      <w:r w:rsidR="003434C6">
        <w:t xml:space="preserve"> (Fly) and </w:t>
      </w:r>
      <w:r w:rsidR="003434C6" w:rsidRPr="003434C6">
        <w:t>Ephemeroptera</w:t>
      </w:r>
      <w:r w:rsidR="003434C6">
        <w:t xml:space="preserve"> (Mayfly) seemed the favoured food source for salmon in our study based on </w:t>
      </w:r>
      <w:r w:rsidR="003434C6">
        <w:lastRenderedPageBreak/>
        <w:t xml:space="preserve">microbiome sharing. Most of the taxa found in fish guts originated from the macroinvertebrate order </w:t>
      </w:r>
      <w:r w:rsidR="003434C6" w:rsidRPr="003434C6">
        <w:t>Diptera</w:t>
      </w:r>
      <w:r w:rsidR="003434C6">
        <w:t xml:space="preserve">. In March and especially in November, those contribution percentages shifted to </w:t>
      </w:r>
      <w:r w:rsidR="003434C6" w:rsidRPr="003434C6">
        <w:rPr>
          <w:rFonts w:cstheme="minorHAnsi"/>
        </w:rPr>
        <w:t>Ephemeroptera</w:t>
      </w:r>
      <w:r w:rsidR="003434C6">
        <w:rPr>
          <w:rFonts w:cstheme="minorHAnsi"/>
        </w:rPr>
        <w:t xml:space="preserve">, which suggests a change in diet or simply a seasonal change in macroinvertebrate abundance. Our results match nicely with the stomach count analysis conducted by </w:t>
      </w:r>
      <w:r w:rsidR="003434C6">
        <w:rPr>
          <w:rFonts w:cstheme="minorHAnsi"/>
        </w:rPr>
        <w:fldChar w:fldCharType="begin"/>
      </w:r>
      <w:r w:rsidR="00212746">
        <w:rPr>
          <w:rFonts w:cstheme="minorHAnsi"/>
        </w:rPr>
        <w:instrText xml:space="preserve"> ADDIN ZOTERO_ITEM CSL_CITATION {"citationID":"aq6IiD7d","properties":{"formattedCitation":"(de Eyto et al., 2020)","plainCitation":"(de Eyto et al., 2020)","dontUpdate":true,"noteIndex":0},"citationItems":[{"id":604,"uris":["http://zotero.org/users/9227957/items/FQZZ3GJE"],"itemData":{"id":604,"type":"article-journal","abstract":"Peatlands are being degraded by the combined impacts of land use and climate change. Carbon stored in peat is a key constituent of aquatic food webs in rivers and lakes of humic catchments, and changes in the downstream transport of this allochthonous carbon may have considerable implications for the production of Atlantic salmon and brown trout. Understanding the food web of these keystone species is therefore crucial to their conservation in a changing world. Here, we use a combination of stomach content analysis (SCA) and stable isotope analysis (SIA) to characterise the diet of juvenile salmonids in aquatic habitats of a typical Irish peatland catchment (Burrishoole). SCA showed that Diptera, Ephemeroptera, Plecoptera and Trichoptera were the main components of the diet of juvenile salmonids. Daphnia were the primary prey item in salmon smolt stomachs. The average stable isotope signature of salmonids was 9.26 ± 0.87‰ δ 15N and -25.6 ± 1.99‰ δ13C, but differed between species, age class and habitat (river vs lake). Salmonids were supported by a wide range of carbon energy sources, with δ13C increasing as fish moved downstream out of the headwater rivers and into a large downstream lake.","container-title":"Biology and Environment: Proceedings of the Royal Irish Academy","DOI":"10.3318/bioe.2020.01","ISSN":"0791-7945","issue":"1","note":"publisher: Royal Irish Academy","page":"1-17","source":"JSTOR","title":"Characterisation of salmonid food webs in the rivers and lakes of an Irish peatland ecosystem","volume":"120B","author":[{"family":"Eyto","given":"Elvira","non-dropping-particle":"de"},{"family":"Doyle","given":"Brian"},{"family":"King","given":"Niall"},{"family":"Kilbane","given":"Tommy"},{"family":"Finlay","given":"Ross"},{"family":"Sibigtroth","given":"Lauren"},{"family":"Graham","given":"Conor"},{"family":"Poole","given":"Russell"},{"family":"Ryder","given":"Elizabeth"},{"family":"Dillane","given":"Mary"},{"family":"Jennings","given":"Eleanor"}],"issued":{"date-parts":[["2020"]]}}}],"schema":"https://github.com/citation-style-language/schema/raw/master/csl-citation.json"} </w:instrText>
      </w:r>
      <w:r w:rsidR="003434C6">
        <w:rPr>
          <w:rFonts w:cstheme="minorHAnsi"/>
        </w:rPr>
        <w:fldChar w:fldCharType="separate"/>
      </w:r>
      <w:r w:rsidR="003434C6" w:rsidRPr="003434C6">
        <w:rPr>
          <w:rFonts w:ascii="Calibri" w:hAnsi="Calibri" w:cs="Calibri"/>
        </w:rPr>
        <w:t>de Eyto et al., 2020</w:t>
      </w:r>
      <w:r w:rsidR="003434C6">
        <w:rPr>
          <w:rFonts w:ascii="Calibri" w:hAnsi="Calibri" w:cs="Calibri"/>
        </w:rPr>
        <w:t xml:space="preserve"> </w:t>
      </w:r>
      <w:r w:rsidR="003434C6">
        <w:rPr>
          <w:rFonts w:cstheme="minorHAnsi"/>
        </w:rPr>
        <w:fldChar w:fldCharType="end"/>
      </w:r>
      <w:r w:rsidR="003434C6">
        <w:rPr>
          <w:rFonts w:cstheme="minorHAnsi"/>
        </w:rPr>
        <w:t xml:space="preserve">who also found </w:t>
      </w:r>
      <w:r w:rsidR="003434C6" w:rsidRPr="003434C6">
        <w:rPr>
          <w:rFonts w:cstheme="minorHAnsi"/>
        </w:rPr>
        <w:t>Diptera</w:t>
      </w:r>
      <w:r w:rsidR="003434C6">
        <w:rPr>
          <w:rFonts w:cstheme="minorHAnsi"/>
        </w:rPr>
        <w:t xml:space="preserve"> and </w:t>
      </w:r>
      <w:r w:rsidR="003434C6" w:rsidRPr="003434C6">
        <w:rPr>
          <w:rFonts w:cstheme="minorHAnsi"/>
        </w:rPr>
        <w:t>Ephemeroptera</w:t>
      </w:r>
      <w:r w:rsidR="003434C6">
        <w:rPr>
          <w:rFonts w:cstheme="minorHAnsi"/>
        </w:rPr>
        <w:t xml:space="preserve"> to be the most important food sources for juvenile Atlantic salmon in our experimental river.</w:t>
      </w:r>
      <w:r w:rsidR="001B4BE2">
        <w:rPr>
          <w:rFonts w:cstheme="minorHAnsi"/>
        </w:rPr>
        <w:t xml:space="preserve"> Despite not being the main topic of this manuscript, it is still worth noting that the investigated macroinvertebrates themselves seem to have an order-specific microbiome. As with most host associated intestinal microbiomes it is likely that diet is of major influence for the microbial structure in macroinvertebrates </w:t>
      </w:r>
      <w:r w:rsidR="001B4BE2">
        <w:rPr>
          <w:rFonts w:cstheme="minorHAnsi"/>
        </w:rPr>
        <w:fldChar w:fldCharType="begin"/>
      </w:r>
      <w:r w:rsidR="001B4BE2">
        <w:rPr>
          <w:rFonts w:cstheme="minorHAnsi"/>
        </w:rPr>
        <w:instrText xml:space="preserve"> ADDIN ZOTERO_ITEM CSL_CITATION {"citationID":"yllEBtcn","properties":{"formattedCitation":"(Kroetsch et al., 2020)","plainCitation":"(Kroetsch et al., 2020)","noteIndex":0},"citationItems":[{"id":1570,"uris":["http://zotero.org/users/9227957/items/KMDFBR9A"],"itemData":{"id":1570,"type":"article-journal","abstract":"Freshwater macroinvertebrates play key ecological roles in riverine food webs, such as the transfer of nutrients to consumers and decomposition of organic matter. Although local habitat quality drives macroinvertebrate diversity and abundance, little is known about their microbiota. In most animals, the microbiota provides benefits, such as increasing the rate at which nutrients are metabolized, facilitating immune system development, and defending against pathogenic attack. Our objectives were to identify the bacteria within aquatic invertebrates and determine whether their composition varied with taxonomy, habitat, diet, and time of sample collection. In 2016 and 2017, we collected 264 aquatic invertebrates from the mainstem Saint John (Wolastoq) River in New Brunswick, Canada, representing 15 orders. We then amplified the V3-V4 hypervariable region of the 16S rRNA gene within each individual, which revealed nearly 20,000 bacterial operational taxonomic units (OTUs). The microbiota across all aquatic invertebrates were dominated by Proteobacteria (69.25% of the total sequence reads), but they differed significantly in beta diversity, both among host invertebrate taxa (genus-, family-, and order-levels) and temporally. In contrast to previous work, we observed no microbiota differences among functional feeding groups or traditional feeding habits, and neither water velocity nor microhabitat type structured microbiota variability. Our findings suggest that host invertebrate taxonomy was the most important factor in modulating the composition of the microbiota, likely through a combination of vertical and horizontal bacterial transmission, and evolutionary processes. This is one of the most comprehensive studies of freshwater invertebrate microbiota to date, and it underscores the need for future studies of invertebrate microbiota evolution and linkages to environmental bacteria and physico-chemical conditions.","container-title":"Ecology and Evolution","DOI":"10.1002/ece3.6993","ISSN":"2045-7758","issue":"24","language":"en","license":"© 2020 The Authors. Ecology and Evolution published by John Wiley &amp; Sons Ltd.","note":"_eprint: https://onlinelibrary.wiley.com/doi/pdf/10.1002/ece3.6993","page":"14000-14019","source":"Wiley Online Library","title":"The effects of taxonomy, diet, and ecology on the microbiota of riverine macroinvertebrates","volume":"10","author":[{"family":"Kroetsch","given":"Shawn A."},{"family":"Kidd","given":"Karen A."},{"family":"Monk","given":"Wendy A."},{"family":"Culp","given":"Joseph M."},{"family":"Compson","given":"Zacchaeus G."},{"family":"Pavey","given":"Scott A."}],"issued":{"date-parts":[["2020"]]}}}],"schema":"https://github.com/citation-style-language/schema/raw/master/csl-citation.json"} </w:instrText>
      </w:r>
      <w:r w:rsidR="001B4BE2">
        <w:rPr>
          <w:rFonts w:cstheme="minorHAnsi"/>
        </w:rPr>
        <w:fldChar w:fldCharType="separate"/>
      </w:r>
      <w:r w:rsidR="001B4BE2" w:rsidRPr="001B4BE2">
        <w:rPr>
          <w:rFonts w:ascii="Calibri" w:hAnsi="Calibri" w:cs="Calibri"/>
        </w:rPr>
        <w:t>(Kroetsch et al., 2020)</w:t>
      </w:r>
      <w:r w:rsidR="001B4BE2">
        <w:rPr>
          <w:rFonts w:cstheme="minorHAnsi"/>
        </w:rPr>
        <w:fldChar w:fldCharType="end"/>
      </w:r>
      <w:r w:rsidR="001B4BE2">
        <w:rPr>
          <w:rFonts w:cstheme="minorHAnsi"/>
        </w:rPr>
        <w:t xml:space="preserve">. Depending on their life stage aquatic insects feed on algae or leaf litter but may also prey on other macroinvertebrates when older. As adults, certain </w:t>
      </w:r>
      <w:r w:rsidR="001B4BE2" w:rsidRPr="0063553C">
        <w:rPr>
          <w:rFonts w:cstheme="minorHAnsi"/>
        </w:rPr>
        <w:t>Diptera</w:t>
      </w:r>
      <w:r w:rsidR="001B4BE2">
        <w:rPr>
          <w:rFonts w:cstheme="minorHAnsi"/>
        </w:rPr>
        <w:t xml:space="preserve"> species, commonly known as midges, also interact with terrestrial livestock by feeding on their blood </w:t>
      </w:r>
      <w:r w:rsidR="001B4BE2">
        <w:rPr>
          <w:rFonts w:cstheme="minorHAnsi"/>
        </w:rPr>
        <w:fldChar w:fldCharType="begin"/>
      </w:r>
      <w:r w:rsidR="001B4BE2">
        <w:rPr>
          <w:rFonts w:cstheme="minorHAnsi"/>
        </w:rPr>
        <w:instrText xml:space="preserve"> ADDIN ZOTERO_ITEM CSL_CITATION {"citationID":"nSx8TGSV","properties":{"formattedCitation":"(Walker, 2001)","plainCitation":"(Walker, 2001)","noteIndex":0},"citationItems":[{"id":1573,"uris":["http://zotero.org/users/9227957/items/2HDIJ7AZ"],"itemData":{"id":1573,"type":"chapter","abstract":"Among insects, the chitinous larval remains of the order Diptera (true flies) are most abundant in lake sediments, and thus have proven to be especially useful in palaeoenviron-mental studies. Within this large and diverse group, however, remains of the Chironomidae (non-biting midges) greatly exceed the remains of all other Diptera in abundance. Only a few other families—the Chaoboridae (phantom midges), the Ceratopogonidae (biting midges or “no-see-ums”), and the Simuliidae (black flies)—are sufficiently common to be of much interest to palaeoecologists. Each of these families is principally aquatic in its larval form, although the Ceratopogonidae and Chironomidae comprise some terrestrial or semi-terrestrial species. Head capsules are the principal remains of the Chironomidae, Ceratopogonidae and Simuliidae that can be recovered from lake sediments (Fig. 1a, b, c, d, f). Identification of the Chaoboridae relies instead upon the larval mandibles (Fig. le).","collection-title":"Developments in Paleoenvironmental Research","container-title":"Tracking Environmental Change Using Lake Sediments: Volume 4: Zoological Indicators","event-place":"Dordrecht","ISBN":"978-0-306-47671-6","language":"en","note":"DOI: 10.1007/0-306-47671-1_3","page":"43-66","publisher":"Springer Netherlands","publisher-place":"Dordrecht","source":"Springer Link","title":"Midges: Chironomidae and Related Diptera","title-short":"Midges","URL":"https://doi.org/10.1007/0-306-47671-1_3","author":[{"family":"Walker","given":"Ian R."}],"editor":[{"family":"Smol","given":"John P."},{"family":"Birks","given":"H. John B."},{"family":"Last","given":"William M."}],"accessed":{"date-parts":[["2023",6,19]]},"issued":{"date-parts":[["2001"]]}}}],"schema":"https://github.com/citation-style-language/schema/raw/master/csl-citation.json"} </w:instrText>
      </w:r>
      <w:r w:rsidR="001B4BE2">
        <w:rPr>
          <w:rFonts w:cstheme="minorHAnsi"/>
        </w:rPr>
        <w:fldChar w:fldCharType="separate"/>
      </w:r>
      <w:r w:rsidR="001B4BE2" w:rsidRPr="001B4BE2">
        <w:rPr>
          <w:rFonts w:ascii="Calibri" w:hAnsi="Calibri" w:cs="Calibri"/>
        </w:rPr>
        <w:t>(Walker, 2001)</w:t>
      </w:r>
      <w:r w:rsidR="001B4BE2">
        <w:rPr>
          <w:rFonts w:cstheme="minorHAnsi"/>
        </w:rPr>
        <w:fldChar w:fldCharType="end"/>
      </w:r>
      <w:r w:rsidR="001B4BE2">
        <w:rPr>
          <w:rFonts w:cstheme="minorHAnsi"/>
        </w:rPr>
        <w:t>. It would be interesting to investigate a potential carryover from bacteria associated with terrestrial animals (skin or faeces) through the macroinvertebrate as intermediate host into salmon. In this context, there might be a special interest to investigate the potential carryover of antimicrobial resistance genes from agriculture facilities into the aquatic environment.</w:t>
      </w:r>
    </w:p>
    <w:p w14:paraId="41323771" w14:textId="699B623C" w:rsidR="00C51D6C" w:rsidRDefault="00CE0840" w:rsidP="0093493B">
      <w:pPr>
        <w:spacing w:line="480" w:lineRule="auto"/>
        <w:rPr>
          <w:rFonts w:cstheme="minorHAnsi"/>
        </w:rPr>
      </w:pPr>
      <w:r w:rsidRPr="00CE0840">
        <w:rPr>
          <w:rFonts w:cstheme="minorHAnsi"/>
        </w:rPr>
        <w:t>An important aspect in determining the impact of dietary shifts on host health is whether the bacteria introduced through food consumption persist in the gut or if they are merely transient.</w:t>
      </w:r>
      <w:r>
        <w:rPr>
          <w:rFonts w:cstheme="minorHAnsi"/>
        </w:rPr>
        <w:t xml:space="preserve"> </w:t>
      </w:r>
      <w:r w:rsidRPr="00CE0840">
        <w:rPr>
          <w:rFonts w:cstheme="minorHAnsi"/>
        </w:rPr>
        <w:t xml:space="preserve">Our abundance-occupancy analyses allowed further exploration of this </w:t>
      </w:r>
      <w:r>
        <w:rPr>
          <w:rFonts w:cstheme="minorHAnsi"/>
        </w:rPr>
        <w:t>question</w:t>
      </w:r>
      <w:r w:rsidRPr="00CE0840">
        <w:rPr>
          <w:rFonts w:cstheme="minorHAnsi"/>
        </w:rPr>
        <w:t xml:space="preserve">. </w:t>
      </w:r>
      <w:r>
        <w:rPr>
          <w:rFonts w:cstheme="minorHAnsi"/>
        </w:rPr>
        <w:t>The model implied</w:t>
      </w:r>
      <w:r w:rsidRPr="00CE0840">
        <w:rPr>
          <w:rFonts w:cstheme="minorHAnsi"/>
        </w:rPr>
        <w:t xml:space="preserve"> that the majority of OTUs</w:t>
      </w:r>
      <w:r>
        <w:rPr>
          <w:rFonts w:cstheme="minorHAnsi"/>
        </w:rPr>
        <w:t xml:space="preserve"> (86%)</w:t>
      </w:r>
      <w:r w:rsidR="001B4BE2">
        <w:rPr>
          <w:rFonts w:cstheme="minorHAnsi"/>
        </w:rPr>
        <w:t xml:space="preserve"> </w:t>
      </w:r>
      <w:r w:rsidRPr="00CE0840">
        <w:rPr>
          <w:rFonts w:cstheme="minorHAnsi"/>
        </w:rPr>
        <w:t>were neutrally assembled</w:t>
      </w:r>
      <w:r>
        <w:rPr>
          <w:rFonts w:cstheme="minorHAnsi"/>
        </w:rPr>
        <w:t>, suggesting that the presence of those OTUs</w:t>
      </w:r>
      <w:r w:rsidR="001B4BE2">
        <w:rPr>
          <w:rFonts w:cstheme="minorHAnsi"/>
        </w:rPr>
        <w:t xml:space="preserve"> in fish guts</w:t>
      </w:r>
      <w:r>
        <w:rPr>
          <w:rFonts w:cstheme="minorHAnsi"/>
        </w:rPr>
        <w:t xml:space="preserve"> is determined by ecological drift or random dispersal from </w:t>
      </w:r>
      <w:r w:rsidR="001B4BE2">
        <w:rPr>
          <w:rFonts w:cstheme="minorHAnsi"/>
        </w:rPr>
        <w:t>environmental sources</w:t>
      </w:r>
      <w:r>
        <w:rPr>
          <w:rFonts w:cstheme="minorHAnsi"/>
        </w:rPr>
        <w:t xml:space="preserve">. </w:t>
      </w:r>
      <w:r w:rsidRPr="00B17443">
        <w:rPr>
          <w:rFonts w:cstheme="minorHAnsi"/>
        </w:rPr>
        <w:t xml:space="preserve">This </w:t>
      </w:r>
      <w:r>
        <w:rPr>
          <w:rFonts w:cstheme="minorHAnsi"/>
        </w:rPr>
        <w:t>high percentage</w:t>
      </w:r>
      <w:r w:rsidRPr="00B17443">
        <w:rPr>
          <w:rFonts w:cstheme="minorHAnsi"/>
        </w:rPr>
        <w:t xml:space="preserve"> is consistent with previous studies, which have also shown that the majority of taxa in </w:t>
      </w:r>
      <w:r>
        <w:rPr>
          <w:rFonts w:cstheme="minorHAnsi"/>
        </w:rPr>
        <w:t xml:space="preserve">salmon </w:t>
      </w:r>
      <w:r w:rsidRPr="00B17443">
        <w:rPr>
          <w:rFonts w:cstheme="minorHAnsi"/>
        </w:rPr>
        <w:t>microbial communities are neutrally assembled</w:t>
      </w:r>
      <w:r>
        <w:rPr>
          <w:rFonts w:cstheme="minorHAnsi"/>
        </w:rPr>
        <w:t xml:space="preserve"> </w:t>
      </w:r>
      <w:r>
        <w:rPr>
          <w:rFonts w:cstheme="minorHAnsi"/>
        </w:rPr>
        <w:fldChar w:fldCharType="begin"/>
      </w:r>
      <w:r>
        <w:rPr>
          <w:rFonts w:cstheme="minorHAnsi"/>
        </w:rPr>
        <w:instrText xml:space="preserve"> ADDIN ZOTERO_ITEM CSL_CITATION {"citationID":"FvT3ZOTL","properties":{"formattedCitation":"(Burns et al., 2016; Heys et al., 2020)","plainCitation":"(Burns et al., 2016; Heys et al., 2020)","noteIndex":0},"citationItems":[{"id":351,"uris":["http://zotero.org/users/9227957/items/X8LLN5PK"],"itemData":{"id":351,"type":"article-journal","abstract":"Despite their importance to host health and development, the communities of microorganisms associated with humans and other animals are characterized by a large degree of unexplained variation across individual hosts. The processes that drive such inter-individual variation are not well understood. To address this, we surveyed the microbial communities associated with the intestine of the zebrafish, Danio rerio, over developmental time. We compared our observations of community composition and distribution across hosts with that predicted by a neutral assembly model, which assumes that community assembly is driven solely by chance and dispersal. We found that as hosts develop from larvae to adults, the fit of the model to observed microbial distributions decreases, suggesting that the relative importance of non-neutral processes, such as microbe-microbe interactions, active dispersal, or selection by the host, increases as hosts mature. We also observed that taxa which depart in their distributions from the neutral prediction form ecologically distinct sub-groups, which are phylogenetically clustered with respect to the full metacommunity. These results demonstrate that neutral processes are sufficient to generate substantial variation in microbiota composition across individual hosts, and suggest that potentially unique or important taxa may be identified by their divergence from neutral distributions.","container-title":"The ISME Journal","DOI":"10.1038/ismej.2015.142","ISSN":"1751-7370","issue":"3","journalAbbreviation":"ISME J","language":"en","license":"2016 International Society for Microbial Ecology","note":"number: 3\npublisher: Nature Publishing Group","page":"655-664","source":"www.nature.com","title":"Contribution of neutral processes to the assembly of gut microbial communities in the zebrafish over host development","volume":"10","author":[{"family":"Burns","given":"Adam R."},{"family":"Stephens","given":"W. Zac"},{"family":"Stagaman","given":"Keaton"},{"family":"Wong","given":"Sandi"},{"family":"Rawls","given":"John F."},{"family":"Guillemin","given":"Karen"},{"family":"Bohannan","given":"Brendan JM"}],"issued":{"date-parts":[["2016",3]]}}},{"id":253,"uris":["http://zotero.org/users/9227957/items/3SY334AA"],"itemData":{"id":253,"type":"article-journal","container-title":"Applied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S."}],"issued":{"date-parts":[["2020"]]}}}],"schema":"https://github.com/citation-style-language/schema/raw/master/csl-citation.json"} </w:instrText>
      </w:r>
      <w:r>
        <w:rPr>
          <w:rFonts w:cstheme="minorHAnsi"/>
        </w:rPr>
        <w:fldChar w:fldCharType="separate"/>
      </w:r>
      <w:r w:rsidRPr="00CC7B2D">
        <w:rPr>
          <w:rFonts w:ascii="Calibri" w:hAnsi="Calibri" w:cs="Calibri"/>
        </w:rPr>
        <w:t>(Burns et al., 2016; Heys et al., 2020)</w:t>
      </w:r>
      <w:r>
        <w:rPr>
          <w:rFonts w:cstheme="minorHAnsi"/>
        </w:rPr>
        <w:fldChar w:fldCharType="end"/>
      </w:r>
      <w:r>
        <w:rPr>
          <w:rFonts w:cstheme="minorHAnsi"/>
        </w:rPr>
        <w:t>. However, i</w:t>
      </w:r>
      <w:r w:rsidRPr="005A6EC0">
        <w:rPr>
          <w:rFonts w:cstheme="minorHAnsi"/>
        </w:rPr>
        <w:t>t is worth noting that the neutral model approach used in our study has been subject to criticism for potentially overestimating the significance of stochastic processes in shaping community outcomes</w:t>
      </w:r>
      <w:r>
        <w:rPr>
          <w:rFonts w:cstheme="minorHAnsi"/>
        </w:rPr>
        <w:t xml:space="preserve"> </w:t>
      </w:r>
      <w:r>
        <w:rPr>
          <w:rFonts w:cstheme="minorHAnsi"/>
        </w:rPr>
        <w:fldChar w:fldCharType="begin"/>
      </w:r>
      <w:r>
        <w:rPr>
          <w:rFonts w:cstheme="minorHAnsi"/>
        </w:rPr>
        <w:instrText xml:space="preserve"> ADDIN ZOTERO_ITEM CSL_CITATION {"citationID":"yS9TzBNA","properties":{"formattedCitation":"(Ning et al., 2019, 2020)","plainCitation":"(Ning et al., 2019, 2020)","noteIndex":0},"citationItems":[{"id":451,"uris":["http://zotero.org/users/9227957/items/TLW5HSYK"],"itemData":{"id":451,"type":"article-journal","container-title":"Proceedings of the National Academy of Sciences","DOI":"10.1073/pnas.1904623116","issue":"34","note":"publisher: Proceedings of the National Academy of Sciences","page":"16892-16898","source":"pnas.org (Atypon)","title":"A general framework for quantitatively assessing ecological stochasticity","volume":"116","author":[{"family":"Ning","given":"Daliang"},{"family":"Deng","given":"Ye"},{"family":"Tiedje","given":"James M."},{"family":"Zhou","given":"Jizhong"}],"issued":{"date-parts":[["2019",8,20]]}}},{"id":681,"uris":["http://zotero.org/users/9227957/items/99DWSY6X"],"itemData":{"id":681,"type":"article-journal","abstract":"Unraveling the drivers controlling community assembly is a central issue in ecology. Although it is generally accepted that selection, dispersal, diversification and drift are major community assembly processes, defining their relative importance is very challenging. Here, we present a framework to quantitatively infer community assembly mechanisms by phylogenetic bin-based null model analysis (iCAMP). iCAMP shows high accuracy (0.93–0.99), precision (0.80–0.94), sensitivity (0.82–0.94), and specificity (0.95–0.98) on simulated communities, which are 10–160% higher than those from the entire community-based approach. Application of iCAMP to grassland microbial communities in response to experimental warming reveals dominant roles of homogeneous selection (38%) and ‘drift’ (59%). Interestingly, warming decreases ‘drift’ over time, and enhances homogeneous selection which is primarily imposed on Bacillales. In addition, homogeneous selection has higher correlations with drought and plant productivity under warming than control. iCAMP provides an effective and robust tool to quantify microbial assembly processes, and should also be useful for plant and animal ecology.","container-title":"Nature Communications","DOI":"10.1038/s41467-020-18560-z","ISSN":"2041-1723","issue":"1","journalAbbreviation":"Nat Commun","language":"en","license":"2020 The Author(s)","note":"number: 1\npublisher: Nature Publishing Group","page":"4717","source":"www.nature.com","title":"A quantitative framework reveals ecological drivers of grassland microbial community assembly in response to warming","volume":"11","author":[{"family":"Ning","given":"Daliang"},{"family":"Yuan","given":"Mengting"},{"family":"Wu","given":"Linwei"},{"family":"Zhang","given":"Ya"},{"family":"Guo","given":"Xue"},{"family":"Zhou","given":"Xishu"},{"family":"Yang","given":"Yunfeng"},{"family":"Arkin","given":"Adam P."},{"family":"Firestone","given":"Mary K."},{"family":"Zhou","given":"Jizhong"}],"issued":{"date-parts":[["2020",9,18]]}}}],"schema":"https://github.com/citation-style-language/schema/raw/master/csl-citation.json"} </w:instrText>
      </w:r>
      <w:r>
        <w:rPr>
          <w:rFonts w:cstheme="minorHAnsi"/>
        </w:rPr>
        <w:fldChar w:fldCharType="separate"/>
      </w:r>
      <w:r w:rsidRPr="00C40FCD">
        <w:rPr>
          <w:rFonts w:ascii="Calibri" w:hAnsi="Calibri" w:cs="Calibri"/>
        </w:rPr>
        <w:t>(Ning et al., 2019, 2020)</w:t>
      </w:r>
      <w:r>
        <w:rPr>
          <w:rFonts w:cstheme="minorHAnsi"/>
        </w:rPr>
        <w:fldChar w:fldCharType="end"/>
      </w:r>
      <w:r w:rsidRPr="005A6EC0">
        <w:rPr>
          <w:rFonts w:cstheme="minorHAnsi"/>
        </w:rPr>
        <w:t>.</w:t>
      </w:r>
      <w:r w:rsidR="000145C9">
        <w:rPr>
          <w:rFonts w:cstheme="minorHAnsi"/>
        </w:rPr>
        <w:t xml:space="preserve"> </w:t>
      </w:r>
      <w:r w:rsidR="000145C9" w:rsidRPr="00B17443">
        <w:rPr>
          <w:rFonts w:cstheme="minorHAnsi"/>
        </w:rPr>
        <w:t xml:space="preserve">To identify </w:t>
      </w:r>
      <w:r w:rsidR="00A07312">
        <w:rPr>
          <w:rFonts w:cstheme="minorHAnsi"/>
        </w:rPr>
        <w:t>potentially</w:t>
      </w:r>
      <w:r w:rsidR="000145C9" w:rsidRPr="00B17443">
        <w:rPr>
          <w:rFonts w:cstheme="minorHAnsi"/>
        </w:rPr>
        <w:t xml:space="preserve"> </w:t>
      </w:r>
      <w:r w:rsidR="000145C9">
        <w:rPr>
          <w:rFonts w:cstheme="minorHAnsi"/>
        </w:rPr>
        <w:t>important</w:t>
      </w:r>
      <w:r w:rsidR="000145C9" w:rsidRPr="00B17443">
        <w:rPr>
          <w:rFonts w:cstheme="minorHAnsi"/>
        </w:rPr>
        <w:t xml:space="preserve"> taxa, we employed </w:t>
      </w:r>
      <w:r w:rsidR="000145C9" w:rsidRPr="00B17443">
        <w:rPr>
          <w:rFonts w:cstheme="minorHAnsi"/>
        </w:rPr>
        <w:lastRenderedPageBreak/>
        <w:t>an abundance-occupancy threshold</w:t>
      </w:r>
      <w:r w:rsidR="000145C9">
        <w:rPr>
          <w:rFonts w:cstheme="minorHAnsi"/>
        </w:rPr>
        <w:t xml:space="preserve">. All taxa that passed the threshold were considered ‘core’, but we remind readers that ‘core’ taxa should be treated as </w:t>
      </w:r>
      <w:proofErr w:type="gramStart"/>
      <w:r w:rsidR="000145C9">
        <w:rPr>
          <w:rFonts w:cstheme="minorHAnsi"/>
        </w:rPr>
        <w:t>study-specific</w:t>
      </w:r>
      <w:proofErr w:type="gramEnd"/>
      <w:r w:rsidR="000145C9">
        <w:rPr>
          <w:rFonts w:cstheme="minorHAnsi"/>
        </w:rPr>
        <w:t>.</w:t>
      </w:r>
      <w:r w:rsidR="00DA65E6">
        <w:rPr>
          <w:rFonts w:cstheme="minorHAnsi"/>
        </w:rPr>
        <w:t xml:space="preserve"> </w:t>
      </w:r>
      <w:r w:rsidR="000145C9">
        <w:rPr>
          <w:rFonts w:cstheme="minorHAnsi"/>
        </w:rPr>
        <w:t xml:space="preserve">We </w:t>
      </w:r>
      <w:r w:rsidR="000145C9" w:rsidRPr="005A533D">
        <w:rPr>
          <w:rFonts w:cstheme="minorHAnsi"/>
        </w:rPr>
        <w:t xml:space="preserve">identified </w:t>
      </w:r>
      <w:r w:rsidR="000145C9">
        <w:rPr>
          <w:rFonts w:cstheme="minorHAnsi"/>
        </w:rPr>
        <w:t>78</w:t>
      </w:r>
      <w:r w:rsidR="000145C9" w:rsidRPr="005A533D">
        <w:rPr>
          <w:rFonts w:cstheme="minorHAnsi"/>
        </w:rPr>
        <w:t xml:space="preserve"> OTUs as </w:t>
      </w:r>
      <w:r w:rsidR="000145C9">
        <w:rPr>
          <w:rFonts w:cstheme="minorHAnsi"/>
        </w:rPr>
        <w:t>being positively selected core microbiota.</w:t>
      </w:r>
      <w:r w:rsidR="00DA65E6">
        <w:rPr>
          <w:rFonts w:cstheme="minorHAnsi"/>
        </w:rPr>
        <w:t xml:space="preserve"> </w:t>
      </w:r>
      <w:r w:rsidR="00DA65E6" w:rsidRPr="00DA65E6">
        <w:rPr>
          <w:rFonts w:cstheme="minorHAnsi"/>
        </w:rPr>
        <w:t>These core microorganisms can be considered versatile species that can adapt</w:t>
      </w:r>
      <w:r w:rsidR="00DA65E6">
        <w:rPr>
          <w:rFonts w:cstheme="minorHAnsi"/>
        </w:rPr>
        <w:t xml:space="preserve"> to the gut environment</w:t>
      </w:r>
      <w:r w:rsidR="00DA65E6" w:rsidRPr="00DA65E6">
        <w:rPr>
          <w:rFonts w:cstheme="minorHAnsi"/>
        </w:rPr>
        <w:t xml:space="preserve"> and persist across</w:t>
      </w:r>
      <w:r w:rsidR="00DA65E6">
        <w:rPr>
          <w:rFonts w:cstheme="minorHAnsi"/>
        </w:rPr>
        <w:t xml:space="preserve"> individual fish and over time</w:t>
      </w:r>
      <w:r w:rsidR="00DA65E6" w:rsidRPr="00DA65E6">
        <w:rPr>
          <w:rFonts w:cstheme="minorHAnsi"/>
        </w:rPr>
        <w:t>.</w:t>
      </w:r>
      <w:r w:rsidR="000145C9">
        <w:rPr>
          <w:rFonts w:cstheme="minorHAnsi"/>
        </w:rPr>
        <w:t xml:space="preserve"> </w:t>
      </w:r>
      <w:r w:rsidR="00A07312">
        <w:rPr>
          <w:rFonts w:cstheme="minorHAnsi"/>
        </w:rPr>
        <w:t xml:space="preserve">However, no </w:t>
      </w:r>
      <w:r w:rsidR="000145C9">
        <w:rPr>
          <w:rFonts w:cstheme="minorHAnsi"/>
        </w:rPr>
        <w:t>OTU</w:t>
      </w:r>
      <w:r w:rsidR="000145C9" w:rsidRPr="005A533D">
        <w:rPr>
          <w:rFonts w:cstheme="minorHAnsi"/>
        </w:rPr>
        <w:t xml:space="preserve"> </w:t>
      </w:r>
      <w:r w:rsidR="000145C9">
        <w:rPr>
          <w:rFonts w:cstheme="minorHAnsi"/>
        </w:rPr>
        <w:t>was</w:t>
      </w:r>
      <w:r w:rsidR="000145C9" w:rsidRPr="005A533D">
        <w:rPr>
          <w:rFonts w:cstheme="minorHAnsi"/>
        </w:rPr>
        <w:t xml:space="preserve"> present in all our samples</w:t>
      </w:r>
      <w:r w:rsidR="000145C9" w:rsidRPr="00C62877">
        <w:rPr>
          <w:rFonts w:cstheme="minorHAnsi"/>
        </w:rPr>
        <w:t>, revealing inter-individual variations among hosts. Most</w:t>
      </w:r>
      <w:r w:rsidR="000145C9">
        <w:rPr>
          <w:rFonts w:cstheme="minorHAnsi"/>
        </w:rPr>
        <w:t xml:space="preserve"> </w:t>
      </w:r>
      <w:proofErr w:type="gramStart"/>
      <w:r w:rsidR="000145C9">
        <w:rPr>
          <w:rFonts w:cstheme="minorHAnsi"/>
        </w:rPr>
        <w:t>positively-selected</w:t>
      </w:r>
      <w:proofErr w:type="gramEnd"/>
      <w:r w:rsidR="000145C9" w:rsidRPr="00C62877">
        <w:rPr>
          <w:rFonts w:cstheme="minorHAnsi"/>
        </w:rPr>
        <w:t xml:space="preserve"> core genera displayed significant differences in their relative abundance across sampling timepoints, suggesting a pronounced seasonality in the composition of core microbial communities in the intestines of juvenile Atlantic </w:t>
      </w:r>
      <w:r w:rsidR="000145C9">
        <w:rPr>
          <w:rFonts w:cstheme="minorHAnsi"/>
        </w:rPr>
        <w:t>s</w:t>
      </w:r>
      <w:r w:rsidR="000145C9" w:rsidRPr="00C62877">
        <w:rPr>
          <w:rFonts w:cstheme="minorHAnsi"/>
        </w:rPr>
        <w:t>almon</w:t>
      </w:r>
      <w:r w:rsidR="000145C9">
        <w:rPr>
          <w:rFonts w:cstheme="minorHAnsi"/>
        </w:rPr>
        <w:t xml:space="preserve"> and strong link</w:t>
      </w:r>
      <w:r w:rsidR="001B4BE2">
        <w:rPr>
          <w:rFonts w:cstheme="minorHAnsi"/>
        </w:rPr>
        <w:t>s</w:t>
      </w:r>
      <w:r w:rsidR="000145C9">
        <w:rPr>
          <w:rFonts w:cstheme="minorHAnsi"/>
        </w:rPr>
        <w:t xml:space="preserve"> to seasonally influenced diet</w:t>
      </w:r>
      <w:r w:rsidR="000145C9" w:rsidRPr="00C62877">
        <w:rPr>
          <w:rFonts w:cstheme="minorHAnsi"/>
        </w:rPr>
        <w:t>.</w:t>
      </w:r>
      <w:r w:rsidR="000145C9">
        <w:rPr>
          <w:rFonts w:cstheme="minorHAnsi"/>
        </w:rPr>
        <w:t xml:space="preserve"> As mentioned in the beginning of this</w:t>
      </w:r>
      <w:r w:rsidR="001B4BE2">
        <w:rPr>
          <w:rFonts w:cstheme="minorHAnsi"/>
        </w:rPr>
        <w:t xml:space="preserve"> discussion</w:t>
      </w:r>
      <w:r w:rsidR="000145C9">
        <w:rPr>
          <w:rFonts w:cstheme="minorHAnsi"/>
        </w:rPr>
        <w:t xml:space="preserve">, some taxa were positively enriched in the gut compared to the environment. </w:t>
      </w:r>
      <w:r w:rsidR="001B4BE2">
        <w:rPr>
          <w:rFonts w:cstheme="minorHAnsi"/>
        </w:rPr>
        <w:t>Out of</w:t>
      </w:r>
      <w:r w:rsidR="000145C9">
        <w:rPr>
          <w:rFonts w:cstheme="minorHAnsi"/>
        </w:rPr>
        <w:t xml:space="preserve"> these taxa our model identified</w:t>
      </w:r>
      <w:r w:rsidR="003B7BCE">
        <w:rPr>
          <w:rFonts w:cstheme="minorHAnsi"/>
        </w:rPr>
        <w:t xml:space="preserve"> positively selected core OTUs associated with</w:t>
      </w:r>
      <w:r w:rsidR="000145C9">
        <w:rPr>
          <w:rFonts w:cstheme="minorHAnsi"/>
        </w:rPr>
        <w:t xml:space="preserve"> </w:t>
      </w:r>
      <w:proofErr w:type="spellStart"/>
      <w:r w:rsidR="000145C9" w:rsidRPr="00CA4AE3">
        <w:rPr>
          <w:rFonts w:cstheme="minorHAnsi"/>
          <w:i/>
          <w:iCs/>
        </w:rPr>
        <w:t>Turicella</w:t>
      </w:r>
      <w:proofErr w:type="spellEnd"/>
      <w:r w:rsidR="000145C9">
        <w:rPr>
          <w:rFonts w:cstheme="minorHAnsi"/>
        </w:rPr>
        <w:t xml:space="preserve">, </w:t>
      </w:r>
      <w:proofErr w:type="spellStart"/>
      <w:r w:rsidR="000145C9" w:rsidRPr="00CA4AE3">
        <w:rPr>
          <w:rFonts w:cstheme="minorHAnsi"/>
          <w:i/>
          <w:iCs/>
        </w:rPr>
        <w:t>Staphylocccus</w:t>
      </w:r>
      <w:proofErr w:type="spellEnd"/>
      <w:r w:rsidR="000145C9">
        <w:rPr>
          <w:rFonts w:cstheme="minorHAnsi"/>
        </w:rPr>
        <w:t xml:space="preserve">, </w:t>
      </w:r>
      <w:proofErr w:type="spellStart"/>
      <w:r w:rsidR="000145C9" w:rsidRPr="00CA4AE3">
        <w:rPr>
          <w:rFonts w:cstheme="minorHAnsi"/>
          <w:i/>
          <w:iCs/>
        </w:rPr>
        <w:t>Schlegella</w:t>
      </w:r>
      <w:proofErr w:type="spellEnd"/>
      <w:r w:rsidR="000145C9">
        <w:rPr>
          <w:rFonts w:cstheme="minorHAnsi"/>
        </w:rPr>
        <w:t xml:space="preserve">, </w:t>
      </w:r>
      <w:proofErr w:type="spellStart"/>
      <w:r w:rsidR="000145C9" w:rsidRPr="00CA4AE3">
        <w:rPr>
          <w:rFonts w:cstheme="minorHAnsi"/>
          <w:i/>
          <w:iCs/>
        </w:rPr>
        <w:t>Pseudoalteromonas</w:t>
      </w:r>
      <w:proofErr w:type="spellEnd"/>
      <w:r w:rsidR="000145C9">
        <w:rPr>
          <w:rFonts w:cstheme="minorHAnsi"/>
        </w:rPr>
        <w:t xml:space="preserve">, </w:t>
      </w:r>
      <w:proofErr w:type="spellStart"/>
      <w:r w:rsidR="000145C9" w:rsidRPr="00CA4AE3">
        <w:rPr>
          <w:rFonts w:cstheme="minorHAnsi"/>
          <w:i/>
          <w:iCs/>
        </w:rPr>
        <w:t>Delftia</w:t>
      </w:r>
      <w:proofErr w:type="spellEnd"/>
      <w:r w:rsidR="000145C9">
        <w:rPr>
          <w:rFonts w:cstheme="minorHAnsi"/>
        </w:rPr>
        <w:t xml:space="preserve">, </w:t>
      </w:r>
      <w:proofErr w:type="spellStart"/>
      <w:r w:rsidR="000145C9" w:rsidRPr="00CA4AE3">
        <w:rPr>
          <w:rFonts w:cstheme="minorHAnsi"/>
          <w:i/>
          <w:iCs/>
        </w:rPr>
        <w:t>Aliivibrio</w:t>
      </w:r>
      <w:proofErr w:type="spellEnd"/>
      <w:r w:rsidR="000145C9">
        <w:rPr>
          <w:rFonts w:cstheme="minorHAnsi"/>
        </w:rPr>
        <w:t xml:space="preserve">, </w:t>
      </w:r>
      <w:proofErr w:type="spellStart"/>
      <w:r w:rsidR="000145C9" w:rsidRPr="00CA4AE3">
        <w:rPr>
          <w:rFonts w:cstheme="minorHAnsi"/>
          <w:i/>
          <w:iCs/>
        </w:rPr>
        <w:t>Axicodovorax</w:t>
      </w:r>
      <w:proofErr w:type="spellEnd"/>
      <w:r w:rsidR="000145C9">
        <w:rPr>
          <w:rFonts w:cstheme="minorHAnsi"/>
        </w:rPr>
        <w:t xml:space="preserve"> and </w:t>
      </w:r>
      <w:proofErr w:type="spellStart"/>
      <w:r w:rsidR="000145C9" w:rsidRPr="00CA4AE3">
        <w:rPr>
          <w:rFonts w:cstheme="minorHAnsi"/>
          <w:i/>
          <w:iCs/>
        </w:rPr>
        <w:t>Psychrobacter</w:t>
      </w:r>
      <w:proofErr w:type="spellEnd"/>
      <w:r w:rsidR="003B7BCE">
        <w:rPr>
          <w:rFonts w:cstheme="minorHAnsi"/>
        </w:rPr>
        <w:t xml:space="preserve">. </w:t>
      </w:r>
      <w:r w:rsidR="000145C9" w:rsidRPr="00CA4AE3">
        <w:rPr>
          <w:rFonts w:cstheme="minorHAnsi"/>
          <w:i/>
          <w:iCs/>
        </w:rPr>
        <w:t>Mycoplasma</w:t>
      </w:r>
      <w:r w:rsidR="000145C9">
        <w:rPr>
          <w:rFonts w:cstheme="minorHAnsi"/>
        </w:rPr>
        <w:t xml:space="preserve"> a genus that was found to be an important member in other studies of Atlantic salmon intestines, especially in the marine phase </w:t>
      </w:r>
      <w:r w:rsidR="000145C9">
        <w:rPr>
          <w:rFonts w:cstheme="minorHAnsi"/>
        </w:rPr>
        <w:fldChar w:fldCharType="begin"/>
      </w:r>
      <w:r w:rsidR="000145C9">
        <w:rPr>
          <w:rFonts w:cstheme="minorHAnsi"/>
        </w:rPr>
        <w:instrText xml:space="preserve"> ADDIN ZOTERO_ITEM CSL_CITATION {"citationID":"cw2Ex7nA","properties":{"formattedCitation":"(Cheaib et al., 2021; Heys et al., 2020; Llewellyn et al., 2016; Rasmussen et al., 2021, 2023)","plainCitation":"(Cheaib et al., 2021; Heys et al., 2020; Llewellyn et al., 2016; Rasmussen et al., 2021, 2023)","noteIndex":0},"citationItems":[{"id":1567,"uris":["http://zotero.org/users/9227957/items/YNM2Z6PU"],"itemData":{"id":1567,"type":"article-journal","abstract":"Mycoplasmas are the smallest autonomously self-replicating life form on the planet. Members of this bacterial genus are known to parasitise a wide array of metazoans including vertebrates. Whilst much research has been significant targeted at parasitic mammalian mycoplasmas, very little is known about their role in other vertebrates. In the current study, we aim to explore the biology of mycoplasmas in Atlantic Salmon, a species of major significance for aquaculture, including cellular niche, genome size structure and gene content. Using fluorescent in-situ hybridisation (FISH), mycoplasmas were targeted in epithelial tissues across the digestive tract (stomach, pyloric caecum and midgut) from different development stages (eggs, parr, subadult) of farmed Atlantic salmon (Salmo salar), and we present evidence for an intracellular niche for some of the microbes visualised. Via shotgun metagenomic sequencing, a nearly complete, albeit small, genome (~0.57 MB) as assembled from a farmed Atlantic salmon subadult. Phylogenetic analysis of the recovered genome revealed taxonomic proximity to other salmon derived mycoplasmas, as well as to the human pathogen Mycoplasma penetrans (~1.36 Mb). We annotated coding sequences and identified riboflavin pathway encoding genes and sugar transporters, the former potentially consistent with micronutrient provisioning in salmonid development. Our study provides insights into mucosal adherence, the cellular niche and gene catalog of Mycoplasma in the gut ecosystem of the Atlantic salmon, suggesting a high dependency of this minimalist bacterium on its host. Further study is required to explore and functional role of Mycoplasma in the nutrition and development of its salmonid host.","container-title":"Aquaculture","DOI":"10.1016/j.aquaculture.2021.736772","ISSN":"0044-8486","journalAbbreviation":"Aquaculture","language":"en","page":"736772","source":"ScienceDirect","title":"Genome erosion and evidence for an intracellular niche – exploring the biology of mycoplasmas in Atlantic salmon","volume":"541","author":[{"family":"Cheaib","given":"B."},{"family":"Yang","given":"P."},{"family":"Kazlauskaite","given":"R."},{"family":"Lindsay","given":"E."},{"family":"Heys","given":"C."},{"family":"Dwyer","given":"T."},{"family":"De Noia","given":"M."},{"family":"Schaal","given":"Patrick"},{"family":"Sloan","given":"W."},{"family":"Ijaz","given":"U. Z."},{"family":"Llewellyn","given":"M. S."}],"issued":{"date-parts":[["2021",8,30]]}}},{"id":253,"uris":["http://zotero.org/users/9227957/items/3SY334AA"],"itemData":{"id":253,"type":"article-journal","container-title":"Applied and Environmental Microbiology","DOI":"10.1128/AEM.02283-19","issue":"8","note":"publisher: American Society for Microbiology","page":"e02283-19","source":"journals.asm.org (Atypon)","title":"Neutral Processes Dominate Microbial Community Assembly in Atlantic Salmon, Salmo salar","volume":"86","author":[{"family":"Heys","given":"C."},{"family":"Cheaib","given":"B."},{"family":"Busetti","given":"A."},{"family":"Kazlauskaite","given":"R."},{"family":"Maier","given":"L."},{"family":"Sloan","given":"W. T."},{"family":"Ijaz","given":"U. Z."},{"family":"Kaufmann","given":"J."},{"family":"McGinnity","given":"P."},{"family":"Llewellyn","given":"M. S."}],"issued":{"date-parts":[["2020"]]}}},{"id":269,"uris":["http://zotero.org/users/9227957/items/ZRZBPC2N"],"itemData":{"id":269,"type":"article-journal","abstract":"Although understood in many vertebrate systems, the natural diversity of host-associated microbiota has been little studied in teleosts. For migratory fishes, successful exploitation of multiple habitats may affect and be affected by the composition of the intestinal microbiome. We collected 96 Salmo salar from across the Atlantic encompassing both freshwater and marine phases. Dramatic differences between environmental and gut bacterial communities were observed. Furthermore, community composition was not significantly impacted by geography. Instead life-cycle stage strongly defined both the diversity and identity of microbial assemblages in the gut, with evidence for community destabilisation in migratory phases. Mycoplasmataceae phylotypes were abundantly recovered in all life-cycle stages. Patterns of Mycoplasmataceae phylotype recruitment to the intestinal microbial community among sites and life-cycle stages support a dual role for deterministic and stochastic processes in defining the composition of the S. salar gut microbiome.","container-title":"The ISME Journal","DOI":"10.1038/ismej.2015.189","ISSN":"1751-7370","issue":"5","journalAbbreviation":"ISME J","language":"en","license":"2016 International Society for Microbial Ecology","note":"number: 5\npublisher: Nature Publishing Group","page":"1280-1284","source":"www.nature.com","title":"The biogeography of the atlantic salmon (Salmo salar) gut microbiome","volume":"10","author":[{"family":"Llewellyn","given":"Martin S."},{"family":"McGinnity","given":"Philip"},{"family":"Dionne","given":"Melanie"},{"family":"Letourneau","given":"Justine"},{"family":"Thonier","given":"Florian"},{"family":"Carvalho","given":"Gary R."},{"family":"Creer","given":"Simon"},{"family":"Derome","given":"Nicolas"}],"issued":{"date-parts":[["2016",5]]}}},{"id":702,"uris":["http://zotero.org/users/9227957/items/AKW7ZM59"],"itemData":{"id":702,"type":"article-journal","abstract":"Salmonids are important sources of protein for a large proportion of the human population. Mycoplasma species are a major constituent of the gut microbiota of salmonids, often representing the majority of microbiota. Despite the frequent reported dominance of salmonid-related Mycoplasma species, little is known about the phylogenomic placement, functions and potential evolutionary relationships with their salmonid hosts. In this study, we utilise 2.9 billion metagenomic reads generated from 12 samples from three different salmonid host species to I) characterise and curate the first metagenome-assembled genomes (MAGs) of Mycoplasma dominating the intestines of three different salmonid species, II) establish the phylogeny of these salmonid candidate Mycoplasma species, III) perform a comprehensive pangenomic analysis of Mycoplasma, IV) decipher the putative functionalities of the salmonid MAGs and reveal specific functions expected to benefit the host. Our data provide a basis for future studies examining the composition and function of the salmonid microbiota.","container-title":"Communications Biology","DOI":"10.1038/s42003-021-02105-1","ISSN":"2399-3642","issue":"1","journalAbbreviation":"Commun Biol","language":"en","license":"2021 The Author(s)","note":"number: 1\npublisher: Nature Publishing Group","page":"1-10","source":"www.nature.com","title":"Genome-resolved metagenomics suggests a mutualistic relationship between Mycoplasma and salmonid hosts","volume":"4","author":[{"family":"Rasmussen","given":"Jacob A."},{"family":"Villumsen","given":"Kasper R."},{"family":"Duchêne","given":"David A."},{"family":"Puetz","given":"Lara C."},{"family":"Delmont","given":"Tom O."},{"family":"Sveier","given":"Harald"},{"family":"Jørgensen","given":"Louise von Gersdorff"},{"family":"Præbel","given":"Kim"},{"family":"Martin","given":"Michael D."},{"family":"Bojesen","given":"Anders M."},{"family":"Gilbert","given":"M. Thomas P."},{"family":"Kristiansen","given":"Karsten"},{"family":"Limborg","given":"Morten T."}],"issued":{"date-parts":[["2021",5,14]]}},"label":"page"},{"id":700,"uris":["http://zotero.org/users/9227957/items/TYR8LFQX"],"itemData":{"id":700,"type":"article-journal","abstract":"Understanding the evolutionary relationships between a host and its intestinal resident bacteria can transform how we understand adaptive phenotypic traits. The interplay between hosts and their resident bacteria inevitably affects the intestinal environment and, thereby, the living conditions of both the host and the microbiota. Thereby this co-existence likely influences the fitness of both bacteria and host. Whether this co-existence leads to evolutionary co-diversification in animals is largely unexplored, mainly due to the complexity of the environment and microbial communities and the often low host selection. We present the gut metagenome from wild Atlantic salmon (Salmo salar), a new wild organism model with an intestinal microbiota of low complexity and a well-described population structure, making it well-suited for investigating co-evolution. Our data reveal a strong host selection of a core gut microbiota dominated by a single Mycoplasma species. We found a clear co-diversification between the population structure of Atlantic salmon and nucleotide variability of the intestinal Mycoplasma populations conforming to expectations from co-evolution between host and resident bacteria. Our results show that the stable microbiota of Atlantic salmon has evolved with its salmonid host populations while potentially providing adaptive traits to the salmon host populations, including defence mechanisms, biosynthesis of essential amino acids, and metabolism of B vitamins. We highlight Atlantic salmon as a novel model for studying co-evolution between vertebrate hosts and their resident bacteria.","container-title":"The ISME Journal","DOI":"10.1038/s41396-023-01379-z","ISSN":"1751-7370","issue":"5","journalAbbreviation":"ISME J","language":"en","license":"2023 The Author(s)","note":"number: 5\npublisher: Nature Publishing Group","page":"682-692","source":"www.nature.com","title":"Co-diversification of an intestinal Mycoplasma and its salmonid host","volume":"17","author":[{"family":"Rasmussen","given":"Jacob A."},{"family":"Kiilerich","given":"Pia"},{"family":"Madhun","given":"Abdullah S."},{"family":"Waagbø","given":"Rune"},{"family":"Lock","given":"Erik-Jan R."},{"family":"Madsen","given":"Lise"},{"family":"Gilbert","given":"M. Thomas P."},{"family":"Kristiansen","given":"Karsten"},{"family":"Limborg","given":"Morten T."}],"issued":{"date-parts":[["2023",5]]}}}],"schema":"https://github.com/citation-style-language/schema/raw/master/csl-citation.json"} </w:instrText>
      </w:r>
      <w:r w:rsidR="000145C9">
        <w:rPr>
          <w:rFonts w:cstheme="minorHAnsi"/>
        </w:rPr>
        <w:fldChar w:fldCharType="separate"/>
      </w:r>
      <w:r w:rsidR="000145C9" w:rsidRPr="000145C9">
        <w:rPr>
          <w:rFonts w:ascii="Calibri" w:hAnsi="Calibri" w:cs="Calibri"/>
        </w:rPr>
        <w:t>(Cheaib et al., 2021; Heys et al., 2020; Llewellyn et al., 2016; Rasmussen et al., 2021, 2023)</w:t>
      </w:r>
      <w:r w:rsidR="000145C9">
        <w:rPr>
          <w:rFonts w:cstheme="minorHAnsi"/>
        </w:rPr>
        <w:fldChar w:fldCharType="end"/>
      </w:r>
      <w:r w:rsidR="000145C9">
        <w:rPr>
          <w:rFonts w:cstheme="minorHAnsi"/>
        </w:rPr>
        <w:t xml:space="preserve">, was only observed in small numbers of fish in our study. However, all OTUs associated with </w:t>
      </w:r>
      <w:r w:rsidR="000145C9" w:rsidRPr="008523A1">
        <w:rPr>
          <w:rFonts w:cstheme="minorHAnsi"/>
          <w:i/>
        </w:rPr>
        <w:t>Mycoplasma</w:t>
      </w:r>
      <w:r w:rsidR="000145C9">
        <w:rPr>
          <w:rFonts w:cstheme="minorHAnsi"/>
        </w:rPr>
        <w:t xml:space="preserve"> were predicted to be more frequently abundant than estimated by our neutral model, indicating deterministic selection.</w:t>
      </w:r>
      <w:r w:rsidR="004F1D47">
        <w:rPr>
          <w:rFonts w:cstheme="minorHAnsi"/>
        </w:rPr>
        <w:t xml:space="preserve"> It </w:t>
      </w:r>
      <w:r w:rsidR="00B95179">
        <w:rPr>
          <w:rFonts w:cstheme="minorHAnsi"/>
        </w:rPr>
        <w:t>is</w:t>
      </w:r>
      <w:r w:rsidR="004F1D47">
        <w:rPr>
          <w:rFonts w:cstheme="minorHAnsi"/>
        </w:rPr>
        <w:t xml:space="preserve"> possible that this genus establishes predominance over the course of Atlantic salmon development </w:t>
      </w:r>
      <w:r w:rsidR="004F1D47">
        <w:rPr>
          <w:rFonts w:cstheme="minorHAnsi"/>
        </w:rPr>
        <w:fldChar w:fldCharType="begin"/>
      </w:r>
      <w:r w:rsidR="004F1D47">
        <w:rPr>
          <w:rFonts w:cstheme="minorHAnsi"/>
        </w:rPr>
        <w:instrText xml:space="preserve"> ADDIN ZOTERO_ITEM CSL_CITATION {"citationID":"cvmFL32L","properties":{"formattedCitation":"(Llewellyn et al., 2016)","plainCitation":"(Llewellyn et al., 2016)","noteIndex":0},"citationItems":[{"id":269,"uris":["http://zotero.org/users/9227957/items/ZRZBPC2N"],"itemData":{"id":269,"type":"article-journal","abstract":"Although understood in many vertebrate systems, the natural diversity of host-associated microbiota has been little studied in teleosts. For migratory fishes, successful exploitation of multiple habitats may affect and be affected by the composition of the intestinal microbiome. We collected 96 Salmo salar from across the Atlantic encompassing both freshwater and marine phases. Dramatic differences between environmental and gut bacterial communities were observed. Furthermore, community composition was not significantly impacted by geography. Instead life-cycle stage strongly defined both the diversity and identity of microbial assemblages in the gut, with evidence for community destabilisation in migratory phases. Mycoplasmataceae phylotypes were abundantly recovered in all life-cycle stages. Patterns of Mycoplasmataceae phylotype recruitment to the intestinal microbial community among sites and life-cycle stages support a dual role for deterministic and stochastic processes in defining the composition of the S. salar gut microbiome.","container-title":"The ISME Journal","DOI":"10.1038/ismej.2015.189","ISSN":"1751-7370","issue":"5","journalAbbreviation":"ISME J","language":"en","license":"2016 International Society for Microbial Ecology","note":"number: 5\npublisher: Nature Publishing Group","page":"1280-1284","source":"www.nature.com","title":"The biogeography of the atlantic salmon (Salmo salar) gut microbiome","volume":"10","author":[{"family":"Llewellyn","given":"Martin S."},{"family":"McGinnity","given":"Philip"},{"family":"Dionne","given":"Melanie"},{"family":"Letourneau","given":"Justine"},{"family":"Thonier","given":"Florian"},{"family":"Carvalho","given":"Gary R."},{"family":"Creer","given":"Simon"},{"family":"Derome","given":"Nicolas"}],"issued":{"date-parts":[["2016",5]]}}}],"schema":"https://github.com/citation-style-language/schema/raw/master/csl-citation.json"} </w:instrText>
      </w:r>
      <w:r w:rsidR="004F1D47">
        <w:rPr>
          <w:rFonts w:cstheme="minorHAnsi"/>
        </w:rPr>
        <w:fldChar w:fldCharType="separate"/>
      </w:r>
      <w:r w:rsidR="004F1D47" w:rsidRPr="004F1D47">
        <w:rPr>
          <w:rFonts w:ascii="Calibri" w:hAnsi="Calibri" w:cs="Calibri"/>
        </w:rPr>
        <w:t>(Llewellyn et al., 2016)</w:t>
      </w:r>
      <w:r w:rsidR="004F1D47">
        <w:rPr>
          <w:rFonts w:cstheme="minorHAnsi"/>
        </w:rPr>
        <w:fldChar w:fldCharType="end"/>
      </w:r>
      <w:r w:rsidR="004F1D47">
        <w:rPr>
          <w:rFonts w:cstheme="minorHAnsi"/>
        </w:rPr>
        <w:t>. Whilst characteri</w:t>
      </w:r>
      <w:r w:rsidR="00B95179">
        <w:rPr>
          <w:rFonts w:cstheme="minorHAnsi"/>
        </w:rPr>
        <w:t>s</w:t>
      </w:r>
      <w:r w:rsidR="004F1D47">
        <w:rPr>
          <w:rFonts w:cstheme="minorHAnsi"/>
        </w:rPr>
        <w:t>ing core microbiota, we found several other similarities to previous studies that have characteri</w:t>
      </w:r>
      <w:r w:rsidR="00B95179">
        <w:rPr>
          <w:rFonts w:cstheme="minorHAnsi"/>
        </w:rPr>
        <w:t>s</w:t>
      </w:r>
      <w:r w:rsidR="004F1D47">
        <w:rPr>
          <w:rFonts w:cstheme="minorHAnsi"/>
        </w:rPr>
        <w:t xml:space="preserve">ed core members of gut microbial communities in juvenile Atlantic salmon sampled in freshwater. For instance, </w:t>
      </w:r>
      <w:r w:rsidR="004F1D47" w:rsidRPr="00402551">
        <w:rPr>
          <w:rFonts w:cstheme="minorHAnsi"/>
          <w:i/>
          <w:iCs/>
        </w:rPr>
        <w:t>Corynebacterium</w:t>
      </w:r>
      <w:r w:rsidR="004F1D47">
        <w:rPr>
          <w:rFonts w:cstheme="minorHAnsi"/>
        </w:rPr>
        <w:t xml:space="preserve">, several </w:t>
      </w:r>
      <w:r w:rsidR="004F1D47" w:rsidRPr="0028139C">
        <w:rPr>
          <w:rFonts w:cstheme="minorHAnsi"/>
        </w:rPr>
        <w:t>Firmicutes</w:t>
      </w:r>
      <w:r w:rsidR="004F1D47">
        <w:rPr>
          <w:rFonts w:cstheme="minorHAnsi"/>
        </w:rPr>
        <w:t xml:space="preserve"> and </w:t>
      </w:r>
      <w:proofErr w:type="spellStart"/>
      <w:r w:rsidR="004F1D47" w:rsidRPr="0028139C">
        <w:rPr>
          <w:rFonts w:cstheme="minorHAnsi"/>
        </w:rPr>
        <w:t>Vibrionales</w:t>
      </w:r>
      <w:proofErr w:type="spellEnd"/>
      <w:r w:rsidR="004F1D47">
        <w:rPr>
          <w:rFonts w:cstheme="minorHAnsi"/>
        </w:rPr>
        <w:t xml:space="preserve"> are often reported as core contributors of Atlantic salmon gut microbial communities </w:t>
      </w:r>
      <w:r w:rsidR="004F1D47">
        <w:rPr>
          <w:rFonts w:cstheme="minorHAnsi"/>
        </w:rPr>
        <w:fldChar w:fldCharType="begin"/>
      </w:r>
      <w:r w:rsidR="004F1D47">
        <w:rPr>
          <w:rFonts w:cstheme="minorHAnsi"/>
        </w:rPr>
        <w:instrText xml:space="preserve"> ADDIN ZOTERO_ITEM CSL_CITATION {"citationID":"vFXJxUo6","properties":{"formattedCitation":"(Gajardo et al., 2016; Uren Webster et al., 2018)","plainCitation":"(Gajardo et al., 2016; Uren Webster et al., 2018)","noteIndex":0},"citationItems":[{"id":263,"uris":["http://zotero.org/users/9227957/items/CRUTFEW9"],"itemData":{"id":263,"type":"article-journal","abstract":"Gut health challenges, possibly related to alterations in gut microbiota, caused by plant ingredients in the diets, cause losses in Atlantic salmon production. To investigate the role of the microbiota for gut function and health, detailed characterization of the gut microbiota is needed. We present the first in-depth characterization of salmon gut microbiota based on high-throughput sequencing of the 16S rRNA gene’s V1-V2 region. Samples were taken from five intestinal compartments: digesta from proximal, mid and distal intestine and of mucosa from mid and distal intestine of 67.3 g salmon kept in seawater (12–14 °C) and fed a commercial diet for 4 weeks. Microbial richness and diversity differed significantly and were higher in the digesta than the mucosa. In mucosa, Proteobacteria dominated the microbiota (90%), whereas in digesta both Proteobacteria (47%) and Firmicutes (38%) showed high abundance. Future studies of diet and environmental impacts on gut microbiota should therefore differentiate between effects on mucosa and digesta in the proximal, mid and the distal intestine. A core microbiota, represented by 22 OTUs, was found in 80% of the samples. The gut microbiota of Atlantic salmon showed similarities with that of mammals.","container-title":"Scientific Reports","DOI":"10.1038/srep30893","ISSN":"2045-2322","issue":"1","journalAbbreviation":"Sci Rep","language":"en","license":"2016 The Author(s)","note":"number: 1\npublisher: Nature Publishing Group","page":"30893","source":"www.nature.com","title":"A high-resolution map of the gut microbiota in Atlantic salmon (Salmo salar): A basis for comparative gut microbial research","title-short":"A high-resolution map of the gut microbiota in Atlantic salmon (Salmo salar)","volume":"6","author":[{"family":"Gajardo","given":"Karina"},{"family":"Rodiles","given":"Ana"},{"family":"Kortner","given":"Trond M."},{"family":"Krogdahl","given":"Åshild"},{"family":"Bakke","given":"Anne Marie"},{"family":"Merrifield","given":"Daniel L."},{"family":"Sørum","given":"Henning"}],"issued":{"date-parts":[["2016",8,3]]}}},{"id":62,"uris":["http://zotero.org/users/9227957/items/XH9XCYDJ"],"itemData":{"id":62,"type":"article-journal","container-title":"Applied and Environmental Microbiology","DOI":"10.1128/AEM.00691-18","issue":"16","note":"publisher: American Society for Microbiology","page":"e00691-18","source":"journals.asm.org (Atypon)","title":"Interpopulation Variation in the Atlantic Salmon Microbiome Reflects Environmental and Genetic Diversity","volume":"84","author":[{"family":"Uren Webster","given":"Tamsyn M."},{"family":"Consuegra","given":"Sofia"},{"family":"Hitchings","given":"Matthew"},{"family":"Garcia de Leaniz","given":"Carlos"}],"issued":{"date-parts":[["2018"]]}}}],"schema":"https://github.com/citation-style-language/schema/raw/master/csl-citation.json"} </w:instrText>
      </w:r>
      <w:r w:rsidR="004F1D47">
        <w:rPr>
          <w:rFonts w:cstheme="minorHAnsi"/>
        </w:rPr>
        <w:fldChar w:fldCharType="separate"/>
      </w:r>
      <w:r w:rsidR="004F1D47" w:rsidRPr="00CB1784">
        <w:rPr>
          <w:rFonts w:ascii="Calibri" w:hAnsi="Calibri" w:cs="Calibri"/>
        </w:rPr>
        <w:t>(Gajardo et al., 2016; Uren Webster et al., 2018)</w:t>
      </w:r>
      <w:r w:rsidR="004F1D47">
        <w:rPr>
          <w:rFonts w:cstheme="minorHAnsi"/>
        </w:rPr>
        <w:fldChar w:fldCharType="end"/>
      </w:r>
      <w:r w:rsidR="004F1D47">
        <w:rPr>
          <w:rFonts w:cstheme="minorHAnsi"/>
        </w:rPr>
        <w:t xml:space="preserve">. </w:t>
      </w:r>
      <w:r w:rsidR="004F1D47" w:rsidRPr="005A6EC0">
        <w:rPr>
          <w:rFonts w:cstheme="minorHAnsi"/>
        </w:rPr>
        <w:t>The model used in th</w:t>
      </w:r>
      <w:r w:rsidR="004F1D47">
        <w:rPr>
          <w:rFonts w:cstheme="minorHAnsi"/>
        </w:rPr>
        <w:t>is</w:t>
      </w:r>
      <w:r w:rsidR="004F1D47" w:rsidRPr="005A6EC0">
        <w:rPr>
          <w:rFonts w:cstheme="minorHAnsi"/>
        </w:rPr>
        <w:t xml:space="preserve"> study</w:t>
      </w:r>
      <w:r w:rsidR="004F1D47">
        <w:rPr>
          <w:rFonts w:cstheme="minorHAnsi"/>
        </w:rPr>
        <w:t xml:space="preserve"> also</w:t>
      </w:r>
      <w:r w:rsidR="004F1D47" w:rsidRPr="005A6EC0">
        <w:rPr>
          <w:rFonts w:cstheme="minorHAnsi"/>
        </w:rPr>
        <w:t xml:space="preserve"> </w:t>
      </w:r>
      <w:r w:rsidR="004F1D47">
        <w:rPr>
          <w:rFonts w:cstheme="minorHAnsi"/>
        </w:rPr>
        <w:t>classified OTUs associated to</w:t>
      </w:r>
      <w:r w:rsidR="004F1D47" w:rsidRPr="005A6EC0">
        <w:rPr>
          <w:rFonts w:cstheme="minorHAnsi"/>
        </w:rPr>
        <w:t xml:space="preserve"> bacteria of marine origin</w:t>
      </w:r>
      <w:r w:rsidR="004F1D47">
        <w:rPr>
          <w:rFonts w:cstheme="minorHAnsi"/>
        </w:rPr>
        <w:t xml:space="preserve"> (</w:t>
      </w:r>
      <w:proofErr w:type="spellStart"/>
      <w:r w:rsidR="004F1D47" w:rsidRPr="005A6EC0">
        <w:rPr>
          <w:rFonts w:cstheme="minorHAnsi"/>
          <w:i/>
          <w:iCs/>
        </w:rPr>
        <w:t>Marinomonas</w:t>
      </w:r>
      <w:proofErr w:type="spellEnd"/>
      <w:r w:rsidR="004F1D47" w:rsidRPr="005A6EC0">
        <w:rPr>
          <w:rFonts w:cstheme="minorHAnsi"/>
        </w:rPr>
        <w:t xml:space="preserve"> and</w:t>
      </w:r>
      <w:r w:rsidR="004F1D47">
        <w:rPr>
          <w:rFonts w:cstheme="minorHAnsi"/>
        </w:rPr>
        <w:t xml:space="preserve"> </w:t>
      </w:r>
      <w:proofErr w:type="spellStart"/>
      <w:r w:rsidR="004F1D47" w:rsidRPr="005A6EC0">
        <w:rPr>
          <w:rFonts w:cstheme="minorHAnsi"/>
          <w:i/>
          <w:iCs/>
        </w:rPr>
        <w:t>Pseudoalteromonas</w:t>
      </w:r>
      <w:proofErr w:type="spellEnd"/>
      <w:r w:rsidR="004F1D47">
        <w:rPr>
          <w:rFonts w:cstheme="minorHAnsi"/>
        </w:rPr>
        <w:t xml:space="preserve">) </w:t>
      </w:r>
      <w:r w:rsidR="004F1D47" w:rsidRPr="005A6EC0">
        <w:rPr>
          <w:rFonts w:cstheme="minorHAnsi"/>
        </w:rPr>
        <w:t>as core microbiota.</w:t>
      </w:r>
      <w:r w:rsidR="004F1D47">
        <w:rPr>
          <w:rFonts w:cstheme="minorHAnsi"/>
        </w:rPr>
        <w:t xml:space="preserve"> T</w:t>
      </w:r>
      <w:r w:rsidR="004F1D47" w:rsidRPr="005A6EC0">
        <w:rPr>
          <w:rFonts w:cstheme="minorHAnsi"/>
        </w:rPr>
        <w:t>hese bacteria are known to be highly abundant in marine fish</w:t>
      </w:r>
      <w:r w:rsidR="004F1D47">
        <w:rPr>
          <w:rFonts w:cstheme="minorHAnsi"/>
        </w:rPr>
        <w:t xml:space="preserve"> </w:t>
      </w:r>
      <w:r w:rsidR="004F1D47">
        <w:rPr>
          <w:rFonts w:cstheme="minorHAnsi"/>
        </w:rPr>
        <w:fldChar w:fldCharType="begin"/>
      </w:r>
      <w:r w:rsidR="004F1D47">
        <w:rPr>
          <w:rFonts w:cstheme="minorHAnsi"/>
        </w:rPr>
        <w:instrText xml:space="preserve"> ADDIN ZOTERO_ITEM CSL_CITATION {"citationID":"IeDZhDBZ","properties":{"formattedCitation":"(Schaal et al., 2022)","plainCitation":"(Schaal et al., 2022)","noteIndex":0},"citationItems":[{"id":500,"uris":["http://zotero.org/users/9227957/items/QNULKHEB"],"itemData":{"id":500,"type":"article-journal","abstract":"Rapidly spreading parasitic infections like amoebic gill disease (AGD) are increasingly problematic for Atlantic salmon reared in aquaculture facilities and potentially pose a risk to wild fish species in surrounding waters. Currently, it is not known whether susceptibility to AGD differs between wild and farmed salmon. Wild Atlantic salmon populations are declining and this emerging disease could represent an additional threat to their long-term viability. A better understanding of how AGD affects fish health is therefore relevant for the accurate assessment of the associated risk, both to farming and to the well-being of wild populations. In this study, we assessed the impact of natural exposure to AGD on wild, hybrid and farmed post-smolt Atlantic salmon reared in a sea farm together under common garden conditions.","container-title":"Animal Microbiome","DOI":"10.1186/s42523-022-00203-x","ISSN":"2524-4671","issue":"1","journalAbbreviation":"Animal Microbiome","page":"53","source":"BioMed Central","title":"Links between host genetics, metabolism, gut microbiome and amoebic gill disease (AGD) in Atlantic salmon","volume":"4","author":[{"family":"Schaal","given":"Patrick"},{"family":"Cheaib","given":"Bachar"},{"family":"Kaufmann","given":"Joshka"},{"family":"Phillips","given":"Karl"},{"family":"Ryder","given":"Liz"},{"family":"McGinnity","given":"Phil"},{"family":"Llewellyn","given":"Martin"}],"issued":{"date-parts":[["2022",9,15]]}}}],"schema":"https://github.com/citation-style-language/schema/raw/master/csl-citation.json"} </w:instrText>
      </w:r>
      <w:r w:rsidR="004F1D47">
        <w:rPr>
          <w:rFonts w:cstheme="minorHAnsi"/>
        </w:rPr>
        <w:fldChar w:fldCharType="separate"/>
      </w:r>
      <w:r w:rsidR="004F1D47" w:rsidRPr="00721FAC">
        <w:rPr>
          <w:rFonts w:ascii="Calibri" w:hAnsi="Calibri" w:cs="Calibri"/>
        </w:rPr>
        <w:t>(Schaal et al., 2022)</w:t>
      </w:r>
      <w:r w:rsidR="004F1D47">
        <w:rPr>
          <w:rFonts w:cstheme="minorHAnsi"/>
        </w:rPr>
        <w:fldChar w:fldCharType="end"/>
      </w:r>
      <w:r w:rsidR="004F1D47" w:rsidRPr="005A6EC0">
        <w:rPr>
          <w:rFonts w:cstheme="minorHAnsi"/>
        </w:rPr>
        <w:t xml:space="preserve"> and</w:t>
      </w:r>
      <w:r w:rsidR="004F1D47">
        <w:rPr>
          <w:rFonts w:cstheme="minorHAnsi"/>
        </w:rPr>
        <w:t xml:space="preserve"> as mentioned previously,</w:t>
      </w:r>
      <w:r w:rsidR="004F1D47" w:rsidRPr="005A6EC0">
        <w:rPr>
          <w:rFonts w:cstheme="minorHAnsi"/>
        </w:rPr>
        <w:t xml:space="preserve"> their presence in juvenile freshwater fish could possibly be due to maternal transmission during birth.</w:t>
      </w:r>
      <w:r w:rsidR="004F1D47">
        <w:rPr>
          <w:rFonts w:cstheme="minorHAnsi"/>
        </w:rPr>
        <w:t xml:space="preserve"> </w:t>
      </w:r>
      <w:r w:rsidR="004F1D47" w:rsidRPr="004F1D47">
        <w:rPr>
          <w:rFonts w:cstheme="minorHAnsi"/>
        </w:rPr>
        <w:t>However,</w:t>
      </w:r>
      <w:r w:rsidR="004F1D47">
        <w:rPr>
          <w:rFonts w:cstheme="minorHAnsi"/>
        </w:rPr>
        <w:t xml:space="preserve"> knowledge about</w:t>
      </w:r>
      <w:r w:rsidR="004F1D47" w:rsidRPr="004F1D47">
        <w:rPr>
          <w:rFonts w:cstheme="minorHAnsi"/>
        </w:rPr>
        <w:t xml:space="preserve"> maternal effects on microbiota in </w:t>
      </w:r>
      <w:r w:rsidR="004F1D47" w:rsidRPr="004F1D47">
        <w:rPr>
          <w:rFonts w:cstheme="minorHAnsi"/>
        </w:rPr>
        <w:lastRenderedPageBreak/>
        <w:t xml:space="preserve">oviparous fish </w:t>
      </w:r>
      <w:r w:rsidR="004F1D47">
        <w:rPr>
          <w:rFonts w:cstheme="minorHAnsi"/>
        </w:rPr>
        <w:t xml:space="preserve">is </w:t>
      </w:r>
      <w:r w:rsidR="004F1D47" w:rsidRPr="004F1D47">
        <w:rPr>
          <w:rFonts w:cstheme="minorHAnsi"/>
        </w:rPr>
        <w:t>lacking</w:t>
      </w:r>
      <w:r w:rsidR="004F1D47">
        <w:rPr>
          <w:rFonts w:cstheme="minorHAnsi"/>
        </w:rPr>
        <w:t>.</w:t>
      </w:r>
      <w:r w:rsidR="00EF416D">
        <w:rPr>
          <w:rFonts w:cstheme="minorHAnsi"/>
        </w:rPr>
        <w:t xml:space="preserve"> </w:t>
      </w:r>
      <w:r w:rsidR="00EF416D" w:rsidRPr="00EF416D">
        <w:rPr>
          <w:rFonts w:cstheme="minorHAnsi"/>
        </w:rPr>
        <w:t>It is crucial to recogni</w:t>
      </w:r>
      <w:r w:rsidR="00EF416D">
        <w:rPr>
          <w:rFonts w:cstheme="minorHAnsi"/>
        </w:rPr>
        <w:t>s</w:t>
      </w:r>
      <w:r w:rsidR="00EF416D" w:rsidRPr="00EF416D">
        <w:rPr>
          <w:rFonts w:cstheme="minorHAnsi"/>
        </w:rPr>
        <w:t>e that even though certain OTUs may be classified as neutral, indicating a higher probability of having a short presence in the gut, they can still play a significant role in shaping the overall community structure. This is because these OTUs may interact with the resident microbiota, influencing their composition and function</w:t>
      </w:r>
      <w:r w:rsidR="00EF416D">
        <w:rPr>
          <w:rFonts w:cstheme="minorHAnsi"/>
        </w:rPr>
        <w:t>.</w:t>
      </w:r>
      <w:r w:rsidR="00120802">
        <w:rPr>
          <w:rFonts w:cstheme="minorHAnsi"/>
        </w:rPr>
        <w:t xml:space="preserve"> The question remains how those taxa influence residence bacteria and under what (environmental) circumstances those taxa can incorporate themselves into the resident community. Understanding this process would be especially beneficial to improve the applicability of pre and probiotic treatments.</w:t>
      </w:r>
    </w:p>
    <w:p w14:paraId="70F6FA49" w14:textId="77777777" w:rsidR="004770F4" w:rsidRDefault="004770F4" w:rsidP="004770F4">
      <w:pPr>
        <w:pStyle w:val="Heading1"/>
        <w:spacing w:line="480" w:lineRule="auto"/>
      </w:pPr>
      <w:r>
        <w:t>Conclusion</w:t>
      </w:r>
    </w:p>
    <w:p w14:paraId="4DECC93D" w14:textId="3810D272" w:rsidR="004770F4" w:rsidRDefault="004770F4" w:rsidP="004770F4">
      <w:pPr>
        <w:spacing w:line="480" w:lineRule="auto"/>
      </w:pPr>
      <w:r w:rsidRPr="006A60F4">
        <w:t>This study provides a comp</w:t>
      </w:r>
      <w:r>
        <w:t>rehensive</w:t>
      </w:r>
      <w:r w:rsidRPr="006A60F4">
        <w:t xml:space="preserve"> overview about the factors governing gut microbial succession in Atlantic salmon utili</w:t>
      </w:r>
      <w:r>
        <w:t>s</w:t>
      </w:r>
      <w:r w:rsidRPr="006A60F4">
        <w:t xml:space="preserve">ing </w:t>
      </w:r>
      <w:r>
        <w:rPr>
          <w:rFonts w:cstheme="minorHAnsi"/>
        </w:rPr>
        <w:t>a large-scale</w:t>
      </w:r>
      <w:r w:rsidRPr="001370A2">
        <w:rPr>
          <w:rFonts w:cstheme="minorHAnsi"/>
        </w:rPr>
        <w:t xml:space="preserve"> common garden </w:t>
      </w:r>
      <w:r>
        <w:rPr>
          <w:rFonts w:cstheme="minorHAnsi"/>
        </w:rPr>
        <w:t xml:space="preserve">experiment undertaken in the wild. </w:t>
      </w:r>
      <w:r w:rsidRPr="00CE4D7A">
        <w:t xml:space="preserve">The results suggest that gut microbial community composition is highly dynamic and undergoes considerable changes over time, driven by </w:t>
      </w:r>
      <w:r>
        <w:t>both deterministic and stochastic processes</w:t>
      </w:r>
      <w:r w:rsidRPr="00CE4D7A">
        <w:t>.</w:t>
      </w:r>
      <w:r w:rsidR="001128E7">
        <w:t xml:space="preserve"> </w:t>
      </w:r>
      <w:bookmarkStart w:id="8" w:name="_Hlk136341455"/>
      <w:r>
        <w:t xml:space="preserve">We found distinct microbial profiles of water, </w:t>
      </w:r>
      <w:proofErr w:type="gramStart"/>
      <w:r>
        <w:t>macroinvertebrate</w:t>
      </w:r>
      <w:proofErr w:type="gramEnd"/>
      <w:r>
        <w:t xml:space="preserve"> and intestine communities,</w:t>
      </w:r>
      <w:r w:rsidR="005949C4">
        <w:t xml:space="preserve"> which indicates that</w:t>
      </w:r>
      <w:r>
        <w:t xml:space="preserve"> </w:t>
      </w:r>
      <w:r w:rsidR="005949C4">
        <w:t>microbial communities in fish are shaped by the environmental filter conditioned by the gut ecosystem</w:t>
      </w:r>
      <w:r>
        <w:t xml:space="preserve">. </w:t>
      </w:r>
      <w:bookmarkEnd w:id="8"/>
      <w:r>
        <w:t>Macroinvertebrates, the potential food source, had an order-specific microbiome, whereas bacteria associated with the water column showed a temporal pattern.</w:t>
      </w:r>
      <w:r w:rsidR="001128E7">
        <w:t xml:space="preserve"> </w:t>
      </w:r>
      <w:r>
        <w:t xml:space="preserve">Microbial taxa associated with macroinvertebrates were more abundant in the gut than bacteria associated with the water column, indicating that diet is an important factor in gut community assembly. </w:t>
      </w:r>
      <w:r w:rsidRPr="00637762">
        <w:t>We estimated that most detectable OTUs in our study were assembled stochastically</w:t>
      </w:r>
      <w:r>
        <w:t>. Deterministic factors impacting gut microbial community composition, like temperature and fish age had a significant influence on the fish’s microbiome but their overall importance was estimated to be minor. Monthly differences</w:t>
      </w:r>
      <w:r w:rsidR="008E74E0">
        <w:t xml:space="preserve"> in gut microbial community composition</w:t>
      </w:r>
      <w:r>
        <w:t xml:space="preserve"> also persisted in deterministically selected core taxa. Our results also suggest that there might be an additive host genetic effect determining differences observed between farmed and wild fish, thereby promoting inter-individual differences in gut microbial community composition within sampling months. </w:t>
      </w:r>
      <w:r>
        <w:lastRenderedPageBreak/>
        <w:t>Previous work in salmon has hinted at a role for maternal effects in driving inter-generational sharing of microbial taxa and our study, although lacking in statistical power, points in that direction. Future work could explore such a genetic and/or maternally determined relationship. Meanwhile, we hope this study should serve as important benchmark for rigorously analysing natural fish gut microbial assembly in their proper trophic and environmental context.</w:t>
      </w:r>
    </w:p>
    <w:p w14:paraId="4274FB7D" w14:textId="458C738E" w:rsidR="007F456A" w:rsidRPr="001370A2" w:rsidRDefault="007F456A" w:rsidP="007F456A">
      <w:pPr>
        <w:pStyle w:val="Heading1"/>
      </w:pPr>
      <w:r w:rsidRPr="001370A2">
        <w:t xml:space="preserve">Author </w:t>
      </w:r>
      <w:r w:rsidR="007601BF">
        <w:t>C</w:t>
      </w:r>
      <w:r w:rsidRPr="001370A2">
        <w:t xml:space="preserve">ontributions </w:t>
      </w:r>
    </w:p>
    <w:p w14:paraId="3A0890B5" w14:textId="5386BEA4" w:rsidR="007F456A" w:rsidRPr="007F456A" w:rsidRDefault="007F456A" w:rsidP="007F456A">
      <w:pPr>
        <w:spacing w:line="240" w:lineRule="auto"/>
        <w:rPr>
          <w:rFonts w:cstheme="minorHAnsi"/>
          <w:lang w:val="en-IE"/>
        </w:rPr>
      </w:pPr>
      <w:r w:rsidRPr="001370A2">
        <w:rPr>
          <w:rFonts w:cstheme="minorHAnsi"/>
          <w:lang w:val="en-IE"/>
        </w:rPr>
        <w:t xml:space="preserve">P.S organised sampling, conducted laboratory work, analysed the </w:t>
      </w:r>
      <w:proofErr w:type="gramStart"/>
      <w:r w:rsidRPr="001370A2">
        <w:rPr>
          <w:rFonts w:cstheme="minorHAnsi"/>
          <w:lang w:val="en-IE"/>
        </w:rPr>
        <w:t>data</w:t>
      </w:r>
      <w:proofErr w:type="gramEnd"/>
      <w:r w:rsidRPr="001370A2">
        <w:rPr>
          <w:rFonts w:cstheme="minorHAnsi"/>
          <w:lang w:val="en-IE"/>
        </w:rPr>
        <w:t xml:space="preserve"> and drafted the manuscript. B.C programmed the bioinformatic pipelines and gave statistical advice. J.K, K.P, L.R and C.H organised sampling, conducted laboratory work and gave statistical advice. All authors were involved in the conception and design of the experiment and contributed to data interpretation and editing of the final draft of the manuscript. </w:t>
      </w:r>
      <w:proofErr w:type="spellStart"/>
      <w:proofErr w:type="gramStart"/>
      <w:r w:rsidRPr="001370A2">
        <w:rPr>
          <w:rFonts w:cstheme="minorHAnsi"/>
          <w:lang w:val="en-IE"/>
        </w:rPr>
        <w:t>P.McG</w:t>
      </w:r>
      <w:proofErr w:type="spellEnd"/>
      <w:proofErr w:type="gramEnd"/>
      <w:r w:rsidRPr="001370A2">
        <w:rPr>
          <w:rFonts w:cstheme="minorHAnsi"/>
          <w:lang w:val="en-IE"/>
        </w:rPr>
        <w:t xml:space="preserve"> and M.L managed the project.</w:t>
      </w:r>
    </w:p>
    <w:p w14:paraId="40E9FE0C" w14:textId="77777777" w:rsidR="007F456A" w:rsidRPr="001370A2" w:rsidRDefault="007F456A" w:rsidP="007F456A">
      <w:pPr>
        <w:pStyle w:val="Heading1"/>
      </w:pPr>
      <w:r w:rsidRPr="001370A2">
        <w:t>Acknowledgements</w:t>
      </w:r>
    </w:p>
    <w:p w14:paraId="6BC3F1E4" w14:textId="77777777" w:rsidR="007F456A" w:rsidRPr="001370A2" w:rsidRDefault="007F456A" w:rsidP="007F456A">
      <w:pPr>
        <w:spacing w:after="0" w:line="240" w:lineRule="auto"/>
        <w:rPr>
          <w:rFonts w:eastAsia="Times New Roman" w:cstheme="minorHAnsi"/>
          <w:color w:val="000000"/>
          <w:lang w:eastAsia="en-GB"/>
        </w:rPr>
      </w:pPr>
      <w:r w:rsidRPr="001370A2">
        <w:rPr>
          <w:rFonts w:eastAsia="Times New Roman" w:cstheme="minorHAnsi"/>
          <w:color w:val="000000"/>
          <w:lang w:eastAsia="en-GB"/>
        </w:rPr>
        <w:t xml:space="preserve">This research has been carried out with the support of the Marine Institute’s Newport Research Section and Aquaculture Section, contributing to all field, hatchery, </w:t>
      </w:r>
      <w:proofErr w:type="gramStart"/>
      <w:r w:rsidRPr="001370A2">
        <w:rPr>
          <w:rFonts w:eastAsia="Times New Roman" w:cstheme="minorHAnsi"/>
          <w:color w:val="000000"/>
          <w:lang w:eastAsia="en-GB"/>
        </w:rPr>
        <w:t>laboratory</w:t>
      </w:r>
      <w:proofErr w:type="gramEnd"/>
      <w:r w:rsidRPr="001370A2">
        <w:rPr>
          <w:rFonts w:eastAsia="Times New Roman" w:cstheme="minorHAnsi"/>
          <w:color w:val="000000"/>
          <w:lang w:eastAsia="en-GB"/>
        </w:rPr>
        <w:t xml:space="preserve"> and logistic support.</w:t>
      </w:r>
    </w:p>
    <w:p w14:paraId="19EB960F" w14:textId="08E6D136" w:rsidR="007F456A" w:rsidRDefault="007F456A" w:rsidP="007F456A">
      <w:pPr>
        <w:spacing w:after="0" w:line="240" w:lineRule="auto"/>
        <w:rPr>
          <w:rFonts w:eastAsia="Times New Roman" w:cstheme="minorHAnsi"/>
          <w:color w:val="000000"/>
          <w:lang w:eastAsia="en-GB"/>
        </w:rPr>
      </w:pPr>
      <w:r w:rsidRPr="001370A2">
        <w:rPr>
          <w:rFonts w:eastAsia="Times New Roman" w:cstheme="minorHAnsi"/>
          <w:color w:val="000000"/>
          <w:lang w:eastAsia="en-GB"/>
        </w:rPr>
        <w:t>Special thanks also to Fintan Egan,</w:t>
      </w:r>
      <w:r>
        <w:rPr>
          <w:rFonts w:eastAsia="Times New Roman" w:cstheme="minorHAnsi"/>
          <w:color w:val="000000"/>
          <w:lang w:eastAsia="en-GB"/>
        </w:rPr>
        <w:t xml:space="preserve"> Elvira de </w:t>
      </w:r>
      <w:proofErr w:type="spellStart"/>
      <w:r>
        <w:rPr>
          <w:rFonts w:eastAsia="Times New Roman" w:cstheme="minorHAnsi"/>
          <w:color w:val="000000"/>
          <w:lang w:eastAsia="en-GB"/>
        </w:rPr>
        <w:t>Eyto</w:t>
      </w:r>
      <w:proofErr w:type="spellEnd"/>
      <w:r>
        <w:rPr>
          <w:rFonts w:eastAsia="Times New Roman" w:cstheme="minorHAnsi"/>
          <w:color w:val="000000"/>
          <w:lang w:eastAsia="en-GB"/>
        </w:rPr>
        <w:t>, Mary Dillane,</w:t>
      </w:r>
      <w:r w:rsidRPr="001370A2">
        <w:rPr>
          <w:rFonts w:eastAsia="Times New Roman" w:cstheme="minorHAnsi"/>
          <w:color w:val="000000"/>
          <w:lang w:eastAsia="en-GB"/>
        </w:rPr>
        <w:t xml:space="preserve"> Alan </w:t>
      </w:r>
      <w:proofErr w:type="spellStart"/>
      <w:r w:rsidRPr="001370A2">
        <w:rPr>
          <w:rFonts w:eastAsia="Times New Roman" w:cstheme="minorHAnsi"/>
          <w:color w:val="000000"/>
          <w:lang w:eastAsia="en-GB"/>
        </w:rPr>
        <w:t>Drumm</w:t>
      </w:r>
      <w:proofErr w:type="spellEnd"/>
      <w:r w:rsidRPr="001370A2">
        <w:rPr>
          <w:rFonts w:eastAsia="Times New Roman" w:cstheme="minorHAnsi"/>
          <w:color w:val="000000"/>
          <w:lang w:eastAsia="en-GB"/>
        </w:rPr>
        <w:t xml:space="preserve">, Jamie Coughlan, </w:t>
      </w:r>
      <w:proofErr w:type="spellStart"/>
      <w:r w:rsidRPr="001370A2">
        <w:rPr>
          <w:rFonts w:eastAsia="Times New Roman" w:cstheme="minorHAnsi"/>
          <w:color w:val="000000"/>
          <w:lang w:eastAsia="en-GB"/>
        </w:rPr>
        <w:t>Floriane</w:t>
      </w:r>
      <w:proofErr w:type="spellEnd"/>
      <w:r w:rsidRPr="001370A2">
        <w:rPr>
          <w:rFonts w:eastAsia="Times New Roman" w:cstheme="minorHAnsi"/>
          <w:color w:val="000000"/>
          <w:lang w:eastAsia="en-GB"/>
        </w:rPr>
        <w:t xml:space="preserve"> </w:t>
      </w:r>
      <w:proofErr w:type="spellStart"/>
      <w:r w:rsidRPr="001370A2">
        <w:rPr>
          <w:rFonts w:eastAsia="Times New Roman" w:cstheme="minorHAnsi"/>
          <w:color w:val="000000"/>
          <w:lang w:eastAsia="en-GB"/>
        </w:rPr>
        <w:t>Leseur</w:t>
      </w:r>
      <w:proofErr w:type="spellEnd"/>
      <w:r w:rsidRPr="001370A2">
        <w:rPr>
          <w:rFonts w:eastAsia="Times New Roman" w:cstheme="minorHAnsi"/>
          <w:color w:val="000000"/>
          <w:lang w:eastAsia="en-GB"/>
        </w:rPr>
        <w:t xml:space="preserve">, Sarah Ryan, Ronan </w:t>
      </w:r>
      <w:proofErr w:type="spellStart"/>
      <w:proofErr w:type="gramStart"/>
      <w:r w:rsidRPr="001370A2">
        <w:rPr>
          <w:rFonts w:eastAsia="Times New Roman" w:cstheme="minorHAnsi"/>
          <w:color w:val="000000"/>
          <w:lang w:eastAsia="en-GB"/>
        </w:rPr>
        <w:t>Grealis</w:t>
      </w:r>
      <w:proofErr w:type="spellEnd"/>
      <w:proofErr w:type="gramEnd"/>
      <w:r w:rsidRPr="001370A2">
        <w:rPr>
          <w:rFonts w:eastAsia="Times New Roman" w:cstheme="minorHAnsi"/>
          <w:color w:val="000000"/>
          <w:lang w:eastAsia="en-GB"/>
        </w:rPr>
        <w:t xml:space="preserve"> and Catherine Waters.</w:t>
      </w:r>
    </w:p>
    <w:p w14:paraId="19323F00" w14:textId="77777777" w:rsidR="007601BF" w:rsidRPr="001370A2" w:rsidRDefault="007601BF" w:rsidP="007601BF">
      <w:pPr>
        <w:pStyle w:val="Heading1"/>
      </w:pPr>
      <w:r w:rsidRPr="001370A2">
        <w:t>Funding</w:t>
      </w:r>
      <w:r>
        <w:t xml:space="preserve"> Information</w:t>
      </w:r>
    </w:p>
    <w:p w14:paraId="48B1D972" w14:textId="404A2DEC" w:rsidR="007F456A" w:rsidRPr="007601BF" w:rsidRDefault="007601BF" w:rsidP="007601BF">
      <w:pPr>
        <w:spacing w:line="240" w:lineRule="auto"/>
        <w:rPr>
          <w:rFonts w:cstheme="minorHAnsi"/>
          <w:b/>
          <w:bCs/>
          <w:sz w:val="24"/>
          <w:szCs w:val="24"/>
        </w:rPr>
      </w:pPr>
      <w:r w:rsidRPr="001370A2">
        <w:rPr>
          <w:rFonts w:cstheme="minorHAnsi"/>
          <w:color w:val="000000"/>
        </w:rPr>
        <w:t xml:space="preserve">PS, JK, KP, ER and </w:t>
      </w:r>
      <w:proofErr w:type="spellStart"/>
      <w:r w:rsidRPr="001370A2">
        <w:rPr>
          <w:rFonts w:cstheme="minorHAnsi"/>
          <w:color w:val="000000"/>
        </w:rPr>
        <w:t>PMcG</w:t>
      </w:r>
      <w:proofErr w:type="spellEnd"/>
      <w:r w:rsidRPr="001370A2">
        <w:rPr>
          <w:rFonts w:cstheme="minorHAnsi"/>
          <w:color w:val="000000"/>
        </w:rPr>
        <w:t xml:space="preserve"> were supported by the Science Foundation Ireland grant award (grant no. 16/BBSRC/3316). PS was also granted the Covid extension award "Higher Education Authority Covid-19 Cost extension (Call Three). This research was further supported in part by research grants from the Biotechnology and Biological Science Research Council (grant no. BB/T016280/1, BB/P001203/1 &amp; BB/N024028/1) and by the Science Foundation Ireland, the Marine Institute Ireland and the Department for the Economy, Northern Ireland, under the Investigators Program (grant no. SFI/15/IA/3028). JK is currently supported by Science Foundation Ireland / Ireland Research council grant, under the Pathway programme (grant no. SFI-IRC/21/PATH-S/9671). The funding bodies did not influence data interpretation or in writing of the manuscript.</w:t>
      </w:r>
    </w:p>
    <w:p w14:paraId="0474694B" w14:textId="1702DBC2" w:rsidR="007F456A" w:rsidRPr="001370A2" w:rsidRDefault="007F456A" w:rsidP="007F456A">
      <w:pPr>
        <w:pStyle w:val="Heading1"/>
      </w:pPr>
      <w:r w:rsidRPr="001370A2">
        <w:t xml:space="preserve">Competing </w:t>
      </w:r>
      <w:r w:rsidR="007601BF">
        <w:t>I</w:t>
      </w:r>
      <w:r w:rsidRPr="001370A2">
        <w:t>nterests</w:t>
      </w:r>
    </w:p>
    <w:p w14:paraId="00F81D5E" w14:textId="77777777" w:rsidR="007F456A" w:rsidRPr="001370A2" w:rsidRDefault="007F456A" w:rsidP="007F456A">
      <w:pPr>
        <w:spacing w:line="240" w:lineRule="auto"/>
        <w:rPr>
          <w:rFonts w:cstheme="minorHAnsi"/>
        </w:rPr>
      </w:pPr>
      <w:r w:rsidRPr="001370A2">
        <w:rPr>
          <w:rFonts w:cstheme="minorHAnsi"/>
        </w:rPr>
        <w:t>The authors declare that they have no competing interests.</w:t>
      </w:r>
    </w:p>
    <w:p w14:paraId="498B5EB0" w14:textId="53334D61" w:rsidR="007F456A" w:rsidRDefault="007F456A" w:rsidP="007F456A">
      <w:pPr>
        <w:pStyle w:val="Heading1"/>
      </w:pPr>
      <w:r w:rsidRPr="001370A2">
        <w:t xml:space="preserve">Data </w:t>
      </w:r>
      <w:r w:rsidR="007601BF">
        <w:t>A</w:t>
      </w:r>
      <w:r w:rsidRPr="001370A2">
        <w:t xml:space="preserve">vailability </w:t>
      </w:r>
      <w:r w:rsidR="007601BF">
        <w:t>S</w:t>
      </w:r>
      <w:r w:rsidRPr="001370A2">
        <w:t>tatement</w:t>
      </w:r>
    </w:p>
    <w:p w14:paraId="02BC60FB" w14:textId="77777777" w:rsidR="007F456A" w:rsidRDefault="007F456A" w:rsidP="007F456A">
      <w:pPr>
        <w:spacing w:line="240" w:lineRule="auto"/>
        <w:rPr>
          <w:rFonts w:cstheme="minorHAnsi"/>
        </w:rPr>
      </w:pPr>
      <w:r w:rsidRPr="008523A1">
        <w:rPr>
          <w:rFonts w:cstheme="minorHAnsi"/>
          <w:color w:val="333333"/>
          <w:shd w:val="clear" w:color="auto" w:fill="FFFFFF"/>
        </w:rPr>
        <w:t xml:space="preserve">The raw 16S rRNA gene sequence files and metadata are deposited at the NCBI SRA database under the </w:t>
      </w:r>
      <w:proofErr w:type="spellStart"/>
      <w:r w:rsidRPr="008523A1">
        <w:rPr>
          <w:rFonts w:cstheme="minorHAnsi"/>
          <w:color w:val="333333"/>
          <w:shd w:val="clear" w:color="auto" w:fill="FFFFFF"/>
        </w:rPr>
        <w:t>BioProject</w:t>
      </w:r>
      <w:proofErr w:type="spellEnd"/>
      <w:r w:rsidRPr="008523A1">
        <w:rPr>
          <w:rFonts w:cstheme="minorHAnsi"/>
          <w:color w:val="333333"/>
          <w:shd w:val="clear" w:color="auto" w:fill="FFFFFF"/>
        </w:rPr>
        <w:t xml:space="preserve"> PRJNA977248. The </w:t>
      </w:r>
      <w:r>
        <w:rPr>
          <w:rFonts w:cstheme="minorHAnsi"/>
          <w:color w:val="333333"/>
          <w:shd w:val="clear" w:color="auto" w:fill="FFFFFF"/>
        </w:rPr>
        <w:t>scripts and codes</w:t>
      </w:r>
      <w:r w:rsidRPr="008523A1">
        <w:rPr>
          <w:rFonts w:cstheme="minorHAnsi"/>
          <w:color w:val="333333"/>
          <w:shd w:val="clear" w:color="auto" w:fill="FFFFFF"/>
        </w:rPr>
        <w:t xml:space="preserve"> generated during the current study are available from the corresponding author on</w:t>
      </w:r>
      <w:r>
        <w:rPr>
          <w:rFonts w:cstheme="minorHAnsi"/>
          <w:color w:val="333333"/>
          <w:shd w:val="clear" w:color="auto" w:fill="FFFFFF"/>
        </w:rPr>
        <w:t xml:space="preserve"> reasonable</w:t>
      </w:r>
      <w:r w:rsidRPr="008523A1">
        <w:rPr>
          <w:rFonts w:cstheme="minorHAnsi"/>
          <w:color w:val="333333"/>
          <w:shd w:val="clear" w:color="auto" w:fill="FFFFFF"/>
        </w:rPr>
        <w:t xml:space="preserve"> request.</w:t>
      </w:r>
      <w:r w:rsidRPr="00A85853">
        <w:rPr>
          <w:rFonts w:cstheme="minorHAnsi"/>
        </w:rPr>
        <w:t xml:space="preserve"> </w:t>
      </w:r>
    </w:p>
    <w:p w14:paraId="0FE1305D" w14:textId="77777777" w:rsidR="007F456A" w:rsidRDefault="007F456A" w:rsidP="007F456A">
      <w:pPr>
        <w:pStyle w:val="Heading1"/>
      </w:pPr>
      <w:r w:rsidRPr="000A478A">
        <w:t>Benefit Sharing</w:t>
      </w:r>
    </w:p>
    <w:p w14:paraId="4D091596" w14:textId="77777777" w:rsidR="007F456A" w:rsidRPr="00854061" w:rsidRDefault="007F456A" w:rsidP="007F456A">
      <w:pPr>
        <w:spacing w:line="240" w:lineRule="auto"/>
      </w:pPr>
      <w:r w:rsidRPr="00854061">
        <w:t xml:space="preserve">Benefits from this research accrue from the sharing of our data and results on public databases, as described </w:t>
      </w:r>
      <w:r>
        <w:t>in the data availability section</w:t>
      </w:r>
      <w:r w:rsidRPr="00854061">
        <w:t>.</w:t>
      </w:r>
      <w:r>
        <w:t xml:space="preserve"> </w:t>
      </w:r>
      <w:r w:rsidRPr="00854061">
        <w:t xml:space="preserve">The present work strongly benefitted from a collaboration </w:t>
      </w:r>
      <w:r>
        <w:t>between the University of Glasgow, Scotland, the Marine Institute Newport, Ireland and the University College Cork, Ireland.</w:t>
      </w:r>
    </w:p>
    <w:p w14:paraId="174EA6B5" w14:textId="77777777" w:rsidR="007F456A" w:rsidRPr="00E84AC3" w:rsidRDefault="007F456A" w:rsidP="007F456A">
      <w:pPr>
        <w:pStyle w:val="Heading1"/>
      </w:pPr>
      <w:r w:rsidRPr="00E84AC3">
        <w:lastRenderedPageBreak/>
        <w:t>References</w:t>
      </w:r>
    </w:p>
    <w:p w14:paraId="3F5E1FF5" w14:textId="77777777" w:rsidR="007F456A" w:rsidRDefault="007F456A" w:rsidP="007F456A">
      <w:pPr>
        <w:pStyle w:val="Bibliography"/>
        <w:spacing w:line="240" w:lineRule="auto"/>
      </w:pPr>
      <w:r w:rsidRPr="00E84AC3">
        <w:rPr>
          <w:rFonts w:cstheme="minorHAnsi"/>
        </w:rPr>
        <w:fldChar w:fldCharType="begin"/>
      </w:r>
      <w:r>
        <w:rPr>
          <w:rFonts w:cstheme="minorHAnsi"/>
        </w:rPr>
        <w:instrText xml:space="preserve"> ADDIN ZOTERO_BIBL {"uncited":[],"omitted":[],"custom":[]} CSL_BIBLIOGRAPHY </w:instrText>
      </w:r>
      <w:r w:rsidRPr="00E84AC3">
        <w:rPr>
          <w:rFonts w:cstheme="minorHAnsi"/>
        </w:rPr>
        <w:fldChar w:fldCharType="separate"/>
      </w:r>
      <w:proofErr w:type="spellStart"/>
      <w:r>
        <w:t>Aas</w:t>
      </w:r>
      <w:proofErr w:type="spellEnd"/>
      <w:r>
        <w:t xml:space="preserve">, Ø., </w:t>
      </w:r>
      <w:proofErr w:type="spellStart"/>
      <w:r>
        <w:t>Klemetsen</w:t>
      </w:r>
      <w:proofErr w:type="spellEnd"/>
      <w:r>
        <w:t xml:space="preserve">, A., </w:t>
      </w:r>
      <w:proofErr w:type="spellStart"/>
      <w:r>
        <w:t>Einum</w:t>
      </w:r>
      <w:proofErr w:type="spellEnd"/>
      <w:r>
        <w:t xml:space="preserve">, S., &amp; </w:t>
      </w:r>
      <w:proofErr w:type="spellStart"/>
      <w:r>
        <w:t>Skurdal</w:t>
      </w:r>
      <w:proofErr w:type="spellEnd"/>
      <w:r>
        <w:t xml:space="preserve">, J. (2010). </w:t>
      </w:r>
      <w:r>
        <w:rPr>
          <w:i/>
          <w:iCs/>
        </w:rPr>
        <w:t>Atlantic Salmon Ecology</w:t>
      </w:r>
      <w:r>
        <w:t>. John Wiley &amp; Sons.</w:t>
      </w:r>
    </w:p>
    <w:p w14:paraId="18FCC84F" w14:textId="77777777" w:rsidR="007F456A" w:rsidRDefault="007F456A" w:rsidP="007F456A">
      <w:pPr>
        <w:pStyle w:val="Bibliography"/>
        <w:spacing w:line="240" w:lineRule="auto"/>
      </w:pPr>
      <w:r>
        <w:t xml:space="preserve">Bates, J. M., </w:t>
      </w:r>
      <w:proofErr w:type="spellStart"/>
      <w:r>
        <w:t>Mittge</w:t>
      </w:r>
      <w:proofErr w:type="spellEnd"/>
      <w:r>
        <w:t xml:space="preserve">, E., Kuhlman, J., Baden, K. N., </w:t>
      </w:r>
      <w:proofErr w:type="spellStart"/>
      <w:r>
        <w:t>Cheesman</w:t>
      </w:r>
      <w:proofErr w:type="spellEnd"/>
      <w:r>
        <w:t xml:space="preserve">, S. E., &amp; Guillemin, K. (2006). Distinct signals from the microbiota promote different aspects of zebrafish gut differentiation. </w:t>
      </w:r>
      <w:r>
        <w:rPr>
          <w:i/>
          <w:iCs/>
        </w:rPr>
        <w:t>Developmental Biology</w:t>
      </w:r>
      <w:r>
        <w:t xml:space="preserve">, </w:t>
      </w:r>
      <w:r>
        <w:rPr>
          <w:i/>
          <w:iCs/>
        </w:rPr>
        <w:t>297</w:t>
      </w:r>
      <w:r>
        <w:t>(2), 374–386. https://doi.org/10.1016/j.ydbio.2006.05.006</w:t>
      </w:r>
    </w:p>
    <w:p w14:paraId="349D2B0F" w14:textId="77777777" w:rsidR="007F456A" w:rsidRDefault="007F456A" w:rsidP="007F456A">
      <w:pPr>
        <w:pStyle w:val="Bibliography"/>
        <w:spacing w:line="240" w:lineRule="auto"/>
      </w:pPr>
      <w:r>
        <w:t xml:space="preserve">Beck, D., &amp; Foster, J. A. (2014). Machine learning techniques accurately classify microbial communities by bacterial vaginosis characteristics. </w:t>
      </w:r>
      <w:proofErr w:type="spellStart"/>
      <w:r>
        <w:rPr>
          <w:i/>
          <w:iCs/>
        </w:rPr>
        <w:t>PloS</w:t>
      </w:r>
      <w:proofErr w:type="spellEnd"/>
      <w:r>
        <w:rPr>
          <w:i/>
          <w:iCs/>
        </w:rPr>
        <w:t xml:space="preserve"> One</w:t>
      </w:r>
      <w:r>
        <w:t xml:space="preserve">, </w:t>
      </w:r>
      <w:r>
        <w:rPr>
          <w:i/>
          <w:iCs/>
        </w:rPr>
        <w:t>9</w:t>
      </w:r>
      <w:r>
        <w:t>(2), e87830.</w:t>
      </w:r>
    </w:p>
    <w:p w14:paraId="0C89A64F" w14:textId="77777777" w:rsidR="007F456A" w:rsidRDefault="007F456A" w:rsidP="007F456A">
      <w:pPr>
        <w:pStyle w:val="Bibliography"/>
        <w:spacing w:line="240" w:lineRule="auto"/>
      </w:pPr>
      <w:proofErr w:type="spellStart"/>
      <w:r>
        <w:t>Benjamini</w:t>
      </w:r>
      <w:proofErr w:type="spellEnd"/>
      <w:r>
        <w:t xml:space="preserve">, Y., &amp; Hochberg, Y. (1995). Controlling the false discovery rate: A practical and powerful approach to multiple testing. </w:t>
      </w:r>
      <w:r>
        <w:rPr>
          <w:i/>
          <w:iCs/>
        </w:rPr>
        <w:t>Journal of the Royal Statistical Society: Series B (Methodological)</w:t>
      </w:r>
      <w:r>
        <w:t xml:space="preserve">, </w:t>
      </w:r>
      <w:r>
        <w:rPr>
          <w:i/>
          <w:iCs/>
        </w:rPr>
        <w:t>57</w:t>
      </w:r>
      <w:r>
        <w:t>(1), 289–300.</w:t>
      </w:r>
    </w:p>
    <w:p w14:paraId="17BDDF98" w14:textId="77777777" w:rsidR="007F456A" w:rsidRDefault="007F456A" w:rsidP="007F456A">
      <w:pPr>
        <w:pStyle w:val="Bibliography"/>
        <w:spacing w:line="240" w:lineRule="auto"/>
      </w:pPr>
      <w:proofErr w:type="spellStart"/>
      <w:r>
        <w:t>Bolyen</w:t>
      </w:r>
      <w:proofErr w:type="spellEnd"/>
      <w:r>
        <w:t xml:space="preserve">, E., Rideout, J. R., Dillon, M. R., </w:t>
      </w:r>
      <w:proofErr w:type="spellStart"/>
      <w:r>
        <w:t>Bokulich</w:t>
      </w:r>
      <w:proofErr w:type="spellEnd"/>
      <w:r>
        <w:t xml:space="preserve">, N. A., </w:t>
      </w:r>
      <w:proofErr w:type="spellStart"/>
      <w:r>
        <w:t>Abnet</w:t>
      </w:r>
      <w:proofErr w:type="spellEnd"/>
      <w:r>
        <w:t>, C. C., Al-</w:t>
      </w:r>
      <w:proofErr w:type="spellStart"/>
      <w:r>
        <w:t>Ghalith</w:t>
      </w:r>
      <w:proofErr w:type="spellEnd"/>
      <w:r>
        <w:t xml:space="preserve">, G. A., Alexander, H., </w:t>
      </w:r>
      <w:proofErr w:type="spellStart"/>
      <w:r>
        <w:t>Alm</w:t>
      </w:r>
      <w:proofErr w:type="spellEnd"/>
      <w:r>
        <w:t xml:space="preserve">, E. J., Arumugam, M., &amp; </w:t>
      </w:r>
      <w:proofErr w:type="spellStart"/>
      <w:r>
        <w:t>Asnicar</w:t>
      </w:r>
      <w:proofErr w:type="spellEnd"/>
      <w:r>
        <w:t xml:space="preserve">, F. (2019). Reproducible, interactive, </w:t>
      </w:r>
      <w:proofErr w:type="gramStart"/>
      <w:r>
        <w:t>scalable</w:t>
      </w:r>
      <w:proofErr w:type="gramEnd"/>
      <w:r>
        <w:t xml:space="preserve"> and extensible microbiome data science using QIIME 2. </w:t>
      </w:r>
      <w:r>
        <w:rPr>
          <w:i/>
          <w:iCs/>
        </w:rPr>
        <w:t>Nature Biotechnology</w:t>
      </w:r>
      <w:r>
        <w:t xml:space="preserve">, </w:t>
      </w:r>
      <w:r>
        <w:rPr>
          <w:i/>
          <w:iCs/>
        </w:rPr>
        <w:t>37</w:t>
      </w:r>
      <w:r>
        <w:t>(8), 852–857.</w:t>
      </w:r>
    </w:p>
    <w:p w14:paraId="6A379B37" w14:textId="77777777" w:rsidR="007F456A" w:rsidRDefault="007F456A" w:rsidP="007F456A">
      <w:pPr>
        <w:pStyle w:val="Bibliography"/>
        <w:spacing w:line="240" w:lineRule="auto"/>
      </w:pPr>
      <w:r>
        <w:t xml:space="preserve">Burns, A. R., Stephens, W. Z., </w:t>
      </w:r>
      <w:proofErr w:type="spellStart"/>
      <w:r>
        <w:t>Stagaman</w:t>
      </w:r>
      <w:proofErr w:type="spellEnd"/>
      <w:r>
        <w:t xml:space="preserve">, K., Wong, S., Rawls, J. F., Guillemin, K., &amp; Bohannan, B. J. (2016). Contribution of neutral processes to the assembly of gut microbial communities in the zebrafish over host development. </w:t>
      </w:r>
      <w:r>
        <w:rPr>
          <w:i/>
          <w:iCs/>
        </w:rPr>
        <w:t>The ISME Journal</w:t>
      </w:r>
      <w:r>
        <w:t xml:space="preserve">, </w:t>
      </w:r>
      <w:r>
        <w:rPr>
          <w:i/>
          <w:iCs/>
        </w:rPr>
        <w:t>10</w:t>
      </w:r>
      <w:r>
        <w:t>(3), Article 3. https://doi.org/10.1038/ismej.2015.142</w:t>
      </w:r>
    </w:p>
    <w:p w14:paraId="724A7461" w14:textId="77777777" w:rsidR="007F456A" w:rsidRDefault="007F456A" w:rsidP="007F456A">
      <w:pPr>
        <w:pStyle w:val="Bibliography"/>
        <w:spacing w:line="240" w:lineRule="auto"/>
      </w:pPr>
      <w:r>
        <w:t xml:space="preserve">Buttigieg, P. L., &amp; </w:t>
      </w:r>
      <w:proofErr w:type="spellStart"/>
      <w:r>
        <w:t>Ramette</w:t>
      </w:r>
      <w:proofErr w:type="spellEnd"/>
      <w:r>
        <w:t xml:space="preserve">, A. (2014). A guide to statistical analysis in microbial ecology: A community-focused, living review of multivariate data analyses. </w:t>
      </w:r>
      <w:r>
        <w:rPr>
          <w:i/>
          <w:iCs/>
        </w:rPr>
        <w:t>FEMS Microbiology Ecology</w:t>
      </w:r>
      <w:r>
        <w:t xml:space="preserve">, </w:t>
      </w:r>
      <w:r>
        <w:rPr>
          <w:i/>
          <w:iCs/>
        </w:rPr>
        <w:t>90</w:t>
      </w:r>
      <w:r>
        <w:t>(3), 543–550. https://doi.org/10.1111/1574-6941.12437</w:t>
      </w:r>
    </w:p>
    <w:p w14:paraId="2D5FA08E" w14:textId="77777777" w:rsidR="007F456A" w:rsidRDefault="007F456A" w:rsidP="007F456A">
      <w:pPr>
        <w:pStyle w:val="Bibliography"/>
        <w:spacing w:line="240" w:lineRule="auto"/>
      </w:pPr>
      <w:r>
        <w:t xml:space="preserve">Chase, J. M., &amp; </w:t>
      </w:r>
      <w:proofErr w:type="spellStart"/>
      <w:r>
        <w:t>Leibold</w:t>
      </w:r>
      <w:proofErr w:type="spellEnd"/>
      <w:r>
        <w:t xml:space="preserve">, M. A. (2009). </w:t>
      </w:r>
      <w:r>
        <w:rPr>
          <w:i/>
          <w:iCs/>
        </w:rPr>
        <w:t>Ecological Niches: Linking Classical and Contemporary Approaches</w:t>
      </w:r>
      <w:r>
        <w:t>. University of Chicago Press.</w:t>
      </w:r>
    </w:p>
    <w:p w14:paraId="489F300B" w14:textId="77777777" w:rsidR="007F456A" w:rsidRDefault="007F456A" w:rsidP="007F456A">
      <w:pPr>
        <w:pStyle w:val="Bibliography"/>
        <w:spacing w:line="240" w:lineRule="auto"/>
      </w:pPr>
      <w:proofErr w:type="spellStart"/>
      <w:r>
        <w:t>Cheaib</w:t>
      </w:r>
      <w:proofErr w:type="spellEnd"/>
      <w:r>
        <w:t xml:space="preserve">, B., </w:t>
      </w:r>
      <w:proofErr w:type="spellStart"/>
      <w:r>
        <w:t>Seghouani</w:t>
      </w:r>
      <w:proofErr w:type="spellEnd"/>
      <w:r>
        <w:t xml:space="preserve">, H., Ijaz, U. Z., &amp; </w:t>
      </w:r>
      <w:proofErr w:type="spellStart"/>
      <w:r>
        <w:t>Derome</w:t>
      </w:r>
      <w:proofErr w:type="spellEnd"/>
      <w:r>
        <w:t xml:space="preserve">, N. (2020). Community recovery dynamics in yellow perch microbiome after gradual and constant metallic perturbations. </w:t>
      </w:r>
      <w:r>
        <w:rPr>
          <w:i/>
          <w:iCs/>
        </w:rPr>
        <w:t>Microbiome</w:t>
      </w:r>
      <w:r>
        <w:t xml:space="preserve">, </w:t>
      </w:r>
      <w:r>
        <w:rPr>
          <w:i/>
          <w:iCs/>
        </w:rPr>
        <w:t>8</w:t>
      </w:r>
      <w:r>
        <w:t>(1), 14. https://doi.org/10.1186/s40168-020-0789-0</w:t>
      </w:r>
    </w:p>
    <w:p w14:paraId="1E02E247" w14:textId="77777777" w:rsidR="007F456A" w:rsidRDefault="007F456A" w:rsidP="007F456A">
      <w:pPr>
        <w:pStyle w:val="Bibliography"/>
        <w:spacing w:line="240" w:lineRule="auto"/>
      </w:pPr>
      <w:proofErr w:type="spellStart"/>
      <w:r>
        <w:t>Cheaib</w:t>
      </w:r>
      <w:proofErr w:type="spellEnd"/>
      <w:r>
        <w:t xml:space="preserve">, B., Yang, P., </w:t>
      </w:r>
      <w:proofErr w:type="spellStart"/>
      <w:r>
        <w:t>Kazlauskaite</w:t>
      </w:r>
      <w:proofErr w:type="spellEnd"/>
      <w:r>
        <w:t xml:space="preserve">, R., Lindsay, E., </w:t>
      </w:r>
      <w:proofErr w:type="spellStart"/>
      <w:r>
        <w:t>Heys</w:t>
      </w:r>
      <w:proofErr w:type="spellEnd"/>
      <w:r>
        <w:t xml:space="preserve">, C., Dwyer, T., De </w:t>
      </w:r>
      <w:proofErr w:type="spellStart"/>
      <w:r>
        <w:t>Noia</w:t>
      </w:r>
      <w:proofErr w:type="spellEnd"/>
      <w:r>
        <w:t xml:space="preserve">, M., Schaal, P., Sloan, W., Ijaz, U. Z., &amp; Llewellyn, M. S. (2021). Genome erosion and evidence for an intracellular niche – exploring the biology of mycoplasmas in Atlantic salmon. </w:t>
      </w:r>
      <w:r>
        <w:rPr>
          <w:i/>
          <w:iCs/>
        </w:rPr>
        <w:t>Aquaculture</w:t>
      </w:r>
      <w:r>
        <w:t xml:space="preserve">, </w:t>
      </w:r>
      <w:r>
        <w:rPr>
          <w:i/>
          <w:iCs/>
        </w:rPr>
        <w:t>541</w:t>
      </w:r>
      <w:r>
        <w:t>, 736772. https://doi.org/10.1016/j.aquaculture.2021.736772</w:t>
      </w:r>
    </w:p>
    <w:p w14:paraId="6FAF6DD2" w14:textId="77777777" w:rsidR="007F456A" w:rsidRDefault="007F456A" w:rsidP="007F456A">
      <w:pPr>
        <w:pStyle w:val="Bibliography"/>
        <w:spacing w:line="240" w:lineRule="auto"/>
      </w:pPr>
      <w:r>
        <w:t xml:space="preserve">Claassen, S., du Toit, E., </w:t>
      </w:r>
      <w:proofErr w:type="spellStart"/>
      <w:r>
        <w:t>Kaba</w:t>
      </w:r>
      <w:proofErr w:type="spellEnd"/>
      <w:r>
        <w:t xml:space="preserve">, M., Moodley, C., </w:t>
      </w:r>
      <w:proofErr w:type="spellStart"/>
      <w:r>
        <w:t>Zar</w:t>
      </w:r>
      <w:proofErr w:type="spellEnd"/>
      <w:r>
        <w:t xml:space="preserve">, H. J., &amp; Nicol, M. P. (2013). A comparison of the efficiency of five different commercial DNA extraction kits for extraction of DNA from faecal samples. </w:t>
      </w:r>
      <w:r>
        <w:rPr>
          <w:i/>
          <w:iCs/>
        </w:rPr>
        <w:t>Journal of Microbiological Methods</w:t>
      </w:r>
      <w:r>
        <w:t xml:space="preserve">, </w:t>
      </w:r>
      <w:r>
        <w:rPr>
          <w:i/>
          <w:iCs/>
        </w:rPr>
        <w:t>94</w:t>
      </w:r>
      <w:r>
        <w:t>(2), 103–110. https://doi.org/10.1016/j.mimet.2013.05.008</w:t>
      </w:r>
    </w:p>
    <w:p w14:paraId="3814FBB0" w14:textId="77777777" w:rsidR="007F456A" w:rsidRDefault="007F456A" w:rsidP="007F456A">
      <w:pPr>
        <w:pStyle w:val="Bibliography"/>
        <w:spacing w:line="240" w:lineRule="auto"/>
      </w:pPr>
      <w:proofErr w:type="spellStart"/>
      <w:r>
        <w:t>Corkrey</w:t>
      </w:r>
      <w:proofErr w:type="spellEnd"/>
      <w:r>
        <w:t xml:space="preserve">, R., Olley, J., </w:t>
      </w:r>
      <w:proofErr w:type="spellStart"/>
      <w:r>
        <w:t>Ratkowsky</w:t>
      </w:r>
      <w:proofErr w:type="spellEnd"/>
      <w:r>
        <w:t xml:space="preserve">, D., McMeekin, T., &amp; Ross, T. (2012). Universality of Thermodynamic Constants Governing Biological Growth Rates. </w:t>
      </w:r>
      <w:r>
        <w:rPr>
          <w:i/>
          <w:iCs/>
        </w:rPr>
        <w:t>PLOS ONE</w:t>
      </w:r>
      <w:r>
        <w:t xml:space="preserve">, </w:t>
      </w:r>
      <w:r>
        <w:rPr>
          <w:i/>
          <w:iCs/>
        </w:rPr>
        <w:t>7</w:t>
      </w:r>
      <w:r>
        <w:t>(2), e32003. https://doi.org/10.1371/journal.pone.0032003</w:t>
      </w:r>
    </w:p>
    <w:p w14:paraId="18086615" w14:textId="77777777" w:rsidR="007F456A" w:rsidRDefault="007F456A" w:rsidP="007F456A">
      <w:pPr>
        <w:pStyle w:val="Bibliography"/>
        <w:spacing w:line="240" w:lineRule="auto"/>
      </w:pPr>
      <w:r>
        <w:t xml:space="preserve">Coyte, K. Z., Schluter, J., &amp; Foster, K. R. (2015). The ecology of the microbiome: Networks, competition, and stability. </w:t>
      </w:r>
      <w:r>
        <w:rPr>
          <w:i/>
          <w:iCs/>
        </w:rPr>
        <w:t>Science</w:t>
      </w:r>
      <w:r>
        <w:t xml:space="preserve">, </w:t>
      </w:r>
      <w:r>
        <w:rPr>
          <w:i/>
          <w:iCs/>
        </w:rPr>
        <w:t>350</w:t>
      </w:r>
      <w:r>
        <w:t>(6261), 663–666. https://doi.org/10.1126/science.aad2602</w:t>
      </w:r>
    </w:p>
    <w:p w14:paraId="1540F0A0" w14:textId="77777777" w:rsidR="007F456A" w:rsidRDefault="007F456A" w:rsidP="007F456A">
      <w:pPr>
        <w:pStyle w:val="Bibliography"/>
        <w:spacing w:line="240" w:lineRule="auto"/>
      </w:pPr>
      <w:r>
        <w:t xml:space="preserve">Cusick, J. A., Wellman, C. L., &amp; Demas, G. E. (2021). The call of the wild: Using non-model systems to investigate microbiome–behaviour relationships. </w:t>
      </w:r>
      <w:r>
        <w:rPr>
          <w:i/>
          <w:iCs/>
        </w:rPr>
        <w:t>Journal of Experimental Biology</w:t>
      </w:r>
      <w:r>
        <w:t xml:space="preserve">, </w:t>
      </w:r>
      <w:r>
        <w:rPr>
          <w:i/>
          <w:iCs/>
        </w:rPr>
        <w:t>224</w:t>
      </w:r>
      <w:r>
        <w:t>(10), jeb224485. https://doi.org/10.1242/jeb.224485</w:t>
      </w:r>
    </w:p>
    <w:p w14:paraId="775BD80E" w14:textId="77777777" w:rsidR="007F456A" w:rsidRDefault="007F456A" w:rsidP="007F456A">
      <w:pPr>
        <w:pStyle w:val="Bibliography"/>
        <w:spacing w:line="240" w:lineRule="auto"/>
      </w:pPr>
      <w:r>
        <w:t xml:space="preserve">Davis, D. J., </w:t>
      </w:r>
      <w:proofErr w:type="spellStart"/>
      <w:r>
        <w:t>Bryda</w:t>
      </w:r>
      <w:proofErr w:type="spellEnd"/>
      <w:r>
        <w:t xml:space="preserve">, E. C., Gillespie, C. H., &amp; Ericsson, A. C. (2016). Microbial modulation of </w:t>
      </w:r>
      <w:proofErr w:type="spellStart"/>
      <w:r>
        <w:t>behavior</w:t>
      </w:r>
      <w:proofErr w:type="spellEnd"/>
      <w:r>
        <w:t xml:space="preserve"> and stress responses in zebrafish larvae. </w:t>
      </w:r>
      <w:r>
        <w:rPr>
          <w:i/>
          <w:iCs/>
        </w:rPr>
        <w:t>Behavioural Brain Research</w:t>
      </w:r>
      <w:r>
        <w:t xml:space="preserve">, </w:t>
      </w:r>
      <w:r>
        <w:rPr>
          <w:i/>
          <w:iCs/>
        </w:rPr>
        <w:t>311</w:t>
      </w:r>
      <w:r>
        <w:t>, 219–227. https://doi.org/10.1016/j.bbr.2016.05.040</w:t>
      </w:r>
    </w:p>
    <w:p w14:paraId="197C7831" w14:textId="77777777" w:rsidR="007F456A" w:rsidRDefault="007F456A" w:rsidP="007F456A">
      <w:pPr>
        <w:pStyle w:val="Bibliography"/>
        <w:spacing w:line="240" w:lineRule="auto"/>
      </w:pPr>
      <w:r>
        <w:t xml:space="preserve">de </w:t>
      </w:r>
      <w:proofErr w:type="spellStart"/>
      <w:r>
        <w:t>Eyto</w:t>
      </w:r>
      <w:proofErr w:type="spellEnd"/>
      <w:r>
        <w:t xml:space="preserve">, E., Doyle, B., King, N., Kilbane, T., Finlay, R., </w:t>
      </w:r>
      <w:proofErr w:type="spellStart"/>
      <w:r>
        <w:t>Sibigtroth</w:t>
      </w:r>
      <w:proofErr w:type="spellEnd"/>
      <w:r>
        <w:t xml:space="preserve">, L., Graham, C., Poole, R., Ryder, E., Dillane, M., &amp; Jennings, E. (2020). Characterisation of salmonid food webs in the rivers and lakes of an Irish peatland ecosystem. </w:t>
      </w:r>
      <w:r>
        <w:rPr>
          <w:i/>
          <w:iCs/>
        </w:rPr>
        <w:t>Biology and Environment: Proceedings of the Royal Irish Academy</w:t>
      </w:r>
      <w:r>
        <w:t xml:space="preserve">, </w:t>
      </w:r>
      <w:r>
        <w:rPr>
          <w:i/>
          <w:iCs/>
        </w:rPr>
        <w:t>120</w:t>
      </w:r>
      <w:proofErr w:type="gramStart"/>
      <w:r>
        <w:rPr>
          <w:i/>
          <w:iCs/>
        </w:rPr>
        <w:t>B</w:t>
      </w:r>
      <w:r>
        <w:t>(</w:t>
      </w:r>
      <w:proofErr w:type="gramEnd"/>
      <w:r>
        <w:t>1), 1–17. https://doi.org/10.3318/bioe.2020.01</w:t>
      </w:r>
    </w:p>
    <w:p w14:paraId="571BA0E1" w14:textId="77777777" w:rsidR="007F456A" w:rsidRDefault="007F456A" w:rsidP="007F456A">
      <w:pPr>
        <w:pStyle w:val="Bibliography"/>
        <w:spacing w:line="240" w:lineRule="auto"/>
      </w:pPr>
      <w:r>
        <w:t xml:space="preserve">de </w:t>
      </w:r>
      <w:proofErr w:type="spellStart"/>
      <w:r>
        <w:t>Eyto</w:t>
      </w:r>
      <w:proofErr w:type="spellEnd"/>
      <w:r>
        <w:t xml:space="preserve">, E., </w:t>
      </w:r>
      <w:proofErr w:type="spellStart"/>
      <w:r>
        <w:t>McGinnity</w:t>
      </w:r>
      <w:proofErr w:type="spellEnd"/>
      <w:r>
        <w:t xml:space="preserve">, P., </w:t>
      </w:r>
      <w:proofErr w:type="spellStart"/>
      <w:r>
        <w:t>Consuegra</w:t>
      </w:r>
      <w:proofErr w:type="spellEnd"/>
      <w:r>
        <w:t xml:space="preserve">, S., Coughlan, J., Tufto, J., Farrell, K., </w:t>
      </w:r>
      <w:proofErr w:type="spellStart"/>
      <w:r>
        <w:t>Megens</w:t>
      </w:r>
      <w:proofErr w:type="spellEnd"/>
      <w:r>
        <w:t xml:space="preserve">, H.-J., Jordan, W., Cross, T., &amp; Stet, R. J. M. (2007). Natural selection acts on Atlantic salmon major </w:t>
      </w:r>
      <w:r>
        <w:lastRenderedPageBreak/>
        <w:t xml:space="preserve">histocompatibility (MH) variability in the wild. </w:t>
      </w:r>
      <w:r>
        <w:rPr>
          <w:i/>
          <w:iCs/>
        </w:rPr>
        <w:t>Proceedings of the Royal Society B: Biological Sciences</w:t>
      </w:r>
      <w:r>
        <w:t xml:space="preserve">, </w:t>
      </w:r>
      <w:r>
        <w:rPr>
          <w:i/>
          <w:iCs/>
        </w:rPr>
        <w:t>274</w:t>
      </w:r>
      <w:r>
        <w:t>(1611), 861–869. https://doi.org/10.1098/rspb.2006.0053</w:t>
      </w:r>
    </w:p>
    <w:p w14:paraId="59F7B09A" w14:textId="77777777" w:rsidR="007F456A" w:rsidRDefault="007F456A" w:rsidP="007F456A">
      <w:pPr>
        <w:pStyle w:val="Bibliography"/>
        <w:spacing w:line="240" w:lineRule="auto"/>
      </w:pPr>
      <w:r>
        <w:t xml:space="preserve">de </w:t>
      </w:r>
      <w:proofErr w:type="spellStart"/>
      <w:r>
        <w:t>Eyto</w:t>
      </w:r>
      <w:proofErr w:type="spellEnd"/>
      <w:r>
        <w:t xml:space="preserve">, E., </w:t>
      </w:r>
      <w:proofErr w:type="spellStart"/>
      <w:r>
        <w:t>McGinnity</w:t>
      </w:r>
      <w:proofErr w:type="spellEnd"/>
      <w:r>
        <w:t xml:space="preserve">, P., Huisman, J., Coughlan, J., </w:t>
      </w:r>
      <w:proofErr w:type="spellStart"/>
      <w:r>
        <w:t>Consuegra</w:t>
      </w:r>
      <w:proofErr w:type="spellEnd"/>
      <w:r>
        <w:t xml:space="preserve">, S., Farrell, K., O’Toole, C., Tufto, J., </w:t>
      </w:r>
      <w:proofErr w:type="spellStart"/>
      <w:r>
        <w:t>Megens</w:t>
      </w:r>
      <w:proofErr w:type="spellEnd"/>
      <w:r>
        <w:t xml:space="preserve">, H.-J., Jordan, W., Cross, T., &amp; Stet, R. J. M. (2011). Varying disease-mediated selection at different life-history stages of Atlantic salmon in fresh water. </w:t>
      </w:r>
      <w:r>
        <w:rPr>
          <w:i/>
          <w:iCs/>
        </w:rPr>
        <w:t>Evolutionary Applications</w:t>
      </w:r>
      <w:r>
        <w:t xml:space="preserve">, </w:t>
      </w:r>
      <w:r>
        <w:rPr>
          <w:i/>
          <w:iCs/>
        </w:rPr>
        <w:t>4</w:t>
      </w:r>
      <w:r>
        <w:t>(6), 749–762. https://doi.org/10.1111/j.1752-4571.2011.00197.x</w:t>
      </w:r>
    </w:p>
    <w:p w14:paraId="0E3EEE1F" w14:textId="77777777" w:rsidR="007F456A" w:rsidRDefault="007F456A" w:rsidP="007F456A">
      <w:pPr>
        <w:pStyle w:val="Bibliography"/>
        <w:spacing w:line="240" w:lineRule="auto"/>
      </w:pPr>
      <w:proofErr w:type="spellStart"/>
      <w:r>
        <w:t>Dehler</w:t>
      </w:r>
      <w:proofErr w:type="spellEnd"/>
      <w:r>
        <w:t xml:space="preserve">, C. E., </w:t>
      </w:r>
      <w:proofErr w:type="spellStart"/>
      <w:r>
        <w:t>Secombes</w:t>
      </w:r>
      <w:proofErr w:type="spellEnd"/>
      <w:r>
        <w:t xml:space="preserve">, C. J., &amp; Martin, S. A. M. (2017). Environmental and physiological factors shape the gut microbiota of Atlantic salmon parr (Salmo </w:t>
      </w:r>
      <w:proofErr w:type="spellStart"/>
      <w:r>
        <w:t>salar</w:t>
      </w:r>
      <w:proofErr w:type="spellEnd"/>
      <w:r>
        <w:t xml:space="preserve"> L.). </w:t>
      </w:r>
      <w:r>
        <w:rPr>
          <w:i/>
          <w:iCs/>
        </w:rPr>
        <w:t>Aquaculture</w:t>
      </w:r>
      <w:r>
        <w:t xml:space="preserve">, </w:t>
      </w:r>
      <w:r>
        <w:rPr>
          <w:i/>
          <w:iCs/>
        </w:rPr>
        <w:t>467</w:t>
      </w:r>
      <w:r>
        <w:t>, 149–157. https://doi.org/10.1016/j.aquaculture.2016.07.017</w:t>
      </w:r>
    </w:p>
    <w:p w14:paraId="1F41DD80" w14:textId="77777777" w:rsidR="007F456A" w:rsidRDefault="007F456A" w:rsidP="007F456A">
      <w:pPr>
        <w:pStyle w:val="Bibliography"/>
        <w:spacing w:line="240" w:lineRule="auto"/>
      </w:pPr>
      <w:r>
        <w:t xml:space="preserve">Di </w:t>
      </w:r>
      <w:proofErr w:type="spellStart"/>
      <w:r>
        <w:t>Maiuta</w:t>
      </w:r>
      <w:proofErr w:type="spellEnd"/>
      <w:r>
        <w:t xml:space="preserve">, N., </w:t>
      </w:r>
      <w:proofErr w:type="spellStart"/>
      <w:r>
        <w:t>Schwarzentruber</w:t>
      </w:r>
      <w:proofErr w:type="spellEnd"/>
      <w:r>
        <w:t xml:space="preserve">, P., Schenker, M., &amp; </w:t>
      </w:r>
      <w:proofErr w:type="spellStart"/>
      <w:r>
        <w:t>Schoelkopf</w:t>
      </w:r>
      <w:proofErr w:type="spellEnd"/>
      <w:r>
        <w:t xml:space="preserve">, J. (2013). Microbial population dynamics in the faeces of wood-eating loricariid catfishes. </w:t>
      </w:r>
      <w:r>
        <w:rPr>
          <w:i/>
          <w:iCs/>
        </w:rPr>
        <w:t>Letters in Applied Microbiology</w:t>
      </w:r>
      <w:r>
        <w:t xml:space="preserve">, </w:t>
      </w:r>
      <w:r>
        <w:rPr>
          <w:i/>
          <w:iCs/>
        </w:rPr>
        <w:t>56</w:t>
      </w:r>
      <w:r>
        <w:t>(6), 401–407. https://doi.org/10.1111/lam.12061</w:t>
      </w:r>
    </w:p>
    <w:p w14:paraId="3CDB40DB" w14:textId="77777777" w:rsidR="007F456A" w:rsidRDefault="007F456A" w:rsidP="007F456A">
      <w:pPr>
        <w:pStyle w:val="Bibliography"/>
        <w:spacing w:line="240" w:lineRule="auto"/>
      </w:pPr>
      <w:proofErr w:type="spellStart"/>
      <w:r>
        <w:t>Dittmann</w:t>
      </w:r>
      <w:proofErr w:type="spellEnd"/>
      <w:r>
        <w:t xml:space="preserve">, K. K., Rasmussen, B. B., </w:t>
      </w:r>
      <w:proofErr w:type="spellStart"/>
      <w:r>
        <w:t>Castex</w:t>
      </w:r>
      <w:proofErr w:type="spellEnd"/>
      <w:r>
        <w:t xml:space="preserve">, M., Gram, L., &amp; </w:t>
      </w:r>
      <w:proofErr w:type="spellStart"/>
      <w:r>
        <w:t>Bentzon‐Tilia</w:t>
      </w:r>
      <w:proofErr w:type="spellEnd"/>
      <w:r>
        <w:t xml:space="preserve">, M. (2017). The aquaculture microbiome at the centre of business creation. </w:t>
      </w:r>
      <w:r>
        <w:rPr>
          <w:i/>
          <w:iCs/>
        </w:rPr>
        <w:t>Microbial Biotechnology</w:t>
      </w:r>
      <w:r>
        <w:t xml:space="preserve">, </w:t>
      </w:r>
      <w:r>
        <w:rPr>
          <w:i/>
          <w:iCs/>
        </w:rPr>
        <w:t>10</w:t>
      </w:r>
      <w:r>
        <w:t>(6), 1279–1282. https://doi.org/10.1111/1751-7915.12877</w:t>
      </w:r>
    </w:p>
    <w:p w14:paraId="4253E4BB" w14:textId="77777777" w:rsidR="007F456A" w:rsidRDefault="007F456A" w:rsidP="007F456A">
      <w:pPr>
        <w:pStyle w:val="Bibliography"/>
        <w:spacing w:line="240" w:lineRule="auto"/>
      </w:pPr>
      <w:r>
        <w:t xml:space="preserve">Egerton, S., </w:t>
      </w:r>
      <w:proofErr w:type="spellStart"/>
      <w:r>
        <w:t>Culloty</w:t>
      </w:r>
      <w:proofErr w:type="spellEnd"/>
      <w:r>
        <w:t xml:space="preserve">, S., </w:t>
      </w:r>
      <w:proofErr w:type="spellStart"/>
      <w:r>
        <w:t>Whooley</w:t>
      </w:r>
      <w:proofErr w:type="spellEnd"/>
      <w:r>
        <w:t xml:space="preserve">, J., Stanton, C., &amp; Ross, R. P. (2018). The Gut Microbiota of Marine Fish. </w:t>
      </w:r>
      <w:r>
        <w:rPr>
          <w:i/>
          <w:iCs/>
        </w:rPr>
        <w:t>Frontiers in Microbiology</w:t>
      </w:r>
      <w:r>
        <w:t xml:space="preserve">, </w:t>
      </w:r>
      <w:r>
        <w:rPr>
          <w:i/>
          <w:iCs/>
        </w:rPr>
        <w:t>9</w:t>
      </w:r>
      <w:r>
        <w:t>. https://www.frontiersin.org/article/10.3389/fmicb.2018.00873</w:t>
      </w:r>
    </w:p>
    <w:p w14:paraId="277AA53D" w14:textId="77777777" w:rsidR="007F456A" w:rsidRDefault="007F456A" w:rsidP="007F456A">
      <w:pPr>
        <w:pStyle w:val="Bibliography"/>
        <w:spacing w:line="240" w:lineRule="auto"/>
      </w:pPr>
      <w:proofErr w:type="spellStart"/>
      <w:r>
        <w:t>Forseth</w:t>
      </w:r>
      <w:proofErr w:type="spellEnd"/>
      <w:r>
        <w:t xml:space="preserve">, T., </w:t>
      </w:r>
      <w:proofErr w:type="spellStart"/>
      <w:r>
        <w:t>Barlaup</w:t>
      </w:r>
      <w:proofErr w:type="spellEnd"/>
      <w:r>
        <w:t xml:space="preserve">, B. T., Finstad, B., Fiske, P., </w:t>
      </w:r>
      <w:proofErr w:type="spellStart"/>
      <w:r>
        <w:t>Gjøsæter</w:t>
      </w:r>
      <w:proofErr w:type="spellEnd"/>
      <w:r>
        <w:t xml:space="preserve">, H., </w:t>
      </w:r>
      <w:proofErr w:type="spellStart"/>
      <w:r>
        <w:t>Falkegård</w:t>
      </w:r>
      <w:proofErr w:type="spellEnd"/>
      <w:r>
        <w:t xml:space="preserve">, M., </w:t>
      </w:r>
      <w:proofErr w:type="spellStart"/>
      <w:r>
        <w:t>Hindar</w:t>
      </w:r>
      <w:proofErr w:type="spellEnd"/>
      <w:r>
        <w:t xml:space="preserve">, A., Mo, T. A., </w:t>
      </w:r>
      <w:proofErr w:type="spellStart"/>
      <w:r>
        <w:t>Rikardsen</w:t>
      </w:r>
      <w:proofErr w:type="spellEnd"/>
      <w:r>
        <w:t xml:space="preserve">, A. H., </w:t>
      </w:r>
      <w:proofErr w:type="spellStart"/>
      <w:r>
        <w:t>Thorstad</w:t>
      </w:r>
      <w:proofErr w:type="spellEnd"/>
      <w:r>
        <w:t xml:space="preserve">, E. B., </w:t>
      </w:r>
      <w:proofErr w:type="spellStart"/>
      <w:r>
        <w:t>Vøllestad</w:t>
      </w:r>
      <w:proofErr w:type="spellEnd"/>
      <w:r>
        <w:t xml:space="preserve">, L. A., &amp; </w:t>
      </w:r>
      <w:proofErr w:type="spellStart"/>
      <w:r>
        <w:t>Wennevik</w:t>
      </w:r>
      <w:proofErr w:type="spellEnd"/>
      <w:r>
        <w:t xml:space="preserve">, V. (2017). The major threats to Atlantic salmon in Norway. </w:t>
      </w:r>
      <w:r>
        <w:rPr>
          <w:i/>
          <w:iCs/>
        </w:rPr>
        <w:t>ICES Journal of Marine Science</w:t>
      </w:r>
      <w:r>
        <w:t xml:space="preserve">, </w:t>
      </w:r>
      <w:r>
        <w:rPr>
          <w:i/>
          <w:iCs/>
        </w:rPr>
        <w:t>74</w:t>
      </w:r>
      <w:r>
        <w:t>(6), 1496–1513. https://doi.org/10.1093/icesjms/fsx020</w:t>
      </w:r>
    </w:p>
    <w:p w14:paraId="2721DDB1" w14:textId="77777777" w:rsidR="007F456A" w:rsidRDefault="007F456A" w:rsidP="007F456A">
      <w:pPr>
        <w:pStyle w:val="Bibliography"/>
        <w:spacing w:line="240" w:lineRule="auto"/>
      </w:pPr>
      <w:r>
        <w:t xml:space="preserve">Foster, Z. S. L., Sharpton, T. J., &amp; </w:t>
      </w:r>
      <w:proofErr w:type="spellStart"/>
      <w:r>
        <w:t>Grünwald</w:t>
      </w:r>
      <w:proofErr w:type="spellEnd"/>
      <w:r>
        <w:t xml:space="preserve">, N. J. (2017). </w:t>
      </w:r>
      <w:proofErr w:type="spellStart"/>
      <w:r>
        <w:t>Metacoder</w:t>
      </w:r>
      <w:proofErr w:type="spellEnd"/>
      <w:r>
        <w:t xml:space="preserve">: An R package for visualization and manipulation of community taxonomic diversity data. </w:t>
      </w:r>
      <w:r>
        <w:rPr>
          <w:i/>
          <w:iCs/>
        </w:rPr>
        <w:t>PLOS Computational Biology</w:t>
      </w:r>
      <w:r>
        <w:t xml:space="preserve">, </w:t>
      </w:r>
      <w:r>
        <w:rPr>
          <w:i/>
          <w:iCs/>
        </w:rPr>
        <w:t>13</w:t>
      </w:r>
      <w:r>
        <w:t>(2), e1005404. https://doi.org/10.1371/journal.pcbi.1005404</w:t>
      </w:r>
    </w:p>
    <w:p w14:paraId="5942A28B" w14:textId="77777777" w:rsidR="007F456A" w:rsidRDefault="007F456A" w:rsidP="007F456A">
      <w:pPr>
        <w:pStyle w:val="Bibliography"/>
        <w:spacing w:line="240" w:lineRule="auto"/>
      </w:pPr>
      <w:r>
        <w:t xml:space="preserve">Friberg, I. M., Taylor, J. D., &amp; Jackson, J. A. (2019). Diet in the Driving Seat: Natural Diet-Immunity-Microbiome Interactions in Wild Fish. </w:t>
      </w:r>
      <w:r>
        <w:rPr>
          <w:i/>
          <w:iCs/>
        </w:rPr>
        <w:t>Frontiers in Immunology</w:t>
      </w:r>
      <w:r>
        <w:t xml:space="preserve">, </w:t>
      </w:r>
      <w:r>
        <w:rPr>
          <w:i/>
          <w:iCs/>
        </w:rPr>
        <w:t>10</w:t>
      </w:r>
      <w:r>
        <w:t>. https://www.frontiersin.org/articles/10.3389/fimmu.2019.00243</w:t>
      </w:r>
    </w:p>
    <w:p w14:paraId="6C62A721" w14:textId="77777777" w:rsidR="007F456A" w:rsidRDefault="007F456A" w:rsidP="007F456A">
      <w:pPr>
        <w:pStyle w:val="Bibliography"/>
        <w:spacing w:line="240" w:lineRule="auto"/>
      </w:pPr>
      <w:proofErr w:type="spellStart"/>
      <w:r>
        <w:t>Gajardo</w:t>
      </w:r>
      <w:proofErr w:type="spellEnd"/>
      <w:r>
        <w:t xml:space="preserve">, K., Jaramillo-Torres, A., Kortner, T. M., Merrifield, D. L., Tinsley, J., Bakke, A. M., &amp; </w:t>
      </w:r>
      <w:proofErr w:type="spellStart"/>
      <w:r>
        <w:t>Krogdahl</w:t>
      </w:r>
      <w:proofErr w:type="spellEnd"/>
      <w:r>
        <w:t xml:space="preserve">, Å. (2017). Alternative Protein Sources in the Diet Modulate Microbiota and Functionality in the Distal Intestine of Atlantic Salmon (Salmo </w:t>
      </w:r>
      <w:proofErr w:type="spellStart"/>
      <w:r>
        <w:t>salar</w:t>
      </w:r>
      <w:proofErr w:type="spellEnd"/>
      <w:r>
        <w:t xml:space="preserve">). </w:t>
      </w:r>
      <w:r>
        <w:rPr>
          <w:i/>
          <w:iCs/>
        </w:rPr>
        <w:t>Applied and Environmental Microbiology</w:t>
      </w:r>
      <w:r>
        <w:t xml:space="preserve">, </w:t>
      </w:r>
      <w:r>
        <w:rPr>
          <w:i/>
          <w:iCs/>
        </w:rPr>
        <w:t>83</w:t>
      </w:r>
      <w:r>
        <w:t>(5), e02615-16. https://doi.org/10.1128/AEM.02615-16</w:t>
      </w:r>
    </w:p>
    <w:p w14:paraId="1FB287C3" w14:textId="77777777" w:rsidR="007F456A" w:rsidRDefault="007F456A" w:rsidP="007F456A">
      <w:pPr>
        <w:pStyle w:val="Bibliography"/>
        <w:spacing w:line="240" w:lineRule="auto"/>
      </w:pPr>
      <w:proofErr w:type="spellStart"/>
      <w:r>
        <w:t>Gajardo</w:t>
      </w:r>
      <w:proofErr w:type="spellEnd"/>
      <w:r>
        <w:t xml:space="preserve">, K., </w:t>
      </w:r>
      <w:proofErr w:type="spellStart"/>
      <w:r>
        <w:t>Rodiles</w:t>
      </w:r>
      <w:proofErr w:type="spellEnd"/>
      <w:r>
        <w:t xml:space="preserve">, A., Kortner, T. M., </w:t>
      </w:r>
      <w:proofErr w:type="spellStart"/>
      <w:r>
        <w:t>Krogdahl</w:t>
      </w:r>
      <w:proofErr w:type="spellEnd"/>
      <w:r>
        <w:t xml:space="preserve">, Å., Bakke, A. M., Merrifield, D. L., &amp; </w:t>
      </w:r>
      <w:proofErr w:type="spellStart"/>
      <w:r>
        <w:t>Sørum</w:t>
      </w:r>
      <w:proofErr w:type="spellEnd"/>
      <w:r>
        <w:t xml:space="preserve">, H. (2016). A high-resolution map of the gut microbiota in Atlantic salmon (Salmo </w:t>
      </w:r>
      <w:proofErr w:type="spellStart"/>
      <w:r>
        <w:t>salar</w:t>
      </w:r>
      <w:proofErr w:type="spellEnd"/>
      <w:r>
        <w:t xml:space="preserve">): A basis for comparative gut microbial research. </w:t>
      </w:r>
      <w:r>
        <w:rPr>
          <w:i/>
          <w:iCs/>
        </w:rPr>
        <w:t>Scientific Reports</w:t>
      </w:r>
      <w:r>
        <w:t xml:space="preserve">, </w:t>
      </w:r>
      <w:r>
        <w:rPr>
          <w:i/>
          <w:iCs/>
        </w:rPr>
        <w:t>6</w:t>
      </w:r>
      <w:r>
        <w:t>(1), Article 1. https://doi.org/10.1038/srep30893</w:t>
      </w:r>
    </w:p>
    <w:p w14:paraId="1F0F1789" w14:textId="77777777" w:rsidR="007F456A" w:rsidRDefault="007F456A" w:rsidP="007F456A">
      <w:pPr>
        <w:pStyle w:val="Bibliography"/>
        <w:spacing w:line="240" w:lineRule="auto"/>
      </w:pPr>
      <w:r>
        <w:t xml:space="preserve">Ghosh, S. K., Wong, M. K.-S., </w:t>
      </w:r>
      <w:proofErr w:type="spellStart"/>
      <w:r>
        <w:t>Hyodo</w:t>
      </w:r>
      <w:proofErr w:type="spellEnd"/>
      <w:r>
        <w:t xml:space="preserve">, S., Goto, S., &amp; Hamasaki, K. (2022). Temperature modulation alters the gut and skin microbial profiles of chum salmon (Oncorhynchus keta). </w:t>
      </w:r>
      <w:r>
        <w:rPr>
          <w:i/>
          <w:iCs/>
        </w:rPr>
        <w:t>Frontiers in Marine Science</w:t>
      </w:r>
      <w:r>
        <w:t xml:space="preserve">, </w:t>
      </w:r>
      <w:r>
        <w:rPr>
          <w:i/>
          <w:iCs/>
        </w:rPr>
        <w:t>9</w:t>
      </w:r>
      <w:r>
        <w:t>. https://www.frontiersin.org/articles/10.3389/fmars.2022.1027621</w:t>
      </w:r>
    </w:p>
    <w:p w14:paraId="2106B87D" w14:textId="77777777" w:rsidR="007F456A" w:rsidRDefault="007F456A" w:rsidP="007F456A">
      <w:pPr>
        <w:pStyle w:val="Bibliography"/>
        <w:spacing w:line="240" w:lineRule="auto"/>
      </w:pPr>
      <w:r>
        <w:t xml:space="preserve">Hansen, G. H., &amp; </w:t>
      </w:r>
      <w:proofErr w:type="spellStart"/>
      <w:r>
        <w:t>Olafsen</w:t>
      </w:r>
      <w:proofErr w:type="spellEnd"/>
      <w:r>
        <w:t xml:space="preserve">, J. A. (1999). Bacterial Interactions in Early Life Stages of Marine </w:t>
      </w:r>
      <w:proofErr w:type="gramStart"/>
      <w:r>
        <w:t>Cold Water</w:t>
      </w:r>
      <w:proofErr w:type="gramEnd"/>
      <w:r>
        <w:t xml:space="preserve"> Fish. </w:t>
      </w:r>
      <w:r>
        <w:rPr>
          <w:i/>
          <w:iCs/>
        </w:rPr>
        <w:t>Microbial Ecology</w:t>
      </w:r>
      <w:r>
        <w:t xml:space="preserve">, </w:t>
      </w:r>
      <w:r>
        <w:rPr>
          <w:i/>
          <w:iCs/>
        </w:rPr>
        <w:t>38</w:t>
      </w:r>
      <w:r>
        <w:t>(1), 1–26. https://doi.org/10.1007/s002489900158</w:t>
      </w:r>
    </w:p>
    <w:p w14:paraId="19E06576" w14:textId="77777777" w:rsidR="007F456A" w:rsidRDefault="007F456A" w:rsidP="007F456A">
      <w:pPr>
        <w:pStyle w:val="Bibliography"/>
        <w:spacing w:line="240" w:lineRule="auto"/>
      </w:pPr>
      <w:r>
        <w:t xml:space="preserve">Hanson, C. A., Fuhrman, J. A., Horner-Devine, M. C., &amp; </w:t>
      </w:r>
      <w:proofErr w:type="spellStart"/>
      <w:r>
        <w:t>Martiny</w:t>
      </w:r>
      <w:proofErr w:type="spellEnd"/>
      <w:r>
        <w:t xml:space="preserve">, J. B. H. (2012). Beyond biogeographic patterns: Processes shaping the microbial landscape. </w:t>
      </w:r>
      <w:r>
        <w:rPr>
          <w:i/>
          <w:iCs/>
        </w:rPr>
        <w:t>Nature Reviews Microbiology</w:t>
      </w:r>
      <w:r>
        <w:t xml:space="preserve">, </w:t>
      </w:r>
      <w:r>
        <w:rPr>
          <w:i/>
          <w:iCs/>
        </w:rPr>
        <w:t>10</w:t>
      </w:r>
      <w:r>
        <w:t>(7), Article 7. https://doi.org/10.1038/nrmicro2795</w:t>
      </w:r>
    </w:p>
    <w:p w14:paraId="50A10F5F" w14:textId="77777777" w:rsidR="007F456A" w:rsidRDefault="007F456A" w:rsidP="007F456A">
      <w:pPr>
        <w:pStyle w:val="Bibliography"/>
        <w:spacing w:line="240" w:lineRule="auto"/>
      </w:pPr>
      <w:r>
        <w:t xml:space="preserve">Harvell, C. D., Mitchell, C. E., Ward, J. R., </w:t>
      </w:r>
      <w:proofErr w:type="spellStart"/>
      <w:r>
        <w:t>Altizer</w:t>
      </w:r>
      <w:proofErr w:type="spellEnd"/>
      <w:r>
        <w:t xml:space="preserve">, S., Dobson, A. P., </w:t>
      </w:r>
      <w:proofErr w:type="spellStart"/>
      <w:r>
        <w:t>Ostfeld</w:t>
      </w:r>
      <w:proofErr w:type="spellEnd"/>
      <w:r>
        <w:t xml:space="preserve">, R. S., &amp; Samuel, M. D. (2002). Climate Warming and Disease Risks for Terrestrial and Marine Biota. </w:t>
      </w:r>
      <w:r>
        <w:rPr>
          <w:i/>
          <w:iCs/>
        </w:rPr>
        <w:t>Science</w:t>
      </w:r>
      <w:r>
        <w:t xml:space="preserve">, </w:t>
      </w:r>
      <w:r>
        <w:rPr>
          <w:i/>
          <w:iCs/>
        </w:rPr>
        <w:t>296</w:t>
      </w:r>
      <w:r>
        <w:t>(5576), 2158–2162. https://doi.org/10.1126/science.1063699</w:t>
      </w:r>
    </w:p>
    <w:p w14:paraId="4DD78F7F" w14:textId="77777777" w:rsidR="007F456A" w:rsidRDefault="007F456A" w:rsidP="007F456A">
      <w:pPr>
        <w:pStyle w:val="Bibliography"/>
        <w:spacing w:line="240" w:lineRule="auto"/>
      </w:pPr>
      <w:proofErr w:type="spellStart"/>
      <w:r>
        <w:t>Heys</w:t>
      </w:r>
      <w:proofErr w:type="spellEnd"/>
      <w:r>
        <w:t xml:space="preserve">, C., </w:t>
      </w:r>
      <w:proofErr w:type="spellStart"/>
      <w:r>
        <w:t>Cheaib</w:t>
      </w:r>
      <w:proofErr w:type="spellEnd"/>
      <w:r>
        <w:t xml:space="preserve">, B., </w:t>
      </w:r>
      <w:proofErr w:type="spellStart"/>
      <w:r>
        <w:t>Busetti</w:t>
      </w:r>
      <w:proofErr w:type="spellEnd"/>
      <w:r>
        <w:t xml:space="preserve">, A., </w:t>
      </w:r>
      <w:proofErr w:type="spellStart"/>
      <w:r>
        <w:t>Kazlauskaite</w:t>
      </w:r>
      <w:proofErr w:type="spellEnd"/>
      <w:r>
        <w:t xml:space="preserve">, R., Maier, L., Sloan, W. T., Ijaz, U. Z., Kaufmann, J., </w:t>
      </w:r>
      <w:proofErr w:type="spellStart"/>
      <w:r>
        <w:t>McGinnity</w:t>
      </w:r>
      <w:proofErr w:type="spellEnd"/>
      <w:r>
        <w:t xml:space="preserve">, P., &amp; Llewellyn, M. S. (2020). Neutral Processes Dominate Microbial Community Assembly in Atlantic Salmon, Salmo </w:t>
      </w:r>
      <w:proofErr w:type="spellStart"/>
      <w:r>
        <w:t>salar</w:t>
      </w:r>
      <w:proofErr w:type="spellEnd"/>
      <w:r>
        <w:t xml:space="preserve">. </w:t>
      </w:r>
      <w:r>
        <w:rPr>
          <w:i/>
          <w:iCs/>
        </w:rPr>
        <w:t>Applied and Environmental Microbiology</w:t>
      </w:r>
      <w:r>
        <w:t xml:space="preserve">, </w:t>
      </w:r>
      <w:r>
        <w:rPr>
          <w:i/>
          <w:iCs/>
        </w:rPr>
        <w:t>86</w:t>
      </w:r>
      <w:r>
        <w:t>(8), e02283-19. https://doi.org/10.1128/AEM.02283-19</w:t>
      </w:r>
    </w:p>
    <w:p w14:paraId="61A8C8C3" w14:textId="77777777" w:rsidR="007F456A" w:rsidRDefault="007F456A" w:rsidP="007F456A">
      <w:pPr>
        <w:pStyle w:val="Bibliography"/>
        <w:spacing w:line="240" w:lineRule="auto"/>
      </w:pPr>
      <w:r>
        <w:lastRenderedPageBreak/>
        <w:t xml:space="preserve">Hoar, W. S. (1988). 4 The Physiology of </w:t>
      </w:r>
      <w:proofErr w:type="spellStart"/>
      <w:r>
        <w:t>Smolting</w:t>
      </w:r>
      <w:proofErr w:type="spellEnd"/>
      <w:r>
        <w:t xml:space="preserve"> Salmonids. In W. S. Hoar &amp; D. J. Randall (Eds.), </w:t>
      </w:r>
      <w:r>
        <w:rPr>
          <w:i/>
          <w:iCs/>
        </w:rPr>
        <w:t>Fish Physiology</w:t>
      </w:r>
      <w:r>
        <w:t xml:space="preserve"> (Vol. 11, pp. 275–343). Academic Press. https://doi.org/10.1016/S1546-5098(08)60216-2</w:t>
      </w:r>
    </w:p>
    <w:p w14:paraId="232AC193" w14:textId="77777777" w:rsidR="007F456A" w:rsidRDefault="007F456A" w:rsidP="007F456A">
      <w:pPr>
        <w:pStyle w:val="Bibliography"/>
        <w:spacing w:line="240" w:lineRule="auto"/>
      </w:pPr>
      <w:r>
        <w:t xml:space="preserve">Houston, R. D., &amp; Macqueen, D. J. (2019). Atlantic salmon (Salmo </w:t>
      </w:r>
      <w:proofErr w:type="spellStart"/>
      <w:r>
        <w:t>salar</w:t>
      </w:r>
      <w:proofErr w:type="spellEnd"/>
      <w:r>
        <w:t xml:space="preserve"> L.) genetics in the 21st century: Taking leaps forward in aquaculture and biological understanding. </w:t>
      </w:r>
      <w:r>
        <w:rPr>
          <w:i/>
          <w:iCs/>
        </w:rPr>
        <w:t>Animal Genetics</w:t>
      </w:r>
      <w:r>
        <w:t xml:space="preserve">, </w:t>
      </w:r>
      <w:r>
        <w:rPr>
          <w:i/>
          <w:iCs/>
        </w:rPr>
        <w:t>50</w:t>
      </w:r>
      <w:r>
        <w:t>(1), 3–14. https://doi.org/10.1111/age.12748</w:t>
      </w:r>
    </w:p>
    <w:p w14:paraId="3A50EAFC" w14:textId="77777777" w:rsidR="007F456A" w:rsidRDefault="007F456A" w:rsidP="007F456A">
      <w:pPr>
        <w:pStyle w:val="Bibliography"/>
        <w:spacing w:line="240" w:lineRule="auto"/>
      </w:pPr>
      <w:r>
        <w:t xml:space="preserve">Hubbell, S. P. (2005). Neutral Theory in Community Ecology and the Hypothesis of Functional Equivalence. </w:t>
      </w:r>
      <w:r>
        <w:rPr>
          <w:i/>
          <w:iCs/>
        </w:rPr>
        <w:t>Functional Ecology</w:t>
      </w:r>
      <w:r>
        <w:t xml:space="preserve">, </w:t>
      </w:r>
      <w:r>
        <w:rPr>
          <w:i/>
          <w:iCs/>
        </w:rPr>
        <w:t>19</w:t>
      </w:r>
      <w:r>
        <w:t>(1), 166–172.</w:t>
      </w:r>
    </w:p>
    <w:p w14:paraId="4D53A36E" w14:textId="77777777" w:rsidR="007F456A" w:rsidRDefault="007F456A" w:rsidP="007F456A">
      <w:pPr>
        <w:pStyle w:val="Bibliography"/>
        <w:spacing w:line="240" w:lineRule="auto"/>
      </w:pPr>
      <w:r>
        <w:t xml:space="preserve">Jonsson, B., &amp; Jonsson, N. (2006). Cultured Atlantic salmon in nature: A review of their ecology and interaction with wild fish. </w:t>
      </w:r>
      <w:r>
        <w:rPr>
          <w:i/>
          <w:iCs/>
        </w:rPr>
        <w:t>ICES Journal of Marine Science</w:t>
      </w:r>
      <w:r>
        <w:t xml:space="preserve">, </w:t>
      </w:r>
      <w:r>
        <w:rPr>
          <w:i/>
          <w:iCs/>
        </w:rPr>
        <w:t>63</w:t>
      </w:r>
      <w:r>
        <w:t>(7), 1162–1181. https://doi.org/10.1016/j.icesjms.2006.03.004</w:t>
      </w:r>
    </w:p>
    <w:p w14:paraId="1CB1A3A8" w14:textId="77777777" w:rsidR="007F456A" w:rsidRDefault="007F456A" w:rsidP="007F456A">
      <w:pPr>
        <w:pStyle w:val="Bibliography"/>
        <w:spacing w:line="240" w:lineRule="auto"/>
      </w:pPr>
      <w:r>
        <w:t xml:space="preserve">Joshi, N. A., &amp; </w:t>
      </w:r>
      <w:proofErr w:type="spellStart"/>
      <w:r>
        <w:t>Fass</w:t>
      </w:r>
      <w:proofErr w:type="spellEnd"/>
      <w:r>
        <w:t xml:space="preserve">, J. (2011). </w:t>
      </w:r>
      <w:r>
        <w:rPr>
          <w:i/>
          <w:iCs/>
        </w:rPr>
        <w:t xml:space="preserve">Sickle: A sliding-window, adaptive, quality-based trimming tool for </w:t>
      </w:r>
      <w:proofErr w:type="spellStart"/>
      <w:r>
        <w:rPr>
          <w:i/>
          <w:iCs/>
        </w:rPr>
        <w:t>FastQ</w:t>
      </w:r>
      <w:proofErr w:type="spellEnd"/>
      <w:r>
        <w:rPr>
          <w:i/>
          <w:iCs/>
        </w:rPr>
        <w:t xml:space="preserve"> files (Version </w:t>
      </w:r>
      <w:proofErr w:type="gramStart"/>
      <w:r>
        <w:rPr>
          <w:i/>
          <w:iCs/>
        </w:rPr>
        <w:t>1.33)[</w:t>
      </w:r>
      <w:proofErr w:type="gramEnd"/>
      <w:r>
        <w:rPr>
          <w:i/>
          <w:iCs/>
        </w:rPr>
        <w:t>Software]</w:t>
      </w:r>
      <w:r>
        <w:t>.</w:t>
      </w:r>
    </w:p>
    <w:p w14:paraId="65E01EB3" w14:textId="77777777" w:rsidR="007F456A" w:rsidRDefault="007F456A" w:rsidP="007F456A">
      <w:pPr>
        <w:pStyle w:val="Bibliography"/>
        <w:spacing w:line="240" w:lineRule="auto"/>
      </w:pPr>
      <w:proofErr w:type="spellStart"/>
      <w:r>
        <w:t>Kazlauskaite</w:t>
      </w:r>
      <w:proofErr w:type="spellEnd"/>
      <w:r>
        <w:t xml:space="preserve">, R., </w:t>
      </w:r>
      <w:proofErr w:type="spellStart"/>
      <w:r>
        <w:t>Cheaib</w:t>
      </w:r>
      <w:proofErr w:type="spellEnd"/>
      <w:r>
        <w:t xml:space="preserve">, B., </w:t>
      </w:r>
      <w:proofErr w:type="spellStart"/>
      <w:r>
        <w:t>Heys</w:t>
      </w:r>
      <w:proofErr w:type="spellEnd"/>
      <w:r>
        <w:t xml:space="preserve">, C., Ijaz, U. Z., Connelly, S., Sloan, W., Russel, J., Rubio, L., Sweetman, J., Kitts, A., </w:t>
      </w:r>
      <w:proofErr w:type="spellStart"/>
      <w:r>
        <w:t>McGinnity</w:t>
      </w:r>
      <w:proofErr w:type="spellEnd"/>
      <w:r>
        <w:t xml:space="preserve">, P., Lyons, P., &amp; Llewellyn, M. (2021). </w:t>
      </w:r>
      <w:proofErr w:type="spellStart"/>
      <w:r>
        <w:t>SalmoSim</w:t>
      </w:r>
      <w:proofErr w:type="spellEnd"/>
      <w:r>
        <w:t xml:space="preserve">: The development of a three-compartment in vitro simulator of the Atlantic salmon GI tract and associated microbial communities. </w:t>
      </w:r>
      <w:r>
        <w:rPr>
          <w:i/>
          <w:iCs/>
        </w:rPr>
        <w:t>Microbiome</w:t>
      </w:r>
      <w:r>
        <w:t xml:space="preserve">, </w:t>
      </w:r>
      <w:r>
        <w:rPr>
          <w:i/>
          <w:iCs/>
        </w:rPr>
        <w:t>9</w:t>
      </w:r>
      <w:r>
        <w:t>(1), 179. https://doi.org/10.1186/s40168-021-01134-6</w:t>
      </w:r>
    </w:p>
    <w:p w14:paraId="62069B7B" w14:textId="77777777" w:rsidR="007F456A" w:rsidRDefault="007F456A" w:rsidP="007F456A">
      <w:pPr>
        <w:pStyle w:val="Bibliography"/>
        <w:spacing w:line="240" w:lineRule="auto"/>
      </w:pPr>
      <w:r>
        <w:t xml:space="preserve">Kelly, C., &amp; Salinas, I. (2017). Under Pressure: Interactions between Commensal Microbiota and the Teleost Immune System. </w:t>
      </w:r>
      <w:r>
        <w:rPr>
          <w:i/>
          <w:iCs/>
        </w:rPr>
        <w:t>Frontiers in Immunology</w:t>
      </w:r>
      <w:r>
        <w:t xml:space="preserve">, </w:t>
      </w:r>
      <w:r>
        <w:rPr>
          <w:i/>
          <w:iCs/>
        </w:rPr>
        <w:t>8</w:t>
      </w:r>
      <w:r>
        <w:t>. https://www.frontiersin.org/articles/10.3389/fimmu.2017.00559</w:t>
      </w:r>
    </w:p>
    <w:p w14:paraId="3287B173" w14:textId="77777777" w:rsidR="007F456A" w:rsidRDefault="007F456A" w:rsidP="007F456A">
      <w:pPr>
        <w:pStyle w:val="Bibliography"/>
        <w:spacing w:line="240" w:lineRule="auto"/>
      </w:pPr>
      <w:r>
        <w:t xml:space="preserve">Kim, P. S., Shin, N.-R., Lee, J.-B., Kim, M.-S., </w:t>
      </w:r>
      <w:proofErr w:type="spellStart"/>
      <w:r>
        <w:t>Whon</w:t>
      </w:r>
      <w:proofErr w:type="spellEnd"/>
      <w:r>
        <w:t xml:space="preserve">, T. W., Hyun, D.-W., Yun, J.-H., Jung, M.-J., Kim, J. Y., &amp; Bae, J.-W. (2021). Host habitat is the major determinant of the gut microbiome of fish. </w:t>
      </w:r>
      <w:r>
        <w:rPr>
          <w:i/>
          <w:iCs/>
        </w:rPr>
        <w:t>Microbiome</w:t>
      </w:r>
      <w:r>
        <w:t xml:space="preserve">, </w:t>
      </w:r>
      <w:r>
        <w:rPr>
          <w:i/>
          <w:iCs/>
        </w:rPr>
        <w:t>9</w:t>
      </w:r>
      <w:r>
        <w:t>(1), 166. https://doi.org/10.1186/s40168-021-01113-x</w:t>
      </w:r>
    </w:p>
    <w:p w14:paraId="1AAF549B" w14:textId="77777777" w:rsidR="007F456A" w:rsidRDefault="007F456A" w:rsidP="007F456A">
      <w:pPr>
        <w:pStyle w:val="Bibliography"/>
        <w:spacing w:line="240" w:lineRule="auto"/>
      </w:pPr>
      <w:r>
        <w:t xml:space="preserve">Koh, A., De </w:t>
      </w:r>
      <w:proofErr w:type="spellStart"/>
      <w:r>
        <w:t>Vadder</w:t>
      </w:r>
      <w:proofErr w:type="spellEnd"/>
      <w:r>
        <w:t xml:space="preserve">, F., </w:t>
      </w:r>
      <w:proofErr w:type="spellStart"/>
      <w:r>
        <w:t>Kovatcheva-Datchary</w:t>
      </w:r>
      <w:proofErr w:type="spellEnd"/>
      <w:r>
        <w:t xml:space="preserve">, P., &amp; </w:t>
      </w:r>
      <w:proofErr w:type="spellStart"/>
      <w:r>
        <w:t>Bäckhed</w:t>
      </w:r>
      <w:proofErr w:type="spellEnd"/>
      <w:r>
        <w:t xml:space="preserve">, F. (2016). From Dietary Fiber to Host Physiology: Short-Chain Fatty Acids as Key Bacterial Metabolites. </w:t>
      </w:r>
      <w:r>
        <w:rPr>
          <w:i/>
          <w:iCs/>
        </w:rPr>
        <w:t>Cell</w:t>
      </w:r>
      <w:r>
        <w:t xml:space="preserve">, </w:t>
      </w:r>
      <w:r>
        <w:rPr>
          <w:i/>
          <w:iCs/>
        </w:rPr>
        <w:t>165</w:t>
      </w:r>
      <w:r>
        <w:t>(6), 1332–1345. https://doi.org/10.1016/j.cell.2016.05.041</w:t>
      </w:r>
    </w:p>
    <w:p w14:paraId="534D9141" w14:textId="77777777" w:rsidR="007F456A" w:rsidRDefault="007F456A" w:rsidP="007F456A">
      <w:pPr>
        <w:pStyle w:val="Bibliography"/>
        <w:spacing w:line="240" w:lineRule="auto"/>
      </w:pPr>
      <w:proofErr w:type="spellStart"/>
      <w:r>
        <w:t>Kokou</w:t>
      </w:r>
      <w:proofErr w:type="spellEnd"/>
      <w:r>
        <w:t xml:space="preserve">, F., </w:t>
      </w:r>
      <w:proofErr w:type="spellStart"/>
      <w:r>
        <w:t>Sasson</w:t>
      </w:r>
      <w:proofErr w:type="spellEnd"/>
      <w:r>
        <w:t xml:space="preserve">, G., Friedman, J., </w:t>
      </w:r>
      <w:proofErr w:type="spellStart"/>
      <w:r>
        <w:t>Eyal</w:t>
      </w:r>
      <w:proofErr w:type="spellEnd"/>
      <w:r>
        <w:t xml:space="preserve">, S., Ovadia, O., Harpaz, S., </w:t>
      </w:r>
      <w:proofErr w:type="spellStart"/>
      <w:r>
        <w:t>Cnaani</w:t>
      </w:r>
      <w:proofErr w:type="spellEnd"/>
      <w:r>
        <w:t xml:space="preserve">, A., &amp; Mizrahi, I. (2019). Core gut microbial communities are maintained by beneficial interactions and strain variability in fish. </w:t>
      </w:r>
      <w:r>
        <w:rPr>
          <w:i/>
          <w:iCs/>
        </w:rPr>
        <w:t>Nature Microbiology</w:t>
      </w:r>
      <w:r>
        <w:t xml:space="preserve">, </w:t>
      </w:r>
      <w:r>
        <w:rPr>
          <w:i/>
          <w:iCs/>
        </w:rPr>
        <w:t>4</w:t>
      </w:r>
      <w:r>
        <w:t>(12), Article 12. https://doi.org/10.1038/s41564-019-0560-0</w:t>
      </w:r>
    </w:p>
    <w:p w14:paraId="61CA475F" w14:textId="77777777" w:rsidR="007F456A" w:rsidRDefault="007F456A" w:rsidP="007F456A">
      <w:pPr>
        <w:pStyle w:val="Bibliography"/>
        <w:spacing w:line="240" w:lineRule="auto"/>
      </w:pPr>
      <w:proofErr w:type="spellStart"/>
      <w:r>
        <w:t>Kokou</w:t>
      </w:r>
      <w:proofErr w:type="spellEnd"/>
      <w:r>
        <w:t xml:space="preserve">, F., </w:t>
      </w:r>
      <w:proofErr w:type="spellStart"/>
      <w:r>
        <w:t>Sasson</w:t>
      </w:r>
      <w:proofErr w:type="spellEnd"/>
      <w:r>
        <w:t xml:space="preserve">, G., </w:t>
      </w:r>
      <w:proofErr w:type="spellStart"/>
      <w:r>
        <w:t>Nitzan</w:t>
      </w:r>
      <w:proofErr w:type="spellEnd"/>
      <w:r>
        <w:t>, T., Doron-</w:t>
      </w:r>
      <w:proofErr w:type="spellStart"/>
      <w:r>
        <w:t>Faigenboim</w:t>
      </w:r>
      <w:proofErr w:type="spellEnd"/>
      <w:r>
        <w:t xml:space="preserve">, A., Harpaz, S., </w:t>
      </w:r>
      <w:proofErr w:type="spellStart"/>
      <w:r>
        <w:t>Cnaani</w:t>
      </w:r>
      <w:proofErr w:type="spellEnd"/>
      <w:r>
        <w:t xml:space="preserve">, A., &amp; Mizrahi, I. (2018). Host genetic selection for cold tolerance shapes microbiome composition and modulates its response to temperature. </w:t>
      </w:r>
      <w:proofErr w:type="spellStart"/>
      <w:r>
        <w:rPr>
          <w:i/>
          <w:iCs/>
        </w:rPr>
        <w:t>ELife</w:t>
      </w:r>
      <w:proofErr w:type="spellEnd"/>
      <w:r>
        <w:t xml:space="preserve">, </w:t>
      </w:r>
      <w:r>
        <w:rPr>
          <w:i/>
          <w:iCs/>
        </w:rPr>
        <w:t>7</w:t>
      </w:r>
      <w:r>
        <w:t>, e36398. https://doi.org/10.7554/eLife.36398</w:t>
      </w:r>
    </w:p>
    <w:p w14:paraId="282102C5" w14:textId="77777777" w:rsidR="007F456A" w:rsidRDefault="007F456A" w:rsidP="007F456A">
      <w:pPr>
        <w:pStyle w:val="Bibliography"/>
        <w:spacing w:line="240" w:lineRule="auto"/>
      </w:pPr>
      <w:proofErr w:type="spellStart"/>
      <w:r>
        <w:t>Kroetsch</w:t>
      </w:r>
      <w:proofErr w:type="spellEnd"/>
      <w:r>
        <w:t xml:space="preserve">, S. A., Kidd, K. A., Monk, W. A., Culp, J. M., </w:t>
      </w:r>
      <w:proofErr w:type="spellStart"/>
      <w:r>
        <w:t>Compson</w:t>
      </w:r>
      <w:proofErr w:type="spellEnd"/>
      <w:r>
        <w:t xml:space="preserve">, Z. G., &amp; Pavey, S. A. (2020). The effects of taxonomy, diet, and ecology on the microbiota of riverine macroinvertebrates. </w:t>
      </w:r>
      <w:r>
        <w:rPr>
          <w:i/>
          <w:iCs/>
        </w:rPr>
        <w:t>Ecology and Evolution</w:t>
      </w:r>
      <w:r>
        <w:t xml:space="preserve">, </w:t>
      </w:r>
      <w:r>
        <w:rPr>
          <w:i/>
          <w:iCs/>
        </w:rPr>
        <w:t>10</w:t>
      </w:r>
      <w:r>
        <w:t>(24), 14000–14019. https://doi.org/10.1002/ece3.6993</w:t>
      </w:r>
    </w:p>
    <w:p w14:paraId="157411B1" w14:textId="77777777" w:rsidR="007F456A" w:rsidRDefault="007F456A" w:rsidP="007F456A">
      <w:pPr>
        <w:pStyle w:val="Bibliography"/>
        <w:spacing w:line="240" w:lineRule="auto"/>
      </w:pPr>
      <w:r>
        <w:t xml:space="preserve">Lawley, T. D., &amp; Walker, A. W. (2013). Intestinal colonization resistance. </w:t>
      </w:r>
      <w:r>
        <w:rPr>
          <w:i/>
          <w:iCs/>
        </w:rPr>
        <w:t>Immunology</w:t>
      </w:r>
      <w:r>
        <w:t xml:space="preserve">, </w:t>
      </w:r>
      <w:r>
        <w:rPr>
          <w:i/>
          <w:iCs/>
        </w:rPr>
        <w:t>138</w:t>
      </w:r>
      <w:r>
        <w:t>(1), 1–11. https://doi.org/10.1111/j.1365-2567.2012.03616.x</w:t>
      </w:r>
    </w:p>
    <w:p w14:paraId="20D769C7" w14:textId="77777777" w:rsidR="007F456A" w:rsidRDefault="007F456A" w:rsidP="007F456A">
      <w:pPr>
        <w:pStyle w:val="Bibliography"/>
        <w:spacing w:line="240" w:lineRule="auto"/>
      </w:pPr>
      <w:r>
        <w:t xml:space="preserve">Li, Y., </w:t>
      </w:r>
      <w:proofErr w:type="spellStart"/>
      <w:r>
        <w:t>Gajardo</w:t>
      </w:r>
      <w:proofErr w:type="spellEnd"/>
      <w:r>
        <w:t xml:space="preserve">, K., Jaramillo-Torres, A., Kortner, T. M., &amp; </w:t>
      </w:r>
      <w:proofErr w:type="spellStart"/>
      <w:r>
        <w:t>Krogdahl</w:t>
      </w:r>
      <w:proofErr w:type="spellEnd"/>
      <w:r>
        <w:t xml:space="preserve">, Å. (2022). Consistent changes in the intestinal microbiota of Atlantic salmon fed insect meal diets. </w:t>
      </w:r>
      <w:r>
        <w:rPr>
          <w:i/>
          <w:iCs/>
        </w:rPr>
        <w:t>Animal Microbiome</w:t>
      </w:r>
      <w:r>
        <w:t xml:space="preserve">, </w:t>
      </w:r>
      <w:r>
        <w:rPr>
          <w:i/>
          <w:iCs/>
        </w:rPr>
        <w:t>4</w:t>
      </w:r>
      <w:r>
        <w:t>(1), 8. https://doi.org/10.1186/s42523-021-00159-4</w:t>
      </w:r>
    </w:p>
    <w:p w14:paraId="0301ACCC" w14:textId="77777777" w:rsidR="007F456A" w:rsidRDefault="007F456A" w:rsidP="007F456A">
      <w:pPr>
        <w:pStyle w:val="Bibliography"/>
        <w:spacing w:line="240" w:lineRule="auto"/>
      </w:pPr>
      <w:r>
        <w:t xml:space="preserve">Lin, H., &amp; </w:t>
      </w:r>
      <w:proofErr w:type="spellStart"/>
      <w:r>
        <w:t>Peddada</w:t>
      </w:r>
      <w:proofErr w:type="spellEnd"/>
      <w:r>
        <w:t xml:space="preserve">, S. D. (2020). Analysis of compositions of microbiomes with bias correction. </w:t>
      </w:r>
      <w:r>
        <w:rPr>
          <w:i/>
          <w:iCs/>
        </w:rPr>
        <w:t>Nature Communications</w:t>
      </w:r>
      <w:r>
        <w:t xml:space="preserve">, </w:t>
      </w:r>
      <w:r>
        <w:rPr>
          <w:i/>
          <w:iCs/>
        </w:rPr>
        <w:t>11</w:t>
      </w:r>
      <w:r>
        <w:t>(1), Article 1. https://doi.org/10.1038/s41467-020-17041-7</w:t>
      </w:r>
    </w:p>
    <w:p w14:paraId="724EB5BE" w14:textId="77777777" w:rsidR="007F456A" w:rsidRDefault="007F456A" w:rsidP="007F456A">
      <w:pPr>
        <w:pStyle w:val="Bibliography"/>
        <w:spacing w:line="240" w:lineRule="auto"/>
      </w:pPr>
      <w:r>
        <w:t xml:space="preserve">Liu, C., Cui, Y., Li, X., &amp; Yao, M. (2021). </w:t>
      </w:r>
      <w:proofErr w:type="spellStart"/>
      <w:r>
        <w:t>microeco</w:t>
      </w:r>
      <w:proofErr w:type="spellEnd"/>
      <w:r>
        <w:t xml:space="preserve">: An R package for data mining in microbial community ecology. </w:t>
      </w:r>
      <w:r>
        <w:rPr>
          <w:i/>
          <w:iCs/>
        </w:rPr>
        <w:t>FEMS Microbiology Ecology</w:t>
      </w:r>
      <w:r>
        <w:t xml:space="preserve">, </w:t>
      </w:r>
      <w:r>
        <w:rPr>
          <w:i/>
          <w:iCs/>
        </w:rPr>
        <w:t>97</w:t>
      </w:r>
      <w:r>
        <w:t>(2), fiaa255.</w:t>
      </w:r>
    </w:p>
    <w:p w14:paraId="509F3D99" w14:textId="77777777" w:rsidR="007F456A" w:rsidRDefault="007F456A" w:rsidP="007F456A">
      <w:pPr>
        <w:pStyle w:val="Bibliography"/>
        <w:spacing w:line="240" w:lineRule="auto"/>
      </w:pPr>
      <w:r>
        <w:t xml:space="preserve">Llewellyn, M. S., Boutin, S., </w:t>
      </w:r>
      <w:proofErr w:type="spellStart"/>
      <w:r>
        <w:t>Hoseinifar</w:t>
      </w:r>
      <w:proofErr w:type="spellEnd"/>
      <w:r>
        <w:t xml:space="preserve">, S. H., &amp; </w:t>
      </w:r>
      <w:proofErr w:type="spellStart"/>
      <w:r>
        <w:t>Derome</w:t>
      </w:r>
      <w:proofErr w:type="spellEnd"/>
      <w:r>
        <w:t xml:space="preserve">, N. (2014). Teleost microbiomes: The state of the art in their characterization, manipulation and importance in aquaculture and fisheries. </w:t>
      </w:r>
      <w:r>
        <w:rPr>
          <w:i/>
          <w:iCs/>
        </w:rPr>
        <w:t>Frontiers in Microbiology</w:t>
      </w:r>
      <w:r>
        <w:t xml:space="preserve">, </w:t>
      </w:r>
      <w:r>
        <w:rPr>
          <w:i/>
          <w:iCs/>
        </w:rPr>
        <w:t>5</w:t>
      </w:r>
      <w:r>
        <w:t>. https://www.frontiersin.org/article/10.3389/fmicb.2014.00207</w:t>
      </w:r>
    </w:p>
    <w:p w14:paraId="080B0601" w14:textId="77777777" w:rsidR="007F456A" w:rsidRDefault="007F456A" w:rsidP="007F456A">
      <w:pPr>
        <w:pStyle w:val="Bibliography"/>
        <w:spacing w:line="240" w:lineRule="auto"/>
      </w:pPr>
      <w:r>
        <w:t xml:space="preserve">Llewellyn, M. S., Leadbeater, S., Garcia, C., Sylvain, F.-E., </w:t>
      </w:r>
      <w:proofErr w:type="spellStart"/>
      <w:r>
        <w:t>Custodio</w:t>
      </w:r>
      <w:proofErr w:type="spellEnd"/>
      <w:r>
        <w:t xml:space="preserve">, M., Ang, K. P., Powell, F., Carvalho, G. R., </w:t>
      </w:r>
      <w:proofErr w:type="spellStart"/>
      <w:r>
        <w:t>Creer</w:t>
      </w:r>
      <w:proofErr w:type="spellEnd"/>
      <w:r>
        <w:t xml:space="preserve">, S., Elliot, J., &amp; </w:t>
      </w:r>
      <w:proofErr w:type="spellStart"/>
      <w:r>
        <w:t>Derome</w:t>
      </w:r>
      <w:proofErr w:type="spellEnd"/>
      <w:r>
        <w:t xml:space="preserve">, N. (2017). Parasitism perturbs the mucosal </w:t>
      </w:r>
      <w:r>
        <w:lastRenderedPageBreak/>
        <w:t xml:space="preserve">microbiome of Atlantic Salmon. </w:t>
      </w:r>
      <w:r>
        <w:rPr>
          <w:i/>
          <w:iCs/>
        </w:rPr>
        <w:t>Scientific Reports</w:t>
      </w:r>
      <w:r>
        <w:t xml:space="preserve">, </w:t>
      </w:r>
      <w:r>
        <w:rPr>
          <w:i/>
          <w:iCs/>
        </w:rPr>
        <w:t>7</w:t>
      </w:r>
      <w:r>
        <w:t>(1), Article 1. https://doi.org/10.1038/srep43465</w:t>
      </w:r>
    </w:p>
    <w:p w14:paraId="29F20BA9" w14:textId="77777777" w:rsidR="007F456A" w:rsidRDefault="007F456A" w:rsidP="007F456A">
      <w:pPr>
        <w:pStyle w:val="Bibliography"/>
        <w:spacing w:line="240" w:lineRule="auto"/>
      </w:pPr>
      <w:r>
        <w:t xml:space="preserve">Llewellyn, M. S., </w:t>
      </w:r>
      <w:proofErr w:type="spellStart"/>
      <w:r>
        <w:t>McGinnity</w:t>
      </w:r>
      <w:proofErr w:type="spellEnd"/>
      <w:r>
        <w:t xml:space="preserve">, P., Dionne, M., Letourneau, J., </w:t>
      </w:r>
      <w:proofErr w:type="spellStart"/>
      <w:r>
        <w:t>Thonier</w:t>
      </w:r>
      <w:proofErr w:type="spellEnd"/>
      <w:r>
        <w:t xml:space="preserve">, F., Carvalho, G. R., </w:t>
      </w:r>
      <w:proofErr w:type="spellStart"/>
      <w:r>
        <w:t>Creer</w:t>
      </w:r>
      <w:proofErr w:type="spellEnd"/>
      <w:r>
        <w:t xml:space="preserve">, S., &amp; </w:t>
      </w:r>
      <w:proofErr w:type="spellStart"/>
      <w:r>
        <w:t>Derome</w:t>
      </w:r>
      <w:proofErr w:type="spellEnd"/>
      <w:r>
        <w:t xml:space="preserve">, N. (2016). The biogeography of the </w:t>
      </w:r>
      <w:proofErr w:type="spellStart"/>
      <w:r>
        <w:t>atlantic</w:t>
      </w:r>
      <w:proofErr w:type="spellEnd"/>
      <w:r>
        <w:t xml:space="preserve"> salmon (Salmo </w:t>
      </w:r>
      <w:proofErr w:type="spellStart"/>
      <w:r>
        <w:t>salar</w:t>
      </w:r>
      <w:proofErr w:type="spellEnd"/>
      <w:r>
        <w:t xml:space="preserve">) gut microbiome. </w:t>
      </w:r>
      <w:r>
        <w:rPr>
          <w:i/>
          <w:iCs/>
        </w:rPr>
        <w:t>The ISME Journal</w:t>
      </w:r>
      <w:r>
        <w:t xml:space="preserve">, </w:t>
      </w:r>
      <w:r>
        <w:rPr>
          <w:i/>
          <w:iCs/>
        </w:rPr>
        <w:t>10</w:t>
      </w:r>
      <w:r>
        <w:t>(5), Article 5. https://doi.org/10.1038/ismej.2015.189</w:t>
      </w:r>
    </w:p>
    <w:p w14:paraId="45B62E2F" w14:textId="77777777" w:rsidR="007F456A" w:rsidRDefault="007F456A" w:rsidP="007F456A">
      <w:pPr>
        <w:pStyle w:val="Bibliography"/>
        <w:spacing w:line="240" w:lineRule="auto"/>
      </w:pPr>
      <w:r>
        <w:t>López Nadal, A., Ikeda-</w:t>
      </w:r>
      <w:proofErr w:type="spellStart"/>
      <w:r>
        <w:t>Ohtsubo</w:t>
      </w:r>
      <w:proofErr w:type="spellEnd"/>
      <w:r>
        <w:t xml:space="preserve">, W., </w:t>
      </w:r>
      <w:proofErr w:type="spellStart"/>
      <w:r>
        <w:t>Sipkema</w:t>
      </w:r>
      <w:proofErr w:type="spellEnd"/>
      <w:r>
        <w:t xml:space="preserve">, D., </w:t>
      </w:r>
      <w:proofErr w:type="spellStart"/>
      <w:r>
        <w:t>Peggs</w:t>
      </w:r>
      <w:proofErr w:type="spellEnd"/>
      <w:r>
        <w:t xml:space="preserve">, D., McGurk, C., </w:t>
      </w:r>
      <w:proofErr w:type="spellStart"/>
      <w:r>
        <w:t>Forlenza</w:t>
      </w:r>
      <w:proofErr w:type="spellEnd"/>
      <w:r>
        <w:t xml:space="preserve">, M., </w:t>
      </w:r>
      <w:proofErr w:type="spellStart"/>
      <w:r>
        <w:t>Wiegertjes</w:t>
      </w:r>
      <w:proofErr w:type="spellEnd"/>
      <w:r>
        <w:t xml:space="preserve">, G. F., &amp; </w:t>
      </w:r>
      <w:proofErr w:type="spellStart"/>
      <w:r>
        <w:t>Brugman</w:t>
      </w:r>
      <w:proofErr w:type="spellEnd"/>
      <w:r>
        <w:t xml:space="preserve">, S. (2020). Feed, Microbiota, and Gut Immunity: Using the Zebrafish Model to Understand Fish Health. </w:t>
      </w:r>
      <w:r>
        <w:rPr>
          <w:i/>
          <w:iCs/>
        </w:rPr>
        <w:t>Frontiers in Immunology</w:t>
      </w:r>
      <w:r>
        <w:t xml:space="preserve">, </w:t>
      </w:r>
      <w:r>
        <w:rPr>
          <w:i/>
          <w:iCs/>
        </w:rPr>
        <w:t>11</w:t>
      </w:r>
      <w:r>
        <w:t>. https://www.frontiersin.org/articles/10.3389/fimmu.2020.00114</w:t>
      </w:r>
    </w:p>
    <w:p w14:paraId="7916881A" w14:textId="77777777" w:rsidR="007F456A" w:rsidRDefault="007F456A" w:rsidP="007F456A">
      <w:pPr>
        <w:pStyle w:val="Bibliography"/>
        <w:spacing w:line="240" w:lineRule="auto"/>
      </w:pPr>
      <w:proofErr w:type="spellStart"/>
      <w:r>
        <w:t>Masella</w:t>
      </w:r>
      <w:proofErr w:type="spellEnd"/>
      <w:r>
        <w:t xml:space="preserve">, A. P., Bartram, A. K., </w:t>
      </w:r>
      <w:proofErr w:type="spellStart"/>
      <w:r>
        <w:t>Truszkowski</w:t>
      </w:r>
      <w:proofErr w:type="spellEnd"/>
      <w:r>
        <w:t xml:space="preserve">, J. M., Brown, D. G., &amp; Neufeld, J. D. (2012). </w:t>
      </w:r>
      <w:proofErr w:type="spellStart"/>
      <w:r>
        <w:t>PANDAseq</w:t>
      </w:r>
      <w:proofErr w:type="spellEnd"/>
      <w:r>
        <w:t xml:space="preserve">: Paired-end assembler for </w:t>
      </w:r>
      <w:proofErr w:type="spellStart"/>
      <w:r>
        <w:t>illumina</w:t>
      </w:r>
      <w:proofErr w:type="spellEnd"/>
      <w:r>
        <w:t xml:space="preserve"> sequences. </w:t>
      </w:r>
      <w:r>
        <w:rPr>
          <w:i/>
          <w:iCs/>
        </w:rPr>
        <w:t>BMC Bioinformatics</w:t>
      </w:r>
      <w:r>
        <w:t xml:space="preserve">, </w:t>
      </w:r>
      <w:r>
        <w:rPr>
          <w:i/>
          <w:iCs/>
        </w:rPr>
        <w:t>13</w:t>
      </w:r>
      <w:r>
        <w:t>(1), 1–7.</w:t>
      </w:r>
    </w:p>
    <w:p w14:paraId="70705523" w14:textId="77777777" w:rsidR="007F456A" w:rsidRDefault="007F456A" w:rsidP="007F456A">
      <w:pPr>
        <w:pStyle w:val="Bibliography"/>
        <w:spacing w:line="240" w:lineRule="auto"/>
      </w:pPr>
      <w:proofErr w:type="spellStart"/>
      <w:r>
        <w:t>McGinnity</w:t>
      </w:r>
      <w:proofErr w:type="spellEnd"/>
      <w:r>
        <w:t xml:space="preserve">, P., </w:t>
      </w:r>
      <w:proofErr w:type="spellStart"/>
      <w:r>
        <w:t>Prodöhl</w:t>
      </w:r>
      <w:proofErr w:type="spellEnd"/>
      <w:r>
        <w:t xml:space="preserve">, P., Ferguson, A., Hynes, R., </w:t>
      </w:r>
      <w:proofErr w:type="spellStart"/>
      <w:r>
        <w:t>Maoiléidigh</w:t>
      </w:r>
      <w:proofErr w:type="spellEnd"/>
      <w:r>
        <w:t xml:space="preserve">, N. ó, Baker, N., Cotter, D., </w:t>
      </w:r>
      <w:proofErr w:type="spellStart"/>
      <w:r>
        <w:t>O’Hea</w:t>
      </w:r>
      <w:proofErr w:type="spellEnd"/>
      <w:r>
        <w:t xml:space="preserve">, B., Cooke, D., Rogan, G., Taggart, J., &amp; Cross, T. (2003). Fitness reduction and potential extinction of wild populations of Atlantic salmon, Salmo </w:t>
      </w:r>
      <w:proofErr w:type="spellStart"/>
      <w:r>
        <w:t>salar</w:t>
      </w:r>
      <w:proofErr w:type="spellEnd"/>
      <w:r>
        <w:t xml:space="preserve">, </w:t>
      </w:r>
      <w:proofErr w:type="gramStart"/>
      <w:r>
        <w:t>as a result of</w:t>
      </w:r>
      <w:proofErr w:type="gramEnd"/>
      <w:r>
        <w:t xml:space="preserve"> interactions with escaped farm salmon. </w:t>
      </w:r>
      <w:r>
        <w:rPr>
          <w:i/>
          <w:iCs/>
        </w:rPr>
        <w:t>Proceedings of the Royal Society of London. Series B: Biological Sciences</w:t>
      </w:r>
      <w:r>
        <w:t xml:space="preserve">, </w:t>
      </w:r>
      <w:r>
        <w:rPr>
          <w:i/>
          <w:iCs/>
        </w:rPr>
        <w:t>270</w:t>
      </w:r>
      <w:r>
        <w:t>(1532), 2443–2450. https://doi.org/10.1098/rspb.2003.2520</w:t>
      </w:r>
    </w:p>
    <w:p w14:paraId="207F1E1F" w14:textId="77777777" w:rsidR="007F456A" w:rsidRDefault="007F456A" w:rsidP="007F456A">
      <w:pPr>
        <w:pStyle w:val="Bibliography"/>
        <w:spacing w:line="240" w:lineRule="auto"/>
      </w:pPr>
      <w:proofErr w:type="spellStart"/>
      <w:r>
        <w:t>McGinnity</w:t>
      </w:r>
      <w:proofErr w:type="spellEnd"/>
      <w:r>
        <w:t xml:space="preserve">, P., Stone, C., Taggart, J. B., Cooke, D., Cotter, D., Hynes, R., </w:t>
      </w:r>
      <w:proofErr w:type="spellStart"/>
      <w:r>
        <w:t>McCamley</w:t>
      </w:r>
      <w:proofErr w:type="spellEnd"/>
      <w:r>
        <w:t xml:space="preserve">, C., Cross, T., &amp; Ferguson, A. (1997). Genetic impact of escaped farmed Atlantic salmon (Salmo </w:t>
      </w:r>
      <w:proofErr w:type="spellStart"/>
      <w:r>
        <w:t>salar</w:t>
      </w:r>
      <w:proofErr w:type="spellEnd"/>
      <w:r>
        <w:t xml:space="preserve"> L.) on native populations: Use of DNA profiling to assess freshwater performance of wild, farmed, and hybrid progeny in a natural river environment. </w:t>
      </w:r>
      <w:r>
        <w:rPr>
          <w:i/>
          <w:iCs/>
        </w:rPr>
        <w:t>ICES Journal of Marine Science</w:t>
      </w:r>
      <w:r>
        <w:t xml:space="preserve">, </w:t>
      </w:r>
      <w:r>
        <w:rPr>
          <w:i/>
          <w:iCs/>
        </w:rPr>
        <w:t>54</w:t>
      </w:r>
      <w:r>
        <w:t>(6), 998–1008. https://doi.org/10.1016/S1054-3139(97)80004-5</w:t>
      </w:r>
    </w:p>
    <w:p w14:paraId="47B34F39" w14:textId="77777777" w:rsidR="007F456A" w:rsidRDefault="007F456A" w:rsidP="007F456A">
      <w:pPr>
        <w:pStyle w:val="Bibliography"/>
        <w:spacing w:line="240" w:lineRule="auto"/>
      </w:pPr>
      <w:proofErr w:type="spellStart"/>
      <w:r>
        <w:t>McMurdie</w:t>
      </w:r>
      <w:proofErr w:type="spellEnd"/>
      <w:r>
        <w:t xml:space="preserve">, P. J., &amp; Holmes, S. (2013). </w:t>
      </w:r>
      <w:proofErr w:type="spellStart"/>
      <w:r>
        <w:t>phyloseq</w:t>
      </w:r>
      <w:proofErr w:type="spellEnd"/>
      <w:r>
        <w:t xml:space="preserve">: An R Package for Reproducible Interactive Analysis and Graphics of Microbiome Census Data. </w:t>
      </w:r>
      <w:r>
        <w:rPr>
          <w:i/>
          <w:iCs/>
        </w:rPr>
        <w:t>PLOS ONE</w:t>
      </w:r>
      <w:r>
        <w:t xml:space="preserve">, </w:t>
      </w:r>
      <w:r>
        <w:rPr>
          <w:i/>
          <w:iCs/>
        </w:rPr>
        <w:t>8</w:t>
      </w:r>
      <w:r>
        <w:t>(4), e61217. https://doi.org/10.1371/journal.pone.0061217</w:t>
      </w:r>
    </w:p>
    <w:p w14:paraId="44F30DE1" w14:textId="77777777" w:rsidR="007F456A" w:rsidRDefault="007F456A" w:rsidP="007F456A">
      <w:pPr>
        <w:pStyle w:val="Bibliography"/>
        <w:spacing w:line="240" w:lineRule="auto"/>
      </w:pPr>
      <w:r>
        <w:t xml:space="preserve">Nearing, J. T., Douglas, G. M., Hayes, M. G., MacDonald, J., Desai, D. K., </w:t>
      </w:r>
      <w:proofErr w:type="spellStart"/>
      <w:r>
        <w:t>Allward</w:t>
      </w:r>
      <w:proofErr w:type="spellEnd"/>
      <w:r>
        <w:t xml:space="preserve">, N., Jones, C. M. A., Wright, R. J., Dhanani, A. S., Comeau, A. M., &amp; </w:t>
      </w:r>
      <w:proofErr w:type="spellStart"/>
      <w:r>
        <w:t>Langille</w:t>
      </w:r>
      <w:proofErr w:type="spellEnd"/>
      <w:r>
        <w:t xml:space="preserve">, M. G. I. (2022). Microbiome differential abundance methods produce different results across 38 datasets. </w:t>
      </w:r>
      <w:r>
        <w:rPr>
          <w:i/>
          <w:iCs/>
        </w:rPr>
        <w:t>Nature Communications</w:t>
      </w:r>
      <w:r>
        <w:t xml:space="preserve">, </w:t>
      </w:r>
      <w:r>
        <w:rPr>
          <w:i/>
          <w:iCs/>
        </w:rPr>
        <w:t>13</w:t>
      </w:r>
      <w:r>
        <w:t>(1), Article 1. https://doi.org/10.1038/s41467-022-28034-z</w:t>
      </w:r>
    </w:p>
    <w:p w14:paraId="3B685837" w14:textId="77777777" w:rsidR="007F456A" w:rsidRDefault="007F456A" w:rsidP="007F456A">
      <w:pPr>
        <w:pStyle w:val="Bibliography"/>
        <w:spacing w:line="240" w:lineRule="auto"/>
      </w:pPr>
      <w:proofErr w:type="spellStart"/>
      <w:r>
        <w:t>Nikolenko</w:t>
      </w:r>
      <w:proofErr w:type="spellEnd"/>
      <w:r>
        <w:t xml:space="preserve">, S. I., </w:t>
      </w:r>
      <w:proofErr w:type="spellStart"/>
      <w:r>
        <w:t>Korobeynikov</w:t>
      </w:r>
      <w:proofErr w:type="spellEnd"/>
      <w:r>
        <w:t xml:space="preserve">, A. I., &amp; Alekseyev, M. A. (2013). </w:t>
      </w:r>
      <w:proofErr w:type="spellStart"/>
      <w:r>
        <w:t>BayesHammer</w:t>
      </w:r>
      <w:proofErr w:type="spellEnd"/>
      <w:r>
        <w:t xml:space="preserve">: Bayesian clustering for error correction in single-cell sequencing. </w:t>
      </w:r>
      <w:r>
        <w:rPr>
          <w:i/>
          <w:iCs/>
        </w:rPr>
        <w:t>BMC Genomics</w:t>
      </w:r>
      <w:r>
        <w:t xml:space="preserve">, </w:t>
      </w:r>
      <w:r>
        <w:rPr>
          <w:i/>
          <w:iCs/>
        </w:rPr>
        <w:t>14</w:t>
      </w:r>
      <w:r>
        <w:t>(1), 1–11.</w:t>
      </w:r>
    </w:p>
    <w:p w14:paraId="2D0D09E7" w14:textId="77777777" w:rsidR="007F456A" w:rsidRDefault="007F456A" w:rsidP="007F456A">
      <w:pPr>
        <w:pStyle w:val="Bibliography"/>
        <w:spacing w:line="240" w:lineRule="auto"/>
      </w:pPr>
      <w:r>
        <w:t xml:space="preserve">Ning, D., Deng, Y., </w:t>
      </w:r>
      <w:proofErr w:type="spellStart"/>
      <w:r>
        <w:t>Tiedje</w:t>
      </w:r>
      <w:proofErr w:type="spellEnd"/>
      <w:r>
        <w:t xml:space="preserve">, J. M., &amp; Zhou, J. (2019). A general framework for quantitatively assessing ecological stochasticity. </w:t>
      </w:r>
      <w:r>
        <w:rPr>
          <w:i/>
          <w:iCs/>
        </w:rPr>
        <w:t>Proceedings of the National Academy of Sciences</w:t>
      </w:r>
      <w:r>
        <w:t xml:space="preserve">, </w:t>
      </w:r>
      <w:r>
        <w:rPr>
          <w:i/>
          <w:iCs/>
        </w:rPr>
        <w:t>116</w:t>
      </w:r>
      <w:r>
        <w:t>(34), 16892–16898. https://doi.org/10.1073/pnas.1904623116</w:t>
      </w:r>
    </w:p>
    <w:p w14:paraId="6841A72D" w14:textId="77777777" w:rsidR="007F456A" w:rsidRDefault="007F456A" w:rsidP="007F456A">
      <w:pPr>
        <w:pStyle w:val="Bibliography"/>
        <w:spacing w:line="240" w:lineRule="auto"/>
      </w:pPr>
      <w:r>
        <w:t xml:space="preserve">Ning, D., Yuan, M., Wu, L., Zhang, Y., Guo, X., Zhou, X., Yang, Y., Arkin, A. P., Firestone, M. K., &amp; Zhou, J. (2020). A quantitative framework reveals ecological drivers of grassland microbial community assembly in response to warming. </w:t>
      </w:r>
      <w:r>
        <w:rPr>
          <w:i/>
          <w:iCs/>
        </w:rPr>
        <w:t>Nature Communications</w:t>
      </w:r>
      <w:r>
        <w:t xml:space="preserve">, </w:t>
      </w:r>
      <w:r>
        <w:rPr>
          <w:i/>
          <w:iCs/>
        </w:rPr>
        <w:t>11</w:t>
      </w:r>
      <w:r>
        <w:t>(1), Article 1. https://doi.org/10.1038/s41467-020-18560-z</w:t>
      </w:r>
    </w:p>
    <w:p w14:paraId="39B75565" w14:textId="77777777" w:rsidR="007F456A" w:rsidRDefault="007F456A" w:rsidP="007F456A">
      <w:pPr>
        <w:pStyle w:val="Bibliography"/>
        <w:spacing w:line="240" w:lineRule="auto"/>
      </w:pPr>
      <w:r>
        <w:t xml:space="preserve">Oksanen, J. (2007). vegan: Community Ecology Package. R package version 1.8-5. </w:t>
      </w:r>
      <w:r>
        <w:rPr>
          <w:i/>
          <w:iCs/>
        </w:rPr>
        <w:t>Http://Www.Cran.r-Project.Org</w:t>
      </w:r>
      <w:r>
        <w:t>. https://cir.nii.ac.jp/crid/1570854175539033984</w:t>
      </w:r>
    </w:p>
    <w:p w14:paraId="4953DAAF" w14:textId="77777777" w:rsidR="007F456A" w:rsidRDefault="007F456A" w:rsidP="007F456A">
      <w:pPr>
        <w:pStyle w:val="Bibliography"/>
        <w:spacing w:line="240" w:lineRule="auto"/>
      </w:pPr>
      <w:proofErr w:type="spellStart"/>
      <w:r>
        <w:t>Pedregosa</w:t>
      </w:r>
      <w:proofErr w:type="spellEnd"/>
      <w:r>
        <w:t xml:space="preserve">, F., </w:t>
      </w:r>
      <w:proofErr w:type="spellStart"/>
      <w:r>
        <w:t>Varoquaux</w:t>
      </w:r>
      <w:proofErr w:type="spellEnd"/>
      <w:r>
        <w:t xml:space="preserve">, G., </w:t>
      </w:r>
      <w:proofErr w:type="spellStart"/>
      <w:r>
        <w:t>Gramfort</w:t>
      </w:r>
      <w:proofErr w:type="spellEnd"/>
      <w:r>
        <w:t xml:space="preserve">, A., Michel, V., </w:t>
      </w:r>
      <w:proofErr w:type="spellStart"/>
      <w:r>
        <w:t>Thirion</w:t>
      </w:r>
      <w:proofErr w:type="spellEnd"/>
      <w:r>
        <w:t xml:space="preserve">, B., Grisel, O., Blondel, M., </w:t>
      </w:r>
      <w:proofErr w:type="spellStart"/>
      <w:r>
        <w:t>Prettenhofer</w:t>
      </w:r>
      <w:proofErr w:type="spellEnd"/>
      <w:r>
        <w:t xml:space="preserve">, P., Weiss, R., &amp; </w:t>
      </w:r>
      <w:proofErr w:type="spellStart"/>
      <w:r>
        <w:t>Dubourg</w:t>
      </w:r>
      <w:proofErr w:type="spellEnd"/>
      <w:r>
        <w:t xml:space="preserve">, V. (2011). Scikit-learn: Machine learning in Python. </w:t>
      </w:r>
      <w:r>
        <w:rPr>
          <w:i/>
          <w:iCs/>
        </w:rPr>
        <w:t>The Journal of Machine Learning Research</w:t>
      </w:r>
      <w:r>
        <w:t xml:space="preserve">, </w:t>
      </w:r>
      <w:r>
        <w:rPr>
          <w:i/>
          <w:iCs/>
        </w:rPr>
        <w:t>12</w:t>
      </w:r>
      <w:r>
        <w:t>, 2825–2830.</w:t>
      </w:r>
    </w:p>
    <w:p w14:paraId="30F940FE" w14:textId="77777777" w:rsidR="007F456A" w:rsidRDefault="007F456A" w:rsidP="007F456A">
      <w:pPr>
        <w:pStyle w:val="Bibliography"/>
        <w:spacing w:line="240" w:lineRule="auto"/>
      </w:pPr>
      <w:r>
        <w:t xml:space="preserve">Perry, W. B., Kaufmann, J., Solberg, M. F., Brodie, C., Coral Medina, A. M., Pillay, K., Egerton, A., Harvey, A., Phillips, K. P., Coughlan, J., Egan, F., </w:t>
      </w:r>
      <w:proofErr w:type="spellStart"/>
      <w:r>
        <w:t>Grealis</w:t>
      </w:r>
      <w:proofErr w:type="spellEnd"/>
      <w:r>
        <w:t xml:space="preserve">, R., Hutton, S., </w:t>
      </w:r>
      <w:proofErr w:type="spellStart"/>
      <w:r>
        <w:t>Leseur</w:t>
      </w:r>
      <w:proofErr w:type="spellEnd"/>
      <w:r>
        <w:t xml:space="preserve">, F., Ryan, S., Poole, R., Rogan, G., Ryder, E., Schaal, P., … Glover, K. A. (2021). Domestication-induced reduction in eye size revealed in multiple common garden experiments: The case of Atlantic salmon (Salmo </w:t>
      </w:r>
      <w:proofErr w:type="spellStart"/>
      <w:r>
        <w:t>salar</w:t>
      </w:r>
      <w:proofErr w:type="spellEnd"/>
      <w:r>
        <w:t xml:space="preserve"> L.). </w:t>
      </w:r>
      <w:r>
        <w:rPr>
          <w:i/>
          <w:iCs/>
        </w:rPr>
        <w:t>Evolutionary Applications</w:t>
      </w:r>
      <w:r>
        <w:t xml:space="preserve">, </w:t>
      </w:r>
      <w:r>
        <w:rPr>
          <w:i/>
          <w:iCs/>
        </w:rPr>
        <w:t>14</w:t>
      </w:r>
      <w:r>
        <w:t>(9), 2319–2332. https://doi.org/10.1111/eva.13297</w:t>
      </w:r>
    </w:p>
    <w:p w14:paraId="653F2CCF" w14:textId="77777777" w:rsidR="007F456A" w:rsidRDefault="007F456A" w:rsidP="007F456A">
      <w:pPr>
        <w:pStyle w:val="Bibliography"/>
        <w:spacing w:line="240" w:lineRule="auto"/>
      </w:pPr>
      <w:r>
        <w:t xml:space="preserve">Perry, W. B., Lindsay, E., Payne, C. J., Brodie, C., &amp; </w:t>
      </w:r>
      <w:proofErr w:type="spellStart"/>
      <w:r>
        <w:t>Kazlauskaite</w:t>
      </w:r>
      <w:proofErr w:type="spellEnd"/>
      <w:r>
        <w:t xml:space="preserve">, R. (2020). The role of the gut microbiome in sustainable teleost aquaculture. </w:t>
      </w:r>
      <w:r>
        <w:rPr>
          <w:i/>
          <w:iCs/>
        </w:rPr>
        <w:t>Proceedings of the Royal Society B: Biological Sciences</w:t>
      </w:r>
      <w:r>
        <w:t xml:space="preserve">, </w:t>
      </w:r>
      <w:r>
        <w:rPr>
          <w:i/>
          <w:iCs/>
        </w:rPr>
        <w:t>287</w:t>
      </w:r>
      <w:r>
        <w:t>(1926), 20200184. https://doi.org/10.1098/rspb.2020.0184</w:t>
      </w:r>
    </w:p>
    <w:p w14:paraId="43A6E78D" w14:textId="77777777" w:rsidR="007F456A" w:rsidRDefault="007F456A" w:rsidP="007F456A">
      <w:pPr>
        <w:pStyle w:val="Bibliography"/>
        <w:spacing w:line="240" w:lineRule="auto"/>
      </w:pPr>
      <w:r>
        <w:lastRenderedPageBreak/>
        <w:t xml:space="preserve">Price, M. N., Dehal, P. S., &amp; Arkin, A. P. (2010). </w:t>
      </w:r>
      <w:proofErr w:type="spellStart"/>
      <w:r>
        <w:t>FastTree</w:t>
      </w:r>
      <w:proofErr w:type="spellEnd"/>
      <w:r>
        <w:t xml:space="preserve"> 2 – Approximately Maximum-Likelihood Trees for Large Alignments. </w:t>
      </w:r>
      <w:r>
        <w:rPr>
          <w:i/>
          <w:iCs/>
        </w:rPr>
        <w:t>PLOS ONE</w:t>
      </w:r>
      <w:r>
        <w:t xml:space="preserve">, </w:t>
      </w:r>
      <w:r>
        <w:rPr>
          <w:i/>
          <w:iCs/>
        </w:rPr>
        <w:t>5</w:t>
      </w:r>
      <w:r>
        <w:t>(3), e9490. https://doi.org/10.1371/journal.pone.0009490</w:t>
      </w:r>
    </w:p>
    <w:p w14:paraId="750DEAB4" w14:textId="77777777" w:rsidR="007F456A" w:rsidRDefault="007F456A" w:rsidP="007F456A">
      <w:pPr>
        <w:pStyle w:val="Bibliography"/>
        <w:spacing w:line="240" w:lineRule="auto"/>
      </w:pPr>
      <w:r>
        <w:t xml:space="preserve">Quast, C., </w:t>
      </w:r>
      <w:proofErr w:type="spellStart"/>
      <w:r>
        <w:t>Pruesse</w:t>
      </w:r>
      <w:proofErr w:type="spellEnd"/>
      <w:r>
        <w:t xml:space="preserve">, E., Yilmaz, P., </w:t>
      </w:r>
      <w:proofErr w:type="spellStart"/>
      <w:r>
        <w:t>Gerken</w:t>
      </w:r>
      <w:proofErr w:type="spellEnd"/>
      <w:r>
        <w:t xml:space="preserve">, J., </w:t>
      </w:r>
      <w:proofErr w:type="spellStart"/>
      <w:r>
        <w:t>Schweer</w:t>
      </w:r>
      <w:proofErr w:type="spellEnd"/>
      <w:r>
        <w:t xml:space="preserve">, T., </w:t>
      </w:r>
      <w:proofErr w:type="spellStart"/>
      <w:r>
        <w:t>Yarza</w:t>
      </w:r>
      <w:proofErr w:type="spellEnd"/>
      <w:r>
        <w:t xml:space="preserve">, P., </w:t>
      </w:r>
      <w:proofErr w:type="spellStart"/>
      <w:r>
        <w:t>Peplies</w:t>
      </w:r>
      <w:proofErr w:type="spellEnd"/>
      <w:r>
        <w:t xml:space="preserve">, J., &amp; </w:t>
      </w:r>
      <w:proofErr w:type="spellStart"/>
      <w:r>
        <w:t>Glöckner</w:t>
      </w:r>
      <w:proofErr w:type="spellEnd"/>
      <w:r>
        <w:t xml:space="preserve">, F. O. (2012). The SILVA ribosomal RNA gene database project: Improved data processing and web-based tools. </w:t>
      </w:r>
      <w:r>
        <w:rPr>
          <w:i/>
          <w:iCs/>
        </w:rPr>
        <w:t>Nucleic Acids Research</w:t>
      </w:r>
      <w:r>
        <w:t xml:space="preserve">, </w:t>
      </w:r>
      <w:r>
        <w:rPr>
          <w:i/>
          <w:iCs/>
        </w:rPr>
        <w:t>41</w:t>
      </w:r>
      <w:r>
        <w:t>(D1), D590–D596.</w:t>
      </w:r>
    </w:p>
    <w:p w14:paraId="31F1FD78" w14:textId="77777777" w:rsidR="007F456A" w:rsidRDefault="007F456A" w:rsidP="007F456A">
      <w:pPr>
        <w:pStyle w:val="Bibliography"/>
        <w:spacing w:line="240" w:lineRule="auto"/>
      </w:pPr>
      <w:r>
        <w:t xml:space="preserve">R Core Team. (2022). </w:t>
      </w:r>
      <w:r>
        <w:rPr>
          <w:i/>
          <w:iCs/>
        </w:rPr>
        <w:t>R: A language and environment for statistical computing. R Foundation for Statistical Computing, Vienna, Austria. URL https://www.R-project.org/.</w:t>
      </w:r>
    </w:p>
    <w:p w14:paraId="2B95A4A9" w14:textId="77777777" w:rsidR="007F456A" w:rsidRDefault="007F456A" w:rsidP="007F456A">
      <w:pPr>
        <w:pStyle w:val="Bibliography"/>
        <w:spacing w:line="240" w:lineRule="auto"/>
      </w:pPr>
      <w:r>
        <w:t xml:space="preserve">Rasmussen, J. A., </w:t>
      </w:r>
      <w:proofErr w:type="spellStart"/>
      <w:r>
        <w:t>Kiilerich</w:t>
      </w:r>
      <w:proofErr w:type="spellEnd"/>
      <w:r>
        <w:t xml:space="preserve">, P., </w:t>
      </w:r>
      <w:proofErr w:type="spellStart"/>
      <w:r>
        <w:t>Madhun</w:t>
      </w:r>
      <w:proofErr w:type="spellEnd"/>
      <w:r>
        <w:t xml:space="preserve">, A. S., </w:t>
      </w:r>
      <w:proofErr w:type="spellStart"/>
      <w:r>
        <w:t>Waagbø</w:t>
      </w:r>
      <w:proofErr w:type="spellEnd"/>
      <w:r>
        <w:t xml:space="preserve">, R., Lock, E.-J. R., Madsen, L., Gilbert, M. T. P., Kristiansen, K., &amp; </w:t>
      </w:r>
      <w:proofErr w:type="spellStart"/>
      <w:r>
        <w:t>Limborg</w:t>
      </w:r>
      <w:proofErr w:type="spellEnd"/>
      <w:r>
        <w:t xml:space="preserve">, M. T. (2023). Co-diversification of an intestinal Mycoplasma and its salmonid host. </w:t>
      </w:r>
      <w:r>
        <w:rPr>
          <w:i/>
          <w:iCs/>
        </w:rPr>
        <w:t>The ISME Journal</w:t>
      </w:r>
      <w:r>
        <w:t xml:space="preserve">, </w:t>
      </w:r>
      <w:r>
        <w:rPr>
          <w:i/>
          <w:iCs/>
        </w:rPr>
        <w:t>17</w:t>
      </w:r>
      <w:r>
        <w:t>(5), Article 5. https://doi.org/10.1038/s41396-023-01379-z</w:t>
      </w:r>
    </w:p>
    <w:p w14:paraId="26DAA67C" w14:textId="77777777" w:rsidR="007F456A" w:rsidRDefault="007F456A" w:rsidP="007F456A">
      <w:pPr>
        <w:pStyle w:val="Bibliography"/>
        <w:spacing w:line="240" w:lineRule="auto"/>
      </w:pPr>
      <w:r>
        <w:t xml:space="preserve">Rasmussen, J. A., </w:t>
      </w:r>
      <w:proofErr w:type="spellStart"/>
      <w:r>
        <w:t>Villumsen</w:t>
      </w:r>
      <w:proofErr w:type="spellEnd"/>
      <w:r>
        <w:t xml:space="preserve">, K. R., </w:t>
      </w:r>
      <w:proofErr w:type="spellStart"/>
      <w:r>
        <w:t>Duchêne</w:t>
      </w:r>
      <w:proofErr w:type="spellEnd"/>
      <w:r>
        <w:t xml:space="preserve">, D. A., </w:t>
      </w:r>
      <w:proofErr w:type="spellStart"/>
      <w:r>
        <w:t>Puetz</w:t>
      </w:r>
      <w:proofErr w:type="spellEnd"/>
      <w:r>
        <w:t xml:space="preserve">, L. C., Delmont, T. O., </w:t>
      </w:r>
      <w:proofErr w:type="spellStart"/>
      <w:r>
        <w:t>Sveier</w:t>
      </w:r>
      <w:proofErr w:type="spellEnd"/>
      <w:r>
        <w:t xml:space="preserve">, H., </w:t>
      </w:r>
      <w:proofErr w:type="spellStart"/>
      <w:r>
        <w:t>Jørgensen</w:t>
      </w:r>
      <w:proofErr w:type="spellEnd"/>
      <w:r>
        <w:t xml:space="preserve">, L. von G., </w:t>
      </w:r>
      <w:proofErr w:type="spellStart"/>
      <w:r>
        <w:t>Præbel</w:t>
      </w:r>
      <w:proofErr w:type="spellEnd"/>
      <w:r>
        <w:t xml:space="preserve">, K., Martin, M. D., </w:t>
      </w:r>
      <w:proofErr w:type="spellStart"/>
      <w:r>
        <w:t>Bojesen</w:t>
      </w:r>
      <w:proofErr w:type="spellEnd"/>
      <w:r>
        <w:t xml:space="preserve">, A. M., Gilbert, M. T. P., Kristiansen, K., &amp; </w:t>
      </w:r>
      <w:proofErr w:type="spellStart"/>
      <w:r>
        <w:t>Limborg</w:t>
      </w:r>
      <w:proofErr w:type="spellEnd"/>
      <w:r>
        <w:t xml:space="preserve">, M. T. (2021). Genome-resolved metagenomics suggests a mutualistic relationship between Mycoplasma and salmonid hosts. </w:t>
      </w:r>
      <w:r>
        <w:rPr>
          <w:i/>
          <w:iCs/>
        </w:rPr>
        <w:t>Communications Biology</w:t>
      </w:r>
      <w:r>
        <w:t xml:space="preserve">, </w:t>
      </w:r>
      <w:r>
        <w:rPr>
          <w:i/>
          <w:iCs/>
        </w:rPr>
        <w:t>4</w:t>
      </w:r>
      <w:r>
        <w:t>(1), Article 1. https://doi.org/10.1038/s42003-021-02105-1</w:t>
      </w:r>
    </w:p>
    <w:p w14:paraId="2D31BAA4" w14:textId="77777777" w:rsidR="007F456A" w:rsidRDefault="007F456A" w:rsidP="007F456A">
      <w:pPr>
        <w:pStyle w:val="Bibliography"/>
        <w:spacing w:line="240" w:lineRule="auto"/>
      </w:pPr>
      <w:r>
        <w:t xml:space="preserve">Ray, A. k., Ghosh, K., &amp; </w:t>
      </w:r>
      <w:proofErr w:type="spellStart"/>
      <w:r>
        <w:t>Ringø</w:t>
      </w:r>
      <w:proofErr w:type="spellEnd"/>
      <w:r>
        <w:t xml:space="preserve">, E. (2012). Enzyme-producing bacteria isolated from fish gut: A review. </w:t>
      </w:r>
      <w:r>
        <w:rPr>
          <w:i/>
          <w:iCs/>
        </w:rPr>
        <w:t>Aquaculture Nutrition</w:t>
      </w:r>
      <w:r>
        <w:t xml:space="preserve">, </w:t>
      </w:r>
      <w:r>
        <w:rPr>
          <w:i/>
          <w:iCs/>
        </w:rPr>
        <w:t>18</w:t>
      </w:r>
      <w:r>
        <w:t>(5), 465–492. https://doi.org/10.1111/j.1365-2095.2012.00943.x</w:t>
      </w:r>
    </w:p>
    <w:p w14:paraId="67D1E604" w14:textId="77777777" w:rsidR="007F456A" w:rsidRDefault="007F456A" w:rsidP="007F456A">
      <w:pPr>
        <w:pStyle w:val="Bibliography"/>
        <w:spacing w:line="240" w:lineRule="auto"/>
      </w:pPr>
      <w:r>
        <w:t xml:space="preserve">Reed, T. E., </w:t>
      </w:r>
      <w:proofErr w:type="spellStart"/>
      <w:r>
        <w:t>Prodöhl</w:t>
      </w:r>
      <w:proofErr w:type="spellEnd"/>
      <w:r>
        <w:t xml:space="preserve">, P., Hynes, R., Cross, T., Ferguson, A., &amp; </w:t>
      </w:r>
      <w:proofErr w:type="spellStart"/>
      <w:r>
        <w:t>McGinnity</w:t>
      </w:r>
      <w:proofErr w:type="spellEnd"/>
      <w:r>
        <w:t xml:space="preserve">, P. (2015). Quantifying heritable variation in fitness-related traits of wild, farmed and hybrid Atlantic salmon families in a wild river environment. </w:t>
      </w:r>
      <w:r>
        <w:rPr>
          <w:i/>
          <w:iCs/>
        </w:rPr>
        <w:t>Heredity</w:t>
      </w:r>
      <w:r>
        <w:t xml:space="preserve">, </w:t>
      </w:r>
      <w:r>
        <w:rPr>
          <w:i/>
          <w:iCs/>
        </w:rPr>
        <w:t>115</w:t>
      </w:r>
      <w:r>
        <w:t>(2), Article 2. https://doi.org/10.1038/hdy.2015.29</w:t>
      </w:r>
    </w:p>
    <w:p w14:paraId="7A720962" w14:textId="77777777" w:rsidR="007F456A" w:rsidRDefault="007F456A" w:rsidP="007F456A">
      <w:pPr>
        <w:pStyle w:val="Bibliography"/>
        <w:spacing w:line="240" w:lineRule="auto"/>
      </w:pPr>
      <w:proofErr w:type="spellStart"/>
      <w:r>
        <w:t>Ringø</w:t>
      </w:r>
      <w:proofErr w:type="spellEnd"/>
      <w:r>
        <w:t xml:space="preserve">, E., Zhou, Z., </w:t>
      </w:r>
      <w:proofErr w:type="spellStart"/>
      <w:r>
        <w:t>Vecino</w:t>
      </w:r>
      <w:proofErr w:type="spellEnd"/>
      <w:r>
        <w:t xml:space="preserve">, J. l. g., Wadsworth, S., Romero, J., </w:t>
      </w:r>
      <w:proofErr w:type="spellStart"/>
      <w:r>
        <w:t>Krogdahl</w:t>
      </w:r>
      <w:proofErr w:type="spellEnd"/>
      <w:r>
        <w:t xml:space="preserve">, Å., Olsen, R. e., </w:t>
      </w:r>
      <w:proofErr w:type="spellStart"/>
      <w:r>
        <w:t>Dimitroglou</w:t>
      </w:r>
      <w:proofErr w:type="spellEnd"/>
      <w:r>
        <w:t xml:space="preserve">, A., </w:t>
      </w:r>
      <w:proofErr w:type="spellStart"/>
      <w:r>
        <w:t>Foey</w:t>
      </w:r>
      <w:proofErr w:type="spellEnd"/>
      <w:r>
        <w:t xml:space="preserve">, A., Davies, S., Owen, M., Lauzon, H. l., Martinsen, L. l., De </w:t>
      </w:r>
      <w:proofErr w:type="spellStart"/>
      <w:r>
        <w:t>Schryver</w:t>
      </w:r>
      <w:proofErr w:type="spellEnd"/>
      <w:r>
        <w:t xml:space="preserve">, P., Bossier, P., </w:t>
      </w:r>
      <w:proofErr w:type="spellStart"/>
      <w:r>
        <w:t>Sperstad</w:t>
      </w:r>
      <w:proofErr w:type="spellEnd"/>
      <w:r>
        <w:t xml:space="preserve">, S., &amp; Merrifield, D. l. (2016). Effect of dietary components on the gut microbiota of aquatic animals. A never-ending story? </w:t>
      </w:r>
      <w:r>
        <w:rPr>
          <w:i/>
          <w:iCs/>
        </w:rPr>
        <w:t>Aquaculture Nutrition</w:t>
      </w:r>
      <w:r>
        <w:t xml:space="preserve">, </w:t>
      </w:r>
      <w:r>
        <w:rPr>
          <w:i/>
          <w:iCs/>
        </w:rPr>
        <w:t>22</w:t>
      </w:r>
      <w:r>
        <w:t>(2), 219–282. https://doi.org/10.1111/anu.12346</w:t>
      </w:r>
    </w:p>
    <w:p w14:paraId="03DEDDF4" w14:textId="77777777" w:rsidR="007F456A" w:rsidRDefault="007F456A" w:rsidP="007F456A">
      <w:pPr>
        <w:pStyle w:val="Bibliography"/>
        <w:spacing w:line="240" w:lineRule="auto"/>
      </w:pPr>
      <w:r>
        <w:t>Ríos-</w:t>
      </w:r>
      <w:proofErr w:type="spellStart"/>
      <w:r>
        <w:t>Covián</w:t>
      </w:r>
      <w:proofErr w:type="spellEnd"/>
      <w:r>
        <w:t xml:space="preserve">, D., </w:t>
      </w:r>
      <w:proofErr w:type="spellStart"/>
      <w:r>
        <w:t>Ruas-Madiedo</w:t>
      </w:r>
      <w:proofErr w:type="spellEnd"/>
      <w:r>
        <w:t xml:space="preserve">, P., </w:t>
      </w:r>
      <w:proofErr w:type="spellStart"/>
      <w:r>
        <w:t>Margolles</w:t>
      </w:r>
      <w:proofErr w:type="spellEnd"/>
      <w:r>
        <w:t xml:space="preserve">, A., </w:t>
      </w:r>
      <w:proofErr w:type="spellStart"/>
      <w:r>
        <w:t>Gueimonde</w:t>
      </w:r>
      <w:proofErr w:type="spellEnd"/>
      <w:r>
        <w:t xml:space="preserve">, M., de </w:t>
      </w:r>
      <w:proofErr w:type="spellStart"/>
      <w:r>
        <w:t>los</w:t>
      </w:r>
      <w:proofErr w:type="spellEnd"/>
      <w:r>
        <w:t xml:space="preserve"> Reyes-</w:t>
      </w:r>
      <w:proofErr w:type="spellStart"/>
      <w:r>
        <w:t>Gavilán</w:t>
      </w:r>
      <w:proofErr w:type="spellEnd"/>
      <w:r>
        <w:t xml:space="preserve">, C. G., &amp; Salazar, N. (2016). Intestinal Short Chain Fatty Acids and their Link with Diet and Human Health. </w:t>
      </w:r>
      <w:r>
        <w:rPr>
          <w:i/>
          <w:iCs/>
        </w:rPr>
        <w:t>Frontiers in Microbiology</w:t>
      </w:r>
      <w:r>
        <w:t xml:space="preserve">, </w:t>
      </w:r>
      <w:r>
        <w:rPr>
          <w:i/>
          <w:iCs/>
        </w:rPr>
        <w:t>7</w:t>
      </w:r>
      <w:r>
        <w:t>. https://www.frontiersin.org/articles/10.3389/fmicb.2016.00185</w:t>
      </w:r>
    </w:p>
    <w:p w14:paraId="17F59C1B" w14:textId="77777777" w:rsidR="007F456A" w:rsidRDefault="007F456A" w:rsidP="007F456A">
      <w:pPr>
        <w:pStyle w:val="Bibliography"/>
        <w:spacing w:line="240" w:lineRule="auto"/>
      </w:pPr>
      <w:r>
        <w:t xml:space="preserve">Robinson, C. D., Klein, H. S., Murphy, K. D., Parthasarathy, R., Guillemin, K., &amp; Bohannan, B. J. M. (2018). Experimental bacterial adaptation to the zebrafish gut reveals a primary role for immigration. </w:t>
      </w:r>
      <w:r>
        <w:rPr>
          <w:i/>
          <w:iCs/>
        </w:rPr>
        <w:t>PLOS Biology</w:t>
      </w:r>
      <w:r>
        <w:t xml:space="preserve">, </w:t>
      </w:r>
      <w:r>
        <w:rPr>
          <w:i/>
          <w:iCs/>
        </w:rPr>
        <w:t>16</w:t>
      </w:r>
      <w:r>
        <w:t>(12), e2006893. https://doi.org/10.1371/journal.pbio.2006893</w:t>
      </w:r>
    </w:p>
    <w:p w14:paraId="44726FB5" w14:textId="77777777" w:rsidR="007F456A" w:rsidRDefault="007F456A" w:rsidP="007F456A">
      <w:pPr>
        <w:pStyle w:val="Bibliography"/>
        <w:spacing w:line="240" w:lineRule="auto"/>
      </w:pPr>
      <w:proofErr w:type="spellStart"/>
      <w:r>
        <w:t>Rognes</w:t>
      </w:r>
      <w:proofErr w:type="spellEnd"/>
      <w:r>
        <w:t xml:space="preserve">, T., </w:t>
      </w:r>
      <w:proofErr w:type="spellStart"/>
      <w:r>
        <w:t>Flouri</w:t>
      </w:r>
      <w:proofErr w:type="spellEnd"/>
      <w:r>
        <w:t xml:space="preserve">, T., Nichols, B., Quince, C., &amp; </w:t>
      </w:r>
      <w:proofErr w:type="spellStart"/>
      <w:r>
        <w:t>Mahé</w:t>
      </w:r>
      <w:proofErr w:type="spellEnd"/>
      <w:r>
        <w:t xml:space="preserve">, F. (2016). VSEARCH: A versatile </w:t>
      </w:r>
      <w:proofErr w:type="gramStart"/>
      <w:r>
        <w:t>open source</w:t>
      </w:r>
      <w:proofErr w:type="gramEnd"/>
      <w:r>
        <w:t xml:space="preserve"> tool for metagenomics. </w:t>
      </w:r>
      <w:proofErr w:type="spellStart"/>
      <w:r>
        <w:rPr>
          <w:i/>
          <w:iCs/>
        </w:rPr>
        <w:t>PeerJ</w:t>
      </w:r>
      <w:proofErr w:type="spellEnd"/>
      <w:r>
        <w:t xml:space="preserve">, </w:t>
      </w:r>
      <w:r>
        <w:rPr>
          <w:i/>
          <w:iCs/>
        </w:rPr>
        <w:t>4</w:t>
      </w:r>
      <w:r>
        <w:t>, e2584.</w:t>
      </w:r>
    </w:p>
    <w:p w14:paraId="7534398F" w14:textId="77777777" w:rsidR="007F456A" w:rsidRDefault="007F456A" w:rsidP="007F456A">
      <w:pPr>
        <w:pStyle w:val="Bibliography"/>
        <w:spacing w:line="240" w:lineRule="auto"/>
      </w:pPr>
      <w:r>
        <w:t xml:space="preserve">Schaal, P., </w:t>
      </w:r>
      <w:proofErr w:type="spellStart"/>
      <w:r>
        <w:t>Cheaib</w:t>
      </w:r>
      <w:proofErr w:type="spellEnd"/>
      <w:r>
        <w:t xml:space="preserve">, B., Kaufmann, J., Phillips, K., Ryder, L., </w:t>
      </w:r>
      <w:proofErr w:type="spellStart"/>
      <w:r>
        <w:t>McGinnity</w:t>
      </w:r>
      <w:proofErr w:type="spellEnd"/>
      <w:r>
        <w:t xml:space="preserve">, P., &amp; Llewellyn, M. (2022). Links between host genetics, metabolism, gut </w:t>
      </w:r>
      <w:proofErr w:type="gramStart"/>
      <w:r>
        <w:t>microbiome</w:t>
      </w:r>
      <w:proofErr w:type="gramEnd"/>
      <w:r>
        <w:t xml:space="preserve"> and amoebic gill disease (AGD) in Atlantic salmon. </w:t>
      </w:r>
      <w:r>
        <w:rPr>
          <w:i/>
          <w:iCs/>
        </w:rPr>
        <w:t>Animal Microbiome</w:t>
      </w:r>
      <w:r>
        <w:t xml:space="preserve">, </w:t>
      </w:r>
      <w:r>
        <w:rPr>
          <w:i/>
          <w:iCs/>
        </w:rPr>
        <w:t>4</w:t>
      </w:r>
      <w:r>
        <w:t>(1), 53. https://doi.org/10.1186/s42523-022-00203-x</w:t>
      </w:r>
    </w:p>
    <w:p w14:paraId="6F9115BD" w14:textId="77777777" w:rsidR="007F456A" w:rsidRDefault="007F456A" w:rsidP="007F456A">
      <w:pPr>
        <w:pStyle w:val="Bibliography"/>
        <w:spacing w:line="240" w:lineRule="auto"/>
      </w:pPr>
      <w:r>
        <w:t xml:space="preserve">Schirmer, M., </w:t>
      </w:r>
      <w:proofErr w:type="spellStart"/>
      <w:r>
        <w:t>D’Amore</w:t>
      </w:r>
      <w:proofErr w:type="spellEnd"/>
      <w:r>
        <w:t xml:space="preserve">, R., Ijaz, U. Z., Hall, N., &amp; Quince, C. (2016). Illumina error profiles: Resolving fine-scale variation in metagenomic sequencing data. </w:t>
      </w:r>
      <w:r>
        <w:rPr>
          <w:i/>
          <w:iCs/>
        </w:rPr>
        <w:t>BMC Bioinformatics</w:t>
      </w:r>
      <w:r>
        <w:t xml:space="preserve">, </w:t>
      </w:r>
      <w:r>
        <w:rPr>
          <w:i/>
          <w:iCs/>
        </w:rPr>
        <w:t>17</w:t>
      </w:r>
      <w:r>
        <w:t>(1), 1–15.</w:t>
      </w:r>
    </w:p>
    <w:p w14:paraId="2BFBD7FE" w14:textId="77777777" w:rsidR="007F456A" w:rsidRDefault="007F456A" w:rsidP="007F456A">
      <w:pPr>
        <w:pStyle w:val="Bibliography"/>
        <w:spacing w:line="240" w:lineRule="auto"/>
      </w:pPr>
      <w:proofErr w:type="spellStart"/>
      <w:r>
        <w:t>Schmieder</w:t>
      </w:r>
      <w:proofErr w:type="spellEnd"/>
      <w:r>
        <w:t xml:space="preserve">, R., &amp; Edwards, R. (2011). Quality control and preprocessing of metagenomic datasets. </w:t>
      </w:r>
      <w:r>
        <w:rPr>
          <w:i/>
          <w:iCs/>
        </w:rPr>
        <w:t>Bioinformatics</w:t>
      </w:r>
      <w:r>
        <w:t xml:space="preserve">, </w:t>
      </w:r>
      <w:r>
        <w:rPr>
          <w:i/>
          <w:iCs/>
        </w:rPr>
        <w:t>27</w:t>
      </w:r>
      <w:r>
        <w:t>(6), 863–864.</w:t>
      </w:r>
    </w:p>
    <w:p w14:paraId="7799E723" w14:textId="77777777" w:rsidR="007F456A" w:rsidRDefault="007F456A" w:rsidP="007F456A">
      <w:pPr>
        <w:pStyle w:val="Bibliography"/>
        <w:spacing w:line="240" w:lineRule="auto"/>
      </w:pPr>
      <w:r>
        <w:t xml:space="preserve">Shade, A., &amp; </w:t>
      </w:r>
      <w:proofErr w:type="spellStart"/>
      <w:r>
        <w:t>Stopnisek</w:t>
      </w:r>
      <w:proofErr w:type="spellEnd"/>
      <w:r>
        <w:t xml:space="preserve">, N. (2019). Abundance-occupancy distributions to prioritize plant core microbiome membership. </w:t>
      </w:r>
      <w:r>
        <w:rPr>
          <w:i/>
          <w:iCs/>
        </w:rPr>
        <w:t>Current Opinion in Microbiology</w:t>
      </w:r>
      <w:r>
        <w:t xml:space="preserve">, </w:t>
      </w:r>
      <w:r>
        <w:rPr>
          <w:i/>
          <w:iCs/>
        </w:rPr>
        <w:t>49</w:t>
      </w:r>
      <w:r>
        <w:t>, 50–58. https://doi.org/10.1016/j.mib.2019.09.008</w:t>
      </w:r>
    </w:p>
    <w:p w14:paraId="66452EEF" w14:textId="77777777" w:rsidR="007F456A" w:rsidRDefault="007F456A" w:rsidP="007F456A">
      <w:pPr>
        <w:pStyle w:val="Bibliography"/>
        <w:spacing w:line="240" w:lineRule="auto"/>
      </w:pPr>
      <w:proofErr w:type="spellStart"/>
      <w:r>
        <w:t>Shenhav</w:t>
      </w:r>
      <w:proofErr w:type="spellEnd"/>
      <w:r>
        <w:t xml:space="preserve">, L., Thompson, M., Joseph, T. A., Briscoe, L., Furman, O., </w:t>
      </w:r>
      <w:proofErr w:type="spellStart"/>
      <w:r>
        <w:t>Bogumil</w:t>
      </w:r>
      <w:proofErr w:type="spellEnd"/>
      <w:r>
        <w:t xml:space="preserve">, D., Mizrahi, I., </w:t>
      </w:r>
      <w:proofErr w:type="spellStart"/>
      <w:r>
        <w:t>Pe’er</w:t>
      </w:r>
      <w:proofErr w:type="spellEnd"/>
      <w:r>
        <w:t xml:space="preserve">, I., &amp; Halperin, E. (2019). FEAST: Fast expectation-maximization for microbial source tracking. </w:t>
      </w:r>
      <w:r>
        <w:rPr>
          <w:i/>
          <w:iCs/>
        </w:rPr>
        <w:t>Nature Methods</w:t>
      </w:r>
      <w:r>
        <w:t xml:space="preserve">, </w:t>
      </w:r>
      <w:r>
        <w:rPr>
          <w:i/>
          <w:iCs/>
        </w:rPr>
        <w:t>16</w:t>
      </w:r>
      <w:r>
        <w:t>(7), Article 7. https://doi.org/10.1038/s41592-019-0431-x</w:t>
      </w:r>
    </w:p>
    <w:p w14:paraId="07268588" w14:textId="77777777" w:rsidR="007F456A" w:rsidRDefault="007F456A" w:rsidP="007F456A">
      <w:pPr>
        <w:pStyle w:val="Bibliography"/>
        <w:spacing w:line="240" w:lineRule="auto"/>
      </w:pPr>
      <w:r>
        <w:lastRenderedPageBreak/>
        <w:t xml:space="preserve">Sloan, W. T., Lunn, M., Woodcock, S., Head, I. M., Nee, S., &amp; Curtis, T. P. (2006). Quantifying the roles of immigration and chance in shaping prokaryote community structure. </w:t>
      </w:r>
      <w:r>
        <w:rPr>
          <w:i/>
          <w:iCs/>
        </w:rPr>
        <w:t>Environmental Microbiology</w:t>
      </w:r>
      <w:r>
        <w:t xml:space="preserve">, </w:t>
      </w:r>
      <w:r>
        <w:rPr>
          <w:i/>
          <w:iCs/>
        </w:rPr>
        <w:t>8</w:t>
      </w:r>
      <w:r>
        <w:t>(4), 732–740. https://doi.org/10.1111/j.1462-2920.2005.00956.x</w:t>
      </w:r>
    </w:p>
    <w:p w14:paraId="6BDD6BCD" w14:textId="77777777" w:rsidR="007F456A" w:rsidRDefault="007F456A" w:rsidP="007F456A">
      <w:pPr>
        <w:pStyle w:val="Bibliography"/>
        <w:spacing w:line="240" w:lineRule="auto"/>
      </w:pPr>
      <w:r>
        <w:t xml:space="preserve">Smith, C. C., </w:t>
      </w:r>
      <w:proofErr w:type="spellStart"/>
      <w:r>
        <w:t>Snowberg</w:t>
      </w:r>
      <w:proofErr w:type="spellEnd"/>
      <w:r>
        <w:t xml:space="preserve">, L. K., Gregory </w:t>
      </w:r>
      <w:proofErr w:type="spellStart"/>
      <w:r>
        <w:t>Caporaso</w:t>
      </w:r>
      <w:proofErr w:type="spellEnd"/>
      <w:r>
        <w:t xml:space="preserve">, J., Knight, R., &amp; </w:t>
      </w:r>
      <w:proofErr w:type="spellStart"/>
      <w:r>
        <w:t>Bolnick</w:t>
      </w:r>
      <w:proofErr w:type="spellEnd"/>
      <w:r>
        <w:t xml:space="preserve">, D. I. (2015). Dietary input of microbes and host genetic variation shape among-population differences in stickleback gut microbiota. </w:t>
      </w:r>
      <w:r>
        <w:rPr>
          <w:i/>
          <w:iCs/>
        </w:rPr>
        <w:t>The ISME Journal</w:t>
      </w:r>
      <w:r>
        <w:t xml:space="preserve">, </w:t>
      </w:r>
      <w:r>
        <w:rPr>
          <w:i/>
          <w:iCs/>
        </w:rPr>
        <w:t>9</w:t>
      </w:r>
      <w:r>
        <w:t>(11), Article 11. https://doi.org/10.1038/ismej.2015.64</w:t>
      </w:r>
    </w:p>
    <w:p w14:paraId="287D768F" w14:textId="77777777" w:rsidR="007F456A" w:rsidRDefault="007F456A" w:rsidP="007F456A">
      <w:pPr>
        <w:pStyle w:val="Bibliography"/>
        <w:spacing w:line="240" w:lineRule="auto"/>
      </w:pPr>
      <w:r>
        <w:t xml:space="preserve">Sommer, F., &amp; </w:t>
      </w:r>
      <w:proofErr w:type="spellStart"/>
      <w:r>
        <w:t>Bäckhed</w:t>
      </w:r>
      <w:proofErr w:type="spellEnd"/>
      <w:r>
        <w:t xml:space="preserve">, F. (2013). The gut microbiota—Masters of host development and physiology. </w:t>
      </w:r>
      <w:r>
        <w:rPr>
          <w:i/>
          <w:iCs/>
        </w:rPr>
        <w:t>Nature Reviews Microbiology</w:t>
      </w:r>
      <w:r>
        <w:t xml:space="preserve">, </w:t>
      </w:r>
      <w:r>
        <w:rPr>
          <w:i/>
          <w:iCs/>
        </w:rPr>
        <w:t>11</w:t>
      </w:r>
      <w:r>
        <w:t>(4), Article 4. https://doi.org/10.1038/nrmicro2974</w:t>
      </w:r>
    </w:p>
    <w:p w14:paraId="703A12C1" w14:textId="77777777" w:rsidR="007F456A" w:rsidRDefault="007F456A" w:rsidP="007F456A">
      <w:pPr>
        <w:pStyle w:val="Bibliography"/>
        <w:spacing w:line="240" w:lineRule="auto"/>
      </w:pPr>
      <w:proofErr w:type="spellStart"/>
      <w:r>
        <w:t>Stagaman</w:t>
      </w:r>
      <w:proofErr w:type="spellEnd"/>
      <w:r>
        <w:t xml:space="preserve">, K., Burns, A. R., Guillemin, K., &amp; Bohannan, B. J. (2017). The role of adaptive immunity as an ecological filter on the gut microbiota in zebrafish. </w:t>
      </w:r>
      <w:r>
        <w:rPr>
          <w:i/>
          <w:iCs/>
        </w:rPr>
        <w:t>The ISME Journal</w:t>
      </w:r>
      <w:r>
        <w:t xml:space="preserve">, </w:t>
      </w:r>
      <w:r>
        <w:rPr>
          <w:i/>
          <w:iCs/>
        </w:rPr>
        <w:t>11</w:t>
      </w:r>
      <w:r>
        <w:t>(7), Article 7. https://doi.org/10.1038/ismej.2017.28</w:t>
      </w:r>
    </w:p>
    <w:p w14:paraId="7EEE68E6" w14:textId="77777777" w:rsidR="007F456A" w:rsidRDefault="007F456A" w:rsidP="007F456A">
      <w:pPr>
        <w:pStyle w:val="Bibliography"/>
        <w:spacing w:line="240" w:lineRule="auto"/>
      </w:pPr>
      <w:r>
        <w:t xml:space="preserve">Stegen, J. C., Lin, X., Konopka, A. E., &amp; Fredrickson, J. K. (2012). Stochastic and deterministic assembly processes in subsurface microbial communities. </w:t>
      </w:r>
      <w:r>
        <w:rPr>
          <w:i/>
          <w:iCs/>
        </w:rPr>
        <w:t>The ISME Journal</w:t>
      </w:r>
      <w:r>
        <w:t xml:space="preserve">, </w:t>
      </w:r>
      <w:r>
        <w:rPr>
          <w:i/>
          <w:iCs/>
        </w:rPr>
        <w:t>6</w:t>
      </w:r>
      <w:r>
        <w:t>(9), Article 9. https://doi.org/10.1038/ismej.2012.22</w:t>
      </w:r>
    </w:p>
    <w:p w14:paraId="1B3B4A40" w14:textId="77777777" w:rsidR="007F456A" w:rsidRDefault="007F456A" w:rsidP="007F456A">
      <w:pPr>
        <w:pStyle w:val="Bibliography"/>
        <w:spacing w:line="240" w:lineRule="auto"/>
      </w:pPr>
      <w:proofErr w:type="spellStart"/>
      <w:r>
        <w:t>Sullam</w:t>
      </w:r>
      <w:proofErr w:type="spellEnd"/>
      <w:r>
        <w:t xml:space="preserve">, K. E., Rubin, B. E., Dalton, C. M., </w:t>
      </w:r>
      <w:proofErr w:type="spellStart"/>
      <w:r>
        <w:t>Kilham</w:t>
      </w:r>
      <w:proofErr w:type="spellEnd"/>
      <w:r>
        <w:t xml:space="preserve">, S. S., </w:t>
      </w:r>
      <w:proofErr w:type="spellStart"/>
      <w:r>
        <w:t>Flecker</w:t>
      </w:r>
      <w:proofErr w:type="spellEnd"/>
      <w:r>
        <w:t xml:space="preserve">, A. S., &amp; Russell, J. A. (2015). Divergence across diet, time and populations rules out parallel evolution in the gut microbiomes of Trinidadian guppies. </w:t>
      </w:r>
      <w:r>
        <w:rPr>
          <w:i/>
          <w:iCs/>
        </w:rPr>
        <w:t>The ISME Journal</w:t>
      </w:r>
      <w:r>
        <w:t xml:space="preserve">, </w:t>
      </w:r>
      <w:r>
        <w:rPr>
          <w:i/>
          <w:iCs/>
        </w:rPr>
        <w:t>9</w:t>
      </w:r>
      <w:r>
        <w:t>(7), Article 7. https://doi.org/10.1038/ismej.2014.231</w:t>
      </w:r>
    </w:p>
    <w:p w14:paraId="4C9C351E" w14:textId="77777777" w:rsidR="007F456A" w:rsidRDefault="007F456A" w:rsidP="007F456A">
      <w:pPr>
        <w:pStyle w:val="Bibliography"/>
        <w:spacing w:line="240" w:lineRule="auto"/>
      </w:pPr>
      <w:r>
        <w:t xml:space="preserve">Surber, E. W. (1937). Rainbow Trout and Bottom Fauna Production in One Mile of Stream. </w:t>
      </w:r>
      <w:r>
        <w:rPr>
          <w:i/>
          <w:iCs/>
        </w:rPr>
        <w:t>Transactions of the American Fisheries Society</w:t>
      </w:r>
      <w:r>
        <w:t xml:space="preserve">, </w:t>
      </w:r>
      <w:r>
        <w:rPr>
          <w:i/>
          <w:iCs/>
        </w:rPr>
        <w:t>66</w:t>
      </w:r>
      <w:r>
        <w:t>(1), 193–202. https://doi.org/10.1577/1548-8659(1936)66[</w:t>
      </w:r>
      <w:proofErr w:type="gramStart"/>
      <w:r>
        <w:t>193:RTABFP</w:t>
      </w:r>
      <w:proofErr w:type="gramEnd"/>
      <w:r>
        <w:t>]2.0.CO;2</w:t>
      </w:r>
    </w:p>
    <w:p w14:paraId="1FAE9EC3" w14:textId="77777777" w:rsidR="007F456A" w:rsidRDefault="007F456A" w:rsidP="007F456A">
      <w:pPr>
        <w:pStyle w:val="Bibliography"/>
        <w:spacing w:line="240" w:lineRule="auto"/>
      </w:pPr>
      <w:proofErr w:type="spellStart"/>
      <w:r>
        <w:t>Suzzi</w:t>
      </w:r>
      <w:proofErr w:type="spellEnd"/>
      <w:r>
        <w:t xml:space="preserve">, A. L., Stat, M., Gaston, T. F., </w:t>
      </w:r>
      <w:proofErr w:type="spellStart"/>
      <w:r>
        <w:t>Siboni</w:t>
      </w:r>
      <w:proofErr w:type="spellEnd"/>
      <w:r>
        <w:t xml:space="preserve">, N., Williams, N. L. R., Seymour, J. R., &amp; Huggett, M. J. (2023). Elevated estuary water temperature drives fish gut dysbiosis and increased loads of pathogenic </w:t>
      </w:r>
      <w:proofErr w:type="spellStart"/>
      <w:r>
        <w:t>vibrionaceae</w:t>
      </w:r>
      <w:proofErr w:type="spellEnd"/>
      <w:r>
        <w:t xml:space="preserve">. </w:t>
      </w:r>
      <w:r>
        <w:rPr>
          <w:i/>
          <w:iCs/>
        </w:rPr>
        <w:t>Environmental Research</w:t>
      </w:r>
      <w:r>
        <w:t xml:space="preserve">, </w:t>
      </w:r>
      <w:r>
        <w:rPr>
          <w:i/>
          <w:iCs/>
        </w:rPr>
        <w:t>219</w:t>
      </w:r>
      <w:r>
        <w:t>, 115144. https://doi.org/10.1016/j.envres.2022.115144</w:t>
      </w:r>
    </w:p>
    <w:p w14:paraId="090D50AC" w14:textId="77777777" w:rsidR="007F456A" w:rsidRDefault="007F456A" w:rsidP="007F456A">
      <w:pPr>
        <w:pStyle w:val="Bibliography"/>
        <w:spacing w:line="240" w:lineRule="auto"/>
      </w:pPr>
      <w:r>
        <w:t xml:space="preserve">Sylvain, F.-É., </w:t>
      </w:r>
      <w:proofErr w:type="spellStart"/>
      <w:r>
        <w:t>Cheaib</w:t>
      </w:r>
      <w:proofErr w:type="spellEnd"/>
      <w:r>
        <w:t xml:space="preserve">, B., Llewellyn, M., Gabriel Correia, T., Barros </w:t>
      </w:r>
      <w:proofErr w:type="spellStart"/>
      <w:r>
        <w:t>Fagundes</w:t>
      </w:r>
      <w:proofErr w:type="spellEnd"/>
      <w:r>
        <w:t xml:space="preserve">, D., Luis Val, A., &amp; </w:t>
      </w:r>
      <w:proofErr w:type="spellStart"/>
      <w:r>
        <w:t>Derome</w:t>
      </w:r>
      <w:proofErr w:type="spellEnd"/>
      <w:r>
        <w:t xml:space="preserve">, N. (2016). PH drop impacts differentially skin and gut microbiota of the Amazonian fish </w:t>
      </w:r>
      <w:proofErr w:type="spellStart"/>
      <w:r>
        <w:t>tambaqui</w:t>
      </w:r>
      <w:proofErr w:type="spellEnd"/>
      <w:r>
        <w:t xml:space="preserve"> (</w:t>
      </w:r>
      <w:proofErr w:type="spellStart"/>
      <w:r>
        <w:t>Colossoma</w:t>
      </w:r>
      <w:proofErr w:type="spellEnd"/>
      <w:r>
        <w:t xml:space="preserve"> </w:t>
      </w:r>
      <w:proofErr w:type="spellStart"/>
      <w:r>
        <w:t>macropomum</w:t>
      </w:r>
      <w:proofErr w:type="spellEnd"/>
      <w:r>
        <w:t xml:space="preserve">). </w:t>
      </w:r>
      <w:r>
        <w:rPr>
          <w:i/>
          <w:iCs/>
        </w:rPr>
        <w:t>Scientific Reports</w:t>
      </w:r>
      <w:r>
        <w:t xml:space="preserve">, </w:t>
      </w:r>
      <w:r>
        <w:rPr>
          <w:i/>
          <w:iCs/>
        </w:rPr>
        <w:t>6</w:t>
      </w:r>
      <w:r>
        <w:t>(1), Article 1. https://doi.org/10.1038/srep32032</w:t>
      </w:r>
    </w:p>
    <w:p w14:paraId="5EDC81F1" w14:textId="77777777" w:rsidR="007F456A" w:rsidRDefault="007F456A" w:rsidP="007F456A">
      <w:pPr>
        <w:pStyle w:val="Bibliography"/>
        <w:spacing w:line="240" w:lineRule="auto"/>
      </w:pPr>
      <w:proofErr w:type="spellStart"/>
      <w:r>
        <w:t>Thorstad</w:t>
      </w:r>
      <w:proofErr w:type="spellEnd"/>
      <w:r>
        <w:t xml:space="preserve">, E. B., Fleming, I. A., </w:t>
      </w:r>
      <w:proofErr w:type="spellStart"/>
      <w:r>
        <w:t>McGinnity</w:t>
      </w:r>
      <w:proofErr w:type="spellEnd"/>
      <w:r>
        <w:t xml:space="preserve">, P., Soto, D., </w:t>
      </w:r>
      <w:proofErr w:type="spellStart"/>
      <w:r>
        <w:t>Wennevik</w:t>
      </w:r>
      <w:proofErr w:type="spellEnd"/>
      <w:r>
        <w:t xml:space="preserve">, V., &amp; </w:t>
      </w:r>
      <w:proofErr w:type="spellStart"/>
      <w:r>
        <w:t>Whoriskey</w:t>
      </w:r>
      <w:proofErr w:type="spellEnd"/>
      <w:r>
        <w:t xml:space="preserve">, F. (2008). Incidence and impacts of escaped farmed Atlantic salmon Salmo </w:t>
      </w:r>
      <w:proofErr w:type="spellStart"/>
      <w:r>
        <w:t>salar</w:t>
      </w:r>
      <w:proofErr w:type="spellEnd"/>
      <w:r>
        <w:t xml:space="preserve"> in nature. In </w:t>
      </w:r>
      <w:r>
        <w:rPr>
          <w:i/>
          <w:iCs/>
        </w:rPr>
        <w:t>110</w:t>
      </w:r>
      <w:r>
        <w:t>. Norwegian Institute for Nature Research (NINA). https://brage.nina.no/nina-xmlui/handle/11250/2725676</w:t>
      </w:r>
    </w:p>
    <w:p w14:paraId="4C71E1E0" w14:textId="77777777" w:rsidR="007F456A" w:rsidRDefault="007F456A" w:rsidP="007F456A">
      <w:pPr>
        <w:pStyle w:val="Bibliography"/>
        <w:spacing w:line="240" w:lineRule="auto"/>
      </w:pPr>
      <w:r>
        <w:t xml:space="preserve">Uren Webster, T. M., </w:t>
      </w:r>
      <w:proofErr w:type="spellStart"/>
      <w:r>
        <w:t>Consuegra</w:t>
      </w:r>
      <w:proofErr w:type="spellEnd"/>
      <w:r>
        <w:t xml:space="preserve">, S., Hitchings, M., &amp; Garcia de </w:t>
      </w:r>
      <w:proofErr w:type="spellStart"/>
      <w:r>
        <w:t>Leaniz</w:t>
      </w:r>
      <w:proofErr w:type="spellEnd"/>
      <w:r>
        <w:t xml:space="preserve">, C. (2018). Interpopulation Variation in the Atlantic Salmon Microbiome Reflects Environmental and Genetic Diversity. </w:t>
      </w:r>
      <w:r>
        <w:rPr>
          <w:i/>
          <w:iCs/>
        </w:rPr>
        <w:t>Applied and Environmental Microbiology</w:t>
      </w:r>
      <w:r>
        <w:t xml:space="preserve">, </w:t>
      </w:r>
      <w:r>
        <w:rPr>
          <w:i/>
          <w:iCs/>
        </w:rPr>
        <w:t>84</w:t>
      </w:r>
      <w:r>
        <w:t>(16), e00691-18. https://doi.org/10.1128/AEM.00691-18</w:t>
      </w:r>
    </w:p>
    <w:p w14:paraId="47F33AB9" w14:textId="77777777" w:rsidR="007F456A" w:rsidRDefault="007F456A" w:rsidP="007F456A">
      <w:pPr>
        <w:pStyle w:val="Bibliography"/>
        <w:spacing w:line="240" w:lineRule="auto"/>
      </w:pPr>
      <w:proofErr w:type="spellStart"/>
      <w:r>
        <w:t>Vellend</w:t>
      </w:r>
      <w:proofErr w:type="spellEnd"/>
      <w:r>
        <w:t xml:space="preserve">, M. (2010). Conceptual synthesis in community ecology. </w:t>
      </w:r>
      <w:r>
        <w:rPr>
          <w:i/>
          <w:iCs/>
        </w:rPr>
        <w:t>The Quarterly Review of Biology</w:t>
      </w:r>
      <w:r>
        <w:t xml:space="preserve">, </w:t>
      </w:r>
      <w:r>
        <w:rPr>
          <w:i/>
          <w:iCs/>
        </w:rPr>
        <w:t>85</w:t>
      </w:r>
      <w:r>
        <w:t>(2), 183–206. https://doi.org/10.1086/652373</w:t>
      </w:r>
    </w:p>
    <w:p w14:paraId="592097B5" w14:textId="77777777" w:rsidR="007F456A" w:rsidRDefault="007F456A" w:rsidP="007F456A">
      <w:pPr>
        <w:pStyle w:val="Bibliography"/>
        <w:spacing w:line="240" w:lineRule="auto"/>
      </w:pPr>
      <w:proofErr w:type="spellStart"/>
      <w:r>
        <w:t>Volkoff</w:t>
      </w:r>
      <w:proofErr w:type="spellEnd"/>
      <w:r>
        <w:t xml:space="preserve">, H., &amp; </w:t>
      </w:r>
      <w:proofErr w:type="spellStart"/>
      <w:r>
        <w:t>Rønnestad</w:t>
      </w:r>
      <w:proofErr w:type="spellEnd"/>
      <w:r>
        <w:t xml:space="preserve">, I. (2020). Effects of temperature on feeding and digestive processes in fish. </w:t>
      </w:r>
      <w:r>
        <w:rPr>
          <w:i/>
          <w:iCs/>
        </w:rPr>
        <w:t>Temperature</w:t>
      </w:r>
      <w:r>
        <w:t xml:space="preserve">, </w:t>
      </w:r>
      <w:r>
        <w:rPr>
          <w:i/>
          <w:iCs/>
        </w:rPr>
        <w:t>7</w:t>
      </w:r>
      <w:r>
        <w:t>(4), 307–320. https://doi.org/10.1080/23328940.2020.1765950</w:t>
      </w:r>
    </w:p>
    <w:p w14:paraId="5268E60D" w14:textId="77777777" w:rsidR="007F456A" w:rsidRDefault="007F456A" w:rsidP="007F456A">
      <w:pPr>
        <w:pStyle w:val="Bibliography"/>
        <w:spacing w:line="240" w:lineRule="auto"/>
      </w:pPr>
      <w:r>
        <w:t xml:space="preserve">Walker, I. R. (2001). Midges: Chironomidae and Related Diptera. In J. P. </w:t>
      </w:r>
      <w:proofErr w:type="spellStart"/>
      <w:r>
        <w:t>Smol</w:t>
      </w:r>
      <w:proofErr w:type="spellEnd"/>
      <w:r>
        <w:t xml:space="preserve">, H. J. B. Birks, &amp; W. M. Last (Eds.), </w:t>
      </w:r>
      <w:r>
        <w:rPr>
          <w:i/>
          <w:iCs/>
        </w:rPr>
        <w:t>Tracking Environmental Change Using Lake Sediments: Volume 4: Zoological Indicators</w:t>
      </w:r>
      <w:r>
        <w:t xml:space="preserve"> (pp. 43–66). Springer Netherlands. https://doi.org/10.1007/0-306-47671-1_3</w:t>
      </w:r>
    </w:p>
    <w:p w14:paraId="1D4E5EC3" w14:textId="77777777" w:rsidR="007F456A" w:rsidRDefault="007F456A" w:rsidP="007F456A">
      <w:pPr>
        <w:pStyle w:val="Bibliography"/>
        <w:spacing w:line="240" w:lineRule="auto"/>
      </w:pPr>
      <w:r>
        <w:t xml:space="preserve">Werner, J. J., </w:t>
      </w:r>
      <w:proofErr w:type="spellStart"/>
      <w:r>
        <w:t>Koren</w:t>
      </w:r>
      <w:proofErr w:type="spellEnd"/>
      <w:r>
        <w:t xml:space="preserve">, O., </w:t>
      </w:r>
      <w:proofErr w:type="spellStart"/>
      <w:r>
        <w:t>Hugenholtz</w:t>
      </w:r>
      <w:proofErr w:type="spellEnd"/>
      <w:r>
        <w:t xml:space="preserve">, P., DeSantis, T. Z., Walters, W. A., </w:t>
      </w:r>
      <w:proofErr w:type="spellStart"/>
      <w:r>
        <w:t>Caporaso</w:t>
      </w:r>
      <w:proofErr w:type="spellEnd"/>
      <w:r>
        <w:t xml:space="preserve">, J. G., </w:t>
      </w:r>
      <w:proofErr w:type="spellStart"/>
      <w:r>
        <w:t>Angenent</w:t>
      </w:r>
      <w:proofErr w:type="spellEnd"/>
      <w:r>
        <w:t xml:space="preserve">, L. T., Knight, R., &amp; Ley, R. E. (2012). Impact of training sets on classification of high-throughput bacterial 16s rRNA gene surveys. </w:t>
      </w:r>
      <w:r>
        <w:rPr>
          <w:i/>
          <w:iCs/>
        </w:rPr>
        <w:t>The ISME Journal</w:t>
      </w:r>
      <w:r>
        <w:t xml:space="preserve">, </w:t>
      </w:r>
      <w:r>
        <w:rPr>
          <w:i/>
          <w:iCs/>
        </w:rPr>
        <w:t>6</w:t>
      </w:r>
      <w:r>
        <w:t>(1), Article 1. https://doi.org/10.1038/ismej.2011.82</w:t>
      </w:r>
    </w:p>
    <w:p w14:paraId="629610BE" w14:textId="77777777" w:rsidR="007F456A" w:rsidRDefault="007F456A" w:rsidP="007F456A">
      <w:pPr>
        <w:pStyle w:val="Bibliography"/>
        <w:spacing w:line="240" w:lineRule="auto"/>
      </w:pPr>
      <w:r>
        <w:lastRenderedPageBreak/>
        <w:t xml:space="preserve">White, J. R., Nagarajan, N., &amp; Pop, M. (2009). Statistical methods for detecting differentially abundant features in clinical metagenomic samples. </w:t>
      </w:r>
      <w:proofErr w:type="spellStart"/>
      <w:r>
        <w:rPr>
          <w:i/>
          <w:iCs/>
        </w:rPr>
        <w:t>PLoS</w:t>
      </w:r>
      <w:proofErr w:type="spellEnd"/>
      <w:r>
        <w:rPr>
          <w:i/>
          <w:iCs/>
        </w:rPr>
        <w:t xml:space="preserve"> Computational Biology</w:t>
      </w:r>
      <w:r>
        <w:t xml:space="preserve">, </w:t>
      </w:r>
      <w:r>
        <w:rPr>
          <w:i/>
          <w:iCs/>
        </w:rPr>
        <w:t>5</w:t>
      </w:r>
      <w:r>
        <w:t>(4), e1000352.</w:t>
      </w:r>
    </w:p>
    <w:p w14:paraId="320D21D1" w14:textId="77777777" w:rsidR="007F456A" w:rsidRDefault="007F456A" w:rsidP="007F456A">
      <w:pPr>
        <w:pStyle w:val="Bibliography"/>
        <w:spacing w:line="240" w:lineRule="auto"/>
      </w:pPr>
      <w:proofErr w:type="spellStart"/>
      <w:r>
        <w:t>Yatsunenko</w:t>
      </w:r>
      <w:proofErr w:type="spellEnd"/>
      <w:r>
        <w:t xml:space="preserve">, T., Rey, F. E., </w:t>
      </w:r>
      <w:proofErr w:type="spellStart"/>
      <w:r>
        <w:t>Manary</w:t>
      </w:r>
      <w:proofErr w:type="spellEnd"/>
      <w:r>
        <w:t xml:space="preserve">, M. J., </w:t>
      </w:r>
      <w:proofErr w:type="spellStart"/>
      <w:r>
        <w:t>Trehan</w:t>
      </w:r>
      <w:proofErr w:type="spellEnd"/>
      <w:r>
        <w:t xml:space="preserve">, I., Dominguez-Bello, M. G., Contreras, M., </w:t>
      </w:r>
      <w:proofErr w:type="spellStart"/>
      <w:r>
        <w:t>Magris</w:t>
      </w:r>
      <w:proofErr w:type="spellEnd"/>
      <w:r>
        <w:t xml:space="preserve">, M., Hidalgo, G., </w:t>
      </w:r>
      <w:proofErr w:type="spellStart"/>
      <w:r>
        <w:t>Baldassano</w:t>
      </w:r>
      <w:proofErr w:type="spellEnd"/>
      <w:r>
        <w:t xml:space="preserve">, R. N., &amp; </w:t>
      </w:r>
      <w:proofErr w:type="spellStart"/>
      <w:r>
        <w:t>Anokhin</w:t>
      </w:r>
      <w:proofErr w:type="spellEnd"/>
      <w:r>
        <w:t xml:space="preserve">, A. P. (2012). Human gut microbiome viewed across age and geography. </w:t>
      </w:r>
      <w:r>
        <w:rPr>
          <w:i/>
          <w:iCs/>
        </w:rPr>
        <w:t>Nature</w:t>
      </w:r>
      <w:r>
        <w:t xml:space="preserve">, </w:t>
      </w:r>
      <w:r>
        <w:rPr>
          <w:i/>
          <w:iCs/>
        </w:rPr>
        <w:t>486</w:t>
      </w:r>
      <w:r>
        <w:t>(7402), 222–227.</w:t>
      </w:r>
    </w:p>
    <w:p w14:paraId="3CD70BC5" w14:textId="77777777" w:rsidR="007F456A" w:rsidRDefault="007F456A" w:rsidP="007F456A">
      <w:pPr>
        <w:pStyle w:val="Bibliography"/>
        <w:spacing w:line="240" w:lineRule="auto"/>
      </w:pPr>
      <w:proofErr w:type="spellStart"/>
      <w:r>
        <w:t>Zarkasi</w:t>
      </w:r>
      <w:proofErr w:type="spellEnd"/>
      <w:r>
        <w:t xml:space="preserve">, K. Z., Taylor, R. S., Abell, G. C. J., </w:t>
      </w:r>
      <w:proofErr w:type="spellStart"/>
      <w:r>
        <w:t>Tamplin</w:t>
      </w:r>
      <w:proofErr w:type="spellEnd"/>
      <w:r>
        <w:t xml:space="preserve">, M. L., Glencross, B. D., &amp; Bowman, J. P. (2016). Atlantic Salmon (Salmo </w:t>
      </w:r>
      <w:proofErr w:type="spellStart"/>
      <w:r>
        <w:t>salar</w:t>
      </w:r>
      <w:proofErr w:type="spellEnd"/>
      <w:r>
        <w:t xml:space="preserve"> L.) Gastrointestinal Microbial Community Dynamics in Relation to Digesta Properties and Diet. </w:t>
      </w:r>
      <w:r>
        <w:rPr>
          <w:i/>
          <w:iCs/>
        </w:rPr>
        <w:t>Microbial Ecology</w:t>
      </w:r>
      <w:r>
        <w:t xml:space="preserve">, </w:t>
      </w:r>
      <w:r>
        <w:rPr>
          <w:i/>
          <w:iCs/>
        </w:rPr>
        <w:t>71</w:t>
      </w:r>
      <w:r>
        <w:t>(3), 589–603. https://doi.org/10.1007/s00248-015-0728-y</w:t>
      </w:r>
    </w:p>
    <w:p w14:paraId="20EB4AED" w14:textId="77777777" w:rsidR="007F456A" w:rsidRDefault="007F456A" w:rsidP="007F456A">
      <w:pPr>
        <w:pStyle w:val="Bibliography"/>
        <w:spacing w:line="240" w:lineRule="auto"/>
      </w:pPr>
      <w:proofErr w:type="spellStart"/>
      <w:r>
        <w:t>Ziab</w:t>
      </w:r>
      <w:proofErr w:type="spellEnd"/>
      <w:r>
        <w:t xml:space="preserve">, M., </w:t>
      </w:r>
      <w:proofErr w:type="spellStart"/>
      <w:r>
        <w:t>Chaganti</w:t>
      </w:r>
      <w:proofErr w:type="spellEnd"/>
      <w:r>
        <w:t xml:space="preserve">, S. R., &amp; Heath, D. D. (2023). The effects of host quantitative genetic architecture on the gut microbiota composition of Chinook salmon (Oncorhynchus tshawytscha). </w:t>
      </w:r>
      <w:r>
        <w:rPr>
          <w:i/>
          <w:iCs/>
        </w:rPr>
        <w:t>Heredity</w:t>
      </w:r>
      <w:r>
        <w:t>, 1–13. https://doi.org/10.1038/s41437-023-00620-x</w:t>
      </w:r>
    </w:p>
    <w:p w14:paraId="6D69694E" w14:textId="7DA62F13" w:rsidR="007F456A" w:rsidRPr="007F456A" w:rsidRDefault="007F456A" w:rsidP="007F456A">
      <w:pPr>
        <w:spacing w:after="0" w:line="240" w:lineRule="auto"/>
        <w:rPr>
          <w:rFonts w:eastAsia="Times New Roman" w:cstheme="minorHAnsi"/>
          <w:color w:val="000000"/>
          <w:lang w:eastAsia="en-GB"/>
        </w:rPr>
      </w:pPr>
      <w:r w:rsidRPr="00E84AC3">
        <w:rPr>
          <w:rFonts w:cstheme="minorHAnsi"/>
        </w:rPr>
        <w:fldChar w:fldCharType="end"/>
      </w:r>
    </w:p>
    <w:p w14:paraId="62E98D27" w14:textId="77777777" w:rsidR="0023766D" w:rsidRPr="00E26093" w:rsidRDefault="0023766D" w:rsidP="007601BF">
      <w:pPr>
        <w:pStyle w:val="Heading1"/>
        <w:spacing w:line="240" w:lineRule="auto"/>
        <w:rPr>
          <w:rFonts w:cstheme="minorHAnsi"/>
        </w:rPr>
      </w:pPr>
      <w:r w:rsidRPr="001370A2">
        <w:rPr>
          <w:rFonts w:cstheme="minorHAnsi"/>
        </w:rPr>
        <w:t>Additional Files</w:t>
      </w:r>
    </w:p>
    <w:p w14:paraId="34D905FB" w14:textId="77777777" w:rsidR="0023766D" w:rsidRDefault="0023766D" w:rsidP="007601BF">
      <w:pPr>
        <w:pStyle w:val="Heading2"/>
        <w:spacing w:line="240" w:lineRule="auto"/>
        <w:rPr>
          <w:rFonts w:cstheme="minorHAnsi"/>
        </w:rPr>
      </w:pPr>
      <w:r w:rsidRPr="001370A2">
        <w:rPr>
          <w:rFonts w:cstheme="minorHAnsi"/>
        </w:rPr>
        <w:t>Supplementary Figures</w:t>
      </w:r>
    </w:p>
    <w:p w14:paraId="4EA38F07" w14:textId="77777777" w:rsidR="005B0F62" w:rsidRDefault="00125F4D" w:rsidP="005B0F62">
      <w:pPr>
        <w:keepNext/>
        <w:spacing w:line="240" w:lineRule="auto"/>
      </w:pPr>
      <w:r>
        <w:rPr>
          <w:noProof/>
          <w14:ligatures w14:val="standardContextual"/>
        </w:rPr>
        <w:drawing>
          <wp:inline distT="0" distB="0" distL="0" distR="0" wp14:anchorId="4ED61300" wp14:editId="01B4B0A7">
            <wp:extent cx="5731510" cy="2006600"/>
            <wp:effectExtent l="0" t="0" r="2540" b="0"/>
            <wp:docPr id="59252202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22024"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31510" cy="2006600"/>
                    </a:xfrm>
                    <a:prstGeom prst="rect">
                      <a:avLst/>
                    </a:prstGeom>
                  </pic:spPr>
                </pic:pic>
              </a:graphicData>
            </a:graphic>
          </wp:inline>
        </w:drawing>
      </w:r>
    </w:p>
    <w:p w14:paraId="7D9E0EF8" w14:textId="53432F5A" w:rsidR="00125F4D" w:rsidRPr="00BA361D" w:rsidRDefault="005B0F62" w:rsidP="00125F4D">
      <w:pPr>
        <w:spacing w:line="240" w:lineRule="auto"/>
      </w:pPr>
      <w:bookmarkStart w:id="9" w:name="_Ref138179330"/>
      <w:r>
        <w:t xml:space="preserve">Figure S </w:t>
      </w:r>
      <w:fldSimple w:instr=" SEQ Figure_S \* ARABIC ">
        <w:r w:rsidR="00B15C60">
          <w:rPr>
            <w:noProof/>
          </w:rPr>
          <w:t>1</w:t>
        </w:r>
      </w:fldSimple>
      <w:bookmarkEnd w:id="9"/>
      <w:r>
        <w:t xml:space="preserve">: (A) </w:t>
      </w:r>
      <w:proofErr w:type="gramStart"/>
      <w:r>
        <w:t>Mean river</w:t>
      </w:r>
      <w:proofErr w:type="gramEnd"/>
      <w:r>
        <w:t xml:space="preserve"> discharge </w:t>
      </w:r>
      <w:r w:rsidR="002F6EB7">
        <w:t>(</w:t>
      </w:r>
      <w:r>
        <w:t>l/s</w:t>
      </w:r>
      <w:r w:rsidR="002F6EB7">
        <w:t>)</w:t>
      </w:r>
      <w:r w:rsidRPr="001370A2">
        <w:t xml:space="preserve"> </w:t>
      </w:r>
      <w:r>
        <w:t xml:space="preserve">of </w:t>
      </w:r>
      <w:r w:rsidRPr="001370A2">
        <w:t xml:space="preserve">the </w:t>
      </w:r>
      <w:proofErr w:type="spellStart"/>
      <w:r w:rsidRPr="001370A2">
        <w:t>Srahrevagh</w:t>
      </w:r>
      <w:proofErr w:type="spellEnd"/>
      <w:r w:rsidRPr="001370A2">
        <w:t xml:space="preserve"> river in 2019</w:t>
      </w:r>
      <w:r>
        <w:t xml:space="preserve"> measured in 30-minute intervals. (B) Mean conductivity (mS/cm) </w:t>
      </w:r>
      <w:r w:rsidRPr="001370A2">
        <w:t xml:space="preserve">of the </w:t>
      </w:r>
      <w:proofErr w:type="spellStart"/>
      <w:r w:rsidRPr="001370A2">
        <w:t>Srahrevagh</w:t>
      </w:r>
      <w:proofErr w:type="spellEnd"/>
      <w:r w:rsidRPr="001370A2">
        <w:t xml:space="preserve"> river in 2019 measured in 2-minute intervals.</w:t>
      </w:r>
      <w:r>
        <w:t xml:space="preserve"> </w:t>
      </w:r>
      <w:r w:rsidRPr="001370A2">
        <w:t xml:space="preserve">Blue lines depict mean </w:t>
      </w:r>
      <w:r>
        <w:t>values fitted with loess regression.</w:t>
      </w:r>
    </w:p>
    <w:p w14:paraId="6361B460" w14:textId="77777777" w:rsidR="005B0F62" w:rsidRDefault="00125F4D" w:rsidP="00B15C60">
      <w:pPr>
        <w:keepNext/>
        <w:spacing w:line="240" w:lineRule="auto"/>
      </w:pPr>
      <w:r w:rsidRPr="00125F4D">
        <w:rPr>
          <w:noProof/>
        </w:rPr>
        <w:lastRenderedPageBreak/>
        <w:drawing>
          <wp:inline distT="0" distB="0" distL="0" distR="0" wp14:anchorId="73066B61" wp14:editId="44B3153D">
            <wp:extent cx="5731510" cy="3288030"/>
            <wp:effectExtent l="0" t="0" r="2540" b="7620"/>
            <wp:docPr id="61608333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83337"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31510" cy="3288030"/>
                    </a:xfrm>
                    <a:prstGeom prst="rect">
                      <a:avLst/>
                    </a:prstGeom>
                  </pic:spPr>
                </pic:pic>
              </a:graphicData>
            </a:graphic>
          </wp:inline>
        </w:drawing>
      </w:r>
    </w:p>
    <w:p w14:paraId="7880E83F" w14:textId="3CED84E5" w:rsidR="005B0F62" w:rsidRDefault="005B0F62" w:rsidP="00B15C60">
      <w:pPr>
        <w:spacing w:line="240" w:lineRule="auto"/>
        <w:rPr>
          <w:rFonts w:cstheme="minorHAnsi"/>
        </w:rPr>
      </w:pPr>
      <w:bookmarkStart w:id="10" w:name="_Ref138179590"/>
      <w:r>
        <w:t xml:space="preserve">Figure S </w:t>
      </w:r>
      <w:fldSimple w:instr=" SEQ Figure_S \* ARABIC ">
        <w:r w:rsidR="00B15C60">
          <w:rPr>
            <w:noProof/>
          </w:rPr>
          <w:t>2</w:t>
        </w:r>
      </w:fldSimple>
      <w:bookmarkEnd w:id="10"/>
      <w:r>
        <w:t xml:space="preserve">: </w:t>
      </w:r>
      <w:bookmarkStart w:id="11" w:name="_Hlk138174483"/>
      <w:r w:rsidRPr="001370A2">
        <w:rPr>
          <w:rFonts w:cstheme="minorHAnsi"/>
          <w:color w:val="222222"/>
          <w:shd w:val="clear" w:color="auto" w:fill="FFFFFF"/>
        </w:rPr>
        <w:t>Fast expectation-maximization for microbial source tracking (FEAST) estimations of microbial source contributions for</w:t>
      </w:r>
      <w:r>
        <w:rPr>
          <w:rFonts w:cstheme="minorHAnsi"/>
          <w:color w:val="222222"/>
          <w:shd w:val="clear" w:color="auto" w:fill="FFFFFF"/>
        </w:rPr>
        <w:t xml:space="preserve"> </w:t>
      </w:r>
      <w:r w:rsidRPr="001370A2">
        <w:rPr>
          <w:rFonts w:cstheme="minorHAnsi"/>
          <w:color w:val="222222"/>
          <w:shd w:val="clear" w:color="auto" w:fill="FFFFFF"/>
        </w:rPr>
        <w:t xml:space="preserve">Atlantic </w:t>
      </w:r>
      <w:r>
        <w:rPr>
          <w:rFonts w:cstheme="minorHAnsi"/>
          <w:color w:val="222222"/>
          <w:shd w:val="clear" w:color="auto" w:fill="FFFFFF"/>
        </w:rPr>
        <w:t>s</w:t>
      </w:r>
      <w:r w:rsidRPr="001370A2">
        <w:rPr>
          <w:rFonts w:cstheme="minorHAnsi"/>
          <w:color w:val="222222"/>
          <w:shd w:val="clear" w:color="auto" w:fill="FFFFFF"/>
        </w:rPr>
        <w:t xml:space="preserve">almon gut communities. Each bar represents one individual sample. Each plot represents one sampling month. (A) January, (B) March, (C) May, (D) June, (E) July, (F) November. Mixing proportions were calculated by using taxa counts on genus level. Sources contain </w:t>
      </w:r>
      <w:r>
        <w:rPr>
          <w:rFonts w:cstheme="minorHAnsi"/>
          <w:color w:val="222222"/>
          <w:shd w:val="clear" w:color="auto" w:fill="FFFFFF"/>
        </w:rPr>
        <w:t>five</w:t>
      </w:r>
      <w:r w:rsidRPr="001370A2">
        <w:rPr>
          <w:rFonts w:cstheme="minorHAnsi"/>
          <w:color w:val="222222"/>
          <w:shd w:val="clear" w:color="auto" w:fill="FFFFFF"/>
        </w:rPr>
        <w:t xml:space="preserve"> different macroinvertebrates (feed samples) and three different water samples, collected from the top, the middle (mid) and the bottom (bot) of the </w:t>
      </w:r>
      <w:r>
        <w:rPr>
          <w:rFonts w:cstheme="minorHAnsi"/>
          <w:color w:val="222222"/>
          <w:shd w:val="clear" w:color="auto" w:fill="FFFFFF"/>
        </w:rPr>
        <w:t xml:space="preserve">experimental study area in the </w:t>
      </w:r>
      <w:proofErr w:type="spellStart"/>
      <w:r w:rsidRPr="001370A2">
        <w:rPr>
          <w:rFonts w:cstheme="minorHAnsi"/>
        </w:rPr>
        <w:t>Srahrevagh</w:t>
      </w:r>
      <w:proofErr w:type="spellEnd"/>
      <w:r w:rsidRPr="001370A2">
        <w:rPr>
          <w:rFonts w:cstheme="minorHAnsi"/>
        </w:rPr>
        <w:t xml:space="preserve"> river. Source samples were collected at the same sampling day as fish guts.</w:t>
      </w:r>
      <w:bookmarkEnd w:id="11"/>
    </w:p>
    <w:p w14:paraId="390ADCFF" w14:textId="77777777" w:rsidR="003826BC" w:rsidRDefault="003826BC" w:rsidP="005B0F62">
      <w:pPr>
        <w:spacing w:line="240" w:lineRule="auto"/>
      </w:pPr>
    </w:p>
    <w:p w14:paraId="66700B36" w14:textId="77777777" w:rsidR="005B0F62" w:rsidRDefault="005B0F62" w:rsidP="005B0F62">
      <w:pPr>
        <w:spacing w:line="240" w:lineRule="auto"/>
      </w:pPr>
      <w:r w:rsidRPr="005B0F62">
        <w:rPr>
          <w:noProof/>
        </w:rPr>
        <w:drawing>
          <wp:inline distT="0" distB="0" distL="0" distR="0" wp14:anchorId="690B5130" wp14:editId="3BB6EE47">
            <wp:extent cx="5731510" cy="1389380"/>
            <wp:effectExtent l="0" t="0" r="0" b="1270"/>
            <wp:docPr id="19055492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54927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31510" cy="1389380"/>
                    </a:xfrm>
                    <a:prstGeom prst="rect">
                      <a:avLst/>
                    </a:prstGeom>
                  </pic:spPr>
                </pic:pic>
              </a:graphicData>
            </a:graphic>
          </wp:inline>
        </w:drawing>
      </w:r>
    </w:p>
    <w:p w14:paraId="54DEFFBB" w14:textId="2CA4C753" w:rsidR="005B0F62" w:rsidRDefault="005B0F62" w:rsidP="005B0F62">
      <w:pPr>
        <w:spacing w:line="240" w:lineRule="auto"/>
      </w:pPr>
      <w:bookmarkStart w:id="12" w:name="_Ref138179966"/>
      <w:r>
        <w:t xml:space="preserve">Figure S </w:t>
      </w:r>
      <w:fldSimple w:instr=" SEQ Figure_S \* ARABIC ">
        <w:r w:rsidR="00B15C60">
          <w:rPr>
            <w:noProof/>
          </w:rPr>
          <w:t>3</w:t>
        </w:r>
      </w:fldSimple>
      <w:bookmarkEnd w:id="12"/>
      <w:r>
        <w:t xml:space="preserve">: Pie plots of ten most abundant core genera as determined by the abundance-occupancy model. </w:t>
      </w:r>
      <w:r w:rsidRPr="00642DAF">
        <w:t xml:space="preserve">The model was used to determine core </w:t>
      </w:r>
      <w:r>
        <w:t>OTUs</w:t>
      </w:r>
      <w:r w:rsidRPr="00642DAF">
        <w:t xml:space="preserve">, which had to surpass a specific core inclusion threshold to be included in the analysis. The core </w:t>
      </w:r>
      <w:r>
        <w:t>OTUs</w:t>
      </w:r>
      <w:r w:rsidRPr="00642DAF">
        <w:t xml:space="preserve"> were further divided into three categories: Core upper, which were </w:t>
      </w:r>
      <w:r>
        <w:t>positively</w:t>
      </w:r>
      <w:r w:rsidRPr="00642DAF">
        <w:t xml:space="preserve"> selected by the intestinal environment and appeared more frequently than expected by a neutral model; Core neutral, which occurred as frequently as predicted by the neutral model; and Core under, which appeared less frequently than expected by the neutral model.</w:t>
      </w:r>
      <w:r>
        <w:t xml:space="preserve"> For the plots OTUs were grouped on genus level.</w:t>
      </w:r>
    </w:p>
    <w:p w14:paraId="6D315FDF" w14:textId="77777777" w:rsidR="003C01CA" w:rsidRDefault="003C01CA" w:rsidP="003C01CA">
      <w:pPr>
        <w:keepNext/>
        <w:spacing w:line="240" w:lineRule="auto"/>
      </w:pPr>
      <w:r w:rsidRPr="003C01CA">
        <w:rPr>
          <w:noProof/>
        </w:rPr>
        <w:lastRenderedPageBreak/>
        <w:drawing>
          <wp:inline distT="0" distB="0" distL="0" distR="0" wp14:anchorId="1ADFA4C7" wp14:editId="243015ED">
            <wp:extent cx="5731510" cy="5365750"/>
            <wp:effectExtent l="0" t="0" r="0" b="0"/>
            <wp:docPr id="5326321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321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31510" cy="5365750"/>
                    </a:xfrm>
                    <a:prstGeom prst="rect">
                      <a:avLst/>
                    </a:prstGeom>
                  </pic:spPr>
                </pic:pic>
              </a:graphicData>
            </a:graphic>
          </wp:inline>
        </w:drawing>
      </w:r>
    </w:p>
    <w:p w14:paraId="747719B5" w14:textId="484030B7" w:rsidR="004153EE" w:rsidRPr="007F456A" w:rsidRDefault="003C01CA" w:rsidP="005B0F62">
      <w:pPr>
        <w:spacing w:line="240" w:lineRule="auto"/>
        <w:rPr>
          <w:rFonts w:cstheme="minorHAnsi"/>
          <w:noProof/>
        </w:rPr>
      </w:pPr>
      <w:bookmarkStart w:id="13" w:name="_Ref138180532"/>
      <w:r>
        <w:t xml:space="preserve">Figure S </w:t>
      </w:r>
      <w:fldSimple w:instr=" SEQ Figure_S \* ARABIC ">
        <w:r w:rsidR="00B15C60">
          <w:rPr>
            <w:noProof/>
          </w:rPr>
          <w:t>4</w:t>
        </w:r>
      </w:fldSimple>
      <w:bookmarkEnd w:id="13"/>
      <w:r>
        <w:t xml:space="preserve">: </w:t>
      </w:r>
      <w:r w:rsidRPr="00CD0438">
        <w:rPr>
          <w:rFonts w:cstheme="minorHAnsi"/>
          <w:noProof/>
        </w:rPr>
        <w:t xml:space="preserve">Taxonomic heat map of deterministically selected core OTUs as determined by the </w:t>
      </w:r>
      <w:r>
        <w:rPr>
          <w:rFonts w:cstheme="minorHAnsi"/>
          <w:noProof/>
        </w:rPr>
        <w:t xml:space="preserve">abundance-occupancy model from </w:t>
      </w:r>
      <w:r>
        <w:rPr>
          <w:rFonts w:cstheme="minorHAnsi"/>
          <w:noProof/>
        </w:rPr>
        <w:fldChar w:fldCharType="begin"/>
      </w:r>
      <w:r>
        <w:rPr>
          <w:rFonts w:cstheme="minorHAnsi"/>
          <w:noProof/>
        </w:rPr>
        <w:instrText xml:space="preserve"> REF _Ref138179946 \h </w:instrText>
      </w:r>
      <w:r>
        <w:rPr>
          <w:rFonts w:cstheme="minorHAnsi"/>
          <w:noProof/>
        </w:rPr>
      </w:r>
      <w:r>
        <w:rPr>
          <w:rFonts w:cstheme="minorHAnsi"/>
          <w:noProof/>
        </w:rPr>
        <w:fldChar w:fldCharType="separate"/>
      </w:r>
      <w:r w:rsidR="00B15C60">
        <w:t xml:space="preserve">Figure </w:t>
      </w:r>
      <w:r w:rsidR="00B15C60">
        <w:rPr>
          <w:noProof/>
        </w:rPr>
        <w:t>6</w:t>
      </w:r>
      <w:r>
        <w:rPr>
          <w:rFonts w:cstheme="minorHAnsi"/>
          <w:noProof/>
        </w:rPr>
        <w:fldChar w:fldCharType="end"/>
      </w:r>
      <w:r>
        <w:rPr>
          <w:rFonts w:cstheme="minorHAnsi"/>
          <w:noProof/>
        </w:rPr>
        <w:t xml:space="preserve">. </w:t>
      </w:r>
      <w:r w:rsidRPr="00CD0438">
        <w:rPr>
          <w:rFonts w:cstheme="minorHAnsi"/>
          <w:noProof/>
        </w:rPr>
        <w:t>Node size and colour reflect the mean relative abundance of taxa per taxonomic rank.</w:t>
      </w:r>
    </w:p>
    <w:p w14:paraId="21BAE57D" w14:textId="55F0FA6D" w:rsidR="004153EE" w:rsidRPr="005D2033" w:rsidRDefault="005B0F62" w:rsidP="005D2033">
      <w:pPr>
        <w:pStyle w:val="Heading2"/>
        <w:spacing w:line="480" w:lineRule="auto"/>
        <w:rPr>
          <w:rFonts w:cstheme="minorHAnsi"/>
        </w:rPr>
      </w:pPr>
      <w:r w:rsidRPr="001370A2">
        <w:rPr>
          <w:rFonts w:cstheme="minorHAnsi"/>
        </w:rPr>
        <w:t>Supplementary Tables</w:t>
      </w:r>
    </w:p>
    <w:p w14:paraId="57B44349" w14:textId="6B13CD4B" w:rsidR="005D2033" w:rsidRPr="005D2033" w:rsidRDefault="005D2033" w:rsidP="005D2033">
      <w:pPr>
        <w:rPr>
          <w:b/>
          <w:bCs/>
        </w:rPr>
      </w:pPr>
      <w:bookmarkStart w:id="14" w:name="_Ref138176939"/>
      <w:r w:rsidRPr="005D2033">
        <w:rPr>
          <w:b/>
          <w:bCs/>
        </w:rPr>
        <w:t xml:space="preserve">Table S </w:t>
      </w:r>
      <w:r w:rsidRPr="005D2033">
        <w:rPr>
          <w:b/>
          <w:bCs/>
        </w:rPr>
        <w:fldChar w:fldCharType="begin"/>
      </w:r>
      <w:r w:rsidRPr="005D2033">
        <w:rPr>
          <w:b/>
          <w:bCs/>
        </w:rPr>
        <w:instrText xml:space="preserve"> SEQ Table_S \* ARABIC </w:instrText>
      </w:r>
      <w:r w:rsidRPr="005D2033">
        <w:rPr>
          <w:b/>
          <w:bCs/>
        </w:rPr>
        <w:fldChar w:fldCharType="separate"/>
      </w:r>
      <w:r w:rsidR="00B15C60">
        <w:rPr>
          <w:b/>
          <w:bCs/>
          <w:noProof/>
        </w:rPr>
        <w:t>1</w:t>
      </w:r>
      <w:r w:rsidRPr="005D2033">
        <w:rPr>
          <w:b/>
          <w:bCs/>
        </w:rPr>
        <w:fldChar w:fldCharType="end"/>
      </w:r>
      <w:bookmarkEnd w:id="14"/>
      <w:r w:rsidRPr="005D2033">
        <w:rPr>
          <w:b/>
          <w:bCs/>
        </w:rPr>
        <w:t>: Overview of sampled fish during the 10-month experiment. 80 fish were sampled across six sampling timepoints. Fish age is depicted in months. Number of samples taken is shown for each sex per origin per month. Respective mean length (mm) and weight (g) measurements are included. Brackets show standard deviations. F=Farmed, HFF=Hybrid Farmed Female, HWF=Hybrid Wild Female, W=Wild.</w:t>
      </w:r>
    </w:p>
    <w:tbl>
      <w:tblPr>
        <w:tblStyle w:val="PlainTable1"/>
        <w:tblW w:w="5000" w:type="pct"/>
        <w:tblLook w:val="04A0" w:firstRow="1" w:lastRow="0" w:firstColumn="1" w:lastColumn="0" w:noHBand="0" w:noVBand="1"/>
      </w:tblPr>
      <w:tblGrid>
        <w:gridCol w:w="1018"/>
        <w:gridCol w:w="1561"/>
        <w:gridCol w:w="826"/>
        <w:gridCol w:w="1084"/>
        <w:gridCol w:w="1295"/>
        <w:gridCol w:w="1735"/>
        <w:gridCol w:w="1497"/>
      </w:tblGrid>
      <w:tr w:rsidR="009960F6" w:rsidRPr="00112D9C" w14:paraId="5594AFB8" w14:textId="77777777" w:rsidTr="009960F6">
        <w:trPr>
          <w:cnfStyle w:val="100000000000" w:firstRow="1" w:lastRow="0" w:firstColumn="0" w:lastColumn="0" w:oddVBand="0" w:evenVBand="0" w:oddHBand="0"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565" w:type="pct"/>
            <w:tcBorders>
              <w:bottom w:val="single" w:sz="4" w:space="0" w:color="BFBFBF" w:themeColor="background1" w:themeShade="BF"/>
            </w:tcBorders>
            <w:noWrap/>
            <w:hideMark/>
          </w:tcPr>
          <w:p w14:paraId="0B9F2BB2" w14:textId="77777777" w:rsidR="00112D9C" w:rsidRPr="00112D9C" w:rsidRDefault="00112D9C" w:rsidP="00112D9C">
            <w:pPr>
              <w:rPr>
                <w:rFonts w:ascii="Calibri" w:eastAsia="Times New Roman" w:hAnsi="Calibri" w:cs="Calibri"/>
                <w:color w:val="000000"/>
                <w:lang w:eastAsia="en-GB"/>
              </w:rPr>
            </w:pPr>
            <w:r w:rsidRPr="00112D9C">
              <w:rPr>
                <w:rFonts w:ascii="Calibri" w:eastAsia="Times New Roman" w:hAnsi="Calibri" w:cs="Calibri"/>
                <w:color w:val="000000"/>
                <w:lang w:eastAsia="en-GB"/>
              </w:rPr>
              <w:t>Month</w:t>
            </w:r>
          </w:p>
        </w:tc>
        <w:tc>
          <w:tcPr>
            <w:tcW w:w="866" w:type="pct"/>
            <w:tcBorders>
              <w:bottom w:val="single" w:sz="4" w:space="0" w:color="BFBFBF" w:themeColor="background1" w:themeShade="BF"/>
            </w:tcBorders>
            <w:noWrap/>
            <w:hideMark/>
          </w:tcPr>
          <w:p w14:paraId="745BF253" w14:textId="77777777"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Age (Months)</w:t>
            </w:r>
          </w:p>
        </w:tc>
        <w:tc>
          <w:tcPr>
            <w:tcW w:w="458" w:type="pct"/>
            <w:tcBorders>
              <w:bottom w:val="single" w:sz="4" w:space="0" w:color="BFBFBF" w:themeColor="background1" w:themeShade="BF"/>
            </w:tcBorders>
            <w:noWrap/>
            <w:hideMark/>
          </w:tcPr>
          <w:p w14:paraId="066C4FDE" w14:textId="0D27A035"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Origin</w:t>
            </w:r>
            <w:r w:rsidR="004153EE">
              <w:rPr>
                <w:rFonts w:ascii="Calibri" w:eastAsia="Times New Roman" w:hAnsi="Calibri" w:cs="Calibri"/>
                <w:color w:val="000000"/>
                <w:lang w:eastAsia="en-GB"/>
              </w:rPr>
              <w:t xml:space="preserve"> </w:t>
            </w:r>
          </w:p>
        </w:tc>
        <w:tc>
          <w:tcPr>
            <w:tcW w:w="601" w:type="pct"/>
            <w:tcBorders>
              <w:bottom w:val="single" w:sz="4" w:space="0" w:color="BFBFBF" w:themeColor="background1" w:themeShade="BF"/>
            </w:tcBorders>
            <w:noWrap/>
            <w:hideMark/>
          </w:tcPr>
          <w:p w14:paraId="0440B8EA" w14:textId="77777777"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Male (N)</w:t>
            </w:r>
          </w:p>
        </w:tc>
        <w:tc>
          <w:tcPr>
            <w:tcW w:w="718" w:type="pct"/>
            <w:tcBorders>
              <w:bottom w:val="single" w:sz="4" w:space="0" w:color="BFBFBF" w:themeColor="background1" w:themeShade="BF"/>
            </w:tcBorders>
            <w:noWrap/>
            <w:hideMark/>
          </w:tcPr>
          <w:p w14:paraId="4202A480" w14:textId="77777777"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Female (N)</w:t>
            </w:r>
          </w:p>
        </w:tc>
        <w:tc>
          <w:tcPr>
            <w:tcW w:w="962" w:type="pct"/>
            <w:tcBorders>
              <w:bottom w:val="single" w:sz="4" w:space="0" w:color="BFBFBF" w:themeColor="background1" w:themeShade="BF"/>
            </w:tcBorders>
            <w:noWrap/>
            <w:hideMark/>
          </w:tcPr>
          <w:p w14:paraId="7A6DA4E1" w14:textId="77777777"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Length (mm)</w:t>
            </w:r>
          </w:p>
        </w:tc>
        <w:tc>
          <w:tcPr>
            <w:tcW w:w="830" w:type="pct"/>
            <w:tcBorders>
              <w:bottom w:val="single" w:sz="4" w:space="0" w:color="BFBFBF" w:themeColor="background1" w:themeShade="BF"/>
            </w:tcBorders>
            <w:noWrap/>
            <w:hideMark/>
          </w:tcPr>
          <w:p w14:paraId="5B5B3888" w14:textId="77777777" w:rsidR="00112D9C" w:rsidRPr="00112D9C" w:rsidRDefault="00112D9C" w:rsidP="00112D9C">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Weight (g)</w:t>
            </w:r>
          </w:p>
        </w:tc>
      </w:tr>
      <w:tr w:rsidR="004153EE" w:rsidRPr="00112D9C" w14:paraId="1884A239"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noWrap/>
            <w:vAlign w:val="center"/>
            <w:hideMark/>
          </w:tcPr>
          <w:p w14:paraId="2F5E030B"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Jan_19</w:t>
            </w:r>
          </w:p>
          <w:p w14:paraId="4425F86A" w14:textId="44A794D0" w:rsidR="004153EE" w:rsidRPr="00112D9C"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(N=16)</w:t>
            </w:r>
          </w:p>
        </w:tc>
        <w:tc>
          <w:tcPr>
            <w:tcW w:w="866" w:type="pct"/>
            <w:vMerge w:val="restart"/>
            <w:noWrap/>
            <w:vAlign w:val="center"/>
            <w:hideMark/>
          </w:tcPr>
          <w:p w14:paraId="6131F2EB" w14:textId="77777777"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112D9C">
              <w:rPr>
                <w:rFonts w:ascii="Calibri" w:eastAsia="Times New Roman" w:hAnsi="Calibri" w:cs="Calibri"/>
                <w:color w:val="000000"/>
                <w:lang w:eastAsia="en-GB"/>
              </w:rPr>
              <w:t>9</w:t>
            </w:r>
          </w:p>
          <w:p w14:paraId="7FB7DAC9" w14:textId="76D2E009"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noWrap/>
            <w:hideMark/>
          </w:tcPr>
          <w:p w14:paraId="4B5160E2" w14:textId="682D9F8D"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r>
              <w:rPr>
                <w:rFonts w:ascii="Calibri" w:eastAsia="Times New Roman" w:hAnsi="Calibri" w:cs="Calibri"/>
                <w:color w:val="000000"/>
                <w:lang w:eastAsia="en-GB"/>
              </w:rPr>
              <w:t xml:space="preserve"> </w:t>
            </w:r>
          </w:p>
        </w:tc>
        <w:tc>
          <w:tcPr>
            <w:tcW w:w="601" w:type="pct"/>
            <w:noWrap/>
            <w:hideMark/>
          </w:tcPr>
          <w:p w14:paraId="0BFE8E5A"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3FA7DAC7"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noWrap/>
            <w:hideMark/>
          </w:tcPr>
          <w:p w14:paraId="2580D418" w14:textId="21A43AC4"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61.91</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±1.85</w:t>
            </w:r>
            <w:r>
              <w:rPr>
                <w:rFonts w:ascii="Calibri" w:eastAsia="Times New Roman" w:hAnsi="Calibri" w:cs="Calibri"/>
                <w:color w:val="000000"/>
                <w:lang w:eastAsia="en-GB"/>
              </w:rPr>
              <w:t>)</w:t>
            </w:r>
          </w:p>
        </w:tc>
        <w:tc>
          <w:tcPr>
            <w:tcW w:w="830" w:type="pct"/>
            <w:noWrap/>
            <w:hideMark/>
          </w:tcPr>
          <w:p w14:paraId="5A55615A" w14:textId="3446FB4C"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2.39</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±0.33</w:t>
            </w:r>
            <w:r>
              <w:rPr>
                <w:rFonts w:ascii="Calibri" w:eastAsia="Times New Roman" w:hAnsi="Calibri" w:cs="Calibri"/>
                <w:color w:val="000000"/>
                <w:lang w:eastAsia="en-GB"/>
              </w:rPr>
              <w:t>)</w:t>
            </w:r>
          </w:p>
        </w:tc>
      </w:tr>
      <w:tr w:rsidR="004153EE" w:rsidRPr="00112D9C" w14:paraId="41FA25E7"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33502718" w14:textId="58617F50"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24F89B03" w14:textId="33E1316D"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705F8D04" w14:textId="662EDAC9"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r>
              <w:rPr>
                <w:rFonts w:ascii="Calibri" w:eastAsia="Times New Roman" w:hAnsi="Calibri" w:cs="Calibri"/>
                <w:color w:val="000000"/>
                <w:lang w:eastAsia="en-GB"/>
              </w:rPr>
              <w:t xml:space="preserve"> </w:t>
            </w:r>
          </w:p>
        </w:tc>
        <w:tc>
          <w:tcPr>
            <w:tcW w:w="601" w:type="pct"/>
            <w:noWrap/>
            <w:hideMark/>
          </w:tcPr>
          <w:p w14:paraId="1CB1C4DF"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w:t>
            </w:r>
          </w:p>
        </w:tc>
        <w:tc>
          <w:tcPr>
            <w:tcW w:w="718" w:type="pct"/>
            <w:noWrap/>
            <w:hideMark/>
          </w:tcPr>
          <w:p w14:paraId="6ADA6092"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w:t>
            </w:r>
          </w:p>
        </w:tc>
        <w:tc>
          <w:tcPr>
            <w:tcW w:w="962" w:type="pct"/>
            <w:noWrap/>
            <w:hideMark/>
          </w:tcPr>
          <w:p w14:paraId="56B7BEC5" w14:textId="5E8744FB"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62.76</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±4.13</w:t>
            </w:r>
            <w:r>
              <w:rPr>
                <w:rFonts w:ascii="Calibri" w:eastAsia="Times New Roman" w:hAnsi="Calibri" w:cs="Calibri"/>
                <w:color w:val="000000"/>
                <w:lang w:eastAsia="en-GB"/>
              </w:rPr>
              <w:t>)</w:t>
            </w:r>
          </w:p>
        </w:tc>
        <w:tc>
          <w:tcPr>
            <w:tcW w:w="830" w:type="pct"/>
            <w:noWrap/>
            <w:hideMark/>
          </w:tcPr>
          <w:p w14:paraId="621E5D9C" w14:textId="0DB18C49"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2.36</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±0.49</w:t>
            </w:r>
            <w:r>
              <w:rPr>
                <w:rFonts w:ascii="Calibri" w:eastAsia="Times New Roman" w:hAnsi="Calibri" w:cs="Calibri"/>
                <w:color w:val="000000"/>
                <w:lang w:eastAsia="en-GB"/>
              </w:rPr>
              <w:t>)</w:t>
            </w:r>
          </w:p>
        </w:tc>
      </w:tr>
      <w:tr w:rsidR="004153EE" w:rsidRPr="00112D9C" w14:paraId="119F07E9"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348CEEE7" w14:textId="6347C48E"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1DB5E18C" w14:textId="48FF9FCC"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659A723A" w14:textId="6E75EC8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r>
              <w:rPr>
                <w:rFonts w:ascii="Calibri" w:eastAsia="Times New Roman" w:hAnsi="Calibri" w:cs="Calibri"/>
                <w:color w:val="000000"/>
                <w:lang w:eastAsia="en-GB"/>
              </w:rPr>
              <w:t xml:space="preserve"> </w:t>
            </w:r>
          </w:p>
        </w:tc>
        <w:tc>
          <w:tcPr>
            <w:tcW w:w="601" w:type="pct"/>
            <w:noWrap/>
            <w:hideMark/>
          </w:tcPr>
          <w:p w14:paraId="711D0803"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w:t>
            </w:r>
          </w:p>
        </w:tc>
        <w:tc>
          <w:tcPr>
            <w:tcW w:w="718" w:type="pct"/>
            <w:noWrap/>
            <w:hideMark/>
          </w:tcPr>
          <w:p w14:paraId="01C95F58"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noWrap/>
            <w:hideMark/>
          </w:tcPr>
          <w:p w14:paraId="255B5703" w14:textId="57C628F6"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55.35</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±7.52</w:t>
            </w:r>
            <w:r>
              <w:rPr>
                <w:rFonts w:ascii="Calibri" w:eastAsia="Times New Roman" w:hAnsi="Calibri" w:cs="Calibri"/>
                <w:color w:val="000000"/>
                <w:lang w:eastAsia="en-GB"/>
              </w:rPr>
              <w:t>)</w:t>
            </w:r>
          </w:p>
        </w:tc>
        <w:tc>
          <w:tcPr>
            <w:tcW w:w="830" w:type="pct"/>
            <w:noWrap/>
            <w:hideMark/>
          </w:tcPr>
          <w:p w14:paraId="3C25CFBB" w14:textId="34A9474A"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1.67</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±0.79</w:t>
            </w:r>
            <w:r>
              <w:rPr>
                <w:rFonts w:ascii="Calibri" w:eastAsia="Times New Roman" w:hAnsi="Calibri" w:cs="Calibri"/>
                <w:color w:val="000000"/>
                <w:lang w:eastAsia="en-GB"/>
              </w:rPr>
              <w:t>)</w:t>
            </w:r>
          </w:p>
        </w:tc>
      </w:tr>
      <w:tr w:rsidR="004153EE" w:rsidRPr="00112D9C" w14:paraId="6F247A56"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tcBorders>
              <w:bottom w:val="single" w:sz="4" w:space="0" w:color="auto"/>
            </w:tcBorders>
            <w:noWrap/>
            <w:vAlign w:val="center"/>
            <w:hideMark/>
          </w:tcPr>
          <w:p w14:paraId="1CFF3A5B" w14:textId="4FC7FF84" w:rsidR="004153EE" w:rsidRPr="00112D9C" w:rsidRDefault="004153EE" w:rsidP="004153EE">
            <w:pPr>
              <w:jc w:val="center"/>
              <w:rPr>
                <w:rFonts w:ascii="Calibri" w:eastAsia="Times New Roman" w:hAnsi="Calibri" w:cs="Calibri"/>
                <w:color w:val="000000"/>
                <w:lang w:eastAsia="en-GB"/>
              </w:rPr>
            </w:pPr>
          </w:p>
        </w:tc>
        <w:tc>
          <w:tcPr>
            <w:tcW w:w="866" w:type="pct"/>
            <w:vMerge/>
            <w:tcBorders>
              <w:bottom w:val="single" w:sz="4" w:space="0" w:color="auto"/>
            </w:tcBorders>
            <w:noWrap/>
            <w:vAlign w:val="center"/>
            <w:hideMark/>
          </w:tcPr>
          <w:p w14:paraId="066E7E31" w14:textId="7F1FDEAF"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tcBorders>
              <w:bottom w:val="single" w:sz="4" w:space="0" w:color="auto"/>
            </w:tcBorders>
            <w:noWrap/>
            <w:hideMark/>
          </w:tcPr>
          <w:p w14:paraId="57EBDC11"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tcBorders>
              <w:bottom w:val="single" w:sz="4" w:space="0" w:color="auto"/>
            </w:tcBorders>
            <w:noWrap/>
            <w:hideMark/>
          </w:tcPr>
          <w:p w14:paraId="0E664FD8"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718" w:type="pct"/>
            <w:tcBorders>
              <w:bottom w:val="single" w:sz="4" w:space="0" w:color="auto"/>
            </w:tcBorders>
            <w:noWrap/>
            <w:hideMark/>
          </w:tcPr>
          <w:p w14:paraId="0611D8E1"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tcBorders>
              <w:bottom w:val="single" w:sz="4" w:space="0" w:color="auto"/>
            </w:tcBorders>
            <w:noWrap/>
            <w:hideMark/>
          </w:tcPr>
          <w:p w14:paraId="75B9E72F" w14:textId="602D3153"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56.62</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±14.07</w:t>
            </w:r>
            <w:r>
              <w:rPr>
                <w:rFonts w:ascii="Calibri" w:eastAsia="Times New Roman" w:hAnsi="Calibri" w:cs="Calibri"/>
                <w:color w:val="000000"/>
                <w:lang w:eastAsia="en-GB"/>
              </w:rPr>
              <w:t>)</w:t>
            </w:r>
          </w:p>
        </w:tc>
        <w:tc>
          <w:tcPr>
            <w:tcW w:w="830" w:type="pct"/>
            <w:tcBorders>
              <w:bottom w:val="single" w:sz="4" w:space="0" w:color="auto"/>
            </w:tcBorders>
            <w:noWrap/>
            <w:hideMark/>
          </w:tcPr>
          <w:p w14:paraId="77E6DFCC" w14:textId="3028B5EA"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1.78</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±1.27</w:t>
            </w:r>
            <w:r>
              <w:rPr>
                <w:rFonts w:ascii="Calibri" w:eastAsia="Times New Roman" w:hAnsi="Calibri" w:cs="Calibri"/>
                <w:color w:val="000000"/>
                <w:lang w:eastAsia="en-GB"/>
              </w:rPr>
              <w:t>)</w:t>
            </w:r>
          </w:p>
        </w:tc>
      </w:tr>
      <w:tr w:rsidR="009960F6" w:rsidRPr="00112D9C" w14:paraId="5B9B2055"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tcBorders>
              <w:top w:val="single" w:sz="4" w:space="0" w:color="auto"/>
            </w:tcBorders>
            <w:noWrap/>
            <w:vAlign w:val="center"/>
            <w:hideMark/>
          </w:tcPr>
          <w:p w14:paraId="371F3E17"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Mar_19</w:t>
            </w:r>
          </w:p>
          <w:p w14:paraId="449DD39E"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lastRenderedPageBreak/>
              <w:t>(N=14)</w:t>
            </w:r>
          </w:p>
          <w:p w14:paraId="65761E5D" w14:textId="012C34F2" w:rsidR="004153EE" w:rsidRPr="00112D9C" w:rsidRDefault="004153EE" w:rsidP="004153EE">
            <w:pPr>
              <w:jc w:val="center"/>
              <w:rPr>
                <w:rFonts w:ascii="Calibri" w:eastAsia="Times New Roman" w:hAnsi="Calibri" w:cs="Calibri"/>
                <w:color w:val="000000"/>
                <w:lang w:eastAsia="en-GB"/>
              </w:rPr>
            </w:pPr>
          </w:p>
        </w:tc>
        <w:tc>
          <w:tcPr>
            <w:tcW w:w="866" w:type="pct"/>
            <w:vMerge w:val="restart"/>
            <w:tcBorders>
              <w:top w:val="single" w:sz="4" w:space="0" w:color="auto"/>
            </w:tcBorders>
            <w:noWrap/>
            <w:vAlign w:val="center"/>
            <w:hideMark/>
          </w:tcPr>
          <w:p w14:paraId="79237CDF" w14:textId="77777777"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lastRenderedPageBreak/>
              <w:t>11</w:t>
            </w:r>
          </w:p>
          <w:p w14:paraId="7F77CFFD" w14:textId="17F7C690"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tcBorders>
              <w:top w:val="single" w:sz="4" w:space="0" w:color="auto"/>
            </w:tcBorders>
            <w:noWrap/>
            <w:hideMark/>
          </w:tcPr>
          <w:p w14:paraId="327326EE"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p>
        </w:tc>
        <w:tc>
          <w:tcPr>
            <w:tcW w:w="601" w:type="pct"/>
            <w:tcBorders>
              <w:top w:val="single" w:sz="4" w:space="0" w:color="auto"/>
            </w:tcBorders>
            <w:noWrap/>
            <w:hideMark/>
          </w:tcPr>
          <w:p w14:paraId="06A9426B"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tcBorders>
              <w:top w:val="single" w:sz="4" w:space="0" w:color="auto"/>
            </w:tcBorders>
            <w:noWrap/>
            <w:hideMark/>
          </w:tcPr>
          <w:p w14:paraId="2665C110"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tcBorders>
              <w:top w:val="single" w:sz="4" w:space="0" w:color="auto"/>
            </w:tcBorders>
            <w:noWrap/>
            <w:hideMark/>
          </w:tcPr>
          <w:p w14:paraId="28AC5383" w14:textId="6BD1B6EA"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66.45</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±6.32</w:t>
            </w:r>
            <w:r>
              <w:rPr>
                <w:rFonts w:ascii="Calibri" w:eastAsia="Times New Roman" w:hAnsi="Calibri" w:cs="Calibri"/>
                <w:color w:val="000000"/>
                <w:lang w:eastAsia="en-GB"/>
              </w:rPr>
              <w:t>)</w:t>
            </w:r>
          </w:p>
        </w:tc>
        <w:tc>
          <w:tcPr>
            <w:tcW w:w="830" w:type="pct"/>
            <w:tcBorders>
              <w:top w:val="single" w:sz="4" w:space="0" w:color="auto"/>
            </w:tcBorders>
            <w:noWrap/>
            <w:hideMark/>
          </w:tcPr>
          <w:p w14:paraId="760C941D" w14:textId="4BD4D92F"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2.82</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±0.82</w:t>
            </w:r>
            <w:r>
              <w:rPr>
                <w:rFonts w:ascii="Calibri" w:eastAsia="Times New Roman" w:hAnsi="Calibri" w:cs="Calibri"/>
                <w:color w:val="000000"/>
                <w:lang w:eastAsia="en-GB"/>
              </w:rPr>
              <w:t>)</w:t>
            </w:r>
          </w:p>
        </w:tc>
      </w:tr>
      <w:tr w:rsidR="009960F6" w:rsidRPr="00112D9C" w14:paraId="28071282"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69344A32" w14:textId="2F5DA8BE"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160F60E5" w14:textId="4B0E280E"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6704E6EA"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p>
        </w:tc>
        <w:tc>
          <w:tcPr>
            <w:tcW w:w="601" w:type="pct"/>
            <w:noWrap/>
            <w:hideMark/>
          </w:tcPr>
          <w:p w14:paraId="421B81EA"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718" w:type="pct"/>
            <w:noWrap/>
            <w:hideMark/>
          </w:tcPr>
          <w:p w14:paraId="3453BEDB"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noWrap/>
            <w:hideMark/>
          </w:tcPr>
          <w:p w14:paraId="0BCDB107" w14:textId="419AB7B6"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63.88</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±7.23</w:t>
            </w:r>
            <w:r>
              <w:rPr>
                <w:rFonts w:ascii="Calibri" w:eastAsia="Times New Roman" w:hAnsi="Calibri" w:cs="Calibri"/>
                <w:color w:val="000000"/>
                <w:lang w:eastAsia="en-GB"/>
              </w:rPr>
              <w:t>)</w:t>
            </w:r>
          </w:p>
        </w:tc>
        <w:tc>
          <w:tcPr>
            <w:tcW w:w="830" w:type="pct"/>
            <w:noWrap/>
            <w:hideMark/>
          </w:tcPr>
          <w:p w14:paraId="6D0D085F" w14:textId="5E415762"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2.5</w:t>
            </w:r>
            <w:r>
              <w:rPr>
                <w:rFonts w:ascii="Calibri" w:eastAsia="Times New Roman" w:hAnsi="Calibri" w:cs="Calibri"/>
                <w:color w:val="000000"/>
                <w:lang w:eastAsia="en-GB"/>
              </w:rPr>
              <w:t>0 (</w:t>
            </w:r>
            <w:r w:rsidRPr="00112D9C">
              <w:rPr>
                <w:rFonts w:ascii="Calibri" w:eastAsia="Times New Roman" w:hAnsi="Calibri" w:cs="Calibri"/>
                <w:color w:val="000000"/>
                <w:lang w:eastAsia="en-GB"/>
              </w:rPr>
              <w:t>±0.88</w:t>
            </w:r>
            <w:r>
              <w:rPr>
                <w:rFonts w:ascii="Calibri" w:eastAsia="Times New Roman" w:hAnsi="Calibri" w:cs="Calibri"/>
                <w:color w:val="000000"/>
                <w:lang w:eastAsia="en-GB"/>
              </w:rPr>
              <w:t>)</w:t>
            </w:r>
          </w:p>
        </w:tc>
      </w:tr>
      <w:tr w:rsidR="009960F6" w:rsidRPr="00112D9C" w14:paraId="5C3A8CAE"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325DD194" w14:textId="0C5EF88A"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543DF820" w14:textId="5F8BD8B4"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6864C9E6"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p>
        </w:tc>
        <w:tc>
          <w:tcPr>
            <w:tcW w:w="601" w:type="pct"/>
            <w:noWrap/>
            <w:hideMark/>
          </w:tcPr>
          <w:p w14:paraId="7DA27A6E"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5D3FD428"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noWrap/>
            <w:hideMark/>
          </w:tcPr>
          <w:p w14:paraId="74BAE8A8"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53.38</w:t>
            </w:r>
          </w:p>
        </w:tc>
        <w:tc>
          <w:tcPr>
            <w:tcW w:w="830" w:type="pct"/>
            <w:noWrap/>
            <w:hideMark/>
          </w:tcPr>
          <w:p w14:paraId="417C64F9"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1.28</w:t>
            </w:r>
          </w:p>
        </w:tc>
      </w:tr>
      <w:tr w:rsidR="009960F6" w:rsidRPr="00112D9C" w14:paraId="1D0F6580"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tcBorders>
              <w:bottom w:val="single" w:sz="4" w:space="0" w:color="auto"/>
            </w:tcBorders>
            <w:noWrap/>
            <w:vAlign w:val="center"/>
            <w:hideMark/>
          </w:tcPr>
          <w:p w14:paraId="4D33E273" w14:textId="3ECA4194" w:rsidR="004153EE" w:rsidRPr="00112D9C" w:rsidRDefault="004153EE" w:rsidP="004153EE">
            <w:pPr>
              <w:jc w:val="center"/>
              <w:rPr>
                <w:rFonts w:ascii="Calibri" w:eastAsia="Times New Roman" w:hAnsi="Calibri" w:cs="Calibri"/>
                <w:color w:val="000000"/>
                <w:lang w:eastAsia="en-GB"/>
              </w:rPr>
            </w:pPr>
          </w:p>
        </w:tc>
        <w:tc>
          <w:tcPr>
            <w:tcW w:w="866" w:type="pct"/>
            <w:vMerge/>
            <w:tcBorders>
              <w:bottom w:val="single" w:sz="4" w:space="0" w:color="auto"/>
            </w:tcBorders>
            <w:noWrap/>
            <w:vAlign w:val="center"/>
            <w:hideMark/>
          </w:tcPr>
          <w:p w14:paraId="5A833D8D" w14:textId="12BC4511"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tcBorders>
              <w:bottom w:val="single" w:sz="4" w:space="0" w:color="auto"/>
            </w:tcBorders>
            <w:noWrap/>
            <w:hideMark/>
          </w:tcPr>
          <w:p w14:paraId="77DD3A03"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tcBorders>
              <w:bottom w:val="single" w:sz="4" w:space="0" w:color="auto"/>
            </w:tcBorders>
            <w:noWrap/>
            <w:hideMark/>
          </w:tcPr>
          <w:p w14:paraId="7D078597"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w:t>
            </w:r>
          </w:p>
        </w:tc>
        <w:tc>
          <w:tcPr>
            <w:tcW w:w="718" w:type="pct"/>
            <w:tcBorders>
              <w:bottom w:val="single" w:sz="4" w:space="0" w:color="auto"/>
            </w:tcBorders>
            <w:noWrap/>
            <w:hideMark/>
          </w:tcPr>
          <w:p w14:paraId="249CDF7A"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w:t>
            </w:r>
          </w:p>
        </w:tc>
        <w:tc>
          <w:tcPr>
            <w:tcW w:w="962" w:type="pct"/>
            <w:tcBorders>
              <w:bottom w:val="single" w:sz="4" w:space="0" w:color="auto"/>
            </w:tcBorders>
            <w:noWrap/>
            <w:hideMark/>
          </w:tcPr>
          <w:p w14:paraId="31361B45" w14:textId="08294476"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53.29</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±4.77</w:t>
            </w:r>
            <w:r>
              <w:rPr>
                <w:rFonts w:ascii="Calibri" w:eastAsia="Times New Roman" w:hAnsi="Calibri" w:cs="Calibri"/>
                <w:color w:val="000000"/>
                <w:lang w:eastAsia="en-GB"/>
              </w:rPr>
              <w:t>)</w:t>
            </w:r>
          </w:p>
        </w:tc>
        <w:tc>
          <w:tcPr>
            <w:tcW w:w="830" w:type="pct"/>
            <w:tcBorders>
              <w:bottom w:val="single" w:sz="4" w:space="0" w:color="auto"/>
            </w:tcBorders>
            <w:noWrap/>
            <w:hideMark/>
          </w:tcPr>
          <w:p w14:paraId="03C0F8A4" w14:textId="6DE7423D"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1.37</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±0.44</w:t>
            </w:r>
            <w:r w:rsidR="005D4E98">
              <w:rPr>
                <w:rFonts w:ascii="Calibri" w:eastAsia="Times New Roman" w:hAnsi="Calibri" w:cs="Calibri"/>
                <w:color w:val="000000"/>
                <w:lang w:eastAsia="en-GB"/>
              </w:rPr>
              <w:t>)</w:t>
            </w:r>
          </w:p>
        </w:tc>
      </w:tr>
      <w:tr w:rsidR="009960F6" w:rsidRPr="00112D9C" w14:paraId="50AC1B82"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tcBorders>
              <w:top w:val="single" w:sz="4" w:space="0" w:color="auto"/>
            </w:tcBorders>
            <w:noWrap/>
            <w:vAlign w:val="center"/>
            <w:hideMark/>
          </w:tcPr>
          <w:p w14:paraId="49786E47"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May_19</w:t>
            </w:r>
          </w:p>
          <w:p w14:paraId="2C2B7595"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(N=8)</w:t>
            </w:r>
          </w:p>
          <w:p w14:paraId="72B5A2A2" w14:textId="178940F5" w:rsidR="004153EE" w:rsidRPr="00112D9C" w:rsidRDefault="004153EE" w:rsidP="004153EE">
            <w:pPr>
              <w:jc w:val="center"/>
              <w:rPr>
                <w:rFonts w:ascii="Calibri" w:eastAsia="Times New Roman" w:hAnsi="Calibri" w:cs="Calibri"/>
                <w:color w:val="000000"/>
                <w:lang w:eastAsia="en-GB"/>
              </w:rPr>
            </w:pPr>
          </w:p>
        </w:tc>
        <w:tc>
          <w:tcPr>
            <w:tcW w:w="866" w:type="pct"/>
            <w:vMerge w:val="restart"/>
            <w:tcBorders>
              <w:top w:val="single" w:sz="4" w:space="0" w:color="auto"/>
            </w:tcBorders>
            <w:noWrap/>
            <w:vAlign w:val="center"/>
            <w:hideMark/>
          </w:tcPr>
          <w:p w14:paraId="230FF800" w14:textId="77777777"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13</w:t>
            </w:r>
          </w:p>
          <w:p w14:paraId="3D2D1777" w14:textId="078DB04A"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tcBorders>
              <w:top w:val="single" w:sz="4" w:space="0" w:color="auto"/>
            </w:tcBorders>
            <w:noWrap/>
            <w:hideMark/>
          </w:tcPr>
          <w:p w14:paraId="05E9F864"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p>
        </w:tc>
        <w:tc>
          <w:tcPr>
            <w:tcW w:w="601" w:type="pct"/>
            <w:tcBorders>
              <w:top w:val="single" w:sz="4" w:space="0" w:color="auto"/>
            </w:tcBorders>
            <w:noWrap/>
            <w:hideMark/>
          </w:tcPr>
          <w:p w14:paraId="7BEAC4BA"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718" w:type="pct"/>
            <w:tcBorders>
              <w:top w:val="single" w:sz="4" w:space="0" w:color="auto"/>
            </w:tcBorders>
            <w:noWrap/>
            <w:hideMark/>
          </w:tcPr>
          <w:p w14:paraId="788A20CF"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tcBorders>
              <w:top w:val="single" w:sz="4" w:space="0" w:color="auto"/>
            </w:tcBorders>
            <w:noWrap/>
            <w:hideMark/>
          </w:tcPr>
          <w:p w14:paraId="66198E2C" w14:textId="057ED003"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80.00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±1.41</w:t>
            </w:r>
            <w:r>
              <w:rPr>
                <w:rFonts w:ascii="Calibri" w:eastAsia="Times New Roman" w:hAnsi="Calibri" w:cs="Calibri"/>
                <w:color w:val="000000"/>
                <w:lang w:eastAsia="en-GB"/>
              </w:rPr>
              <w:t>)</w:t>
            </w:r>
          </w:p>
        </w:tc>
        <w:tc>
          <w:tcPr>
            <w:tcW w:w="830" w:type="pct"/>
            <w:tcBorders>
              <w:top w:val="single" w:sz="4" w:space="0" w:color="auto"/>
            </w:tcBorders>
            <w:noWrap/>
            <w:hideMark/>
          </w:tcPr>
          <w:p w14:paraId="7D701A41" w14:textId="0D14920B"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4.9</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±0.13</w:t>
            </w:r>
            <w:r w:rsidR="005D4E98">
              <w:rPr>
                <w:rFonts w:ascii="Calibri" w:eastAsia="Times New Roman" w:hAnsi="Calibri" w:cs="Calibri"/>
                <w:color w:val="000000"/>
                <w:lang w:eastAsia="en-GB"/>
              </w:rPr>
              <w:t>)</w:t>
            </w:r>
          </w:p>
        </w:tc>
      </w:tr>
      <w:tr w:rsidR="009960F6" w:rsidRPr="00112D9C" w14:paraId="27CB7178"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75A839A4" w14:textId="7A7DDC46"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51B84C9A" w14:textId="4F4B9E97"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265F8BE2"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p>
        </w:tc>
        <w:tc>
          <w:tcPr>
            <w:tcW w:w="601" w:type="pct"/>
            <w:noWrap/>
            <w:hideMark/>
          </w:tcPr>
          <w:p w14:paraId="3A863212"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493BB5A1"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noWrap/>
            <w:hideMark/>
          </w:tcPr>
          <w:p w14:paraId="12B3BA35"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78.00</w:t>
            </w:r>
          </w:p>
        </w:tc>
        <w:tc>
          <w:tcPr>
            <w:tcW w:w="830" w:type="pct"/>
            <w:noWrap/>
            <w:hideMark/>
          </w:tcPr>
          <w:p w14:paraId="13FB3921"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4.87</w:t>
            </w:r>
          </w:p>
        </w:tc>
      </w:tr>
      <w:tr w:rsidR="009960F6" w:rsidRPr="00112D9C" w14:paraId="1D09A533"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42CCD133" w14:textId="2E5E4392"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46826BBE" w14:textId="469438AA"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146C262D"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p>
        </w:tc>
        <w:tc>
          <w:tcPr>
            <w:tcW w:w="601" w:type="pct"/>
            <w:noWrap/>
            <w:hideMark/>
          </w:tcPr>
          <w:p w14:paraId="14015123"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11925574"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noWrap/>
            <w:hideMark/>
          </w:tcPr>
          <w:p w14:paraId="35E4FD49" w14:textId="75E4250F"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73.67</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±1.53</w:t>
            </w:r>
            <w:r>
              <w:rPr>
                <w:rFonts w:ascii="Calibri" w:eastAsia="Times New Roman" w:hAnsi="Calibri" w:cs="Calibri"/>
                <w:color w:val="000000"/>
                <w:lang w:eastAsia="en-GB"/>
              </w:rPr>
              <w:t>)</w:t>
            </w:r>
          </w:p>
        </w:tc>
        <w:tc>
          <w:tcPr>
            <w:tcW w:w="830" w:type="pct"/>
            <w:noWrap/>
            <w:hideMark/>
          </w:tcPr>
          <w:p w14:paraId="2CD5B190" w14:textId="4A7EE941"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3.76</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±0.22</w:t>
            </w:r>
            <w:r w:rsidR="005D4E98">
              <w:rPr>
                <w:rFonts w:ascii="Calibri" w:eastAsia="Times New Roman" w:hAnsi="Calibri" w:cs="Calibri"/>
                <w:color w:val="000000"/>
                <w:lang w:eastAsia="en-GB"/>
              </w:rPr>
              <w:t>)</w:t>
            </w:r>
          </w:p>
        </w:tc>
      </w:tr>
      <w:tr w:rsidR="009960F6" w:rsidRPr="00112D9C" w14:paraId="478A841E"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tcBorders>
              <w:bottom w:val="single" w:sz="4" w:space="0" w:color="auto"/>
            </w:tcBorders>
            <w:noWrap/>
            <w:vAlign w:val="center"/>
            <w:hideMark/>
          </w:tcPr>
          <w:p w14:paraId="16135EBC" w14:textId="2EED3408" w:rsidR="004153EE" w:rsidRPr="00112D9C" w:rsidRDefault="004153EE" w:rsidP="004153EE">
            <w:pPr>
              <w:jc w:val="center"/>
              <w:rPr>
                <w:rFonts w:ascii="Calibri" w:eastAsia="Times New Roman" w:hAnsi="Calibri" w:cs="Calibri"/>
                <w:color w:val="000000"/>
                <w:lang w:eastAsia="en-GB"/>
              </w:rPr>
            </w:pPr>
          </w:p>
        </w:tc>
        <w:tc>
          <w:tcPr>
            <w:tcW w:w="866" w:type="pct"/>
            <w:vMerge/>
            <w:tcBorders>
              <w:bottom w:val="single" w:sz="4" w:space="0" w:color="auto"/>
            </w:tcBorders>
            <w:noWrap/>
            <w:vAlign w:val="center"/>
            <w:hideMark/>
          </w:tcPr>
          <w:p w14:paraId="00261789" w14:textId="75E76237"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tcBorders>
              <w:bottom w:val="single" w:sz="4" w:space="0" w:color="auto"/>
            </w:tcBorders>
            <w:noWrap/>
            <w:hideMark/>
          </w:tcPr>
          <w:p w14:paraId="50618FF3"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tcBorders>
              <w:bottom w:val="single" w:sz="4" w:space="0" w:color="auto"/>
            </w:tcBorders>
            <w:noWrap/>
            <w:hideMark/>
          </w:tcPr>
          <w:p w14:paraId="49DC4B6C"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718" w:type="pct"/>
            <w:tcBorders>
              <w:bottom w:val="single" w:sz="4" w:space="0" w:color="auto"/>
            </w:tcBorders>
            <w:noWrap/>
            <w:hideMark/>
          </w:tcPr>
          <w:p w14:paraId="234656E9"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tcBorders>
              <w:bottom w:val="single" w:sz="4" w:space="0" w:color="auto"/>
            </w:tcBorders>
            <w:noWrap/>
            <w:hideMark/>
          </w:tcPr>
          <w:p w14:paraId="5C80F8F7" w14:textId="366CEDB3"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69.50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±3.54</w:t>
            </w:r>
            <w:r>
              <w:rPr>
                <w:rFonts w:ascii="Calibri" w:eastAsia="Times New Roman" w:hAnsi="Calibri" w:cs="Calibri"/>
                <w:color w:val="000000"/>
                <w:lang w:eastAsia="en-GB"/>
              </w:rPr>
              <w:t>)</w:t>
            </w:r>
          </w:p>
        </w:tc>
        <w:tc>
          <w:tcPr>
            <w:tcW w:w="830" w:type="pct"/>
            <w:tcBorders>
              <w:bottom w:val="single" w:sz="4" w:space="0" w:color="auto"/>
            </w:tcBorders>
            <w:noWrap/>
            <w:hideMark/>
          </w:tcPr>
          <w:p w14:paraId="5ADC1124" w14:textId="0C1697AD"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2.92</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±0.28</w:t>
            </w:r>
            <w:r w:rsidR="005D4E98">
              <w:rPr>
                <w:rFonts w:ascii="Calibri" w:eastAsia="Times New Roman" w:hAnsi="Calibri" w:cs="Calibri"/>
                <w:color w:val="000000"/>
                <w:lang w:eastAsia="en-GB"/>
              </w:rPr>
              <w:t>)</w:t>
            </w:r>
          </w:p>
        </w:tc>
      </w:tr>
      <w:tr w:rsidR="009960F6" w:rsidRPr="00112D9C" w14:paraId="0DEF3BCA"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tcBorders>
              <w:top w:val="single" w:sz="4" w:space="0" w:color="auto"/>
            </w:tcBorders>
            <w:noWrap/>
            <w:vAlign w:val="center"/>
            <w:hideMark/>
          </w:tcPr>
          <w:p w14:paraId="4AEDB05A"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Jun_19</w:t>
            </w:r>
          </w:p>
          <w:p w14:paraId="1B93433D"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(N=13)</w:t>
            </w:r>
          </w:p>
          <w:p w14:paraId="27FB5E46" w14:textId="61B0C855" w:rsidR="004153EE" w:rsidRPr="00112D9C" w:rsidRDefault="004153EE" w:rsidP="004153EE">
            <w:pPr>
              <w:jc w:val="center"/>
              <w:rPr>
                <w:rFonts w:ascii="Calibri" w:eastAsia="Times New Roman" w:hAnsi="Calibri" w:cs="Calibri"/>
                <w:color w:val="000000"/>
                <w:lang w:eastAsia="en-GB"/>
              </w:rPr>
            </w:pPr>
          </w:p>
        </w:tc>
        <w:tc>
          <w:tcPr>
            <w:tcW w:w="866" w:type="pct"/>
            <w:vMerge w:val="restart"/>
            <w:tcBorders>
              <w:top w:val="single" w:sz="4" w:space="0" w:color="auto"/>
            </w:tcBorders>
            <w:noWrap/>
            <w:vAlign w:val="center"/>
            <w:hideMark/>
          </w:tcPr>
          <w:p w14:paraId="427F9043" w14:textId="77777777"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14</w:t>
            </w:r>
          </w:p>
          <w:p w14:paraId="715C6211" w14:textId="560244F9"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tcBorders>
              <w:top w:val="single" w:sz="4" w:space="0" w:color="auto"/>
            </w:tcBorders>
            <w:noWrap/>
            <w:hideMark/>
          </w:tcPr>
          <w:p w14:paraId="002B20B0"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p>
        </w:tc>
        <w:tc>
          <w:tcPr>
            <w:tcW w:w="601" w:type="pct"/>
            <w:tcBorders>
              <w:top w:val="single" w:sz="4" w:space="0" w:color="auto"/>
            </w:tcBorders>
            <w:noWrap/>
            <w:hideMark/>
          </w:tcPr>
          <w:p w14:paraId="1191B2D1"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tcBorders>
              <w:top w:val="single" w:sz="4" w:space="0" w:color="auto"/>
            </w:tcBorders>
            <w:noWrap/>
            <w:hideMark/>
          </w:tcPr>
          <w:p w14:paraId="1D85BC38"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w:t>
            </w:r>
          </w:p>
        </w:tc>
        <w:tc>
          <w:tcPr>
            <w:tcW w:w="962" w:type="pct"/>
            <w:tcBorders>
              <w:top w:val="single" w:sz="4" w:space="0" w:color="auto"/>
            </w:tcBorders>
            <w:noWrap/>
            <w:hideMark/>
          </w:tcPr>
          <w:p w14:paraId="2E926C58" w14:textId="0B530AAF"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90.80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±7.36</w:t>
            </w:r>
            <w:r>
              <w:rPr>
                <w:rFonts w:ascii="Calibri" w:eastAsia="Times New Roman" w:hAnsi="Calibri" w:cs="Calibri"/>
                <w:color w:val="000000"/>
                <w:lang w:eastAsia="en-GB"/>
              </w:rPr>
              <w:t>)</w:t>
            </w:r>
          </w:p>
        </w:tc>
        <w:tc>
          <w:tcPr>
            <w:tcW w:w="830" w:type="pct"/>
            <w:tcBorders>
              <w:top w:val="single" w:sz="4" w:space="0" w:color="auto"/>
            </w:tcBorders>
            <w:noWrap/>
            <w:hideMark/>
          </w:tcPr>
          <w:p w14:paraId="42533A45" w14:textId="2D6CD893"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7.91</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±2.5</w:t>
            </w:r>
            <w:r w:rsidR="005D4E98">
              <w:rPr>
                <w:rFonts w:ascii="Calibri" w:eastAsia="Times New Roman" w:hAnsi="Calibri" w:cs="Calibri"/>
                <w:color w:val="000000"/>
                <w:lang w:eastAsia="en-GB"/>
              </w:rPr>
              <w:t>0)</w:t>
            </w:r>
          </w:p>
        </w:tc>
      </w:tr>
      <w:tr w:rsidR="009960F6" w:rsidRPr="00112D9C" w14:paraId="68CA08C6"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2DD57C3E" w14:textId="5B258F0C"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720C116A" w14:textId="008D298C"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540506DE"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p>
        </w:tc>
        <w:tc>
          <w:tcPr>
            <w:tcW w:w="601" w:type="pct"/>
            <w:noWrap/>
            <w:hideMark/>
          </w:tcPr>
          <w:p w14:paraId="5FE55A1F"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718" w:type="pct"/>
            <w:noWrap/>
            <w:hideMark/>
          </w:tcPr>
          <w:p w14:paraId="7CBF518B"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noWrap/>
            <w:hideMark/>
          </w:tcPr>
          <w:p w14:paraId="52A82C1E" w14:textId="7FE98888"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85.67</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±10.07</w:t>
            </w:r>
            <w:r>
              <w:rPr>
                <w:rFonts w:ascii="Calibri" w:eastAsia="Times New Roman" w:hAnsi="Calibri" w:cs="Calibri"/>
                <w:color w:val="000000"/>
                <w:lang w:eastAsia="en-GB"/>
              </w:rPr>
              <w:t>)</w:t>
            </w:r>
          </w:p>
        </w:tc>
        <w:tc>
          <w:tcPr>
            <w:tcW w:w="830" w:type="pct"/>
            <w:noWrap/>
            <w:hideMark/>
          </w:tcPr>
          <w:p w14:paraId="18B16706" w14:textId="4F85D45A"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5.91</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±2.23</w:t>
            </w:r>
            <w:r w:rsidR="005D4E98">
              <w:rPr>
                <w:rFonts w:ascii="Calibri" w:eastAsia="Times New Roman" w:hAnsi="Calibri" w:cs="Calibri"/>
                <w:color w:val="000000"/>
                <w:lang w:eastAsia="en-GB"/>
              </w:rPr>
              <w:t>)</w:t>
            </w:r>
          </w:p>
        </w:tc>
      </w:tr>
      <w:tr w:rsidR="009960F6" w:rsidRPr="00112D9C" w14:paraId="7B62D0F5"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29BF8B98" w14:textId="0D84D39C"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345AFCC5" w14:textId="13419EE3"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219FCE09"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p>
        </w:tc>
        <w:tc>
          <w:tcPr>
            <w:tcW w:w="601" w:type="pct"/>
            <w:noWrap/>
            <w:hideMark/>
          </w:tcPr>
          <w:p w14:paraId="0AAFF927"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w:t>
            </w:r>
          </w:p>
        </w:tc>
        <w:tc>
          <w:tcPr>
            <w:tcW w:w="718" w:type="pct"/>
            <w:noWrap/>
            <w:hideMark/>
          </w:tcPr>
          <w:p w14:paraId="1BF60465"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noWrap/>
            <w:hideMark/>
          </w:tcPr>
          <w:p w14:paraId="48134526" w14:textId="318F1E72"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89.50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±5.45</w:t>
            </w:r>
            <w:r>
              <w:rPr>
                <w:rFonts w:ascii="Calibri" w:eastAsia="Times New Roman" w:hAnsi="Calibri" w:cs="Calibri"/>
                <w:color w:val="000000"/>
                <w:lang w:eastAsia="en-GB"/>
              </w:rPr>
              <w:t>)</w:t>
            </w:r>
          </w:p>
        </w:tc>
        <w:tc>
          <w:tcPr>
            <w:tcW w:w="830" w:type="pct"/>
            <w:noWrap/>
            <w:hideMark/>
          </w:tcPr>
          <w:p w14:paraId="26508DF6" w14:textId="6587E713"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6.57</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±0.6</w:t>
            </w:r>
            <w:r w:rsidR="005D4E98">
              <w:rPr>
                <w:rFonts w:ascii="Calibri" w:eastAsia="Times New Roman" w:hAnsi="Calibri" w:cs="Calibri"/>
                <w:color w:val="000000"/>
                <w:lang w:eastAsia="en-GB"/>
              </w:rPr>
              <w:t>0)</w:t>
            </w:r>
          </w:p>
        </w:tc>
      </w:tr>
      <w:tr w:rsidR="009960F6" w:rsidRPr="00112D9C" w14:paraId="3B1FFC38"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tcBorders>
              <w:bottom w:val="single" w:sz="4" w:space="0" w:color="auto"/>
            </w:tcBorders>
            <w:noWrap/>
            <w:vAlign w:val="center"/>
            <w:hideMark/>
          </w:tcPr>
          <w:p w14:paraId="18F748DB" w14:textId="29B08434" w:rsidR="004153EE" w:rsidRPr="00112D9C" w:rsidRDefault="004153EE" w:rsidP="004153EE">
            <w:pPr>
              <w:jc w:val="center"/>
              <w:rPr>
                <w:rFonts w:ascii="Calibri" w:eastAsia="Times New Roman" w:hAnsi="Calibri" w:cs="Calibri"/>
                <w:color w:val="000000"/>
                <w:lang w:eastAsia="en-GB"/>
              </w:rPr>
            </w:pPr>
          </w:p>
        </w:tc>
        <w:tc>
          <w:tcPr>
            <w:tcW w:w="866" w:type="pct"/>
            <w:vMerge/>
            <w:tcBorders>
              <w:bottom w:val="single" w:sz="4" w:space="0" w:color="auto"/>
            </w:tcBorders>
            <w:noWrap/>
            <w:vAlign w:val="center"/>
            <w:hideMark/>
          </w:tcPr>
          <w:p w14:paraId="61B2CB27" w14:textId="2BF30FE7"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tcBorders>
              <w:bottom w:val="single" w:sz="4" w:space="0" w:color="auto"/>
            </w:tcBorders>
            <w:noWrap/>
            <w:hideMark/>
          </w:tcPr>
          <w:p w14:paraId="23288FF4"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tcBorders>
              <w:bottom w:val="single" w:sz="4" w:space="0" w:color="auto"/>
            </w:tcBorders>
            <w:noWrap/>
            <w:hideMark/>
          </w:tcPr>
          <w:p w14:paraId="662755FC"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tcBorders>
              <w:bottom w:val="single" w:sz="4" w:space="0" w:color="auto"/>
            </w:tcBorders>
            <w:noWrap/>
            <w:hideMark/>
          </w:tcPr>
          <w:p w14:paraId="0E1A964B"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tcBorders>
              <w:bottom w:val="single" w:sz="4" w:space="0" w:color="auto"/>
            </w:tcBorders>
            <w:noWrap/>
            <w:hideMark/>
          </w:tcPr>
          <w:p w14:paraId="2D046462" w14:textId="19FB07F6"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73.00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±4.24</w:t>
            </w:r>
            <w:r>
              <w:rPr>
                <w:rFonts w:ascii="Calibri" w:eastAsia="Times New Roman" w:hAnsi="Calibri" w:cs="Calibri"/>
                <w:color w:val="000000"/>
                <w:lang w:eastAsia="en-GB"/>
              </w:rPr>
              <w:t>)</w:t>
            </w:r>
          </w:p>
        </w:tc>
        <w:tc>
          <w:tcPr>
            <w:tcW w:w="830" w:type="pct"/>
            <w:tcBorders>
              <w:bottom w:val="single" w:sz="4" w:space="0" w:color="auto"/>
            </w:tcBorders>
            <w:noWrap/>
            <w:hideMark/>
          </w:tcPr>
          <w:p w14:paraId="1C8BD2BA" w14:textId="4432FAE6"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4.24</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±0.01</w:t>
            </w:r>
            <w:r w:rsidR="005D4E98">
              <w:rPr>
                <w:rFonts w:ascii="Calibri" w:eastAsia="Times New Roman" w:hAnsi="Calibri" w:cs="Calibri"/>
                <w:color w:val="000000"/>
                <w:lang w:eastAsia="en-GB"/>
              </w:rPr>
              <w:t>)</w:t>
            </w:r>
          </w:p>
        </w:tc>
      </w:tr>
      <w:tr w:rsidR="009960F6" w:rsidRPr="00112D9C" w14:paraId="670A64CF"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tcBorders>
              <w:top w:val="single" w:sz="4" w:space="0" w:color="auto"/>
            </w:tcBorders>
            <w:noWrap/>
            <w:vAlign w:val="center"/>
            <w:hideMark/>
          </w:tcPr>
          <w:p w14:paraId="3D42D7EA"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Jul_19</w:t>
            </w:r>
          </w:p>
          <w:p w14:paraId="4861EFBE"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(N=11)</w:t>
            </w:r>
          </w:p>
          <w:p w14:paraId="551BB13B" w14:textId="301CEFC1" w:rsidR="004153EE" w:rsidRPr="00112D9C" w:rsidRDefault="004153EE" w:rsidP="004153EE">
            <w:pPr>
              <w:jc w:val="center"/>
              <w:rPr>
                <w:rFonts w:ascii="Calibri" w:eastAsia="Times New Roman" w:hAnsi="Calibri" w:cs="Calibri"/>
                <w:color w:val="000000"/>
                <w:lang w:eastAsia="en-GB"/>
              </w:rPr>
            </w:pPr>
          </w:p>
        </w:tc>
        <w:tc>
          <w:tcPr>
            <w:tcW w:w="866" w:type="pct"/>
            <w:vMerge w:val="restart"/>
            <w:tcBorders>
              <w:top w:val="single" w:sz="4" w:space="0" w:color="auto"/>
            </w:tcBorders>
            <w:noWrap/>
            <w:vAlign w:val="center"/>
            <w:hideMark/>
          </w:tcPr>
          <w:p w14:paraId="2055F345" w14:textId="77777777"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15</w:t>
            </w:r>
          </w:p>
          <w:p w14:paraId="226B09D0" w14:textId="61269D26"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tcBorders>
              <w:top w:val="single" w:sz="4" w:space="0" w:color="auto"/>
            </w:tcBorders>
            <w:noWrap/>
            <w:hideMark/>
          </w:tcPr>
          <w:p w14:paraId="7F64412F"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p>
        </w:tc>
        <w:tc>
          <w:tcPr>
            <w:tcW w:w="601" w:type="pct"/>
            <w:tcBorders>
              <w:top w:val="single" w:sz="4" w:space="0" w:color="auto"/>
            </w:tcBorders>
            <w:noWrap/>
            <w:hideMark/>
          </w:tcPr>
          <w:p w14:paraId="442592FF"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tcBorders>
              <w:top w:val="single" w:sz="4" w:space="0" w:color="auto"/>
            </w:tcBorders>
            <w:noWrap/>
            <w:hideMark/>
          </w:tcPr>
          <w:p w14:paraId="70852244"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tcBorders>
              <w:top w:val="single" w:sz="4" w:space="0" w:color="auto"/>
            </w:tcBorders>
            <w:noWrap/>
            <w:hideMark/>
          </w:tcPr>
          <w:p w14:paraId="3E807E8B" w14:textId="5D4B2ABD"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107.50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±2.12</w:t>
            </w:r>
            <w:r>
              <w:rPr>
                <w:rFonts w:ascii="Calibri" w:eastAsia="Times New Roman" w:hAnsi="Calibri" w:cs="Calibri"/>
                <w:color w:val="000000"/>
                <w:lang w:eastAsia="en-GB"/>
              </w:rPr>
              <w:t>)</w:t>
            </w:r>
          </w:p>
        </w:tc>
        <w:tc>
          <w:tcPr>
            <w:tcW w:w="830" w:type="pct"/>
            <w:tcBorders>
              <w:top w:val="single" w:sz="4" w:space="0" w:color="auto"/>
            </w:tcBorders>
            <w:noWrap/>
            <w:hideMark/>
          </w:tcPr>
          <w:p w14:paraId="62836D71" w14:textId="6CCC3046"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13.55</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±1.51</w:t>
            </w:r>
            <w:r w:rsidR="005D4E98">
              <w:rPr>
                <w:rFonts w:ascii="Calibri" w:eastAsia="Times New Roman" w:hAnsi="Calibri" w:cs="Calibri"/>
                <w:color w:val="000000"/>
                <w:lang w:eastAsia="en-GB"/>
              </w:rPr>
              <w:t>)</w:t>
            </w:r>
          </w:p>
        </w:tc>
      </w:tr>
      <w:tr w:rsidR="009960F6" w:rsidRPr="00112D9C" w14:paraId="46DC20D2"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14CA5476" w14:textId="453C818D"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3116DEA0" w14:textId="7C533CF1"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55677CF6"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p>
        </w:tc>
        <w:tc>
          <w:tcPr>
            <w:tcW w:w="601" w:type="pct"/>
            <w:noWrap/>
            <w:hideMark/>
          </w:tcPr>
          <w:p w14:paraId="7E31C53A"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5668366F"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w:t>
            </w:r>
          </w:p>
        </w:tc>
        <w:tc>
          <w:tcPr>
            <w:tcW w:w="962" w:type="pct"/>
            <w:noWrap/>
            <w:hideMark/>
          </w:tcPr>
          <w:p w14:paraId="76FD1D9B" w14:textId="22BF58A9"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94.33</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±11.5</w:t>
            </w:r>
            <w:r>
              <w:rPr>
                <w:rFonts w:ascii="Calibri" w:eastAsia="Times New Roman" w:hAnsi="Calibri" w:cs="Calibri"/>
                <w:color w:val="000000"/>
                <w:lang w:eastAsia="en-GB"/>
              </w:rPr>
              <w:t>)</w:t>
            </w:r>
          </w:p>
        </w:tc>
        <w:tc>
          <w:tcPr>
            <w:tcW w:w="830" w:type="pct"/>
            <w:noWrap/>
            <w:hideMark/>
          </w:tcPr>
          <w:p w14:paraId="6765C8FB" w14:textId="317339FE"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8.36</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±2.93</w:t>
            </w:r>
            <w:r w:rsidR="005D4E98">
              <w:rPr>
                <w:rFonts w:ascii="Calibri" w:eastAsia="Times New Roman" w:hAnsi="Calibri" w:cs="Calibri"/>
                <w:color w:val="000000"/>
                <w:lang w:eastAsia="en-GB"/>
              </w:rPr>
              <w:t>)</w:t>
            </w:r>
          </w:p>
        </w:tc>
      </w:tr>
      <w:tr w:rsidR="009960F6" w:rsidRPr="00112D9C" w14:paraId="0472E259"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vAlign w:val="center"/>
            <w:hideMark/>
          </w:tcPr>
          <w:p w14:paraId="05E3F7C0" w14:textId="3BE3A675" w:rsidR="004153EE" w:rsidRPr="00112D9C" w:rsidRDefault="004153EE" w:rsidP="004153EE">
            <w:pPr>
              <w:jc w:val="center"/>
              <w:rPr>
                <w:rFonts w:ascii="Calibri" w:eastAsia="Times New Roman" w:hAnsi="Calibri" w:cs="Calibri"/>
                <w:color w:val="000000"/>
                <w:lang w:eastAsia="en-GB"/>
              </w:rPr>
            </w:pPr>
          </w:p>
        </w:tc>
        <w:tc>
          <w:tcPr>
            <w:tcW w:w="866" w:type="pct"/>
            <w:vMerge/>
            <w:noWrap/>
            <w:vAlign w:val="center"/>
            <w:hideMark/>
          </w:tcPr>
          <w:p w14:paraId="15A443F7" w14:textId="3295E1DE"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59D00B95"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p>
        </w:tc>
        <w:tc>
          <w:tcPr>
            <w:tcW w:w="601" w:type="pct"/>
            <w:noWrap/>
            <w:hideMark/>
          </w:tcPr>
          <w:p w14:paraId="1D593D74"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noWrap/>
            <w:hideMark/>
          </w:tcPr>
          <w:p w14:paraId="03975B51"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noWrap/>
            <w:hideMark/>
          </w:tcPr>
          <w:p w14:paraId="6096F389" w14:textId="35C4DE56"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87.50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±3.54</w:t>
            </w:r>
            <w:r>
              <w:rPr>
                <w:rFonts w:ascii="Calibri" w:eastAsia="Times New Roman" w:hAnsi="Calibri" w:cs="Calibri"/>
                <w:color w:val="000000"/>
                <w:lang w:eastAsia="en-GB"/>
              </w:rPr>
              <w:t>)</w:t>
            </w:r>
          </w:p>
        </w:tc>
        <w:tc>
          <w:tcPr>
            <w:tcW w:w="830" w:type="pct"/>
            <w:noWrap/>
            <w:hideMark/>
          </w:tcPr>
          <w:p w14:paraId="1A09C90E" w14:textId="59A3B898"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6.34</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±0.66</w:t>
            </w:r>
            <w:r w:rsidR="005D4E98">
              <w:rPr>
                <w:rFonts w:ascii="Calibri" w:eastAsia="Times New Roman" w:hAnsi="Calibri" w:cs="Calibri"/>
                <w:color w:val="000000"/>
                <w:lang w:eastAsia="en-GB"/>
              </w:rPr>
              <w:t>)</w:t>
            </w:r>
          </w:p>
        </w:tc>
      </w:tr>
      <w:tr w:rsidR="009960F6" w:rsidRPr="00112D9C" w14:paraId="3AB772E7"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tcBorders>
              <w:bottom w:val="single" w:sz="4" w:space="0" w:color="auto"/>
            </w:tcBorders>
            <w:noWrap/>
            <w:vAlign w:val="center"/>
            <w:hideMark/>
          </w:tcPr>
          <w:p w14:paraId="46623604" w14:textId="3E3D7C63" w:rsidR="004153EE" w:rsidRPr="00112D9C" w:rsidRDefault="004153EE" w:rsidP="004153EE">
            <w:pPr>
              <w:jc w:val="center"/>
              <w:rPr>
                <w:rFonts w:ascii="Calibri" w:eastAsia="Times New Roman" w:hAnsi="Calibri" w:cs="Calibri"/>
                <w:color w:val="000000"/>
                <w:lang w:eastAsia="en-GB"/>
              </w:rPr>
            </w:pPr>
          </w:p>
        </w:tc>
        <w:tc>
          <w:tcPr>
            <w:tcW w:w="866" w:type="pct"/>
            <w:vMerge/>
            <w:tcBorders>
              <w:bottom w:val="single" w:sz="4" w:space="0" w:color="auto"/>
            </w:tcBorders>
            <w:noWrap/>
            <w:vAlign w:val="center"/>
            <w:hideMark/>
          </w:tcPr>
          <w:p w14:paraId="40BF0E72" w14:textId="3005E74E" w:rsidR="004153EE" w:rsidRPr="00112D9C" w:rsidRDefault="004153EE" w:rsidP="004153E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tcBorders>
              <w:bottom w:val="single" w:sz="4" w:space="0" w:color="auto"/>
            </w:tcBorders>
            <w:noWrap/>
            <w:hideMark/>
          </w:tcPr>
          <w:p w14:paraId="7C9A00D4"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tcBorders>
              <w:bottom w:val="single" w:sz="4" w:space="0" w:color="auto"/>
            </w:tcBorders>
            <w:noWrap/>
            <w:hideMark/>
          </w:tcPr>
          <w:p w14:paraId="3B1EC7EA"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718" w:type="pct"/>
            <w:tcBorders>
              <w:bottom w:val="single" w:sz="4" w:space="0" w:color="auto"/>
            </w:tcBorders>
            <w:noWrap/>
            <w:hideMark/>
          </w:tcPr>
          <w:p w14:paraId="26E84270"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tcBorders>
              <w:bottom w:val="single" w:sz="4" w:space="0" w:color="auto"/>
            </w:tcBorders>
            <w:noWrap/>
            <w:hideMark/>
          </w:tcPr>
          <w:p w14:paraId="374981C7" w14:textId="092F3B1D"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79.00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±1.41</w:t>
            </w:r>
            <w:r>
              <w:rPr>
                <w:rFonts w:ascii="Calibri" w:eastAsia="Times New Roman" w:hAnsi="Calibri" w:cs="Calibri"/>
                <w:color w:val="000000"/>
                <w:lang w:eastAsia="en-GB"/>
              </w:rPr>
              <w:t>)</w:t>
            </w:r>
          </w:p>
        </w:tc>
        <w:tc>
          <w:tcPr>
            <w:tcW w:w="830" w:type="pct"/>
            <w:tcBorders>
              <w:bottom w:val="single" w:sz="4" w:space="0" w:color="auto"/>
            </w:tcBorders>
            <w:noWrap/>
            <w:hideMark/>
          </w:tcPr>
          <w:p w14:paraId="1A0486E3" w14:textId="3576544F"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5.21</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±0.04</w:t>
            </w:r>
            <w:r w:rsidR="005D4E98">
              <w:rPr>
                <w:rFonts w:ascii="Calibri" w:eastAsia="Times New Roman" w:hAnsi="Calibri" w:cs="Calibri"/>
                <w:color w:val="000000"/>
                <w:lang w:eastAsia="en-GB"/>
              </w:rPr>
              <w:t>)</w:t>
            </w:r>
          </w:p>
        </w:tc>
      </w:tr>
      <w:tr w:rsidR="009960F6" w:rsidRPr="00112D9C" w14:paraId="2FF58404"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val="restart"/>
            <w:tcBorders>
              <w:top w:val="single" w:sz="4" w:space="0" w:color="auto"/>
            </w:tcBorders>
            <w:noWrap/>
            <w:vAlign w:val="center"/>
            <w:hideMark/>
          </w:tcPr>
          <w:p w14:paraId="189DCB21" w14:textId="77777777" w:rsidR="004153EE" w:rsidRPr="004153EE"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Nov_19</w:t>
            </w:r>
          </w:p>
          <w:p w14:paraId="2ABFE9DA" w14:textId="788674F2" w:rsidR="004153EE" w:rsidRPr="00112D9C" w:rsidRDefault="004153EE" w:rsidP="004153EE">
            <w:pPr>
              <w:jc w:val="center"/>
              <w:rPr>
                <w:rFonts w:ascii="Calibri" w:eastAsia="Times New Roman" w:hAnsi="Calibri" w:cs="Calibri"/>
                <w:color w:val="000000"/>
                <w:lang w:eastAsia="en-GB"/>
              </w:rPr>
            </w:pPr>
            <w:r w:rsidRPr="00112D9C">
              <w:rPr>
                <w:rFonts w:ascii="Calibri" w:eastAsia="Times New Roman" w:hAnsi="Calibri" w:cs="Calibri"/>
                <w:color w:val="000000"/>
                <w:lang w:eastAsia="en-GB"/>
              </w:rPr>
              <w:t>(N=18)</w:t>
            </w:r>
          </w:p>
        </w:tc>
        <w:tc>
          <w:tcPr>
            <w:tcW w:w="866" w:type="pct"/>
            <w:vMerge w:val="restart"/>
            <w:tcBorders>
              <w:top w:val="single" w:sz="4" w:space="0" w:color="auto"/>
            </w:tcBorders>
            <w:noWrap/>
            <w:vAlign w:val="center"/>
            <w:hideMark/>
          </w:tcPr>
          <w:p w14:paraId="1F7B132F" w14:textId="4AAE2BC2" w:rsidR="004153EE" w:rsidRPr="00112D9C" w:rsidRDefault="004153EE" w:rsidP="004153EE">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lang w:eastAsia="en-GB"/>
              </w:rPr>
            </w:pPr>
            <w:r w:rsidRPr="00112D9C">
              <w:rPr>
                <w:rFonts w:ascii="Calibri" w:eastAsia="Times New Roman" w:hAnsi="Calibri" w:cs="Calibri"/>
                <w:color w:val="000000"/>
                <w:lang w:eastAsia="en-GB"/>
              </w:rPr>
              <w:t>19</w:t>
            </w:r>
          </w:p>
        </w:tc>
        <w:tc>
          <w:tcPr>
            <w:tcW w:w="458" w:type="pct"/>
            <w:tcBorders>
              <w:top w:val="single" w:sz="4" w:space="0" w:color="auto"/>
            </w:tcBorders>
            <w:noWrap/>
            <w:hideMark/>
          </w:tcPr>
          <w:p w14:paraId="4F9BB463"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F</w:t>
            </w:r>
          </w:p>
        </w:tc>
        <w:tc>
          <w:tcPr>
            <w:tcW w:w="601" w:type="pct"/>
            <w:tcBorders>
              <w:top w:val="single" w:sz="4" w:space="0" w:color="auto"/>
            </w:tcBorders>
            <w:noWrap/>
            <w:hideMark/>
          </w:tcPr>
          <w:p w14:paraId="23640A4A"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718" w:type="pct"/>
            <w:tcBorders>
              <w:top w:val="single" w:sz="4" w:space="0" w:color="auto"/>
            </w:tcBorders>
            <w:noWrap/>
            <w:hideMark/>
          </w:tcPr>
          <w:p w14:paraId="4FEB87EE"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w:t>
            </w:r>
          </w:p>
        </w:tc>
        <w:tc>
          <w:tcPr>
            <w:tcW w:w="962" w:type="pct"/>
            <w:tcBorders>
              <w:top w:val="single" w:sz="4" w:space="0" w:color="auto"/>
            </w:tcBorders>
            <w:noWrap/>
            <w:hideMark/>
          </w:tcPr>
          <w:p w14:paraId="19CAA781" w14:textId="26CD56D6"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112.50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±6.36</w:t>
            </w:r>
            <w:r>
              <w:rPr>
                <w:rFonts w:ascii="Calibri" w:eastAsia="Times New Roman" w:hAnsi="Calibri" w:cs="Calibri"/>
                <w:color w:val="000000"/>
                <w:lang w:eastAsia="en-GB"/>
              </w:rPr>
              <w:t>)</w:t>
            </w:r>
          </w:p>
        </w:tc>
        <w:tc>
          <w:tcPr>
            <w:tcW w:w="830" w:type="pct"/>
            <w:tcBorders>
              <w:top w:val="single" w:sz="4" w:space="0" w:color="auto"/>
            </w:tcBorders>
            <w:noWrap/>
            <w:hideMark/>
          </w:tcPr>
          <w:p w14:paraId="0E88C4E0" w14:textId="2D61375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14.59</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±2.41</w:t>
            </w:r>
            <w:r w:rsidR="005D4E98">
              <w:rPr>
                <w:rFonts w:ascii="Calibri" w:eastAsia="Times New Roman" w:hAnsi="Calibri" w:cs="Calibri"/>
                <w:color w:val="000000"/>
                <w:lang w:eastAsia="en-GB"/>
              </w:rPr>
              <w:t>)</w:t>
            </w:r>
          </w:p>
        </w:tc>
      </w:tr>
      <w:tr w:rsidR="009960F6" w:rsidRPr="00112D9C" w14:paraId="5E0BFB4A"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hideMark/>
          </w:tcPr>
          <w:p w14:paraId="78D66198" w14:textId="391292FD" w:rsidR="004153EE" w:rsidRPr="00112D9C" w:rsidRDefault="004153EE" w:rsidP="00112D9C">
            <w:pPr>
              <w:rPr>
                <w:rFonts w:ascii="Calibri" w:eastAsia="Times New Roman" w:hAnsi="Calibri" w:cs="Calibri"/>
                <w:color w:val="000000"/>
                <w:lang w:eastAsia="en-GB"/>
              </w:rPr>
            </w:pPr>
          </w:p>
        </w:tc>
        <w:tc>
          <w:tcPr>
            <w:tcW w:w="866" w:type="pct"/>
            <w:vMerge/>
            <w:noWrap/>
            <w:hideMark/>
          </w:tcPr>
          <w:p w14:paraId="536B03BF" w14:textId="109BF90D" w:rsidR="004153EE" w:rsidRPr="00112D9C" w:rsidRDefault="004153EE" w:rsidP="00112D9C">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4B7B9638"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HFF</w:t>
            </w:r>
          </w:p>
        </w:tc>
        <w:tc>
          <w:tcPr>
            <w:tcW w:w="601" w:type="pct"/>
            <w:noWrap/>
            <w:hideMark/>
          </w:tcPr>
          <w:p w14:paraId="5F3EC865"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5</w:t>
            </w:r>
          </w:p>
        </w:tc>
        <w:tc>
          <w:tcPr>
            <w:tcW w:w="718" w:type="pct"/>
            <w:noWrap/>
            <w:hideMark/>
          </w:tcPr>
          <w:p w14:paraId="069AB3AB"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0</w:t>
            </w:r>
          </w:p>
        </w:tc>
        <w:tc>
          <w:tcPr>
            <w:tcW w:w="962" w:type="pct"/>
            <w:noWrap/>
            <w:hideMark/>
          </w:tcPr>
          <w:p w14:paraId="77EB6CF4" w14:textId="6999B2C5"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111.00</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±14.71</w:t>
            </w:r>
            <w:r>
              <w:rPr>
                <w:rFonts w:ascii="Calibri" w:eastAsia="Times New Roman" w:hAnsi="Calibri" w:cs="Calibri"/>
                <w:color w:val="000000"/>
                <w:lang w:eastAsia="en-GB"/>
              </w:rPr>
              <w:t>)</w:t>
            </w:r>
          </w:p>
        </w:tc>
        <w:tc>
          <w:tcPr>
            <w:tcW w:w="830" w:type="pct"/>
            <w:noWrap/>
            <w:hideMark/>
          </w:tcPr>
          <w:p w14:paraId="1DBFB192" w14:textId="083221E2"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16.25</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±6.65</w:t>
            </w:r>
            <w:r w:rsidR="005D4E98">
              <w:rPr>
                <w:rFonts w:ascii="Calibri" w:eastAsia="Times New Roman" w:hAnsi="Calibri" w:cs="Calibri"/>
                <w:color w:val="000000"/>
                <w:lang w:eastAsia="en-GB"/>
              </w:rPr>
              <w:t>)</w:t>
            </w:r>
          </w:p>
        </w:tc>
      </w:tr>
      <w:tr w:rsidR="009960F6" w:rsidRPr="00112D9C" w14:paraId="3CD01319" w14:textId="77777777" w:rsidTr="009960F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565" w:type="pct"/>
            <w:vMerge/>
            <w:noWrap/>
            <w:hideMark/>
          </w:tcPr>
          <w:p w14:paraId="0CB42A24" w14:textId="75D04159" w:rsidR="004153EE" w:rsidRPr="00112D9C" w:rsidRDefault="004153EE" w:rsidP="00112D9C">
            <w:pPr>
              <w:rPr>
                <w:rFonts w:ascii="Calibri" w:eastAsia="Times New Roman" w:hAnsi="Calibri" w:cs="Calibri"/>
                <w:color w:val="000000"/>
                <w:lang w:eastAsia="en-GB"/>
              </w:rPr>
            </w:pPr>
          </w:p>
        </w:tc>
        <w:tc>
          <w:tcPr>
            <w:tcW w:w="866" w:type="pct"/>
            <w:vMerge/>
            <w:noWrap/>
            <w:hideMark/>
          </w:tcPr>
          <w:p w14:paraId="76C15BE6"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p>
        </w:tc>
        <w:tc>
          <w:tcPr>
            <w:tcW w:w="458" w:type="pct"/>
            <w:noWrap/>
            <w:hideMark/>
          </w:tcPr>
          <w:p w14:paraId="72EF88ED"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HWF</w:t>
            </w:r>
          </w:p>
        </w:tc>
        <w:tc>
          <w:tcPr>
            <w:tcW w:w="601" w:type="pct"/>
            <w:noWrap/>
            <w:hideMark/>
          </w:tcPr>
          <w:p w14:paraId="6A64EE65"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3</w:t>
            </w:r>
          </w:p>
        </w:tc>
        <w:tc>
          <w:tcPr>
            <w:tcW w:w="718" w:type="pct"/>
            <w:noWrap/>
            <w:hideMark/>
          </w:tcPr>
          <w:p w14:paraId="3D1A9419" w14:textId="77777777"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4</w:t>
            </w:r>
          </w:p>
        </w:tc>
        <w:tc>
          <w:tcPr>
            <w:tcW w:w="962" w:type="pct"/>
            <w:noWrap/>
            <w:hideMark/>
          </w:tcPr>
          <w:p w14:paraId="3FB06324" w14:textId="24EA351C"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103.43</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±8.73</w:t>
            </w:r>
            <w:r>
              <w:rPr>
                <w:rFonts w:ascii="Calibri" w:eastAsia="Times New Roman" w:hAnsi="Calibri" w:cs="Calibri"/>
                <w:color w:val="000000"/>
                <w:lang w:eastAsia="en-GB"/>
              </w:rPr>
              <w:t>)</w:t>
            </w:r>
          </w:p>
        </w:tc>
        <w:tc>
          <w:tcPr>
            <w:tcW w:w="830" w:type="pct"/>
            <w:noWrap/>
            <w:hideMark/>
          </w:tcPr>
          <w:p w14:paraId="6CD830AB" w14:textId="723D3F89" w:rsidR="004153EE" w:rsidRPr="00112D9C" w:rsidRDefault="004153EE" w:rsidP="00112D9C">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11.85</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±2.14</w:t>
            </w:r>
            <w:r w:rsidR="005D4E98">
              <w:rPr>
                <w:rFonts w:ascii="Calibri" w:eastAsia="Times New Roman" w:hAnsi="Calibri" w:cs="Calibri"/>
                <w:color w:val="000000"/>
                <w:lang w:eastAsia="en-GB"/>
              </w:rPr>
              <w:t>)</w:t>
            </w:r>
          </w:p>
        </w:tc>
      </w:tr>
      <w:tr w:rsidR="009960F6" w:rsidRPr="00112D9C" w14:paraId="00941E84" w14:textId="77777777" w:rsidTr="009960F6">
        <w:trPr>
          <w:trHeight w:val="302"/>
        </w:trPr>
        <w:tc>
          <w:tcPr>
            <w:cnfStyle w:val="001000000000" w:firstRow="0" w:lastRow="0" w:firstColumn="1" w:lastColumn="0" w:oddVBand="0" w:evenVBand="0" w:oddHBand="0" w:evenHBand="0" w:firstRowFirstColumn="0" w:firstRowLastColumn="0" w:lastRowFirstColumn="0" w:lastRowLastColumn="0"/>
            <w:tcW w:w="565" w:type="pct"/>
            <w:vMerge/>
            <w:noWrap/>
            <w:hideMark/>
          </w:tcPr>
          <w:p w14:paraId="15796D0B" w14:textId="77777777" w:rsidR="004153EE" w:rsidRPr="00112D9C" w:rsidRDefault="004153EE" w:rsidP="00112D9C">
            <w:pPr>
              <w:rPr>
                <w:rFonts w:ascii="Calibri" w:eastAsia="Times New Roman" w:hAnsi="Calibri" w:cs="Calibri"/>
                <w:color w:val="000000"/>
                <w:lang w:eastAsia="en-GB"/>
              </w:rPr>
            </w:pPr>
          </w:p>
        </w:tc>
        <w:tc>
          <w:tcPr>
            <w:tcW w:w="866" w:type="pct"/>
            <w:vMerge/>
            <w:noWrap/>
            <w:hideMark/>
          </w:tcPr>
          <w:p w14:paraId="6E58F2FE"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lang w:eastAsia="en-GB"/>
              </w:rPr>
            </w:pPr>
          </w:p>
        </w:tc>
        <w:tc>
          <w:tcPr>
            <w:tcW w:w="458" w:type="pct"/>
            <w:noWrap/>
            <w:hideMark/>
          </w:tcPr>
          <w:p w14:paraId="656EFCB9"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W</w:t>
            </w:r>
          </w:p>
        </w:tc>
        <w:tc>
          <w:tcPr>
            <w:tcW w:w="601" w:type="pct"/>
            <w:noWrap/>
            <w:hideMark/>
          </w:tcPr>
          <w:p w14:paraId="6DE2282F"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718" w:type="pct"/>
            <w:noWrap/>
            <w:hideMark/>
          </w:tcPr>
          <w:p w14:paraId="182C9142" w14:textId="77777777"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2</w:t>
            </w:r>
          </w:p>
        </w:tc>
        <w:tc>
          <w:tcPr>
            <w:tcW w:w="962" w:type="pct"/>
            <w:noWrap/>
            <w:hideMark/>
          </w:tcPr>
          <w:p w14:paraId="00CD3FF6" w14:textId="363CDBE0"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102.25</w:t>
            </w:r>
            <w:r>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±6.34</w:t>
            </w:r>
            <w:r>
              <w:rPr>
                <w:rFonts w:ascii="Calibri" w:eastAsia="Times New Roman" w:hAnsi="Calibri" w:cs="Calibri"/>
                <w:color w:val="000000"/>
                <w:lang w:eastAsia="en-GB"/>
              </w:rPr>
              <w:t>)</w:t>
            </w:r>
          </w:p>
        </w:tc>
        <w:tc>
          <w:tcPr>
            <w:tcW w:w="830" w:type="pct"/>
            <w:noWrap/>
            <w:hideMark/>
          </w:tcPr>
          <w:p w14:paraId="5D1B6F92" w14:textId="00EFD43F" w:rsidR="004153EE" w:rsidRPr="00112D9C" w:rsidRDefault="004153EE" w:rsidP="00112D9C">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GB"/>
              </w:rPr>
            </w:pPr>
            <w:r w:rsidRPr="00112D9C">
              <w:rPr>
                <w:rFonts w:ascii="Calibri" w:eastAsia="Times New Roman" w:hAnsi="Calibri" w:cs="Calibri"/>
                <w:color w:val="000000"/>
                <w:lang w:eastAsia="en-GB"/>
              </w:rPr>
              <w:t>10.72</w:t>
            </w:r>
            <w:r w:rsidR="005D4E98">
              <w:rPr>
                <w:rFonts w:ascii="Calibri" w:eastAsia="Times New Roman" w:hAnsi="Calibri" w:cs="Calibri"/>
                <w:color w:val="000000"/>
                <w:lang w:eastAsia="en-GB"/>
              </w:rPr>
              <w:t xml:space="preserve"> (</w:t>
            </w:r>
            <w:r w:rsidRPr="00112D9C">
              <w:rPr>
                <w:rFonts w:ascii="Calibri" w:eastAsia="Times New Roman" w:hAnsi="Calibri" w:cs="Calibri"/>
                <w:color w:val="000000"/>
                <w:lang w:eastAsia="en-GB"/>
              </w:rPr>
              <w:t>±2.35</w:t>
            </w:r>
            <w:r w:rsidR="005D4E98">
              <w:rPr>
                <w:rFonts w:ascii="Calibri" w:eastAsia="Times New Roman" w:hAnsi="Calibri" w:cs="Calibri"/>
                <w:color w:val="000000"/>
                <w:lang w:eastAsia="en-GB"/>
              </w:rPr>
              <w:t>)</w:t>
            </w:r>
          </w:p>
        </w:tc>
      </w:tr>
    </w:tbl>
    <w:p w14:paraId="4D28AB8C" w14:textId="77777777" w:rsidR="00112D9C" w:rsidRPr="00112D9C" w:rsidRDefault="00112D9C" w:rsidP="00112D9C"/>
    <w:p w14:paraId="56493E37" w14:textId="05149BD2" w:rsidR="005B0F62" w:rsidRPr="00CC2734" w:rsidRDefault="005B0F62" w:rsidP="005B0F62">
      <w:pPr>
        <w:spacing w:line="240" w:lineRule="auto"/>
        <w:rPr>
          <w:rFonts w:cstheme="minorHAnsi"/>
          <w:b/>
          <w:bCs/>
        </w:rPr>
      </w:pPr>
      <w:bookmarkStart w:id="15" w:name="_Ref115364505"/>
      <w:r w:rsidRPr="00CC2734">
        <w:rPr>
          <w:b/>
          <w:bCs/>
        </w:rPr>
        <w:t xml:space="preserve">Table S </w:t>
      </w:r>
      <w:r w:rsidRPr="00CC2734">
        <w:rPr>
          <w:b/>
          <w:bCs/>
        </w:rPr>
        <w:fldChar w:fldCharType="begin"/>
      </w:r>
      <w:r w:rsidRPr="00CC2734">
        <w:rPr>
          <w:b/>
          <w:bCs/>
        </w:rPr>
        <w:instrText xml:space="preserve"> SEQ Table_S \* ARABIC </w:instrText>
      </w:r>
      <w:r w:rsidRPr="00CC2734">
        <w:rPr>
          <w:b/>
          <w:bCs/>
        </w:rPr>
        <w:fldChar w:fldCharType="separate"/>
      </w:r>
      <w:r w:rsidR="00B15C60">
        <w:rPr>
          <w:b/>
          <w:bCs/>
          <w:noProof/>
        </w:rPr>
        <w:t>2</w:t>
      </w:r>
      <w:r w:rsidRPr="00CC2734">
        <w:rPr>
          <w:b/>
          <w:bCs/>
        </w:rPr>
        <w:fldChar w:fldCharType="end"/>
      </w:r>
      <w:bookmarkEnd w:id="15"/>
      <w:r w:rsidRPr="00CC2734">
        <w:rPr>
          <w:b/>
          <w:bCs/>
        </w:rPr>
        <w:t xml:space="preserve">: </w:t>
      </w:r>
      <w:r w:rsidRPr="00CC2734">
        <w:rPr>
          <w:rFonts w:cstheme="minorHAnsi"/>
          <w:b/>
          <w:bCs/>
        </w:rPr>
        <w:t>PERMANOVA results to assess the effects of genetic origin, sa</w:t>
      </w:r>
      <w:r w:rsidR="00BA361D">
        <w:rPr>
          <w:rFonts w:cstheme="minorHAnsi"/>
          <w:b/>
          <w:bCs/>
        </w:rPr>
        <w:t>m</w:t>
      </w:r>
      <w:r w:rsidRPr="00CC2734">
        <w:rPr>
          <w:rFonts w:cstheme="minorHAnsi"/>
          <w:b/>
          <w:bCs/>
        </w:rPr>
        <w:t>pling month and sex on the composition of the Atlantic salmon gut microbiome in the river habitat. Significance code: ***&lt;0.001</w:t>
      </w:r>
    </w:p>
    <w:tbl>
      <w:tblPr>
        <w:tblStyle w:val="PlainTable1"/>
        <w:tblW w:w="5000" w:type="pct"/>
        <w:tblLook w:val="04A0" w:firstRow="1" w:lastRow="0" w:firstColumn="1" w:lastColumn="0" w:noHBand="0" w:noVBand="1"/>
      </w:tblPr>
      <w:tblGrid>
        <w:gridCol w:w="2069"/>
        <w:gridCol w:w="626"/>
        <w:gridCol w:w="1626"/>
        <w:gridCol w:w="1336"/>
        <w:gridCol w:w="1177"/>
        <w:gridCol w:w="1077"/>
        <w:gridCol w:w="1105"/>
      </w:tblGrid>
      <w:tr w:rsidR="005B0F62" w:rsidRPr="001370A2" w14:paraId="62B19928" w14:textId="77777777" w:rsidTr="009866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52E49AAC"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Group</w:t>
            </w:r>
          </w:p>
        </w:tc>
        <w:tc>
          <w:tcPr>
            <w:tcW w:w="347" w:type="pct"/>
            <w:noWrap/>
            <w:hideMark/>
          </w:tcPr>
          <w:p w14:paraId="270E9865"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Df</w:t>
            </w:r>
            <w:proofErr w:type="spellEnd"/>
          </w:p>
        </w:tc>
        <w:tc>
          <w:tcPr>
            <w:tcW w:w="902" w:type="pct"/>
            <w:noWrap/>
            <w:hideMark/>
          </w:tcPr>
          <w:p w14:paraId="75F92159"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SumOfSqs</w:t>
            </w:r>
            <w:proofErr w:type="spellEnd"/>
          </w:p>
        </w:tc>
        <w:tc>
          <w:tcPr>
            <w:tcW w:w="741" w:type="pct"/>
            <w:noWrap/>
            <w:hideMark/>
          </w:tcPr>
          <w:p w14:paraId="7181382F"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R2</w:t>
            </w:r>
          </w:p>
        </w:tc>
        <w:tc>
          <w:tcPr>
            <w:tcW w:w="653" w:type="pct"/>
            <w:noWrap/>
            <w:hideMark/>
          </w:tcPr>
          <w:p w14:paraId="05554FCD"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F</w:t>
            </w:r>
          </w:p>
        </w:tc>
        <w:tc>
          <w:tcPr>
            <w:tcW w:w="597" w:type="pct"/>
            <w:noWrap/>
            <w:hideMark/>
          </w:tcPr>
          <w:p w14:paraId="34E30E2A"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Pr</w:t>
            </w:r>
            <w:proofErr w:type="spellEnd"/>
            <w:r w:rsidRPr="00F612B0">
              <w:rPr>
                <w:rFonts w:eastAsia="Times New Roman" w:cstheme="minorHAnsi"/>
                <w:color w:val="000000"/>
                <w:lang w:eastAsia="en-GB"/>
              </w:rPr>
              <w:t>(&gt;F)</w:t>
            </w:r>
          </w:p>
        </w:tc>
        <w:tc>
          <w:tcPr>
            <w:tcW w:w="613" w:type="pct"/>
            <w:noWrap/>
            <w:hideMark/>
          </w:tcPr>
          <w:p w14:paraId="05A33EEC"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Sig</w:t>
            </w:r>
            <w:r w:rsidRPr="001370A2">
              <w:rPr>
                <w:rFonts w:eastAsia="Times New Roman" w:cstheme="minorHAnsi"/>
                <w:color w:val="000000"/>
                <w:lang w:eastAsia="en-GB"/>
              </w:rPr>
              <w:t>nif</w:t>
            </w:r>
            <w:proofErr w:type="spellEnd"/>
            <w:r w:rsidRPr="001370A2">
              <w:rPr>
                <w:rFonts w:eastAsia="Times New Roman" w:cstheme="minorHAnsi"/>
                <w:color w:val="000000"/>
                <w:lang w:eastAsia="en-GB"/>
              </w:rPr>
              <w:t>.</w:t>
            </w:r>
          </w:p>
        </w:tc>
      </w:tr>
      <w:tr w:rsidR="005B0F62" w:rsidRPr="001370A2" w14:paraId="7C15901B"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524D80ED"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Origin</w:t>
            </w:r>
          </w:p>
        </w:tc>
        <w:tc>
          <w:tcPr>
            <w:tcW w:w="347" w:type="pct"/>
            <w:noWrap/>
            <w:hideMark/>
          </w:tcPr>
          <w:p w14:paraId="0257E56F"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3</w:t>
            </w:r>
          </w:p>
        </w:tc>
        <w:tc>
          <w:tcPr>
            <w:tcW w:w="902" w:type="pct"/>
            <w:noWrap/>
            <w:hideMark/>
          </w:tcPr>
          <w:p w14:paraId="010984EE" w14:textId="2DA57B9A"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1.690</w:t>
            </w:r>
          </w:p>
        </w:tc>
        <w:tc>
          <w:tcPr>
            <w:tcW w:w="741" w:type="pct"/>
            <w:noWrap/>
            <w:hideMark/>
          </w:tcPr>
          <w:p w14:paraId="653D5B61" w14:textId="1E063533"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0.054</w:t>
            </w:r>
          </w:p>
        </w:tc>
        <w:tc>
          <w:tcPr>
            <w:tcW w:w="653" w:type="pct"/>
            <w:noWrap/>
            <w:hideMark/>
          </w:tcPr>
          <w:p w14:paraId="7DE77C8F"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1.707</w:t>
            </w:r>
          </w:p>
        </w:tc>
        <w:tc>
          <w:tcPr>
            <w:tcW w:w="597" w:type="pct"/>
            <w:noWrap/>
            <w:hideMark/>
          </w:tcPr>
          <w:p w14:paraId="34A26F5D"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0.001</w:t>
            </w:r>
          </w:p>
        </w:tc>
        <w:tc>
          <w:tcPr>
            <w:tcW w:w="613" w:type="pct"/>
            <w:noWrap/>
            <w:hideMark/>
          </w:tcPr>
          <w:p w14:paraId="56970E89"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w:t>
            </w:r>
          </w:p>
        </w:tc>
      </w:tr>
      <w:tr w:rsidR="005B0F62" w:rsidRPr="00F612B0" w14:paraId="2770E594"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6246630D"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Month</w:t>
            </w:r>
          </w:p>
        </w:tc>
        <w:tc>
          <w:tcPr>
            <w:tcW w:w="347" w:type="pct"/>
            <w:noWrap/>
            <w:hideMark/>
          </w:tcPr>
          <w:p w14:paraId="4152E4AE"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5</w:t>
            </w:r>
          </w:p>
        </w:tc>
        <w:tc>
          <w:tcPr>
            <w:tcW w:w="902" w:type="pct"/>
            <w:noWrap/>
            <w:hideMark/>
          </w:tcPr>
          <w:p w14:paraId="241BC3D3" w14:textId="40838FD2"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5.098</w:t>
            </w:r>
          </w:p>
        </w:tc>
        <w:tc>
          <w:tcPr>
            <w:tcW w:w="741" w:type="pct"/>
            <w:noWrap/>
            <w:hideMark/>
          </w:tcPr>
          <w:p w14:paraId="58343C9C" w14:textId="2C530C93"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0.164</w:t>
            </w:r>
          </w:p>
        </w:tc>
        <w:tc>
          <w:tcPr>
            <w:tcW w:w="653" w:type="pct"/>
            <w:noWrap/>
            <w:hideMark/>
          </w:tcPr>
          <w:p w14:paraId="67060709" w14:textId="151CC569"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3.089</w:t>
            </w:r>
          </w:p>
        </w:tc>
        <w:tc>
          <w:tcPr>
            <w:tcW w:w="597" w:type="pct"/>
            <w:noWrap/>
            <w:hideMark/>
          </w:tcPr>
          <w:p w14:paraId="6D48C05B"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0.001</w:t>
            </w:r>
          </w:p>
        </w:tc>
        <w:tc>
          <w:tcPr>
            <w:tcW w:w="613" w:type="pct"/>
            <w:noWrap/>
            <w:hideMark/>
          </w:tcPr>
          <w:p w14:paraId="1B0845F7"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w:t>
            </w:r>
          </w:p>
        </w:tc>
      </w:tr>
      <w:tr w:rsidR="005B0F62" w:rsidRPr="001370A2" w14:paraId="151F1A4A"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3124383B"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Sex</w:t>
            </w:r>
          </w:p>
        </w:tc>
        <w:tc>
          <w:tcPr>
            <w:tcW w:w="347" w:type="pct"/>
            <w:noWrap/>
            <w:hideMark/>
          </w:tcPr>
          <w:p w14:paraId="558E04A0"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w:t>
            </w:r>
          </w:p>
        </w:tc>
        <w:tc>
          <w:tcPr>
            <w:tcW w:w="902" w:type="pct"/>
            <w:noWrap/>
            <w:hideMark/>
          </w:tcPr>
          <w:p w14:paraId="44545C1F" w14:textId="12315311"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0.278</w:t>
            </w:r>
          </w:p>
        </w:tc>
        <w:tc>
          <w:tcPr>
            <w:tcW w:w="741" w:type="pct"/>
            <w:noWrap/>
            <w:hideMark/>
          </w:tcPr>
          <w:p w14:paraId="735EDD9C" w14:textId="35608363"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0.009</w:t>
            </w:r>
          </w:p>
        </w:tc>
        <w:tc>
          <w:tcPr>
            <w:tcW w:w="653" w:type="pct"/>
            <w:noWrap/>
            <w:hideMark/>
          </w:tcPr>
          <w:p w14:paraId="1968AD66" w14:textId="0BCE1441"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0.843</w:t>
            </w:r>
          </w:p>
        </w:tc>
        <w:tc>
          <w:tcPr>
            <w:tcW w:w="597" w:type="pct"/>
            <w:noWrap/>
            <w:hideMark/>
          </w:tcPr>
          <w:p w14:paraId="5FD0E21E"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0.791</w:t>
            </w:r>
          </w:p>
        </w:tc>
        <w:tc>
          <w:tcPr>
            <w:tcW w:w="613" w:type="pct"/>
            <w:noWrap/>
            <w:hideMark/>
          </w:tcPr>
          <w:p w14:paraId="6B7F7E59"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r>
      <w:tr w:rsidR="005B0F62" w:rsidRPr="00F612B0" w14:paraId="7020C4CF"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65404965" w14:textId="77777777" w:rsidR="005B0F62" w:rsidRPr="00F612B0" w:rsidRDefault="005B0F62" w:rsidP="00986671">
            <w:pPr>
              <w:rPr>
                <w:rFonts w:eastAsia="Times New Roman" w:cstheme="minorHAnsi"/>
                <w:color w:val="000000"/>
                <w:lang w:eastAsia="en-GB"/>
              </w:rPr>
            </w:pPr>
            <w:proofErr w:type="spellStart"/>
            <w:proofErr w:type="gramStart"/>
            <w:r w:rsidRPr="00F612B0">
              <w:rPr>
                <w:rFonts w:eastAsia="Times New Roman" w:cstheme="minorHAnsi"/>
                <w:color w:val="000000"/>
                <w:lang w:eastAsia="en-GB"/>
              </w:rPr>
              <w:t>Origin:Month</w:t>
            </w:r>
            <w:proofErr w:type="spellEnd"/>
            <w:proofErr w:type="gramEnd"/>
          </w:p>
        </w:tc>
        <w:tc>
          <w:tcPr>
            <w:tcW w:w="347" w:type="pct"/>
            <w:noWrap/>
            <w:hideMark/>
          </w:tcPr>
          <w:p w14:paraId="6E4C9097"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15</w:t>
            </w:r>
          </w:p>
        </w:tc>
        <w:tc>
          <w:tcPr>
            <w:tcW w:w="902" w:type="pct"/>
            <w:noWrap/>
            <w:hideMark/>
          </w:tcPr>
          <w:p w14:paraId="0A53D616" w14:textId="094C7C9C"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6.358</w:t>
            </w:r>
          </w:p>
        </w:tc>
        <w:tc>
          <w:tcPr>
            <w:tcW w:w="741" w:type="pct"/>
            <w:noWrap/>
            <w:hideMark/>
          </w:tcPr>
          <w:p w14:paraId="4D48CCC1" w14:textId="73BB40A6"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0.205</w:t>
            </w:r>
          </w:p>
        </w:tc>
        <w:tc>
          <w:tcPr>
            <w:tcW w:w="653" w:type="pct"/>
            <w:noWrap/>
            <w:hideMark/>
          </w:tcPr>
          <w:p w14:paraId="7CE3DBE1" w14:textId="7BEBC38C"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1.284</w:t>
            </w:r>
          </w:p>
        </w:tc>
        <w:tc>
          <w:tcPr>
            <w:tcW w:w="597" w:type="pct"/>
            <w:noWrap/>
            <w:hideMark/>
          </w:tcPr>
          <w:p w14:paraId="4C7749CA"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0.001</w:t>
            </w:r>
          </w:p>
        </w:tc>
        <w:tc>
          <w:tcPr>
            <w:tcW w:w="613" w:type="pct"/>
            <w:noWrap/>
            <w:hideMark/>
          </w:tcPr>
          <w:p w14:paraId="17569863"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w:t>
            </w:r>
          </w:p>
        </w:tc>
      </w:tr>
      <w:tr w:rsidR="005B0F62" w:rsidRPr="001370A2" w14:paraId="47625261"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342B37E7"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Residual</w:t>
            </w:r>
          </w:p>
        </w:tc>
        <w:tc>
          <w:tcPr>
            <w:tcW w:w="347" w:type="pct"/>
            <w:noWrap/>
            <w:hideMark/>
          </w:tcPr>
          <w:p w14:paraId="790C78C0"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53</w:t>
            </w:r>
          </w:p>
        </w:tc>
        <w:tc>
          <w:tcPr>
            <w:tcW w:w="902" w:type="pct"/>
            <w:noWrap/>
            <w:hideMark/>
          </w:tcPr>
          <w:p w14:paraId="6E8143CD" w14:textId="56552072"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17.495</w:t>
            </w:r>
          </w:p>
        </w:tc>
        <w:tc>
          <w:tcPr>
            <w:tcW w:w="741" w:type="pct"/>
            <w:noWrap/>
            <w:hideMark/>
          </w:tcPr>
          <w:p w14:paraId="7012F898" w14:textId="6FA7D82A"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0.565</w:t>
            </w:r>
          </w:p>
        </w:tc>
        <w:tc>
          <w:tcPr>
            <w:tcW w:w="653" w:type="pct"/>
            <w:noWrap/>
            <w:hideMark/>
          </w:tcPr>
          <w:p w14:paraId="22D7D96E"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597" w:type="pct"/>
            <w:noWrap/>
            <w:hideMark/>
          </w:tcPr>
          <w:p w14:paraId="4DBD0E54"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en-GB"/>
              </w:rPr>
            </w:pPr>
          </w:p>
        </w:tc>
        <w:tc>
          <w:tcPr>
            <w:tcW w:w="613" w:type="pct"/>
            <w:noWrap/>
            <w:hideMark/>
          </w:tcPr>
          <w:p w14:paraId="68DB7D49"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lang w:eastAsia="en-GB"/>
              </w:rPr>
            </w:pPr>
          </w:p>
        </w:tc>
      </w:tr>
      <w:tr w:rsidR="005B0F62" w:rsidRPr="00F612B0" w14:paraId="16A6A1DE"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147" w:type="pct"/>
            <w:noWrap/>
            <w:hideMark/>
          </w:tcPr>
          <w:p w14:paraId="21FF2C8E"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Total</w:t>
            </w:r>
          </w:p>
        </w:tc>
        <w:tc>
          <w:tcPr>
            <w:tcW w:w="347" w:type="pct"/>
            <w:noWrap/>
            <w:hideMark/>
          </w:tcPr>
          <w:p w14:paraId="555D0AD7"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77</w:t>
            </w:r>
          </w:p>
        </w:tc>
        <w:tc>
          <w:tcPr>
            <w:tcW w:w="902" w:type="pct"/>
            <w:noWrap/>
            <w:hideMark/>
          </w:tcPr>
          <w:p w14:paraId="6D75D057" w14:textId="6ADA8045"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30.92</w:t>
            </w:r>
            <w:r w:rsidR="00B6058B">
              <w:rPr>
                <w:rFonts w:eastAsia="Times New Roman" w:cstheme="minorHAnsi"/>
                <w:color w:val="000000"/>
                <w:lang w:eastAsia="en-GB"/>
              </w:rPr>
              <w:t>2</w:t>
            </w:r>
          </w:p>
        </w:tc>
        <w:tc>
          <w:tcPr>
            <w:tcW w:w="741" w:type="pct"/>
            <w:noWrap/>
            <w:hideMark/>
          </w:tcPr>
          <w:p w14:paraId="5BC68B92"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w:t>
            </w:r>
          </w:p>
        </w:tc>
        <w:tc>
          <w:tcPr>
            <w:tcW w:w="653" w:type="pct"/>
            <w:noWrap/>
            <w:hideMark/>
          </w:tcPr>
          <w:p w14:paraId="6AE54484"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c>
          <w:tcPr>
            <w:tcW w:w="597" w:type="pct"/>
            <w:noWrap/>
            <w:hideMark/>
          </w:tcPr>
          <w:p w14:paraId="78826C0B"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en-GB"/>
              </w:rPr>
            </w:pPr>
          </w:p>
        </w:tc>
        <w:tc>
          <w:tcPr>
            <w:tcW w:w="613" w:type="pct"/>
            <w:noWrap/>
            <w:hideMark/>
          </w:tcPr>
          <w:p w14:paraId="3E77D802"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eastAsia="en-GB"/>
              </w:rPr>
            </w:pPr>
          </w:p>
        </w:tc>
      </w:tr>
    </w:tbl>
    <w:p w14:paraId="119C6CA9" w14:textId="77777777" w:rsidR="005B0F62" w:rsidRPr="001370A2" w:rsidRDefault="005B0F62" w:rsidP="005B0F62">
      <w:pPr>
        <w:spacing w:line="240" w:lineRule="auto"/>
        <w:rPr>
          <w:rFonts w:cstheme="minorHAnsi"/>
        </w:rPr>
      </w:pPr>
    </w:p>
    <w:p w14:paraId="39014CE9" w14:textId="3BD5691C" w:rsidR="005B0F62" w:rsidRPr="00CC2734" w:rsidRDefault="005B0F62" w:rsidP="005B0F62">
      <w:pPr>
        <w:spacing w:line="240" w:lineRule="auto"/>
        <w:rPr>
          <w:rFonts w:cstheme="minorHAnsi"/>
          <w:b/>
          <w:bCs/>
        </w:rPr>
      </w:pPr>
      <w:bookmarkStart w:id="16" w:name="_Ref115364595"/>
      <w:r w:rsidRPr="00CC2734">
        <w:rPr>
          <w:b/>
          <w:bCs/>
        </w:rPr>
        <w:t xml:space="preserve">Table S </w:t>
      </w:r>
      <w:r w:rsidRPr="00CC2734">
        <w:rPr>
          <w:b/>
          <w:bCs/>
        </w:rPr>
        <w:fldChar w:fldCharType="begin"/>
      </w:r>
      <w:r w:rsidRPr="00CC2734">
        <w:rPr>
          <w:b/>
          <w:bCs/>
        </w:rPr>
        <w:instrText xml:space="preserve"> SEQ Table_S \* ARABIC </w:instrText>
      </w:r>
      <w:r w:rsidRPr="00CC2734">
        <w:rPr>
          <w:b/>
          <w:bCs/>
        </w:rPr>
        <w:fldChar w:fldCharType="separate"/>
      </w:r>
      <w:r w:rsidR="00B15C60">
        <w:rPr>
          <w:b/>
          <w:bCs/>
          <w:noProof/>
        </w:rPr>
        <w:t>3</w:t>
      </w:r>
      <w:r w:rsidRPr="00CC2734">
        <w:rPr>
          <w:b/>
          <w:bCs/>
        </w:rPr>
        <w:fldChar w:fldCharType="end"/>
      </w:r>
      <w:bookmarkEnd w:id="16"/>
      <w:r w:rsidRPr="00CC2734">
        <w:rPr>
          <w:b/>
          <w:bCs/>
        </w:rPr>
        <w:t xml:space="preserve">: </w:t>
      </w:r>
      <w:r w:rsidRPr="00CC2734">
        <w:rPr>
          <w:rFonts w:cstheme="minorHAnsi"/>
          <w:b/>
          <w:bCs/>
        </w:rPr>
        <w:t>PERMANOVA testing pairwise comparisons of gut microbial samples grouped by their sampling timepoint (month) in the river habitat. Significance codes: **&lt;0.01; *&lt;0.05.</w:t>
      </w:r>
    </w:p>
    <w:tbl>
      <w:tblPr>
        <w:tblStyle w:val="PlainTable1"/>
        <w:tblW w:w="5000" w:type="pct"/>
        <w:tblLook w:val="04A0" w:firstRow="1" w:lastRow="0" w:firstColumn="1" w:lastColumn="0" w:noHBand="0" w:noVBand="1"/>
      </w:tblPr>
      <w:tblGrid>
        <w:gridCol w:w="2285"/>
        <w:gridCol w:w="1167"/>
        <w:gridCol w:w="876"/>
        <w:gridCol w:w="1107"/>
        <w:gridCol w:w="1107"/>
        <w:gridCol w:w="1369"/>
        <w:gridCol w:w="1105"/>
      </w:tblGrid>
      <w:tr w:rsidR="005B0F62" w:rsidRPr="001370A2" w14:paraId="52EC613B" w14:textId="77777777" w:rsidTr="009866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01F0655C" w14:textId="77777777" w:rsidR="005B0F62" w:rsidRPr="00DE3C92" w:rsidRDefault="005B0F62" w:rsidP="00986671">
            <w:pPr>
              <w:jc w:val="both"/>
              <w:rPr>
                <w:rFonts w:eastAsia="Times New Roman" w:cstheme="minorHAnsi"/>
                <w:color w:val="000000"/>
                <w:lang w:eastAsia="en-GB"/>
              </w:rPr>
            </w:pPr>
            <w:r w:rsidRPr="00DE3C92">
              <w:rPr>
                <w:rFonts w:eastAsia="Times New Roman" w:cstheme="minorHAnsi"/>
                <w:color w:val="000000"/>
                <w:lang w:eastAsia="en-GB"/>
              </w:rPr>
              <w:t>Groups</w:t>
            </w:r>
          </w:p>
        </w:tc>
        <w:tc>
          <w:tcPr>
            <w:tcW w:w="647" w:type="pct"/>
            <w:noWrap/>
            <w:hideMark/>
          </w:tcPr>
          <w:p w14:paraId="7E6D1E4F"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measure</w:t>
            </w:r>
          </w:p>
        </w:tc>
        <w:tc>
          <w:tcPr>
            <w:tcW w:w="486" w:type="pct"/>
            <w:noWrap/>
            <w:hideMark/>
          </w:tcPr>
          <w:p w14:paraId="3B30BD21"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F</w:t>
            </w:r>
          </w:p>
        </w:tc>
        <w:tc>
          <w:tcPr>
            <w:tcW w:w="614" w:type="pct"/>
            <w:noWrap/>
            <w:hideMark/>
          </w:tcPr>
          <w:p w14:paraId="57D47247"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R2</w:t>
            </w:r>
          </w:p>
        </w:tc>
        <w:tc>
          <w:tcPr>
            <w:tcW w:w="614" w:type="pct"/>
            <w:noWrap/>
            <w:hideMark/>
          </w:tcPr>
          <w:p w14:paraId="0C30FF17"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DE3C92">
              <w:rPr>
                <w:rFonts w:eastAsia="Times New Roman" w:cstheme="minorHAnsi"/>
                <w:color w:val="000000"/>
                <w:lang w:eastAsia="en-GB"/>
              </w:rPr>
              <w:t>p.value</w:t>
            </w:r>
            <w:proofErr w:type="spellEnd"/>
          </w:p>
        </w:tc>
        <w:tc>
          <w:tcPr>
            <w:tcW w:w="759" w:type="pct"/>
            <w:noWrap/>
            <w:hideMark/>
          </w:tcPr>
          <w:p w14:paraId="4EB6BB0B"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proofErr w:type="gramStart"/>
            <w:r w:rsidRPr="00DE3C92">
              <w:rPr>
                <w:rFonts w:eastAsia="Times New Roman" w:cstheme="minorHAnsi"/>
                <w:color w:val="000000"/>
                <w:lang w:eastAsia="en-GB"/>
              </w:rPr>
              <w:t>p.adjusted</w:t>
            </w:r>
            <w:proofErr w:type="spellEnd"/>
            <w:proofErr w:type="gramEnd"/>
          </w:p>
        </w:tc>
        <w:tc>
          <w:tcPr>
            <w:tcW w:w="614" w:type="pct"/>
            <w:noWrap/>
            <w:hideMark/>
          </w:tcPr>
          <w:p w14:paraId="53327CD9" w14:textId="77777777" w:rsidR="005B0F62" w:rsidRPr="00DE3C92" w:rsidRDefault="005B0F62" w:rsidP="00986671">
            <w:pPr>
              <w:jc w:val="both"/>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Sig</w:t>
            </w:r>
            <w:r w:rsidRPr="001370A2">
              <w:rPr>
                <w:rFonts w:eastAsia="Times New Roman" w:cstheme="minorHAnsi"/>
                <w:color w:val="000000"/>
                <w:lang w:eastAsia="en-GB"/>
              </w:rPr>
              <w:t>nif</w:t>
            </w:r>
            <w:proofErr w:type="spellEnd"/>
            <w:r w:rsidRPr="001370A2">
              <w:rPr>
                <w:rFonts w:eastAsia="Times New Roman" w:cstheme="minorHAnsi"/>
                <w:color w:val="000000"/>
                <w:lang w:eastAsia="en-GB"/>
              </w:rPr>
              <w:t>.</w:t>
            </w:r>
          </w:p>
        </w:tc>
      </w:tr>
      <w:tr w:rsidR="005B0F62" w:rsidRPr="001370A2" w14:paraId="7ACDE011"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515AEA73"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Jan_19 vs Mar_19</w:t>
            </w:r>
          </w:p>
        </w:tc>
        <w:tc>
          <w:tcPr>
            <w:tcW w:w="647" w:type="pct"/>
            <w:noWrap/>
            <w:hideMark/>
          </w:tcPr>
          <w:p w14:paraId="27E12BB3"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0456376A"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3.627</w:t>
            </w:r>
          </w:p>
        </w:tc>
        <w:tc>
          <w:tcPr>
            <w:tcW w:w="614" w:type="pct"/>
            <w:noWrap/>
            <w:hideMark/>
          </w:tcPr>
          <w:p w14:paraId="7A98989F"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0.115</w:t>
            </w:r>
          </w:p>
        </w:tc>
        <w:tc>
          <w:tcPr>
            <w:tcW w:w="614" w:type="pct"/>
            <w:noWrap/>
            <w:hideMark/>
          </w:tcPr>
          <w:p w14:paraId="4B241807"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42BA9F95"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0C88E535"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6AEDB700"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4719E6C2"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Jan_19 vs May_19</w:t>
            </w:r>
          </w:p>
        </w:tc>
        <w:tc>
          <w:tcPr>
            <w:tcW w:w="647" w:type="pct"/>
            <w:noWrap/>
            <w:hideMark/>
          </w:tcPr>
          <w:p w14:paraId="47B6809C"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3F70BC3C"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4.299</w:t>
            </w:r>
          </w:p>
        </w:tc>
        <w:tc>
          <w:tcPr>
            <w:tcW w:w="614" w:type="pct"/>
            <w:noWrap/>
            <w:hideMark/>
          </w:tcPr>
          <w:p w14:paraId="62F22249"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0.163</w:t>
            </w:r>
          </w:p>
        </w:tc>
        <w:tc>
          <w:tcPr>
            <w:tcW w:w="614" w:type="pct"/>
            <w:noWrap/>
            <w:hideMark/>
          </w:tcPr>
          <w:p w14:paraId="7E1A3836"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4EEB6CD2"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38BAA236"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37F3225B"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3C925C7B"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Jan_19 vs Jun_19</w:t>
            </w:r>
          </w:p>
        </w:tc>
        <w:tc>
          <w:tcPr>
            <w:tcW w:w="647" w:type="pct"/>
            <w:noWrap/>
            <w:hideMark/>
          </w:tcPr>
          <w:p w14:paraId="55F2C0A9"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5CD5F566"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4.856</w:t>
            </w:r>
          </w:p>
        </w:tc>
        <w:tc>
          <w:tcPr>
            <w:tcW w:w="614" w:type="pct"/>
            <w:noWrap/>
            <w:hideMark/>
          </w:tcPr>
          <w:p w14:paraId="17343A60"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0.152</w:t>
            </w:r>
          </w:p>
        </w:tc>
        <w:tc>
          <w:tcPr>
            <w:tcW w:w="614" w:type="pct"/>
            <w:noWrap/>
            <w:hideMark/>
          </w:tcPr>
          <w:p w14:paraId="49B03311"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07A3E3E1"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3569D3E7"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0413F2AD"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0579C3F2"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Jan_19 vs Jul_19</w:t>
            </w:r>
          </w:p>
        </w:tc>
        <w:tc>
          <w:tcPr>
            <w:tcW w:w="647" w:type="pct"/>
            <w:noWrap/>
            <w:hideMark/>
          </w:tcPr>
          <w:p w14:paraId="2B5EC7F3"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6E296F1F"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1.885</w:t>
            </w:r>
          </w:p>
        </w:tc>
        <w:tc>
          <w:tcPr>
            <w:tcW w:w="614" w:type="pct"/>
            <w:noWrap/>
            <w:hideMark/>
          </w:tcPr>
          <w:p w14:paraId="4698DACB"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0.073</w:t>
            </w:r>
          </w:p>
        </w:tc>
        <w:tc>
          <w:tcPr>
            <w:tcW w:w="614" w:type="pct"/>
            <w:noWrap/>
            <w:hideMark/>
          </w:tcPr>
          <w:p w14:paraId="710E7230"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0.003</w:t>
            </w:r>
          </w:p>
        </w:tc>
        <w:tc>
          <w:tcPr>
            <w:tcW w:w="759" w:type="pct"/>
            <w:noWrap/>
            <w:hideMark/>
          </w:tcPr>
          <w:p w14:paraId="523F907A"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0.004</w:t>
            </w:r>
          </w:p>
        </w:tc>
        <w:tc>
          <w:tcPr>
            <w:tcW w:w="614" w:type="pct"/>
            <w:noWrap/>
            <w:hideMark/>
          </w:tcPr>
          <w:p w14:paraId="6B9667AB"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2BCAF1FC"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0C518B87"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Jan_19 vs Nov_19</w:t>
            </w:r>
          </w:p>
        </w:tc>
        <w:tc>
          <w:tcPr>
            <w:tcW w:w="647" w:type="pct"/>
            <w:noWrap/>
            <w:hideMark/>
          </w:tcPr>
          <w:p w14:paraId="2F6261C2"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6C4D0D4A"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5.469</w:t>
            </w:r>
          </w:p>
        </w:tc>
        <w:tc>
          <w:tcPr>
            <w:tcW w:w="614" w:type="pct"/>
            <w:noWrap/>
            <w:hideMark/>
          </w:tcPr>
          <w:p w14:paraId="6303CA77"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0.150</w:t>
            </w:r>
          </w:p>
        </w:tc>
        <w:tc>
          <w:tcPr>
            <w:tcW w:w="614" w:type="pct"/>
            <w:noWrap/>
            <w:hideMark/>
          </w:tcPr>
          <w:p w14:paraId="237B175E"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443C2659"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5297FCD2"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14AF2F9B"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23B22764"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Mar_19 vs May_19</w:t>
            </w:r>
          </w:p>
        </w:tc>
        <w:tc>
          <w:tcPr>
            <w:tcW w:w="647" w:type="pct"/>
            <w:noWrap/>
            <w:hideMark/>
          </w:tcPr>
          <w:p w14:paraId="049DEED0"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39DF5FFA"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1.808</w:t>
            </w:r>
          </w:p>
        </w:tc>
        <w:tc>
          <w:tcPr>
            <w:tcW w:w="614" w:type="pct"/>
            <w:noWrap/>
            <w:hideMark/>
          </w:tcPr>
          <w:p w14:paraId="4971DF6C"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0.083</w:t>
            </w:r>
          </w:p>
        </w:tc>
        <w:tc>
          <w:tcPr>
            <w:tcW w:w="614" w:type="pct"/>
            <w:noWrap/>
            <w:hideMark/>
          </w:tcPr>
          <w:p w14:paraId="309517C3"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0.008</w:t>
            </w:r>
          </w:p>
        </w:tc>
        <w:tc>
          <w:tcPr>
            <w:tcW w:w="759" w:type="pct"/>
            <w:noWrap/>
            <w:hideMark/>
          </w:tcPr>
          <w:p w14:paraId="62BD7266"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0.009</w:t>
            </w:r>
          </w:p>
        </w:tc>
        <w:tc>
          <w:tcPr>
            <w:tcW w:w="614" w:type="pct"/>
            <w:noWrap/>
            <w:hideMark/>
          </w:tcPr>
          <w:p w14:paraId="18DA95BD"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5C51803C"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1FC20CC6"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Mar_19 vs Jun_19</w:t>
            </w:r>
          </w:p>
        </w:tc>
        <w:tc>
          <w:tcPr>
            <w:tcW w:w="647" w:type="pct"/>
            <w:noWrap/>
            <w:hideMark/>
          </w:tcPr>
          <w:p w14:paraId="7270DBFF"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6EB4BE32"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2.706</w:t>
            </w:r>
          </w:p>
        </w:tc>
        <w:tc>
          <w:tcPr>
            <w:tcW w:w="614" w:type="pct"/>
            <w:noWrap/>
            <w:hideMark/>
          </w:tcPr>
          <w:p w14:paraId="26F1680C"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0.098</w:t>
            </w:r>
          </w:p>
        </w:tc>
        <w:tc>
          <w:tcPr>
            <w:tcW w:w="614" w:type="pct"/>
            <w:noWrap/>
            <w:hideMark/>
          </w:tcPr>
          <w:p w14:paraId="16314CC9"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7C5B65E0"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59603EAE"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7A4FADFB"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3DB174A2"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Mar_19 vs Jul_19</w:t>
            </w:r>
          </w:p>
        </w:tc>
        <w:tc>
          <w:tcPr>
            <w:tcW w:w="647" w:type="pct"/>
            <w:noWrap/>
            <w:hideMark/>
          </w:tcPr>
          <w:p w14:paraId="5BD447D6"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79D4C68A"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1.772</w:t>
            </w:r>
          </w:p>
        </w:tc>
        <w:tc>
          <w:tcPr>
            <w:tcW w:w="614" w:type="pct"/>
            <w:noWrap/>
            <w:hideMark/>
          </w:tcPr>
          <w:p w14:paraId="72D18840"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0.075</w:t>
            </w:r>
          </w:p>
        </w:tc>
        <w:tc>
          <w:tcPr>
            <w:tcW w:w="614" w:type="pct"/>
            <w:noWrap/>
            <w:hideMark/>
          </w:tcPr>
          <w:p w14:paraId="6B6503A5"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0.004</w:t>
            </w:r>
          </w:p>
        </w:tc>
        <w:tc>
          <w:tcPr>
            <w:tcW w:w="759" w:type="pct"/>
            <w:noWrap/>
            <w:hideMark/>
          </w:tcPr>
          <w:p w14:paraId="1D49CFA6"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0.005</w:t>
            </w:r>
          </w:p>
        </w:tc>
        <w:tc>
          <w:tcPr>
            <w:tcW w:w="614" w:type="pct"/>
            <w:noWrap/>
            <w:hideMark/>
          </w:tcPr>
          <w:p w14:paraId="33AFCCC7"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2155CA86"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5DD25F28"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Mar_19 vs Nov_19</w:t>
            </w:r>
          </w:p>
        </w:tc>
        <w:tc>
          <w:tcPr>
            <w:tcW w:w="647" w:type="pct"/>
            <w:noWrap/>
            <w:hideMark/>
          </w:tcPr>
          <w:p w14:paraId="6A996DCD"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1B163D5F"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1.661</w:t>
            </w:r>
          </w:p>
        </w:tc>
        <w:tc>
          <w:tcPr>
            <w:tcW w:w="614" w:type="pct"/>
            <w:noWrap/>
            <w:hideMark/>
          </w:tcPr>
          <w:p w14:paraId="3F3D2E91"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0.054</w:t>
            </w:r>
          </w:p>
        </w:tc>
        <w:tc>
          <w:tcPr>
            <w:tcW w:w="614" w:type="pct"/>
            <w:noWrap/>
            <w:hideMark/>
          </w:tcPr>
          <w:p w14:paraId="29304E56"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0.018</w:t>
            </w:r>
          </w:p>
        </w:tc>
        <w:tc>
          <w:tcPr>
            <w:tcW w:w="759" w:type="pct"/>
            <w:noWrap/>
            <w:hideMark/>
          </w:tcPr>
          <w:p w14:paraId="3D3A1508"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0.018</w:t>
            </w:r>
          </w:p>
        </w:tc>
        <w:tc>
          <w:tcPr>
            <w:tcW w:w="614" w:type="pct"/>
            <w:noWrap/>
            <w:hideMark/>
          </w:tcPr>
          <w:p w14:paraId="78459AEF"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3663B43D"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7347285B"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lastRenderedPageBreak/>
              <w:t>May_19 vs Jun_19</w:t>
            </w:r>
          </w:p>
        </w:tc>
        <w:tc>
          <w:tcPr>
            <w:tcW w:w="647" w:type="pct"/>
            <w:noWrap/>
            <w:hideMark/>
          </w:tcPr>
          <w:p w14:paraId="0BE4154F"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4812410E"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2.360</w:t>
            </w:r>
          </w:p>
        </w:tc>
        <w:tc>
          <w:tcPr>
            <w:tcW w:w="614" w:type="pct"/>
            <w:noWrap/>
            <w:hideMark/>
          </w:tcPr>
          <w:p w14:paraId="7F568941"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0.110</w:t>
            </w:r>
          </w:p>
        </w:tc>
        <w:tc>
          <w:tcPr>
            <w:tcW w:w="614" w:type="pct"/>
            <w:noWrap/>
            <w:hideMark/>
          </w:tcPr>
          <w:p w14:paraId="35DC7448"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6565B6C3"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0A21310F"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608247E2"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2A064CF2"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May_19 vs Jul_19</w:t>
            </w:r>
          </w:p>
        </w:tc>
        <w:tc>
          <w:tcPr>
            <w:tcW w:w="647" w:type="pct"/>
            <w:noWrap/>
            <w:hideMark/>
          </w:tcPr>
          <w:p w14:paraId="4EC2B003"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1DE7439A"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2.044</w:t>
            </w:r>
          </w:p>
        </w:tc>
        <w:tc>
          <w:tcPr>
            <w:tcW w:w="614" w:type="pct"/>
            <w:noWrap/>
            <w:hideMark/>
          </w:tcPr>
          <w:p w14:paraId="4C191C9F"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0.113</w:t>
            </w:r>
          </w:p>
        </w:tc>
        <w:tc>
          <w:tcPr>
            <w:tcW w:w="614" w:type="pct"/>
            <w:noWrap/>
            <w:hideMark/>
          </w:tcPr>
          <w:p w14:paraId="7A6BEA02"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0.004</w:t>
            </w:r>
          </w:p>
        </w:tc>
        <w:tc>
          <w:tcPr>
            <w:tcW w:w="759" w:type="pct"/>
            <w:noWrap/>
            <w:hideMark/>
          </w:tcPr>
          <w:p w14:paraId="18FD3E4C"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0.005</w:t>
            </w:r>
          </w:p>
        </w:tc>
        <w:tc>
          <w:tcPr>
            <w:tcW w:w="614" w:type="pct"/>
            <w:noWrap/>
            <w:hideMark/>
          </w:tcPr>
          <w:p w14:paraId="464BAEEB"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2939E906"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010C9321"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May_19 vs Nov_19</w:t>
            </w:r>
          </w:p>
        </w:tc>
        <w:tc>
          <w:tcPr>
            <w:tcW w:w="647" w:type="pct"/>
            <w:noWrap/>
            <w:hideMark/>
          </w:tcPr>
          <w:p w14:paraId="5A750D49"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578BA17B"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2.385</w:t>
            </w:r>
          </w:p>
        </w:tc>
        <w:tc>
          <w:tcPr>
            <w:tcW w:w="614" w:type="pct"/>
            <w:noWrap/>
            <w:hideMark/>
          </w:tcPr>
          <w:p w14:paraId="22BEC992"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0.094</w:t>
            </w:r>
          </w:p>
        </w:tc>
        <w:tc>
          <w:tcPr>
            <w:tcW w:w="614" w:type="pct"/>
            <w:noWrap/>
            <w:hideMark/>
          </w:tcPr>
          <w:p w14:paraId="0C47B05F"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3545E72E"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55C2B22A"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23A73FCE"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2DAD5702"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Jun_19 vs Jul_19</w:t>
            </w:r>
          </w:p>
        </w:tc>
        <w:tc>
          <w:tcPr>
            <w:tcW w:w="647" w:type="pct"/>
            <w:noWrap/>
            <w:hideMark/>
          </w:tcPr>
          <w:p w14:paraId="6DEFBAAB"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20D9353F"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2.183</w:t>
            </w:r>
          </w:p>
        </w:tc>
        <w:tc>
          <w:tcPr>
            <w:tcW w:w="614" w:type="pct"/>
            <w:noWrap/>
            <w:hideMark/>
          </w:tcPr>
          <w:p w14:paraId="47DC86EE"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0.094</w:t>
            </w:r>
          </w:p>
        </w:tc>
        <w:tc>
          <w:tcPr>
            <w:tcW w:w="614" w:type="pct"/>
            <w:noWrap/>
            <w:hideMark/>
          </w:tcPr>
          <w:p w14:paraId="72313884"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65521AE9"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19DF3955"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DE3C92" w14:paraId="03C84C9E"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62479814"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Jun_19 vs Nov_19</w:t>
            </w:r>
          </w:p>
        </w:tc>
        <w:tc>
          <w:tcPr>
            <w:tcW w:w="647" w:type="pct"/>
            <w:noWrap/>
            <w:hideMark/>
          </w:tcPr>
          <w:p w14:paraId="6FA213B9"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37DBA5F4"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4.201</w:t>
            </w:r>
          </w:p>
        </w:tc>
        <w:tc>
          <w:tcPr>
            <w:tcW w:w="614" w:type="pct"/>
            <w:noWrap/>
            <w:hideMark/>
          </w:tcPr>
          <w:p w14:paraId="007A6453"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0.130</w:t>
            </w:r>
          </w:p>
        </w:tc>
        <w:tc>
          <w:tcPr>
            <w:tcW w:w="614" w:type="pct"/>
            <w:noWrap/>
            <w:hideMark/>
          </w:tcPr>
          <w:p w14:paraId="72678018"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07A9FE8D" w14:textId="77777777" w:rsidR="005B0F62" w:rsidRPr="00DE3C92"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1F97208C" w14:textId="77777777" w:rsidR="005B0F62" w:rsidRPr="00DE3C92"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r w:rsidR="005B0F62" w:rsidRPr="001370A2" w14:paraId="46A9F33C"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7" w:type="pct"/>
            <w:noWrap/>
            <w:hideMark/>
          </w:tcPr>
          <w:p w14:paraId="362FEDE4" w14:textId="77777777" w:rsidR="005B0F62" w:rsidRPr="00DE3C92" w:rsidRDefault="005B0F62" w:rsidP="00986671">
            <w:pPr>
              <w:rPr>
                <w:rFonts w:eastAsia="Times New Roman" w:cstheme="minorHAnsi"/>
                <w:color w:val="000000"/>
                <w:lang w:eastAsia="en-GB"/>
              </w:rPr>
            </w:pPr>
            <w:r w:rsidRPr="00DE3C92">
              <w:rPr>
                <w:rFonts w:eastAsia="Times New Roman" w:cstheme="minorHAnsi"/>
                <w:color w:val="000000"/>
                <w:lang w:eastAsia="en-GB"/>
              </w:rPr>
              <w:t>Jul_19 vs Nov_19</w:t>
            </w:r>
          </w:p>
        </w:tc>
        <w:tc>
          <w:tcPr>
            <w:tcW w:w="647" w:type="pct"/>
            <w:noWrap/>
            <w:hideMark/>
          </w:tcPr>
          <w:p w14:paraId="67C608E9"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bray</w:t>
            </w:r>
          </w:p>
        </w:tc>
        <w:tc>
          <w:tcPr>
            <w:tcW w:w="486" w:type="pct"/>
            <w:noWrap/>
            <w:hideMark/>
          </w:tcPr>
          <w:p w14:paraId="3350BE9E"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2.930</w:t>
            </w:r>
          </w:p>
        </w:tc>
        <w:tc>
          <w:tcPr>
            <w:tcW w:w="614" w:type="pct"/>
            <w:noWrap/>
            <w:hideMark/>
          </w:tcPr>
          <w:p w14:paraId="3BAD836C"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0.105</w:t>
            </w:r>
          </w:p>
        </w:tc>
        <w:tc>
          <w:tcPr>
            <w:tcW w:w="614" w:type="pct"/>
            <w:noWrap/>
            <w:hideMark/>
          </w:tcPr>
          <w:p w14:paraId="0A979FC7"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0.001</w:t>
            </w:r>
          </w:p>
        </w:tc>
        <w:tc>
          <w:tcPr>
            <w:tcW w:w="759" w:type="pct"/>
            <w:noWrap/>
            <w:hideMark/>
          </w:tcPr>
          <w:p w14:paraId="75D94B17" w14:textId="77777777" w:rsidR="005B0F62" w:rsidRPr="00DE3C92"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0.002</w:t>
            </w:r>
          </w:p>
        </w:tc>
        <w:tc>
          <w:tcPr>
            <w:tcW w:w="614" w:type="pct"/>
            <w:noWrap/>
            <w:hideMark/>
          </w:tcPr>
          <w:p w14:paraId="2C229B3B" w14:textId="77777777" w:rsidR="005B0F62" w:rsidRPr="00DE3C92"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DE3C92">
              <w:rPr>
                <w:rFonts w:eastAsia="Times New Roman" w:cstheme="minorHAnsi"/>
                <w:color w:val="000000"/>
                <w:lang w:eastAsia="en-GB"/>
              </w:rPr>
              <w:t>**</w:t>
            </w:r>
          </w:p>
        </w:tc>
      </w:tr>
    </w:tbl>
    <w:p w14:paraId="00E5259C" w14:textId="77777777" w:rsidR="005B0F62" w:rsidRPr="001370A2" w:rsidRDefault="005B0F62" w:rsidP="005B0F62">
      <w:pPr>
        <w:spacing w:line="240" w:lineRule="auto"/>
        <w:rPr>
          <w:rFonts w:cstheme="minorHAnsi"/>
        </w:rPr>
      </w:pPr>
    </w:p>
    <w:p w14:paraId="71E078DB" w14:textId="7902D50A" w:rsidR="005B0F62" w:rsidRPr="003F7B94" w:rsidRDefault="005B0F62" w:rsidP="005B0F62">
      <w:pPr>
        <w:spacing w:line="240" w:lineRule="auto"/>
        <w:rPr>
          <w:rFonts w:cstheme="minorHAnsi"/>
          <w:b/>
          <w:bCs/>
        </w:rPr>
      </w:pPr>
      <w:bookmarkStart w:id="17" w:name="_Ref115364620"/>
      <w:r w:rsidRPr="003F7B94">
        <w:rPr>
          <w:b/>
          <w:bCs/>
        </w:rPr>
        <w:t xml:space="preserve">Table S </w:t>
      </w:r>
      <w:r w:rsidRPr="003F7B94">
        <w:rPr>
          <w:b/>
          <w:bCs/>
        </w:rPr>
        <w:fldChar w:fldCharType="begin"/>
      </w:r>
      <w:r w:rsidRPr="003F7B94">
        <w:rPr>
          <w:b/>
          <w:bCs/>
        </w:rPr>
        <w:instrText xml:space="preserve"> SEQ Table_S \* ARABIC </w:instrText>
      </w:r>
      <w:r w:rsidRPr="003F7B94">
        <w:rPr>
          <w:b/>
          <w:bCs/>
        </w:rPr>
        <w:fldChar w:fldCharType="separate"/>
      </w:r>
      <w:r w:rsidR="00B15C60">
        <w:rPr>
          <w:b/>
          <w:bCs/>
          <w:noProof/>
        </w:rPr>
        <w:t>4</w:t>
      </w:r>
      <w:r w:rsidRPr="003F7B94">
        <w:rPr>
          <w:b/>
          <w:bCs/>
        </w:rPr>
        <w:fldChar w:fldCharType="end"/>
      </w:r>
      <w:bookmarkEnd w:id="17"/>
      <w:r w:rsidRPr="003F7B94">
        <w:rPr>
          <w:b/>
          <w:bCs/>
        </w:rPr>
        <w:t xml:space="preserve">: </w:t>
      </w:r>
      <w:r w:rsidRPr="003F7B94">
        <w:rPr>
          <w:rFonts w:cstheme="minorHAnsi"/>
          <w:b/>
          <w:bCs/>
        </w:rPr>
        <w:t xml:space="preserve">PERMANOVA testing pairwise comparisons of gut microbial samples grouped by their associated genetic origin in the river habitat. </w:t>
      </w:r>
      <w:r w:rsidRPr="003F7B94">
        <w:rPr>
          <w:rFonts w:cstheme="minorHAnsi"/>
          <w:b/>
          <w:bCs/>
          <w:color w:val="222222"/>
          <w:shd w:val="clear" w:color="auto" w:fill="FFFFFF"/>
        </w:rPr>
        <w:t>F=Farmed, HFF=Hybrid Farmed Female, HWF=Hybrid Wild Female, W=Wild.</w:t>
      </w:r>
      <w:r w:rsidRPr="003F7B94">
        <w:rPr>
          <w:rFonts w:cstheme="minorHAnsi"/>
          <w:b/>
          <w:bCs/>
        </w:rPr>
        <w:t xml:space="preserve"> Significance codes: *&lt;0.05.</w:t>
      </w:r>
    </w:p>
    <w:tbl>
      <w:tblPr>
        <w:tblStyle w:val="PlainTable1"/>
        <w:tblW w:w="5000" w:type="pct"/>
        <w:tblLook w:val="04A0" w:firstRow="1" w:lastRow="0" w:firstColumn="1" w:lastColumn="0" w:noHBand="0" w:noVBand="1"/>
      </w:tblPr>
      <w:tblGrid>
        <w:gridCol w:w="1671"/>
        <w:gridCol w:w="1194"/>
        <w:gridCol w:w="1242"/>
        <w:gridCol w:w="1242"/>
        <w:gridCol w:w="1134"/>
        <w:gridCol w:w="1401"/>
        <w:gridCol w:w="1132"/>
      </w:tblGrid>
      <w:tr w:rsidR="005B0F62" w:rsidRPr="001370A2" w14:paraId="5D0980DF" w14:textId="77777777" w:rsidTr="0098667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4B8969B0"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Groups</w:t>
            </w:r>
          </w:p>
        </w:tc>
        <w:tc>
          <w:tcPr>
            <w:tcW w:w="662" w:type="pct"/>
            <w:noWrap/>
            <w:hideMark/>
          </w:tcPr>
          <w:p w14:paraId="71A85B2D"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measure</w:t>
            </w:r>
          </w:p>
        </w:tc>
        <w:tc>
          <w:tcPr>
            <w:tcW w:w="689" w:type="pct"/>
            <w:noWrap/>
            <w:hideMark/>
          </w:tcPr>
          <w:p w14:paraId="62BED02C"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F</w:t>
            </w:r>
          </w:p>
        </w:tc>
        <w:tc>
          <w:tcPr>
            <w:tcW w:w="689" w:type="pct"/>
            <w:noWrap/>
            <w:hideMark/>
          </w:tcPr>
          <w:p w14:paraId="4D450784"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R2</w:t>
            </w:r>
          </w:p>
        </w:tc>
        <w:tc>
          <w:tcPr>
            <w:tcW w:w="629" w:type="pct"/>
            <w:noWrap/>
            <w:hideMark/>
          </w:tcPr>
          <w:p w14:paraId="6C3E437E"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p.value</w:t>
            </w:r>
            <w:proofErr w:type="spellEnd"/>
          </w:p>
        </w:tc>
        <w:tc>
          <w:tcPr>
            <w:tcW w:w="777" w:type="pct"/>
            <w:noWrap/>
            <w:hideMark/>
          </w:tcPr>
          <w:p w14:paraId="2BB0323C"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proofErr w:type="gramStart"/>
            <w:r w:rsidRPr="00F612B0">
              <w:rPr>
                <w:rFonts w:eastAsia="Times New Roman" w:cstheme="minorHAnsi"/>
                <w:color w:val="000000"/>
                <w:lang w:eastAsia="en-GB"/>
              </w:rPr>
              <w:t>p.adjusted</w:t>
            </w:r>
            <w:proofErr w:type="spellEnd"/>
            <w:proofErr w:type="gramEnd"/>
          </w:p>
        </w:tc>
        <w:tc>
          <w:tcPr>
            <w:tcW w:w="629" w:type="pct"/>
            <w:noWrap/>
            <w:hideMark/>
          </w:tcPr>
          <w:p w14:paraId="2183EC35" w14:textId="77777777" w:rsidR="005B0F62" w:rsidRPr="00F612B0"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F612B0">
              <w:rPr>
                <w:rFonts w:eastAsia="Times New Roman" w:cstheme="minorHAnsi"/>
                <w:color w:val="000000"/>
                <w:lang w:eastAsia="en-GB"/>
              </w:rPr>
              <w:t>Sig</w:t>
            </w:r>
            <w:r w:rsidRPr="001370A2">
              <w:rPr>
                <w:rFonts w:eastAsia="Times New Roman" w:cstheme="minorHAnsi"/>
                <w:color w:val="000000"/>
                <w:lang w:eastAsia="en-GB"/>
              </w:rPr>
              <w:t>nif</w:t>
            </w:r>
            <w:proofErr w:type="spellEnd"/>
            <w:r w:rsidRPr="001370A2">
              <w:rPr>
                <w:rFonts w:eastAsia="Times New Roman" w:cstheme="minorHAnsi"/>
                <w:color w:val="000000"/>
                <w:lang w:eastAsia="en-GB"/>
              </w:rPr>
              <w:t>.</w:t>
            </w:r>
          </w:p>
        </w:tc>
      </w:tr>
      <w:tr w:rsidR="005B0F62" w:rsidRPr="001370A2" w14:paraId="6C74EAA1"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50A1E020"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HWF vs HFF</w:t>
            </w:r>
          </w:p>
        </w:tc>
        <w:tc>
          <w:tcPr>
            <w:tcW w:w="662" w:type="pct"/>
            <w:noWrap/>
            <w:hideMark/>
          </w:tcPr>
          <w:p w14:paraId="6D2001CA"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7FF19E3C"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1.247</w:t>
            </w:r>
          </w:p>
        </w:tc>
        <w:tc>
          <w:tcPr>
            <w:tcW w:w="689" w:type="pct"/>
            <w:noWrap/>
            <w:hideMark/>
          </w:tcPr>
          <w:p w14:paraId="73506DBD"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0.028</w:t>
            </w:r>
          </w:p>
        </w:tc>
        <w:tc>
          <w:tcPr>
            <w:tcW w:w="629" w:type="pct"/>
            <w:noWrap/>
            <w:hideMark/>
          </w:tcPr>
          <w:p w14:paraId="6F8ED4EF"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0.076</w:t>
            </w:r>
          </w:p>
        </w:tc>
        <w:tc>
          <w:tcPr>
            <w:tcW w:w="777" w:type="pct"/>
            <w:noWrap/>
            <w:hideMark/>
          </w:tcPr>
          <w:p w14:paraId="558BB69B"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0.114</w:t>
            </w:r>
          </w:p>
        </w:tc>
        <w:tc>
          <w:tcPr>
            <w:tcW w:w="629" w:type="pct"/>
            <w:noWrap/>
            <w:hideMark/>
          </w:tcPr>
          <w:p w14:paraId="6BE933CB"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r>
      <w:tr w:rsidR="005B0F62" w:rsidRPr="00F612B0" w14:paraId="1EDCB3D9"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5C5A144E"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HWF vs W</w:t>
            </w:r>
          </w:p>
        </w:tc>
        <w:tc>
          <w:tcPr>
            <w:tcW w:w="662" w:type="pct"/>
            <w:noWrap/>
            <w:hideMark/>
          </w:tcPr>
          <w:p w14:paraId="06C9CAE2"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0678EBB7"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0.897</w:t>
            </w:r>
          </w:p>
        </w:tc>
        <w:tc>
          <w:tcPr>
            <w:tcW w:w="689" w:type="pct"/>
            <w:noWrap/>
            <w:hideMark/>
          </w:tcPr>
          <w:p w14:paraId="67F77404"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0.024</w:t>
            </w:r>
          </w:p>
        </w:tc>
        <w:tc>
          <w:tcPr>
            <w:tcW w:w="629" w:type="pct"/>
            <w:noWrap/>
            <w:hideMark/>
          </w:tcPr>
          <w:p w14:paraId="1B2AA18F"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0.662</w:t>
            </w:r>
          </w:p>
        </w:tc>
        <w:tc>
          <w:tcPr>
            <w:tcW w:w="777" w:type="pct"/>
            <w:noWrap/>
            <w:hideMark/>
          </w:tcPr>
          <w:p w14:paraId="4D84B833"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0.662</w:t>
            </w:r>
          </w:p>
        </w:tc>
        <w:tc>
          <w:tcPr>
            <w:tcW w:w="629" w:type="pct"/>
            <w:noWrap/>
            <w:hideMark/>
          </w:tcPr>
          <w:p w14:paraId="779B60C7"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r>
      <w:tr w:rsidR="005B0F62" w:rsidRPr="001370A2" w14:paraId="7E310393"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13EC418F"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HWF vs F</w:t>
            </w:r>
          </w:p>
        </w:tc>
        <w:tc>
          <w:tcPr>
            <w:tcW w:w="662" w:type="pct"/>
            <w:noWrap/>
            <w:hideMark/>
          </w:tcPr>
          <w:p w14:paraId="699BC77D"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1840FDA0"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1.545</w:t>
            </w:r>
          </w:p>
        </w:tc>
        <w:tc>
          <w:tcPr>
            <w:tcW w:w="689" w:type="pct"/>
            <w:noWrap/>
            <w:hideMark/>
          </w:tcPr>
          <w:p w14:paraId="104E963B"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0.043</w:t>
            </w:r>
          </w:p>
        </w:tc>
        <w:tc>
          <w:tcPr>
            <w:tcW w:w="629" w:type="pct"/>
            <w:noWrap/>
            <w:hideMark/>
          </w:tcPr>
          <w:p w14:paraId="31E60444"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0.036</w:t>
            </w:r>
          </w:p>
        </w:tc>
        <w:tc>
          <w:tcPr>
            <w:tcW w:w="777" w:type="pct"/>
            <w:noWrap/>
            <w:hideMark/>
          </w:tcPr>
          <w:p w14:paraId="603E6C55"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0.072</w:t>
            </w:r>
          </w:p>
        </w:tc>
        <w:tc>
          <w:tcPr>
            <w:tcW w:w="629" w:type="pct"/>
            <w:noWrap/>
            <w:hideMark/>
          </w:tcPr>
          <w:p w14:paraId="55CEEB98"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r>
      <w:tr w:rsidR="005B0F62" w:rsidRPr="00F612B0" w14:paraId="5ED5209A"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39632B0B"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HFF vs W</w:t>
            </w:r>
          </w:p>
        </w:tc>
        <w:tc>
          <w:tcPr>
            <w:tcW w:w="662" w:type="pct"/>
            <w:noWrap/>
            <w:hideMark/>
          </w:tcPr>
          <w:p w14:paraId="2C771C97"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70908D4B"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1.858</w:t>
            </w:r>
          </w:p>
        </w:tc>
        <w:tc>
          <w:tcPr>
            <w:tcW w:w="689" w:type="pct"/>
            <w:noWrap/>
            <w:hideMark/>
          </w:tcPr>
          <w:p w14:paraId="7489582D"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0.044</w:t>
            </w:r>
          </w:p>
        </w:tc>
        <w:tc>
          <w:tcPr>
            <w:tcW w:w="629" w:type="pct"/>
            <w:noWrap/>
            <w:hideMark/>
          </w:tcPr>
          <w:p w14:paraId="54089FC5"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0.004</w:t>
            </w:r>
          </w:p>
        </w:tc>
        <w:tc>
          <w:tcPr>
            <w:tcW w:w="777" w:type="pct"/>
            <w:noWrap/>
            <w:hideMark/>
          </w:tcPr>
          <w:p w14:paraId="69E63848"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0.012</w:t>
            </w:r>
          </w:p>
        </w:tc>
        <w:tc>
          <w:tcPr>
            <w:tcW w:w="629" w:type="pct"/>
            <w:noWrap/>
            <w:hideMark/>
          </w:tcPr>
          <w:p w14:paraId="400A1BB1"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w:t>
            </w:r>
          </w:p>
        </w:tc>
      </w:tr>
      <w:tr w:rsidR="005B0F62" w:rsidRPr="001370A2" w14:paraId="48435406" w14:textId="77777777" w:rsidTr="0098667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3150A2D7"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HFF vs F</w:t>
            </w:r>
          </w:p>
        </w:tc>
        <w:tc>
          <w:tcPr>
            <w:tcW w:w="662" w:type="pct"/>
            <w:noWrap/>
            <w:hideMark/>
          </w:tcPr>
          <w:p w14:paraId="7D83E559" w14:textId="77777777" w:rsidR="005B0F62" w:rsidRPr="00F612B0"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48027FF7"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1.002</w:t>
            </w:r>
          </w:p>
        </w:tc>
        <w:tc>
          <w:tcPr>
            <w:tcW w:w="689" w:type="pct"/>
            <w:noWrap/>
            <w:hideMark/>
          </w:tcPr>
          <w:p w14:paraId="22F411A8"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0.025</w:t>
            </w:r>
          </w:p>
        </w:tc>
        <w:tc>
          <w:tcPr>
            <w:tcW w:w="629" w:type="pct"/>
            <w:noWrap/>
            <w:hideMark/>
          </w:tcPr>
          <w:p w14:paraId="0856153A"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0.446</w:t>
            </w:r>
          </w:p>
        </w:tc>
        <w:tc>
          <w:tcPr>
            <w:tcW w:w="777" w:type="pct"/>
            <w:noWrap/>
            <w:hideMark/>
          </w:tcPr>
          <w:p w14:paraId="69791893"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0.535</w:t>
            </w:r>
          </w:p>
        </w:tc>
        <w:tc>
          <w:tcPr>
            <w:tcW w:w="629" w:type="pct"/>
            <w:noWrap/>
            <w:hideMark/>
          </w:tcPr>
          <w:p w14:paraId="65B0BCAE" w14:textId="77777777" w:rsidR="005B0F62" w:rsidRPr="00F612B0"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r>
      <w:tr w:rsidR="005B0F62" w:rsidRPr="00F612B0" w14:paraId="439CC4D2" w14:textId="77777777" w:rsidTr="00986671">
        <w:trPr>
          <w:trHeight w:val="300"/>
        </w:trPr>
        <w:tc>
          <w:tcPr>
            <w:cnfStyle w:val="001000000000" w:firstRow="0" w:lastRow="0" w:firstColumn="1" w:lastColumn="0" w:oddVBand="0" w:evenVBand="0" w:oddHBand="0" w:evenHBand="0" w:firstRowFirstColumn="0" w:firstRowLastColumn="0" w:lastRowFirstColumn="0" w:lastRowLastColumn="0"/>
            <w:tcW w:w="926" w:type="pct"/>
            <w:noWrap/>
            <w:hideMark/>
          </w:tcPr>
          <w:p w14:paraId="59FB4AD6" w14:textId="77777777" w:rsidR="005B0F62" w:rsidRPr="00F612B0" w:rsidRDefault="005B0F62" w:rsidP="00986671">
            <w:pPr>
              <w:rPr>
                <w:rFonts w:eastAsia="Times New Roman" w:cstheme="minorHAnsi"/>
                <w:color w:val="000000"/>
                <w:lang w:eastAsia="en-GB"/>
              </w:rPr>
            </w:pPr>
            <w:r w:rsidRPr="00F612B0">
              <w:rPr>
                <w:rFonts w:eastAsia="Times New Roman" w:cstheme="minorHAnsi"/>
                <w:color w:val="000000"/>
                <w:lang w:eastAsia="en-GB"/>
              </w:rPr>
              <w:t>W vs F</w:t>
            </w:r>
          </w:p>
        </w:tc>
        <w:tc>
          <w:tcPr>
            <w:tcW w:w="662" w:type="pct"/>
            <w:noWrap/>
            <w:hideMark/>
          </w:tcPr>
          <w:p w14:paraId="1872D9B9"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bray</w:t>
            </w:r>
          </w:p>
        </w:tc>
        <w:tc>
          <w:tcPr>
            <w:tcW w:w="689" w:type="pct"/>
            <w:noWrap/>
            <w:hideMark/>
          </w:tcPr>
          <w:p w14:paraId="091749DB"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2.121</w:t>
            </w:r>
          </w:p>
        </w:tc>
        <w:tc>
          <w:tcPr>
            <w:tcW w:w="689" w:type="pct"/>
            <w:noWrap/>
            <w:hideMark/>
          </w:tcPr>
          <w:p w14:paraId="5D78FA26"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0.062</w:t>
            </w:r>
          </w:p>
        </w:tc>
        <w:tc>
          <w:tcPr>
            <w:tcW w:w="629" w:type="pct"/>
            <w:noWrap/>
            <w:hideMark/>
          </w:tcPr>
          <w:p w14:paraId="0521685D"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0.002</w:t>
            </w:r>
          </w:p>
        </w:tc>
        <w:tc>
          <w:tcPr>
            <w:tcW w:w="777" w:type="pct"/>
            <w:noWrap/>
            <w:hideMark/>
          </w:tcPr>
          <w:p w14:paraId="6DAD621E" w14:textId="77777777" w:rsidR="005B0F62" w:rsidRPr="00F612B0"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0.012</w:t>
            </w:r>
          </w:p>
        </w:tc>
        <w:tc>
          <w:tcPr>
            <w:tcW w:w="629" w:type="pct"/>
            <w:noWrap/>
            <w:hideMark/>
          </w:tcPr>
          <w:p w14:paraId="2F9A0ACA" w14:textId="77777777" w:rsidR="005B0F62" w:rsidRPr="00F612B0"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F612B0">
              <w:rPr>
                <w:rFonts w:eastAsia="Times New Roman" w:cstheme="minorHAnsi"/>
                <w:color w:val="000000"/>
                <w:lang w:eastAsia="en-GB"/>
              </w:rPr>
              <w:t>*</w:t>
            </w:r>
          </w:p>
        </w:tc>
      </w:tr>
    </w:tbl>
    <w:p w14:paraId="7037732B" w14:textId="77777777" w:rsidR="005B0F62" w:rsidRPr="001370A2" w:rsidRDefault="005B0F62" w:rsidP="005B0F62">
      <w:pPr>
        <w:spacing w:line="240" w:lineRule="auto"/>
        <w:rPr>
          <w:rFonts w:cstheme="minorHAnsi"/>
        </w:rPr>
      </w:pPr>
    </w:p>
    <w:p w14:paraId="1A4A3262" w14:textId="6C9B4370" w:rsidR="005B0F62" w:rsidRPr="003F7B94" w:rsidRDefault="005B0F62" w:rsidP="005B0F62">
      <w:pPr>
        <w:spacing w:line="240" w:lineRule="auto"/>
        <w:rPr>
          <w:rFonts w:cstheme="minorHAnsi"/>
          <w:b/>
          <w:bCs/>
        </w:rPr>
      </w:pPr>
      <w:bookmarkStart w:id="18" w:name="_Ref115364781"/>
      <w:r w:rsidRPr="003F7B94">
        <w:rPr>
          <w:b/>
          <w:bCs/>
        </w:rPr>
        <w:t xml:space="preserve">Table S </w:t>
      </w:r>
      <w:r w:rsidRPr="003F7B94">
        <w:rPr>
          <w:b/>
          <w:bCs/>
        </w:rPr>
        <w:fldChar w:fldCharType="begin"/>
      </w:r>
      <w:r w:rsidRPr="003F7B94">
        <w:rPr>
          <w:b/>
          <w:bCs/>
        </w:rPr>
        <w:instrText xml:space="preserve"> SEQ Table_S \* ARABIC </w:instrText>
      </w:r>
      <w:r w:rsidRPr="003F7B94">
        <w:rPr>
          <w:b/>
          <w:bCs/>
        </w:rPr>
        <w:fldChar w:fldCharType="separate"/>
      </w:r>
      <w:r w:rsidR="00B15C60">
        <w:rPr>
          <w:b/>
          <w:bCs/>
          <w:noProof/>
        </w:rPr>
        <w:t>5</w:t>
      </w:r>
      <w:r w:rsidRPr="003F7B94">
        <w:rPr>
          <w:b/>
          <w:bCs/>
        </w:rPr>
        <w:fldChar w:fldCharType="end"/>
      </w:r>
      <w:bookmarkEnd w:id="18"/>
      <w:r w:rsidRPr="003F7B94">
        <w:rPr>
          <w:b/>
          <w:bCs/>
        </w:rPr>
        <w:t xml:space="preserve">: </w:t>
      </w:r>
      <w:r w:rsidRPr="003F7B94">
        <w:rPr>
          <w:rFonts w:cstheme="minorHAnsi"/>
          <w:b/>
          <w:bCs/>
        </w:rPr>
        <w:t>Generalised linear model results to assess the effects of sampling time on Chao1 richness. AIC: 203.45. AIC served as indicator to determine the best-fit model. Significance codes: ***&lt;0.001; **&lt;0.01</w:t>
      </w:r>
    </w:p>
    <w:tbl>
      <w:tblPr>
        <w:tblStyle w:val="PlainTable1"/>
        <w:tblW w:w="5000" w:type="pct"/>
        <w:tblLook w:val="04A0" w:firstRow="1" w:lastRow="0" w:firstColumn="1" w:lastColumn="0" w:noHBand="0" w:noVBand="1"/>
      </w:tblPr>
      <w:tblGrid>
        <w:gridCol w:w="2302"/>
        <w:gridCol w:w="1459"/>
        <w:gridCol w:w="1379"/>
        <w:gridCol w:w="1379"/>
        <w:gridCol w:w="1379"/>
        <w:gridCol w:w="1118"/>
      </w:tblGrid>
      <w:tr w:rsidR="005B0F62" w:rsidRPr="004940C3" w14:paraId="61E09C7B" w14:textId="77777777" w:rsidTr="00986671">
        <w:trPr>
          <w:cnfStyle w:val="100000000000" w:firstRow="1" w:lastRow="0" w:firstColumn="0" w:lastColumn="0" w:oddVBand="0" w:evenVBand="0" w:oddHBand="0"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2B7B9386" w14:textId="77777777" w:rsidR="005B0F62" w:rsidRPr="004940C3" w:rsidRDefault="005B0F62" w:rsidP="00986671">
            <w:pPr>
              <w:rPr>
                <w:rFonts w:eastAsia="Times New Roman" w:cstheme="minorHAnsi"/>
                <w:sz w:val="24"/>
                <w:szCs w:val="24"/>
                <w:lang w:eastAsia="en-GB"/>
              </w:rPr>
            </w:pPr>
          </w:p>
        </w:tc>
        <w:tc>
          <w:tcPr>
            <w:tcW w:w="809" w:type="pct"/>
            <w:noWrap/>
            <w:hideMark/>
          </w:tcPr>
          <w:p w14:paraId="3ED73ED1"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Estimate</w:t>
            </w:r>
          </w:p>
        </w:tc>
        <w:tc>
          <w:tcPr>
            <w:tcW w:w="765" w:type="pct"/>
            <w:noWrap/>
            <w:hideMark/>
          </w:tcPr>
          <w:p w14:paraId="6291A82C"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Std. Error</w:t>
            </w:r>
          </w:p>
        </w:tc>
        <w:tc>
          <w:tcPr>
            <w:tcW w:w="765" w:type="pct"/>
            <w:noWrap/>
            <w:hideMark/>
          </w:tcPr>
          <w:p w14:paraId="08ED8E6F"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t value</w:t>
            </w:r>
          </w:p>
        </w:tc>
        <w:tc>
          <w:tcPr>
            <w:tcW w:w="765" w:type="pct"/>
            <w:noWrap/>
            <w:hideMark/>
          </w:tcPr>
          <w:p w14:paraId="1C7DE1C3"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940C3">
              <w:rPr>
                <w:rFonts w:eastAsia="Times New Roman" w:cstheme="minorHAnsi"/>
                <w:color w:val="000000"/>
                <w:lang w:eastAsia="en-GB"/>
              </w:rPr>
              <w:t>Pr</w:t>
            </w:r>
            <w:proofErr w:type="spellEnd"/>
            <w:r w:rsidRPr="004940C3">
              <w:rPr>
                <w:rFonts w:eastAsia="Times New Roman" w:cstheme="minorHAnsi"/>
                <w:color w:val="000000"/>
                <w:lang w:eastAsia="en-GB"/>
              </w:rPr>
              <w:t>(&gt;|t|)</w:t>
            </w:r>
          </w:p>
        </w:tc>
        <w:tc>
          <w:tcPr>
            <w:tcW w:w="621" w:type="pct"/>
            <w:noWrap/>
            <w:hideMark/>
          </w:tcPr>
          <w:p w14:paraId="244ABA7A"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940C3">
              <w:rPr>
                <w:rFonts w:eastAsia="Times New Roman" w:cstheme="minorHAnsi"/>
                <w:color w:val="000000"/>
                <w:lang w:eastAsia="en-GB"/>
              </w:rPr>
              <w:t>Signif</w:t>
            </w:r>
            <w:proofErr w:type="spellEnd"/>
            <w:r w:rsidRPr="004940C3">
              <w:rPr>
                <w:rFonts w:eastAsia="Times New Roman" w:cstheme="minorHAnsi"/>
                <w:color w:val="000000"/>
                <w:lang w:eastAsia="en-GB"/>
              </w:rPr>
              <w:t>.</w:t>
            </w:r>
          </w:p>
        </w:tc>
      </w:tr>
      <w:tr w:rsidR="005B0F62" w:rsidRPr="001370A2" w14:paraId="71603F4E" w14:textId="77777777" w:rsidTr="00986671">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00E00370"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(Intercept)</w:t>
            </w:r>
          </w:p>
        </w:tc>
        <w:tc>
          <w:tcPr>
            <w:tcW w:w="809" w:type="pct"/>
            <w:noWrap/>
            <w:hideMark/>
          </w:tcPr>
          <w:p w14:paraId="2CF0909E"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722.760</w:t>
            </w:r>
          </w:p>
        </w:tc>
        <w:tc>
          <w:tcPr>
            <w:tcW w:w="765" w:type="pct"/>
            <w:noWrap/>
            <w:hideMark/>
          </w:tcPr>
          <w:p w14:paraId="23E8C854"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47.480</w:t>
            </w:r>
          </w:p>
        </w:tc>
        <w:tc>
          <w:tcPr>
            <w:tcW w:w="765" w:type="pct"/>
            <w:noWrap/>
            <w:hideMark/>
          </w:tcPr>
          <w:p w14:paraId="345A1612"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15.222</w:t>
            </w:r>
          </w:p>
        </w:tc>
        <w:tc>
          <w:tcPr>
            <w:tcW w:w="765" w:type="pct"/>
            <w:noWrap/>
            <w:hideMark/>
          </w:tcPr>
          <w:p w14:paraId="7F0D80AC"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&lt; 2e-16</w:t>
            </w:r>
          </w:p>
        </w:tc>
        <w:tc>
          <w:tcPr>
            <w:tcW w:w="621" w:type="pct"/>
            <w:noWrap/>
            <w:hideMark/>
          </w:tcPr>
          <w:p w14:paraId="440E3DA8"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4940C3" w14:paraId="62B711DB" w14:textId="77777777" w:rsidTr="00986671">
        <w:trPr>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1469750C"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Mar_19</w:t>
            </w:r>
          </w:p>
        </w:tc>
        <w:tc>
          <w:tcPr>
            <w:tcW w:w="809" w:type="pct"/>
            <w:noWrap/>
            <w:hideMark/>
          </w:tcPr>
          <w:p w14:paraId="2CBBFB71"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-451.100</w:t>
            </w:r>
          </w:p>
        </w:tc>
        <w:tc>
          <w:tcPr>
            <w:tcW w:w="765" w:type="pct"/>
            <w:noWrap/>
            <w:hideMark/>
          </w:tcPr>
          <w:p w14:paraId="42A9ECBA"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69.500</w:t>
            </w:r>
          </w:p>
        </w:tc>
        <w:tc>
          <w:tcPr>
            <w:tcW w:w="765" w:type="pct"/>
            <w:noWrap/>
            <w:hideMark/>
          </w:tcPr>
          <w:p w14:paraId="0BEB6AC6"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-6.490</w:t>
            </w:r>
          </w:p>
        </w:tc>
        <w:tc>
          <w:tcPr>
            <w:tcW w:w="765" w:type="pct"/>
            <w:noWrap/>
            <w:hideMark/>
          </w:tcPr>
          <w:p w14:paraId="616BE12E"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21" w:type="pct"/>
            <w:noWrap/>
            <w:hideMark/>
          </w:tcPr>
          <w:p w14:paraId="02AA84D8"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1A27FB50" w14:textId="77777777" w:rsidTr="00986671">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2434F207"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May_19</w:t>
            </w:r>
          </w:p>
        </w:tc>
        <w:tc>
          <w:tcPr>
            <w:tcW w:w="809" w:type="pct"/>
            <w:noWrap/>
            <w:hideMark/>
          </w:tcPr>
          <w:p w14:paraId="1E35BD81"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-504.340</w:t>
            </w:r>
          </w:p>
        </w:tc>
        <w:tc>
          <w:tcPr>
            <w:tcW w:w="765" w:type="pct"/>
            <w:noWrap/>
            <w:hideMark/>
          </w:tcPr>
          <w:p w14:paraId="0EB3B1DE"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82.240</w:t>
            </w:r>
          </w:p>
        </w:tc>
        <w:tc>
          <w:tcPr>
            <w:tcW w:w="765" w:type="pct"/>
            <w:noWrap/>
            <w:hideMark/>
          </w:tcPr>
          <w:p w14:paraId="1EBB4760"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-6.133</w:t>
            </w:r>
          </w:p>
        </w:tc>
        <w:tc>
          <w:tcPr>
            <w:tcW w:w="765" w:type="pct"/>
            <w:noWrap/>
            <w:hideMark/>
          </w:tcPr>
          <w:p w14:paraId="11ADEA6C"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21" w:type="pct"/>
            <w:noWrap/>
            <w:hideMark/>
          </w:tcPr>
          <w:p w14:paraId="5806DBB8"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4940C3" w14:paraId="4060C359" w14:textId="77777777" w:rsidTr="00986671">
        <w:trPr>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0AE0DAE5"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Jun_19</w:t>
            </w:r>
          </w:p>
        </w:tc>
        <w:tc>
          <w:tcPr>
            <w:tcW w:w="809" w:type="pct"/>
            <w:noWrap/>
            <w:hideMark/>
          </w:tcPr>
          <w:p w14:paraId="6F3A4AD2"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-264.220</w:t>
            </w:r>
          </w:p>
        </w:tc>
        <w:tc>
          <w:tcPr>
            <w:tcW w:w="765" w:type="pct"/>
            <w:noWrap/>
            <w:hideMark/>
          </w:tcPr>
          <w:p w14:paraId="2A554D02"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69.500</w:t>
            </w:r>
          </w:p>
        </w:tc>
        <w:tc>
          <w:tcPr>
            <w:tcW w:w="765" w:type="pct"/>
            <w:noWrap/>
            <w:hideMark/>
          </w:tcPr>
          <w:p w14:paraId="2577FCCD"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-3.801</w:t>
            </w:r>
          </w:p>
        </w:tc>
        <w:tc>
          <w:tcPr>
            <w:tcW w:w="765" w:type="pct"/>
            <w:noWrap/>
            <w:hideMark/>
          </w:tcPr>
          <w:p w14:paraId="072A0B5C"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21" w:type="pct"/>
            <w:noWrap/>
            <w:hideMark/>
          </w:tcPr>
          <w:p w14:paraId="73027573"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18E86D55" w14:textId="77777777" w:rsidTr="00986671">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5B330FDD"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Jul_19</w:t>
            </w:r>
          </w:p>
        </w:tc>
        <w:tc>
          <w:tcPr>
            <w:tcW w:w="809" w:type="pct"/>
            <w:noWrap/>
            <w:hideMark/>
          </w:tcPr>
          <w:p w14:paraId="50F465A7"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-219.440</w:t>
            </w:r>
          </w:p>
        </w:tc>
        <w:tc>
          <w:tcPr>
            <w:tcW w:w="765" w:type="pct"/>
            <w:noWrap/>
            <w:hideMark/>
          </w:tcPr>
          <w:p w14:paraId="4AECA5BD"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79.130</w:t>
            </w:r>
          </w:p>
        </w:tc>
        <w:tc>
          <w:tcPr>
            <w:tcW w:w="765" w:type="pct"/>
            <w:noWrap/>
            <w:hideMark/>
          </w:tcPr>
          <w:p w14:paraId="739F16FA"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-2.773</w:t>
            </w:r>
          </w:p>
        </w:tc>
        <w:tc>
          <w:tcPr>
            <w:tcW w:w="765" w:type="pct"/>
            <w:noWrap/>
            <w:hideMark/>
          </w:tcPr>
          <w:p w14:paraId="3941746D"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0.007</w:t>
            </w:r>
          </w:p>
        </w:tc>
        <w:tc>
          <w:tcPr>
            <w:tcW w:w="621" w:type="pct"/>
            <w:noWrap/>
            <w:hideMark/>
          </w:tcPr>
          <w:p w14:paraId="1F1C39F7"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4940C3" w14:paraId="1BD36A79" w14:textId="77777777" w:rsidTr="00986671">
        <w:trPr>
          <w:trHeight w:val="324"/>
        </w:trPr>
        <w:tc>
          <w:tcPr>
            <w:cnfStyle w:val="001000000000" w:firstRow="0" w:lastRow="0" w:firstColumn="1" w:lastColumn="0" w:oddVBand="0" w:evenVBand="0" w:oddHBand="0" w:evenHBand="0" w:firstRowFirstColumn="0" w:firstRowLastColumn="0" w:lastRowFirstColumn="0" w:lastRowLastColumn="0"/>
            <w:tcW w:w="1276" w:type="pct"/>
            <w:noWrap/>
            <w:hideMark/>
          </w:tcPr>
          <w:p w14:paraId="27B71CFD"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Nov_19</w:t>
            </w:r>
          </w:p>
        </w:tc>
        <w:tc>
          <w:tcPr>
            <w:tcW w:w="809" w:type="pct"/>
            <w:noWrap/>
            <w:hideMark/>
          </w:tcPr>
          <w:p w14:paraId="36DFD7D9"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-430.420</w:t>
            </w:r>
          </w:p>
        </w:tc>
        <w:tc>
          <w:tcPr>
            <w:tcW w:w="765" w:type="pct"/>
            <w:noWrap/>
            <w:hideMark/>
          </w:tcPr>
          <w:p w14:paraId="446873AD"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65.260</w:t>
            </w:r>
          </w:p>
        </w:tc>
        <w:tc>
          <w:tcPr>
            <w:tcW w:w="765" w:type="pct"/>
            <w:noWrap/>
            <w:hideMark/>
          </w:tcPr>
          <w:p w14:paraId="762A9780"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-6.596</w:t>
            </w:r>
          </w:p>
        </w:tc>
        <w:tc>
          <w:tcPr>
            <w:tcW w:w="765" w:type="pct"/>
            <w:noWrap/>
            <w:hideMark/>
          </w:tcPr>
          <w:p w14:paraId="5B02F9AB"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21" w:type="pct"/>
            <w:noWrap/>
            <w:hideMark/>
          </w:tcPr>
          <w:p w14:paraId="1C30EBD1"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bl>
    <w:p w14:paraId="6A652F51" w14:textId="77777777" w:rsidR="00671A8B" w:rsidRDefault="00671A8B" w:rsidP="005B0F62">
      <w:pPr>
        <w:spacing w:line="240" w:lineRule="auto"/>
        <w:rPr>
          <w:b/>
          <w:bCs/>
        </w:rPr>
      </w:pPr>
      <w:bookmarkStart w:id="19" w:name="_Ref115364783"/>
    </w:p>
    <w:p w14:paraId="100EEDE4" w14:textId="0BA275E7" w:rsidR="005B0F62" w:rsidRPr="003F7B94" w:rsidRDefault="005B0F62" w:rsidP="005B0F62">
      <w:pPr>
        <w:spacing w:line="240" w:lineRule="auto"/>
        <w:rPr>
          <w:rFonts w:cstheme="minorHAnsi"/>
          <w:b/>
          <w:bCs/>
        </w:rPr>
      </w:pPr>
      <w:r w:rsidRPr="003F7B94">
        <w:rPr>
          <w:b/>
          <w:bCs/>
        </w:rPr>
        <w:t xml:space="preserve">Table S </w:t>
      </w:r>
      <w:r w:rsidRPr="003F7B94">
        <w:rPr>
          <w:b/>
          <w:bCs/>
        </w:rPr>
        <w:fldChar w:fldCharType="begin"/>
      </w:r>
      <w:r w:rsidRPr="003F7B94">
        <w:rPr>
          <w:b/>
          <w:bCs/>
        </w:rPr>
        <w:instrText xml:space="preserve"> SEQ Table_S \* ARABIC </w:instrText>
      </w:r>
      <w:r w:rsidRPr="003F7B94">
        <w:rPr>
          <w:b/>
          <w:bCs/>
        </w:rPr>
        <w:fldChar w:fldCharType="separate"/>
      </w:r>
      <w:r w:rsidR="00B15C60">
        <w:rPr>
          <w:b/>
          <w:bCs/>
          <w:noProof/>
        </w:rPr>
        <w:t>6</w:t>
      </w:r>
      <w:r w:rsidRPr="003F7B94">
        <w:rPr>
          <w:b/>
          <w:bCs/>
        </w:rPr>
        <w:fldChar w:fldCharType="end"/>
      </w:r>
      <w:bookmarkEnd w:id="19"/>
      <w:r w:rsidRPr="003F7B94">
        <w:rPr>
          <w:b/>
          <w:bCs/>
        </w:rPr>
        <w:t xml:space="preserve">: </w:t>
      </w:r>
      <w:r w:rsidRPr="003F7B94">
        <w:rPr>
          <w:rFonts w:cstheme="minorHAnsi"/>
          <w:b/>
          <w:bCs/>
        </w:rPr>
        <w:t>Generalised linear model results to assess the effects of sampling time on Shannon diversity. AIC: 1060.9. AIC served as indicator to determine the best-fit model. Significance codes: ***&lt;0.001; **&lt;0.01</w:t>
      </w:r>
    </w:p>
    <w:tbl>
      <w:tblPr>
        <w:tblStyle w:val="PlainTable1"/>
        <w:tblW w:w="5000" w:type="pct"/>
        <w:tblLook w:val="04A0" w:firstRow="1" w:lastRow="0" w:firstColumn="1" w:lastColumn="0" w:noHBand="0" w:noVBand="1"/>
      </w:tblPr>
      <w:tblGrid>
        <w:gridCol w:w="1871"/>
        <w:gridCol w:w="1583"/>
        <w:gridCol w:w="1558"/>
        <w:gridCol w:w="1293"/>
        <w:gridCol w:w="1497"/>
        <w:gridCol w:w="1214"/>
      </w:tblGrid>
      <w:tr w:rsidR="005B0F62" w:rsidRPr="001370A2" w14:paraId="2D2C357A" w14:textId="77777777" w:rsidTr="00986671">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27C90A0A" w14:textId="77777777" w:rsidR="005B0F62" w:rsidRPr="004940C3" w:rsidRDefault="005B0F62" w:rsidP="00986671">
            <w:pPr>
              <w:rPr>
                <w:rFonts w:eastAsia="Times New Roman" w:cstheme="minorHAnsi"/>
                <w:sz w:val="24"/>
                <w:szCs w:val="24"/>
                <w:lang w:eastAsia="en-GB"/>
              </w:rPr>
            </w:pPr>
          </w:p>
        </w:tc>
        <w:tc>
          <w:tcPr>
            <w:tcW w:w="878" w:type="pct"/>
            <w:noWrap/>
            <w:hideMark/>
          </w:tcPr>
          <w:p w14:paraId="6692DCAD"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Estimate</w:t>
            </w:r>
          </w:p>
        </w:tc>
        <w:tc>
          <w:tcPr>
            <w:tcW w:w="864" w:type="pct"/>
            <w:noWrap/>
            <w:hideMark/>
          </w:tcPr>
          <w:p w14:paraId="2B28B7C9"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Std. Error</w:t>
            </w:r>
          </w:p>
        </w:tc>
        <w:tc>
          <w:tcPr>
            <w:tcW w:w="717" w:type="pct"/>
            <w:noWrap/>
            <w:hideMark/>
          </w:tcPr>
          <w:p w14:paraId="541F52D0"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t value</w:t>
            </w:r>
          </w:p>
        </w:tc>
        <w:tc>
          <w:tcPr>
            <w:tcW w:w="830" w:type="pct"/>
            <w:noWrap/>
            <w:hideMark/>
          </w:tcPr>
          <w:p w14:paraId="50B8E9A0"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940C3">
              <w:rPr>
                <w:rFonts w:eastAsia="Times New Roman" w:cstheme="minorHAnsi"/>
                <w:color w:val="000000"/>
                <w:lang w:eastAsia="en-GB"/>
              </w:rPr>
              <w:t>Pr</w:t>
            </w:r>
            <w:proofErr w:type="spellEnd"/>
            <w:r w:rsidRPr="004940C3">
              <w:rPr>
                <w:rFonts w:eastAsia="Times New Roman" w:cstheme="minorHAnsi"/>
                <w:color w:val="000000"/>
                <w:lang w:eastAsia="en-GB"/>
              </w:rPr>
              <w:t>(&gt;|t|)</w:t>
            </w:r>
          </w:p>
        </w:tc>
        <w:tc>
          <w:tcPr>
            <w:tcW w:w="673" w:type="pct"/>
            <w:noWrap/>
            <w:hideMark/>
          </w:tcPr>
          <w:p w14:paraId="60E786D3" w14:textId="77777777" w:rsidR="005B0F62" w:rsidRPr="004940C3"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940C3">
              <w:rPr>
                <w:rFonts w:eastAsia="Times New Roman" w:cstheme="minorHAnsi"/>
                <w:color w:val="000000"/>
                <w:lang w:eastAsia="en-GB"/>
              </w:rPr>
              <w:t>Signif</w:t>
            </w:r>
            <w:proofErr w:type="spellEnd"/>
            <w:r w:rsidRPr="004940C3">
              <w:rPr>
                <w:rFonts w:eastAsia="Times New Roman" w:cstheme="minorHAnsi"/>
                <w:color w:val="000000"/>
                <w:lang w:eastAsia="en-GB"/>
              </w:rPr>
              <w:t>.</w:t>
            </w:r>
          </w:p>
        </w:tc>
      </w:tr>
      <w:tr w:rsidR="005B0F62" w:rsidRPr="001370A2" w14:paraId="2DF5BA41"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140C6795"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(Intercept)</w:t>
            </w:r>
          </w:p>
        </w:tc>
        <w:tc>
          <w:tcPr>
            <w:tcW w:w="878" w:type="pct"/>
            <w:noWrap/>
            <w:hideMark/>
          </w:tcPr>
          <w:p w14:paraId="3AEE85F0"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5.017</w:t>
            </w:r>
          </w:p>
        </w:tc>
        <w:tc>
          <w:tcPr>
            <w:tcW w:w="864" w:type="pct"/>
            <w:noWrap/>
            <w:hideMark/>
          </w:tcPr>
          <w:p w14:paraId="6B95149D"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0.209</w:t>
            </w:r>
          </w:p>
        </w:tc>
        <w:tc>
          <w:tcPr>
            <w:tcW w:w="717" w:type="pct"/>
            <w:noWrap/>
            <w:hideMark/>
          </w:tcPr>
          <w:p w14:paraId="5144AF5D"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24.035</w:t>
            </w:r>
          </w:p>
        </w:tc>
        <w:tc>
          <w:tcPr>
            <w:tcW w:w="830" w:type="pct"/>
            <w:noWrap/>
            <w:hideMark/>
          </w:tcPr>
          <w:p w14:paraId="53086504"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&lt; 2e-16</w:t>
            </w:r>
          </w:p>
        </w:tc>
        <w:tc>
          <w:tcPr>
            <w:tcW w:w="673" w:type="pct"/>
            <w:noWrap/>
            <w:hideMark/>
          </w:tcPr>
          <w:p w14:paraId="04182951"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733C040B"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46F7216F"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Mar_19</w:t>
            </w:r>
          </w:p>
        </w:tc>
        <w:tc>
          <w:tcPr>
            <w:tcW w:w="878" w:type="pct"/>
            <w:noWrap/>
            <w:hideMark/>
          </w:tcPr>
          <w:p w14:paraId="11CA86A7"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-2.084</w:t>
            </w:r>
          </w:p>
        </w:tc>
        <w:tc>
          <w:tcPr>
            <w:tcW w:w="864" w:type="pct"/>
            <w:noWrap/>
            <w:hideMark/>
          </w:tcPr>
          <w:p w14:paraId="219C7AA7"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0.306</w:t>
            </w:r>
          </w:p>
        </w:tc>
        <w:tc>
          <w:tcPr>
            <w:tcW w:w="717" w:type="pct"/>
            <w:noWrap/>
            <w:hideMark/>
          </w:tcPr>
          <w:p w14:paraId="0B1A252C"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-6.820</w:t>
            </w:r>
          </w:p>
        </w:tc>
        <w:tc>
          <w:tcPr>
            <w:tcW w:w="830" w:type="pct"/>
            <w:noWrap/>
            <w:hideMark/>
          </w:tcPr>
          <w:p w14:paraId="0510CDEC"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73" w:type="pct"/>
            <w:noWrap/>
            <w:hideMark/>
          </w:tcPr>
          <w:p w14:paraId="70B88E67"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305F485B"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6074194C"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May_19</w:t>
            </w:r>
          </w:p>
        </w:tc>
        <w:tc>
          <w:tcPr>
            <w:tcW w:w="878" w:type="pct"/>
            <w:noWrap/>
            <w:hideMark/>
          </w:tcPr>
          <w:p w14:paraId="60FB69D3"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-1.893</w:t>
            </w:r>
          </w:p>
        </w:tc>
        <w:tc>
          <w:tcPr>
            <w:tcW w:w="864" w:type="pct"/>
            <w:noWrap/>
            <w:hideMark/>
          </w:tcPr>
          <w:p w14:paraId="2817AF1A"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0.362</w:t>
            </w:r>
          </w:p>
        </w:tc>
        <w:tc>
          <w:tcPr>
            <w:tcW w:w="717" w:type="pct"/>
            <w:noWrap/>
            <w:hideMark/>
          </w:tcPr>
          <w:p w14:paraId="2FA53E0E"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-5.236</w:t>
            </w:r>
          </w:p>
        </w:tc>
        <w:tc>
          <w:tcPr>
            <w:tcW w:w="830" w:type="pct"/>
            <w:noWrap/>
            <w:hideMark/>
          </w:tcPr>
          <w:p w14:paraId="714A6F1B"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73" w:type="pct"/>
            <w:noWrap/>
            <w:hideMark/>
          </w:tcPr>
          <w:p w14:paraId="4F955EB6"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51D2E2DC"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52679589"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Jun_19</w:t>
            </w:r>
          </w:p>
        </w:tc>
        <w:tc>
          <w:tcPr>
            <w:tcW w:w="878" w:type="pct"/>
            <w:noWrap/>
            <w:hideMark/>
          </w:tcPr>
          <w:p w14:paraId="6AE097BC"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-1.762</w:t>
            </w:r>
          </w:p>
        </w:tc>
        <w:tc>
          <w:tcPr>
            <w:tcW w:w="864" w:type="pct"/>
            <w:noWrap/>
            <w:hideMark/>
          </w:tcPr>
          <w:p w14:paraId="452A07E0"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0.306</w:t>
            </w:r>
          </w:p>
        </w:tc>
        <w:tc>
          <w:tcPr>
            <w:tcW w:w="717" w:type="pct"/>
            <w:noWrap/>
            <w:hideMark/>
          </w:tcPr>
          <w:p w14:paraId="787CEA86"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-5.767</w:t>
            </w:r>
          </w:p>
        </w:tc>
        <w:tc>
          <w:tcPr>
            <w:tcW w:w="830" w:type="pct"/>
            <w:noWrap/>
            <w:hideMark/>
          </w:tcPr>
          <w:p w14:paraId="6B3E01D3"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73" w:type="pct"/>
            <w:noWrap/>
            <w:hideMark/>
          </w:tcPr>
          <w:p w14:paraId="44D8F244"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7FC1B7F4"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2255E8B1"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Jul_19</w:t>
            </w:r>
          </w:p>
        </w:tc>
        <w:tc>
          <w:tcPr>
            <w:tcW w:w="878" w:type="pct"/>
            <w:noWrap/>
            <w:hideMark/>
          </w:tcPr>
          <w:p w14:paraId="54CC8ED0"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-0.941</w:t>
            </w:r>
          </w:p>
        </w:tc>
        <w:tc>
          <w:tcPr>
            <w:tcW w:w="864" w:type="pct"/>
            <w:noWrap/>
            <w:hideMark/>
          </w:tcPr>
          <w:p w14:paraId="468FAA76"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0.348</w:t>
            </w:r>
          </w:p>
        </w:tc>
        <w:tc>
          <w:tcPr>
            <w:tcW w:w="717" w:type="pct"/>
            <w:noWrap/>
            <w:hideMark/>
          </w:tcPr>
          <w:p w14:paraId="108B5619"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-2.704</w:t>
            </w:r>
          </w:p>
        </w:tc>
        <w:tc>
          <w:tcPr>
            <w:tcW w:w="830" w:type="pct"/>
            <w:noWrap/>
            <w:hideMark/>
          </w:tcPr>
          <w:p w14:paraId="4C72BFC5" w14:textId="77777777" w:rsidR="005B0F62" w:rsidRPr="004940C3"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0.009</w:t>
            </w:r>
          </w:p>
        </w:tc>
        <w:tc>
          <w:tcPr>
            <w:tcW w:w="673" w:type="pct"/>
            <w:noWrap/>
            <w:hideMark/>
          </w:tcPr>
          <w:p w14:paraId="6933B55E" w14:textId="77777777" w:rsidR="005B0F62" w:rsidRPr="004940C3"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r w:rsidR="005B0F62" w:rsidRPr="001370A2" w14:paraId="2B09D9EB"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038" w:type="pct"/>
            <w:noWrap/>
            <w:hideMark/>
          </w:tcPr>
          <w:p w14:paraId="45BAFF8E" w14:textId="77777777" w:rsidR="005B0F62" w:rsidRPr="004940C3" w:rsidRDefault="005B0F62" w:rsidP="00986671">
            <w:pPr>
              <w:rPr>
                <w:rFonts w:eastAsia="Times New Roman" w:cstheme="minorHAnsi"/>
                <w:color w:val="000000"/>
                <w:lang w:eastAsia="en-GB"/>
              </w:rPr>
            </w:pPr>
            <w:r w:rsidRPr="004940C3">
              <w:rPr>
                <w:rFonts w:eastAsia="Times New Roman" w:cstheme="minorHAnsi"/>
                <w:color w:val="000000"/>
                <w:lang w:eastAsia="en-GB"/>
              </w:rPr>
              <w:t>Nov_19</w:t>
            </w:r>
          </w:p>
        </w:tc>
        <w:tc>
          <w:tcPr>
            <w:tcW w:w="878" w:type="pct"/>
            <w:noWrap/>
            <w:hideMark/>
          </w:tcPr>
          <w:p w14:paraId="31EAC46D"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-1.124</w:t>
            </w:r>
          </w:p>
        </w:tc>
        <w:tc>
          <w:tcPr>
            <w:tcW w:w="864" w:type="pct"/>
            <w:noWrap/>
            <w:hideMark/>
          </w:tcPr>
          <w:p w14:paraId="167E5B46"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0.287</w:t>
            </w:r>
          </w:p>
        </w:tc>
        <w:tc>
          <w:tcPr>
            <w:tcW w:w="717" w:type="pct"/>
            <w:noWrap/>
            <w:hideMark/>
          </w:tcPr>
          <w:p w14:paraId="08803F76"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-3.918</w:t>
            </w:r>
          </w:p>
        </w:tc>
        <w:tc>
          <w:tcPr>
            <w:tcW w:w="830" w:type="pct"/>
            <w:noWrap/>
            <w:hideMark/>
          </w:tcPr>
          <w:p w14:paraId="3B0F39BB" w14:textId="77777777" w:rsidR="005B0F62" w:rsidRPr="004940C3"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0.000</w:t>
            </w:r>
          </w:p>
        </w:tc>
        <w:tc>
          <w:tcPr>
            <w:tcW w:w="673" w:type="pct"/>
            <w:noWrap/>
            <w:hideMark/>
          </w:tcPr>
          <w:p w14:paraId="522686AF" w14:textId="77777777" w:rsidR="005B0F62" w:rsidRPr="004940C3"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940C3">
              <w:rPr>
                <w:rFonts w:eastAsia="Times New Roman" w:cstheme="minorHAnsi"/>
                <w:color w:val="000000"/>
                <w:lang w:eastAsia="en-GB"/>
              </w:rPr>
              <w:t>***</w:t>
            </w:r>
          </w:p>
        </w:tc>
      </w:tr>
    </w:tbl>
    <w:p w14:paraId="104FED5A" w14:textId="6463C6D5" w:rsidR="005B0F62" w:rsidRPr="003F7B94" w:rsidRDefault="005B0F62" w:rsidP="005B0F62">
      <w:pPr>
        <w:spacing w:line="240" w:lineRule="auto"/>
        <w:rPr>
          <w:rFonts w:cstheme="minorHAnsi"/>
          <w:b/>
          <w:bCs/>
        </w:rPr>
      </w:pPr>
      <w:bookmarkStart w:id="20" w:name="_Ref115364840"/>
      <w:r w:rsidRPr="003F7B94">
        <w:rPr>
          <w:b/>
          <w:bCs/>
        </w:rPr>
        <w:t xml:space="preserve">Table S </w:t>
      </w:r>
      <w:r w:rsidRPr="003F7B94">
        <w:rPr>
          <w:b/>
          <w:bCs/>
        </w:rPr>
        <w:fldChar w:fldCharType="begin"/>
      </w:r>
      <w:r w:rsidRPr="003F7B94">
        <w:rPr>
          <w:b/>
          <w:bCs/>
        </w:rPr>
        <w:instrText xml:space="preserve"> SEQ Table_S \* ARABIC </w:instrText>
      </w:r>
      <w:r w:rsidRPr="003F7B94">
        <w:rPr>
          <w:b/>
          <w:bCs/>
        </w:rPr>
        <w:fldChar w:fldCharType="separate"/>
      </w:r>
      <w:r w:rsidR="00B15C60">
        <w:rPr>
          <w:b/>
          <w:bCs/>
          <w:noProof/>
        </w:rPr>
        <w:t>7</w:t>
      </w:r>
      <w:r w:rsidRPr="003F7B94">
        <w:rPr>
          <w:b/>
          <w:bCs/>
        </w:rPr>
        <w:fldChar w:fldCharType="end"/>
      </w:r>
      <w:bookmarkEnd w:id="20"/>
      <w:r w:rsidRPr="003F7B94">
        <w:rPr>
          <w:b/>
          <w:bCs/>
        </w:rPr>
        <w:t xml:space="preserve">: </w:t>
      </w:r>
      <w:r w:rsidRPr="003F7B94">
        <w:rPr>
          <w:rFonts w:cstheme="minorHAnsi"/>
          <w:b/>
          <w:bCs/>
        </w:rPr>
        <w:t>Distanced-based linear model showing the best environmental and host specific predictors of gut microbial community composition in Atlantic Salmon parr in a river habitat. Model assessed the marginal effects of the predictors (“by margin”). Significance code: ***&lt;0.001</w:t>
      </w:r>
    </w:p>
    <w:tbl>
      <w:tblPr>
        <w:tblStyle w:val="PlainTable1"/>
        <w:tblW w:w="5000" w:type="pct"/>
        <w:tblLook w:val="04A0" w:firstRow="1" w:lastRow="0" w:firstColumn="1" w:lastColumn="0" w:noHBand="0" w:noVBand="1"/>
      </w:tblPr>
      <w:tblGrid>
        <w:gridCol w:w="2602"/>
        <w:gridCol w:w="664"/>
        <w:gridCol w:w="1657"/>
        <w:gridCol w:w="1221"/>
        <w:gridCol w:w="914"/>
        <w:gridCol w:w="1004"/>
        <w:gridCol w:w="954"/>
      </w:tblGrid>
      <w:tr w:rsidR="005B0F62" w:rsidRPr="001370A2" w14:paraId="7C65A58F" w14:textId="77777777" w:rsidTr="00986671">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443" w:type="pct"/>
            <w:noWrap/>
            <w:hideMark/>
          </w:tcPr>
          <w:p w14:paraId="655144F9" w14:textId="77777777" w:rsidR="005B0F62" w:rsidRPr="002A113A" w:rsidRDefault="005B0F62" w:rsidP="00986671">
            <w:pPr>
              <w:rPr>
                <w:rFonts w:eastAsia="Times New Roman" w:cstheme="minorHAnsi"/>
                <w:lang w:eastAsia="en-GB"/>
              </w:rPr>
            </w:pPr>
            <w:r w:rsidRPr="001370A2">
              <w:rPr>
                <w:rFonts w:eastAsia="Times New Roman" w:cstheme="minorHAnsi"/>
                <w:lang w:eastAsia="en-GB"/>
              </w:rPr>
              <w:lastRenderedPageBreak/>
              <w:t>Predictor</w:t>
            </w:r>
          </w:p>
        </w:tc>
        <w:tc>
          <w:tcPr>
            <w:tcW w:w="368" w:type="pct"/>
            <w:noWrap/>
            <w:hideMark/>
          </w:tcPr>
          <w:p w14:paraId="79CFF5E5"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2A113A">
              <w:rPr>
                <w:rFonts w:eastAsia="Times New Roman" w:cstheme="minorHAnsi"/>
                <w:color w:val="000000"/>
                <w:lang w:eastAsia="en-GB"/>
              </w:rPr>
              <w:t>Df</w:t>
            </w:r>
            <w:proofErr w:type="spellEnd"/>
          </w:p>
        </w:tc>
        <w:tc>
          <w:tcPr>
            <w:tcW w:w="919" w:type="pct"/>
            <w:noWrap/>
            <w:hideMark/>
          </w:tcPr>
          <w:p w14:paraId="3A19528B"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2A113A">
              <w:rPr>
                <w:rFonts w:eastAsia="Times New Roman" w:cstheme="minorHAnsi"/>
                <w:color w:val="000000"/>
                <w:lang w:eastAsia="en-GB"/>
              </w:rPr>
              <w:t>SumOfSqs</w:t>
            </w:r>
            <w:proofErr w:type="spellEnd"/>
          </w:p>
        </w:tc>
        <w:tc>
          <w:tcPr>
            <w:tcW w:w="677" w:type="pct"/>
            <w:noWrap/>
            <w:hideMark/>
          </w:tcPr>
          <w:p w14:paraId="78807E2D"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R2</w:t>
            </w:r>
          </w:p>
        </w:tc>
        <w:tc>
          <w:tcPr>
            <w:tcW w:w="507" w:type="pct"/>
            <w:noWrap/>
            <w:hideMark/>
          </w:tcPr>
          <w:p w14:paraId="747582D3"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F</w:t>
            </w:r>
          </w:p>
        </w:tc>
        <w:tc>
          <w:tcPr>
            <w:tcW w:w="557" w:type="pct"/>
            <w:noWrap/>
            <w:hideMark/>
          </w:tcPr>
          <w:p w14:paraId="5B28C9DE"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2A113A">
              <w:rPr>
                <w:rFonts w:eastAsia="Times New Roman" w:cstheme="minorHAnsi"/>
                <w:color w:val="000000"/>
                <w:lang w:eastAsia="en-GB"/>
              </w:rPr>
              <w:t>Pr</w:t>
            </w:r>
            <w:proofErr w:type="spellEnd"/>
            <w:r w:rsidRPr="002A113A">
              <w:rPr>
                <w:rFonts w:eastAsia="Times New Roman" w:cstheme="minorHAnsi"/>
                <w:color w:val="000000"/>
                <w:lang w:eastAsia="en-GB"/>
              </w:rPr>
              <w:t>(&gt;F)</w:t>
            </w:r>
          </w:p>
        </w:tc>
        <w:tc>
          <w:tcPr>
            <w:tcW w:w="530" w:type="pct"/>
            <w:noWrap/>
            <w:hideMark/>
          </w:tcPr>
          <w:p w14:paraId="46D5352C" w14:textId="77777777" w:rsidR="005B0F62" w:rsidRPr="002A113A"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1370A2">
              <w:rPr>
                <w:rFonts w:eastAsia="Times New Roman" w:cstheme="minorHAnsi"/>
                <w:color w:val="000000"/>
                <w:lang w:eastAsia="en-GB"/>
              </w:rPr>
              <w:t>Signif</w:t>
            </w:r>
            <w:proofErr w:type="spellEnd"/>
            <w:r w:rsidRPr="001370A2">
              <w:rPr>
                <w:rFonts w:eastAsia="Times New Roman" w:cstheme="minorHAnsi"/>
                <w:color w:val="000000"/>
                <w:lang w:eastAsia="en-GB"/>
              </w:rPr>
              <w:t>.</w:t>
            </w:r>
          </w:p>
        </w:tc>
      </w:tr>
      <w:tr w:rsidR="005B0F62" w:rsidRPr="001370A2" w14:paraId="30A3F4FF" w14:textId="77777777" w:rsidTr="00986671">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443" w:type="pct"/>
            <w:noWrap/>
            <w:hideMark/>
          </w:tcPr>
          <w:p w14:paraId="628D5137" w14:textId="77777777" w:rsidR="005B0F62" w:rsidRPr="002A113A" w:rsidRDefault="005B0F62" w:rsidP="00986671">
            <w:pPr>
              <w:rPr>
                <w:rFonts w:eastAsia="Times New Roman" w:cstheme="minorHAnsi"/>
                <w:color w:val="000000"/>
                <w:lang w:eastAsia="en-GB"/>
              </w:rPr>
            </w:pPr>
            <w:r w:rsidRPr="002A113A">
              <w:rPr>
                <w:rFonts w:eastAsia="Times New Roman" w:cstheme="minorHAnsi"/>
                <w:color w:val="000000"/>
                <w:lang w:eastAsia="en-GB"/>
              </w:rPr>
              <w:t>Temp</w:t>
            </w:r>
            <w:r w:rsidRPr="001370A2">
              <w:rPr>
                <w:rFonts w:eastAsia="Times New Roman" w:cstheme="minorHAnsi"/>
                <w:color w:val="000000"/>
                <w:lang w:eastAsia="en-GB"/>
              </w:rPr>
              <w:t>erature</w:t>
            </w:r>
          </w:p>
        </w:tc>
        <w:tc>
          <w:tcPr>
            <w:tcW w:w="368" w:type="pct"/>
            <w:noWrap/>
            <w:hideMark/>
          </w:tcPr>
          <w:p w14:paraId="627184F8"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1</w:t>
            </w:r>
          </w:p>
        </w:tc>
        <w:tc>
          <w:tcPr>
            <w:tcW w:w="919" w:type="pct"/>
            <w:noWrap/>
            <w:hideMark/>
          </w:tcPr>
          <w:p w14:paraId="3806FDB4"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0.972</w:t>
            </w:r>
          </w:p>
        </w:tc>
        <w:tc>
          <w:tcPr>
            <w:tcW w:w="677" w:type="pct"/>
            <w:noWrap/>
            <w:hideMark/>
          </w:tcPr>
          <w:p w14:paraId="7F3FB389"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0.031</w:t>
            </w:r>
          </w:p>
        </w:tc>
        <w:tc>
          <w:tcPr>
            <w:tcW w:w="507" w:type="pct"/>
            <w:noWrap/>
            <w:hideMark/>
          </w:tcPr>
          <w:p w14:paraId="49D7841B"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2.556</w:t>
            </w:r>
          </w:p>
        </w:tc>
        <w:tc>
          <w:tcPr>
            <w:tcW w:w="557" w:type="pct"/>
            <w:noWrap/>
            <w:hideMark/>
          </w:tcPr>
          <w:p w14:paraId="6BF3EB07"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1.00E-04</w:t>
            </w:r>
          </w:p>
        </w:tc>
        <w:tc>
          <w:tcPr>
            <w:tcW w:w="530" w:type="pct"/>
            <w:noWrap/>
            <w:hideMark/>
          </w:tcPr>
          <w:p w14:paraId="078C68FA" w14:textId="77777777" w:rsidR="005B0F62" w:rsidRPr="002A113A"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w:t>
            </w:r>
          </w:p>
        </w:tc>
      </w:tr>
      <w:tr w:rsidR="005B0F62" w:rsidRPr="001370A2" w14:paraId="371576D1" w14:textId="77777777" w:rsidTr="00986671">
        <w:trPr>
          <w:trHeight w:val="295"/>
        </w:trPr>
        <w:tc>
          <w:tcPr>
            <w:cnfStyle w:val="001000000000" w:firstRow="0" w:lastRow="0" w:firstColumn="1" w:lastColumn="0" w:oddVBand="0" w:evenVBand="0" w:oddHBand="0" w:evenHBand="0" w:firstRowFirstColumn="0" w:firstRowLastColumn="0" w:lastRowFirstColumn="0" w:lastRowLastColumn="0"/>
            <w:tcW w:w="1443" w:type="pct"/>
            <w:noWrap/>
            <w:hideMark/>
          </w:tcPr>
          <w:p w14:paraId="1CFA9AA1" w14:textId="77777777" w:rsidR="005B0F62" w:rsidRPr="002A113A" w:rsidRDefault="005B0F62" w:rsidP="00986671">
            <w:pPr>
              <w:rPr>
                <w:rFonts w:eastAsia="Times New Roman" w:cstheme="minorHAnsi"/>
                <w:color w:val="000000"/>
                <w:lang w:eastAsia="en-GB"/>
              </w:rPr>
            </w:pPr>
            <w:r w:rsidRPr="002A113A">
              <w:rPr>
                <w:rFonts w:eastAsia="Times New Roman" w:cstheme="minorHAnsi"/>
                <w:color w:val="000000"/>
                <w:lang w:eastAsia="en-GB"/>
              </w:rPr>
              <w:t>Age</w:t>
            </w:r>
          </w:p>
        </w:tc>
        <w:tc>
          <w:tcPr>
            <w:tcW w:w="368" w:type="pct"/>
            <w:noWrap/>
            <w:hideMark/>
          </w:tcPr>
          <w:p w14:paraId="550ACA9C"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1</w:t>
            </w:r>
          </w:p>
        </w:tc>
        <w:tc>
          <w:tcPr>
            <w:tcW w:w="919" w:type="pct"/>
            <w:noWrap/>
            <w:hideMark/>
          </w:tcPr>
          <w:p w14:paraId="1A0B9E63"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1.364</w:t>
            </w:r>
          </w:p>
        </w:tc>
        <w:tc>
          <w:tcPr>
            <w:tcW w:w="677" w:type="pct"/>
            <w:noWrap/>
            <w:hideMark/>
          </w:tcPr>
          <w:p w14:paraId="4AC7FC07"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0.044</w:t>
            </w:r>
          </w:p>
        </w:tc>
        <w:tc>
          <w:tcPr>
            <w:tcW w:w="507" w:type="pct"/>
            <w:noWrap/>
            <w:hideMark/>
          </w:tcPr>
          <w:p w14:paraId="751C7DFE"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3.587</w:t>
            </w:r>
          </w:p>
        </w:tc>
        <w:tc>
          <w:tcPr>
            <w:tcW w:w="557" w:type="pct"/>
            <w:noWrap/>
            <w:hideMark/>
          </w:tcPr>
          <w:p w14:paraId="611A773A"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4.00E-04</w:t>
            </w:r>
          </w:p>
        </w:tc>
        <w:tc>
          <w:tcPr>
            <w:tcW w:w="530" w:type="pct"/>
            <w:noWrap/>
            <w:hideMark/>
          </w:tcPr>
          <w:p w14:paraId="4F5CD2F2" w14:textId="77777777" w:rsidR="005B0F62" w:rsidRPr="002A113A"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w:t>
            </w:r>
          </w:p>
        </w:tc>
      </w:tr>
      <w:tr w:rsidR="005B0F62" w:rsidRPr="001370A2" w14:paraId="341B09E9" w14:textId="77777777" w:rsidTr="00986671">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443" w:type="pct"/>
            <w:noWrap/>
            <w:hideMark/>
          </w:tcPr>
          <w:p w14:paraId="4D7BEECA" w14:textId="77777777" w:rsidR="005B0F62" w:rsidRPr="002A113A" w:rsidRDefault="005B0F62" w:rsidP="00986671">
            <w:pPr>
              <w:rPr>
                <w:rFonts w:eastAsia="Times New Roman" w:cstheme="minorHAnsi"/>
                <w:color w:val="000000"/>
                <w:lang w:eastAsia="en-GB"/>
              </w:rPr>
            </w:pPr>
            <w:r w:rsidRPr="002A113A">
              <w:rPr>
                <w:rFonts w:eastAsia="Times New Roman" w:cstheme="minorHAnsi"/>
                <w:color w:val="000000"/>
                <w:lang w:eastAsia="en-GB"/>
              </w:rPr>
              <w:t>Residual</w:t>
            </w:r>
          </w:p>
        </w:tc>
        <w:tc>
          <w:tcPr>
            <w:tcW w:w="368" w:type="pct"/>
            <w:noWrap/>
            <w:hideMark/>
          </w:tcPr>
          <w:p w14:paraId="2684A46F"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75</w:t>
            </w:r>
          </w:p>
        </w:tc>
        <w:tc>
          <w:tcPr>
            <w:tcW w:w="919" w:type="pct"/>
            <w:noWrap/>
            <w:hideMark/>
          </w:tcPr>
          <w:p w14:paraId="49A50320"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28.903</w:t>
            </w:r>
          </w:p>
        </w:tc>
        <w:tc>
          <w:tcPr>
            <w:tcW w:w="677" w:type="pct"/>
            <w:noWrap/>
            <w:hideMark/>
          </w:tcPr>
          <w:p w14:paraId="5A75C36E"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0.885</w:t>
            </w:r>
          </w:p>
        </w:tc>
        <w:tc>
          <w:tcPr>
            <w:tcW w:w="507" w:type="pct"/>
            <w:noWrap/>
            <w:hideMark/>
          </w:tcPr>
          <w:p w14:paraId="72D746DF"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557" w:type="pct"/>
            <w:noWrap/>
            <w:hideMark/>
          </w:tcPr>
          <w:p w14:paraId="47C6D924"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530" w:type="pct"/>
            <w:noWrap/>
            <w:hideMark/>
          </w:tcPr>
          <w:p w14:paraId="328504EF" w14:textId="77777777" w:rsidR="005B0F62" w:rsidRPr="002A113A"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r>
      <w:tr w:rsidR="005B0F62" w:rsidRPr="001370A2" w14:paraId="7B004FA2" w14:textId="77777777" w:rsidTr="00986671">
        <w:trPr>
          <w:trHeight w:val="295"/>
        </w:trPr>
        <w:tc>
          <w:tcPr>
            <w:cnfStyle w:val="001000000000" w:firstRow="0" w:lastRow="0" w:firstColumn="1" w:lastColumn="0" w:oddVBand="0" w:evenVBand="0" w:oddHBand="0" w:evenHBand="0" w:firstRowFirstColumn="0" w:firstRowLastColumn="0" w:lastRowFirstColumn="0" w:lastRowLastColumn="0"/>
            <w:tcW w:w="1443" w:type="pct"/>
            <w:noWrap/>
            <w:hideMark/>
          </w:tcPr>
          <w:p w14:paraId="0C57F542" w14:textId="77777777" w:rsidR="005B0F62" w:rsidRPr="002A113A" w:rsidRDefault="005B0F62" w:rsidP="00986671">
            <w:pPr>
              <w:rPr>
                <w:rFonts w:eastAsia="Times New Roman" w:cstheme="minorHAnsi"/>
                <w:color w:val="000000"/>
                <w:lang w:eastAsia="en-GB"/>
              </w:rPr>
            </w:pPr>
            <w:r w:rsidRPr="002A113A">
              <w:rPr>
                <w:rFonts w:eastAsia="Times New Roman" w:cstheme="minorHAnsi"/>
                <w:color w:val="000000"/>
                <w:lang w:eastAsia="en-GB"/>
              </w:rPr>
              <w:t>Total</w:t>
            </w:r>
          </w:p>
        </w:tc>
        <w:tc>
          <w:tcPr>
            <w:tcW w:w="368" w:type="pct"/>
            <w:noWrap/>
            <w:hideMark/>
          </w:tcPr>
          <w:p w14:paraId="25688EA3"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78</w:t>
            </w:r>
          </w:p>
        </w:tc>
        <w:tc>
          <w:tcPr>
            <w:tcW w:w="919" w:type="pct"/>
            <w:noWrap/>
            <w:hideMark/>
          </w:tcPr>
          <w:p w14:paraId="3734DCC1"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2A113A">
              <w:rPr>
                <w:rFonts w:eastAsia="Times New Roman" w:cstheme="minorHAnsi"/>
                <w:color w:val="000000"/>
                <w:lang w:eastAsia="en-GB"/>
              </w:rPr>
              <w:t>31.221</w:t>
            </w:r>
          </w:p>
        </w:tc>
        <w:tc>
          <w:tcPr>
            <w:tcW w:w="677" w:type="pct"/>
            <w:noWrap/>
            <w:hideMark/>
          </w:tcPr>
          <w:p w14:paraId="0205B447"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0.926</w:t>
            </w:r>
          </w:p>
        </w:tc>
        <w:tc>
          <w:tcPr>
            <w:tcW w:w="507" w:type="pct"/>
            <w:noWrap/>
            <w:hideMark/>
          </w:tcPr>
          <w:p w14:paraId="2FE1CB4E" w14:textId="77777777" w:rsidR="005B0F62" w:rsidRPr="002A113A"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c>
          <w:tcPr>
            <w:tcW w:w="557" w:type="pct"/>
            <w:noWrap/>
            <w:hideMark/>
          </w:tcPr>
          <w:p w14:paraId="04413C12" w14:textId="77777777" w:rsidR="005B0F62" w:rsidRPr="002A113A"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c>
          <w:tcPr>
            <w:tcW w:w="530" w:type="pct"/>
            <w:noWrap/>
            <w:hideMark/>
          </w:tcPr>
          <w:p w14:paraId="55AA22A7" w14:textId="77777777" w:rsidR="005B0F62" w:rsidRPr="002A113A"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lang w:eastAsia="en-GB"/>
              </w:rPr>
            </w:pPr>
          </w:p>
        </w:tc>
      </w:tr>
      <w:tr w:rsidR="005B0F62" w:rsidRPr="001370A2" w14:paraId="6617431D" w14:textId="77777777" w:rsidTr="00986671">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443" w:type="pct"/>
            <w:noWrap/>
          </w:tcPr>
          <w:p w14:paraId="55FBFA6D" w14:textId="77777777" w:rsidR="005B0F62" w:rsidRPr="002A113A" w:rsidRDefault="005B0F62" w:rsidP="00986671">
            <w:pPr>
              <w:rPr>
                <w:rFonts w:eastAsia="Times New Roman" w:cstheme="minorHAnsi"/>
                <w:color w:val="000000"/>
                <w:lang w:eastAsia="en-GB"/>
              </w:rPr>
            </w:pPr>
          </w:p>
        </w:tc>
        <w:tc>
          <w:tcPr>
            <w:tcW w:w="368" w:type="pct"/>
            <w:noWrap/>
          </w:tcPr>
          <w:p w14:paraId="3EC31C1D"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919" w:type="pct"/>
            <w:noWrap/>
          </w:tcPr>
          <w:p w14:paraId="5E1A4951"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677" w:type="pct"/>
            <w:noWrap/>
          </w:tcPr>
          <w:p w14:paraId="317B9EE3"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Pr>
                <w:rFonts w:eastAsia="Times New Roman" w:cstheme="minorHAnsi"/>
                <w:color w:val="000000"/>
                <w:lang w:eastAsia="en-GB"/>
              </w:rPr>
              <w:t>1</w:t>
            </w:r>
          </w:p>
        </w:tc>
        <w:tc>
          <w:tcPr>
            <w:tcW w:w="507" w:type="pct"/>
            <w:noWrap/>
          </w:tcPr>
          <w:p w14:paraId="6E8B4AF8" w14:textId="77777777" w:rsidR="005B0F62" w:rsidRPr="002A113A"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
        </w:tc>
        <w:tc>
          <w:tcPr>
            <w:tcW w:w="557" w:type="pct"/>
            <w:noWrap/>
          </w:tcPr>
          <w:p w14:paraId="70C80A7F" w14:textId="77777777" w:rsidR="005B0F62" w:rsidRPr="002A113A"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c>
          <w:tcPr>
            <w:tcW w:w="530" w:type="pct"/>
            <w:noWrap/>
          </w:tcPr>
          <w:p w14:paraId="45479476" w14:textId="77777777" w:rsidR="005B0F62" w:rsidRPr="002A113A"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lang w:eastAsia="en-GB"/>
              </w:rPr>
            </w:pPr>
          </w:p>
        </w:tc>
      </w:tr>
    </w:tbl>
    <w:p w14:paraId="25769DFB" w14:textId="77777777" w:rsidR="005B0F62" w:rsidRPr="001370A2" w:rsidRDefault="005B0F62" w:rsidP="005B0F62">
      <w:pPr>
        <w:spacing w:line="240" w:lineRule="auto"/>
        <w:rPr>
          <w:rFonts w:cstheme="minorHAnsi"/>
        </w:rPr>
      </w:pPr>
    </w:p>
    <w:p w14:paraId="529775FB" w14:textId="209A16C4" w:rsidR="005B0F62" w:rsidRPr="003F7B94" w:rsidRDefault="005B0F62" w:rsidP="005B0F62">
      <w:pPr>
        <w:spacing w:line="240" w:lineRule="auto"/>
        <w:rPr>
          <w:rFonts w:cstheme="minorHAnsi"/>
          <w:b/>
          <w:bCs/>
        </w:rPr>
      </w:pPr>
      <w:bookmarkStart w:id="21" w:name="_Ref115364947"/>
      <w:r w:rsidRPr="003F7B94">
        <w:rPr>
          <w:b/>
          <w:bCs/>
        </w:rPr>
        <w:t xml:space="preserve">Table S </w:t>
      </w:r>
      <w:r w:rsidRPr="003F7B94">
        <w:rPr>
          <w:b/>
          <w:bCs/>
        </w:rPr>
        <w:fldChar w:fldCharType="begin"/>
      </w:r>
      <w:r w:rsidRPr="003F7B94">
        <w:rPr>
          <w:b/>
          <w:bCs/>
        </w:rPr>
        <w:instrText xml:space="preserve"> SEQ Table_S \* ARABIC </w:instrText>
      </w:r>
      <w:r w:rsidRPr="003F7B94">
        <w:rPr>
          <w:b/>
          <w:bCs/>
        </w:rPr>
        <w:fldChar w:fldCharType="separate"/>
      </w:r>
      <w:r w:rsidR="00B15C60">
        <w:rPr>
          <w:b/>
          <w:bCs/>
          <w:noProof/>
        </w:rPr>
        <w:t>8</w:t>
      </w:r>
      <w:r w:rsidRPr="003F7B94">
        <w:rPr>
          <w:b/>
          <w:bCs/>
        </w:rPr>
        <w:fldChar w:fldCharType="end"/>
      </w:r>
      <w:bookmarkEnd w:id="21"/>
      <w:r w:rsidRPr="003F7B94">
        <w:rPr>
          <w:b/>
          <w:bCs/>
        </w:rPr>
        <w:t xml:space="preserve">: </w:t>
      </w:r>
      <w:r w:rsidRPr="003F7B94">
        <w:rPr>
          <w:rFonts w:cstheme="minorHAnsi"/>
          <w:b/>
          <w:bCs/>
        </w:rPr>
        <w:t>PERMANOVA testing pairwise comparisons of macroinvertebrate samples grouped by their origin. Significance codes: **&lt;0.01; *&lt;0.05.</w:t>
      </w:r>
    </w:p>
    <w:tbl>
      <w:tblPr>
        <w:tblStyle w:val="PlainTable1"/>
        <w:tblW w:w="5000" w:type="pct"/>
        <w:tblLook w:val="04A0" w:firstRow="1" w:lastRow="0" w:firstColumn="1" w:lastColumn="0" w:noHBand="0" w:noVBand="1"/>
      </w:tblPr>
      <w:tblGrid>
        <w:gridCol w:w="3174"/>
        <w:gridCol w:w="1291"/>
        <w:gridCol w:w="734"/>
        <w:gridCol w:w="835"/>
        <w:gridCol w:w="979"/>
        <w:gridCol w:w="1210"/>
        <w:gridCol w:w="793"/>
      </w:tblGrid>
      <w:tr w:rsidR="005B0F62" w:rsidRPr="001370A2" w14:paraId="3C0EBE07" w14:textId="77777777" w:rsidTr="00986671">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1796092F" w14:textId="77777777" w:rsidR="005B0F62" w:rsidRPr="00476051" w:rsidRDefault="005B0F62" w:rsidP="00986671">
            <w:pPr>
              <w:rPr>
                <w:rFonts w:eastAsia="Times New Roman" w:cstheme="minorHAnsi"/>
                <w:color w:val="000000"/>
                <w:lang w:eastAsia="en-GB"/>
              </w:rPr>
            </w:pPr>
            <w:r w:rsidRPr="00476051">
              <w:rPr>
                <w:rFonts w:eastAsia="Times New Roman" w:cstheme="minorHAnsi"/>
                <w:color w:val="000000"/>
                <w:lang w:eastAsia="en-GB"/>
              </w:rPr>
              <w:t>Groups</w:t>
            </w:r>
          </w:p>
        </w:tc>
        <w:tc>
          <w:tcPr>
            <w:tcW w:w="716" w:type="pct"/>
            <w:noWrap/>
            <w:hideMark/>
          </w:tcPr>
          <w:p w14:paraId="71EB123C"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measure</w:t>
            </w:r>
          </w:p>
        </w:tc>
        <w:tc>
          <w:tcPr>
            <w:tcW w:w="407" w:type="pct"/>
            <w:noWrap/>
            <w:hideMark/>
          </w:tcPr>
          <w:p w14:paraId="6227708B"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F</w:t>
            </w:r>
          </w:p>
        </w:tc>
        <w:tc>
          <w:tcPr>
            <w:tcW w:w="463" w:type="pct"/>
            <w:noWrap/>
            <w:hideMark/>
          </w:tcPr>
          <w:p w14:paraId="1E15824E"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 xml:space="preserve">R2 </w:t>
            </w:r>
          </w:p>
        </w:tc>
        <w:tc>
          <w:tcPr>
            <w:tcW w:w="543" w:type="pct"/>
            <w:noWrap/>
            <w:hideMark/>
          </w:tcPr>
          <w:p w14:paraId="3A349CD7"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p.value</w:t>
            </w:r>
            <w:proofErr w:type="spellEnd"/>
          </w:p>
        </w:tc>
        <w:tc>
          <w:tcPr>
            <w:tcW w:w="671" w:type="pct"/>
            <w:noWrap/>
            <w:hideMark/>
          </w:tcPr>
          <w:p w14:paraId="0F71A7EB"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proofErr w:type="gramStart"/>
            <w:r w:rsidRPr="00476051">
              <w:rPr>
                <w:rFonts w:eastAsia="Times New Roman" w:cstheme="minorHAnsi"/>
                <w:color w:val="000000"/>
                <w:lang w:eastAsia="en-GB"/>
              </w:rPr>
              <w:t>p.adjusted</w:t>
            </w:r>
            <w:proofErr w:type="spellEnd"/>
            <w:proofErr w:type="gramEnd"/>
            <w:r w:rsidRPr="00476051">
              <w:rPr>
                <w:rFonts w:eastAsia="Times New Roman" w:cstheme="minorHAnsi"/>
                <w:color w:val="000000"/>
                <w:lang w:eastAsia="en-GB"/>
              </w:rPr>
              <w:t xml:space="preserve"> </w:t>
            </w:r>
          </w:p>
        </w:tc>
        <w:tc>
          <w:tcPr>
            <w:tcW w:w="440" w:type="pct"/>
            <w:noWrap/>
            <w:hideMark/>
          </w:tcPr>
          <w:p w14:paraId="1643A49C" w14:textId="77777777" w:rsidR="005B0F62" w:rsidRPr="00476051" w:rsidRDefault="005B0F62" w:rsidP="00986671">
            <w:pPr>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Signif</w:t>
            </w:r>
            <w:proofErr w:type="spellEnd"/>
            <w:r w:rsidRPr="00476051">
              <w:rPr>
                <w:rFonts w:eastAsia="Times New Roman" w:cstheme="minorHAnsi"/>
                <w:color w:val="000000"/>
                <w:lang w:eastAsia="en-GB"/>
              </w:rPr>
              <w:t>.</w:t>
            </w:r>
          </w:p>
        </w:tc>
      </w:tr>
      <w:tr w:rsidR="005B0F62" w:rsidRPr="001370A2" w14:paraId="6A4EB149"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1C9CE5B7"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Diptera vs Coleoptera</w:t>
            </w:r>
          </w:p>
        </w:tc>
        <w:tc>
          <w:tcPr>
            <w:tcW w:w="716" w:type="pct"/>
            <w:noWrap/>
            <w:hideMark/>
          </w:tcPr>
          <w:p w14:paraId="4A2568C8"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1831AF8E"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2.695</w:t>
            </w:r>
          </w:p>
        </w:tc>
        <w:tc>
          <w:tcPr>
            <w:tcW w:w="463" w:type="pct"/>
            <w:noWrap/>
            <w:hideMark/>
          </w:tcPr>
          <w:p w14:paraId="45288778"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0.212</w:t>
            </w:r>
          </w:p>
        </w:tc>
        <w:tc>
          <w:tcPr>
            <w:tcW w:w="543" w:type="pct"/>
            <w:noWrap/>
            <w:hideMark/>
          </w:tcPr>
          <w:p w14:paraId="3EE1D8DE"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0.019</w:t>
            </w:r>
          </w:p>
        </w:tc>
        <w:tc>
          <w:tcPr>
            <w:tcW w:w="671" w:type="pct"/>
            <w:noWrap/>
            <w:hideMark/>
          </w:tcPr>
          <w:p w14:paraId="7949810E"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0.024</w:t>
            </w:r>
          </w:p>
        </w:tc>
        <w:tc>
          <w:tcPr>
            <w:tcW w:w="440" w:type="pct"/>
            <w:noWrap/>
            <w:hideMark/>
          </w:tcPr>
          <w:p w14:paraId="13E8F012"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5F853B59"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67F43A0C"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 xml:space="preserve">Diptera vs </w:t>
            </w:r>
            <w:proofErr w:type="spellStart"/>
            <w:r w:rsidRPr="00761CCA">
              <w:rPr>
                <w:rFonts w:eastAsia="Times New Roman" w:cstheme="minorHAnsi"/>
                <w:color w:val="000000"/>
                <w:lang w:eastAsia="en-GB"/>
              </w:rPr>
              <w:t>Trichoptera</w:t>
            </w:r>
            <w:proofErr w:type="spellEnd"/>
          </w:p>
        </w:tc>
        <w:tc>
          <w:tcPr>
            <w:tcW w:w="716" w:type="pct"/>
            <w:noWrap/>
            <w:hideMark/>
          </w:tcPr>
          <w:p w14:paraId="1F63DA38"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54B7537C"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4.427</w:t>
            </w:r>
          </w:p>
        </w:tc>
        <w:tc>
          <w:tcPr>
            <w:tcW w:w="463" w:type="pct"/>
            <w:noWrap/>
            <w:hideMark/>
          </w:tcPr>
          <w:p w14:paraId="180A9E48"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0.307</w:t>
            </w:r>
          </w:p>
        </w:tc>
        <w:tc>
          <w:tcPr>
            <w:tcW w:w="543" w:type="pct"/>
            <w:noWrap/>
            <w:hideMark/>
          </w:tcPr>
          <w:p w14:paraId="6A66E8A6"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0.001</w:t>
            </w:r>
          </w:p>
        </w:tc>
        <w:tc>
          <w:tcPr>
            <w:tcW w:w="671" w:type="pct"/>
            <w:noWrap/>
            <w:hideMark/>
          </w:tcPr>
          <w:p w14:paraId="08F826DD"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32F797BF"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35A5A806"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1542B1AE"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Diptera vs Ephemeroptera</w:t>
            </w:r>
          </w:p>
        </w:tc>
        <w:tc>
          <w:tcPr>
            <w:tcW w:w="716" w:type="pct"/>
            <w:noWrap/>
            <w:hideMark/>
          </w:tcPr>
          <w:p w14:paraId="3AA72CB7"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3A6B2D6A"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2.992</w:t>
            </w:r>
          </w:p>
        </w:tc>
        <w:tc>
          <w:tcPr>
            <w:tcW w:w="463" w:type="pct"/>
            <w:noWrap/>
            <w:hideMark/>
          </w:tcPr>
          <w:p w14:paraId="3CBA198B"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0.230</w:t>
            </w:r>
          </w:p>
        </w:tc>
        <w:tc>
          <w:tcPr>
            <w:tcW w:w="543" w:type="pct"/>
            <w:noWrap/>
            <w:hideMark/>
          </w:tcPr>
          <w:p w14:paraId="4A72C1C3"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0.004</w:t>
            </w:r>
          </w:p>
        </w:tc>
        <w:tc>
          <w:tcPr>
            <w:tcW w:w="671" w:type="pct"/>
            <w:noWrap/>
            <w:hideMark/>
          </w:tcPr>
          <w:p w14:paraId="2F802EA2"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6389B9B1"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11FA251F"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2F2BB729"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 xml:space="preserve">Diptera vs </w:t>
            </w:r>
            <w:proofErr w:type="spellStart"/>
            <w:r w:rsidRPr="00761CCA">
              <w:rPr>
                <w:rFonts w:eastAsia="Times New Roman" w:cstheme="minorHAnsi"/>
                <w:color w:val="000000"/>
                <w:lang w:eastAsia="en-GB"/>
              </w:rPr>
              <w:t>Plecoptera</w:t>
            </w:r>
            <w:proofErr w:type="spellEnd"/>
          </w:p>
        </w:tc>
        <w:tc>
          <w:tcPr>
            <w:tcW w:w="716" w:type="pct"/>
            <w:noWrap/>
            <w:hideMark/>
          </w:tcPr>
          <w:p w14:paraId="3B1E7696"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1AB83867"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3.365</w:t>
            </w:r>
          </w:p>
        </w:tc>
        <w:tc>
          <w:tcPr>
            <w:tcW w:w="463" w:type="pct"/>
            <w:noWrap/>
            <w:hideMark/>
          </w:tcPr>
          <w:p w14:paraId="28588E14"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0.252</w:t>
            </w:r>
          </w:p>
        </w:tc>
        <w:tc>
          <w:tcPr>
            <w:tcW w:w="543" w:type="pct"/>
            <w:noWrap/>
            <w:hideMark/>
          </w:tcPr>
          <w:p w14:paraId="684F53C1"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0.005</w:t>
            </w:r>
          </w:p>
        </w:tc>
        <w:tc>
          <w:tcPr>
            <w:tcW w:w="671" w:type="pct"/>
            <w:noWrap/>
            <w:hideMark/>
          </w:tcPr>
          <w:p w14:paraId="464CFFAF"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12F9BDFC"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1C210274"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446ECF0F"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 xml:space="preserve">Coleoptera vs </w:t>
            </w:r>
            <w:proofErr w:type="spellStart"/>
            <w:r w:rsidRPr="00761CCA">
              <w:rPr>
                <w:rFonts w:eastAsia="Times New Roman" w:cstheme="minorHAnsi"/>
                <w:color w:val="000000"/>
                <w:lang w:eastAsia="en-GB"/>
              </w:rPr>
              <w:t>Trichoptera</w:t>
            </w:r>
            <w:proofErr w:type="spellEnd"/>
          </w:p>
        </w:tc>
        <w:tc>
          <w:tcPr>
            <w:tcW w:w="716" w:type="pct"/>
            <w:noWrap/>
            <w:hideMark/>
          </w:tcPr>
          <w:p w14:paraId="6A0A4026"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264BD982"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2.675</w:t>
            </w:r>
          </w:p>
        </w:tc>
        <w:tc>
          <w:tcPr>
            <w:tcW w:w="463" w:type="pct"/>
            <w:noWrap/>
            <w:hideMark/>
          </w:tcPr>
          <w:p w14:paraId="46E412B0"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0.211</w:t>
            </w:r>
          </w:p>
        </w:tc>
        <w:tc>
          <w:tcPr>
            <w:tcW w:w="543" w:type="pct"/>
            <w:noWrap/>
            <w:hideMark/>
          </w:tcPr>
          <w:p w14:paraId="36ADC833"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0.004</w:t>
            </w:r>
          </w:p>
        </w:tc>
        <w:tc>
          <w:tcPr>
            <w:tcW w:w="671" w:type="pct"/>
            <w:noWrap/>
            <w:hideMark/>
          </w:tcPr>
          <w:p w14:paraId="43E61356"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6C8096AB"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0C619EC2"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3967D802"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Coleoptera vs Ephemeroptera</w:t>
            </w:r>
          </w:p>
        </w:tc>
        <w:tc>
          <w:tcPr>
            <w:tcW w:w="716" w:type="pct"/>
            <w:noWrap/>
            <w:hideMark/>
          </w:tcPr>
          <w:p w14:paraId="5FD6A396"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484E89AF"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2.458</w:t>
            </w:r>
          </w:p>
        </w:tc>
        <w:tc>
          <w:tcPr>
            <w:tcW w:w="463" w:type="pct"/>
            <w:noWrap/>
            <w:hideMark/>
          </w:tcPr>
          <w:p w14:paraId="0804D066"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0.197</w:t>
            </w:r>
          </w:p>
        </w:tc>
        <w:tc>
          <w:tcPr>
            <w:tcW w:w="543" w:type="pct"/>
            <w:noWrap/>
            <w:hideMark/>
          </w:tcPr>
          <w:p w14:paraId="3BBB9A05"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0.004</w:t>
            </w:r>
          </w:p>
        </w:tc>
        <w:tc>
          <w:tcPr>
            <w:tcW w:w="671" w:type="pct"/>
            <w:noWrap/>
            <w:hideMark/>
          </w:tcPr>
          <w:p w14:paraId="271077CD"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3DD0BFFA"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74DC5201"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18143027"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 xml:space="preserve">Coleoptera vs </w:t>
            </w:r>
            <w:proofErr w:type="spellStart"/>
            <w:r w:rsidRPr="00761CCA">
              <w:rPr>
                <w:rFonts w:eastAsia="Times New Roman" w:cstheme="minorHAnsi"/>
                <w:color w:val="000000"/>
                <w:lang w:eastAsia="en-GB"/>
              </w:rPr>
              <w:t>Plecoptera</w:t>
            </w:r>
            <w:proofErr w:type="spellEnd"/>
          </w:p>
        </w:tc>
        <w:tc>
          <w:tcPr>
            <w:tcW w:w="716" w:type="pct"/>
            <w:noWrap/>
            <w:hideMark/>
          </w:tcPr>
          <w:p w14:paraId="5987FA12"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50915D54"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3.551</w:t>
            </w:r>
          </w:p>
        </w:tc>
        <w:tc>
          <w:tcPr>
            <w:tcW w:w="463" w:type="pct"/>
            <w:noWrap/>
            <w:hideMark/>
          </w:tcPr>
          <w:p w14:paraId="73B642B8"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0.262</w:t>
            </w:r>
          </w:p>
        </w:tc>
        <w:tc>
          <w:tcPr>
            <w:tcW w:w="543" w:type="pct"/>
            <w:noWrap/>
            <w:hideMark/>
          </w:tcPr>
          <w:p w14:paraId="322A7991"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0.002</w:t>
            </w:r>
          </w:p>
        </w:tc>
        <w:tc>
          <w:tcPr>
            <w:tcW w:w="671" w:type="pct"/>
            <w:noWrap/>
            <w:hideMark/>
          </w:tcPr>
          <w:p w14:paraId="228678BC"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1BD27B99"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7D10AB48"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4342DDC2" w14:textId="77777777" w:rsidR="005B0F62" w:rsidRPr="00761CCA" w:rsidRDefault="005B0F62" w:rsidP="00986671">
            <w:pPr>
              <w:rPr>
                <w:rFonts w:eastAsia="Times New Roman" w:cstheme="minorHAnsi"/>
                <w:color w:val="000000"/>
                <w:lang w:eastAsia="en-GB"/>
              </w:rPr>
            </w:pPr>
            <w:proofErr w:type="spellStart"/>
            <w:r w:rsidRPr="00761CCA">
              <w:rPr>
                <w:rFonts w:eastAsia="Times New Roman" w:cstheme="minorHAnsi"/>
                <w:color w:val="000000"/>
                <w:lang w:eastAsia="en-GB"/>
              </w:rPr>
              <w:t>Trichoptera</w:t>
            </w:r>
            <w:proofErr w:type="spellEnd"/>
            <w:r w:rsidRPr="00761CCA">
              <w:rPr>
                <w:rFonts w:eastAsia="Times New Roman" w:cstheme="minorHAnsi"/>
                <w:color w:val="000000"/>
                <w:lang w:eastAsia="en-GB"/>
              </w:rPr>
              <w:t xml:space="preserve"> vs Ephemeroptera</w:t>
            </w:r>
          </w:p>
        </w:tc>
        <w:tc>
          <w:tcPr>
            <w:tcW w:w="716" w:type="pct"/>
            <w:noWrap/>
            <w:hideMark/>
          </w:tcPr>
          <w:p w14:paraId="77423CCE"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4323A92A"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2.010</w:t>
            </w:r>
          </w:p>
        </w:tc>
        <w:tc>
          <w:tcPr>
            <w:tcW w:w="463" w:type="pct"/>
            <w:noWrap/>
            <w:hideMark/>
          </w:tcPr>
          <w:p w14:paraId="4A1D93B0"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0.167</w:t>
            </w:r>
          </w:p>
        </w:tc>
        <w:tc>
          <w:tcPr>
            <w:tcW w:w="543" w:type="pct"/>
            <w:noWrap/>
            <w:hideMark/>
          </w:tcPr>
          <w:p w14:paraId="6BB7A233"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0.032</w:t>
            </w:r>
          </w:p>
        </w:tc>
        <w:tc>
          <w:tcPr>
            <w:tcW w:w="671" w:type="pct"/>
            <w:noWrap/>
            <w:hideMark/>
          </w:tcPr>
          <w:p w14:paraId="7ED66181"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0.036</w:t>
            </w:r>
          </w:p>
        </w:tc>
        <w:tc>
          <w:tcPr>
            <w:tcW w:w="440" w:type="pct"/>
            <w:noWrap/>
            <w:hideMark/>
          </w:tcPr>
          <w:p w14:paraId="0167901F"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776B7832" w14:textId="77777777" w:rsidTr="00986671">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0387E7F1" w14:textId="77777777" w:rsidR="005B0F62" w:rsidRPr="00761CCA" w:rsidRDefault="005B0F62" w:rsidP="00986671">
            <w:pPr>
              <w:rPr>
                <w:rFonts w:eastAsia="Times New Roman" w:cstheme="minorHAnsi"/>
                <w:color w:val="000000"/>
                <w:lang w:eastAsia="en-GB"/>
              </w:rPr>
            </w:pPr>
            <w:proofErr w:type="spellStart"/>
            <w:r w:rsidRPr="00761CCA">
              <w:rPr>
                <w:rFonts w:eastAsia="Times New Roman" w:cstheme="minorHAnsi"/>
                <w:color w:val="000000"/>
                <w:lang w:eastAsia="en-GB"/>
              </w:rPr>
              <w:t>Trichoptera</w:t>
            </w:r>
            <w:proofErr w:type="spellEnd"/>
            <w:r w:rsidRPr="00761CCA">
              <w:rPr>
                <w:rFonts w:eastAsia="Times New Roman" w:cstheme="minorHAnsi"/>
                <w:color w:val="000000"/>
                <w:lang w:eastAsia="en-GB"/>
              </w:rPr>
              <w:t xml:space="preserve"> vs </w:t>
            </w:r>
            <w:proofErr w:type="spellStart"/>
            <w:r w:rsidRPr="00761CCA">
              <w:rPr>
                <w:rFonts w:eastAsia="Times New Roman" w:cstheme="minorHAnsi"/>
                <w:color w:val="000000"/>
                <w:lang w:eastAsia="en-GB"/>
              </w:rPr>
              <w:t>Plecoptera</w:t>
            </w:r>
            <w:proofErr w:type="spellEnd"/>
          </w:p>
        </w:tc>
        <w:tc>
          <w:tcPr>
            <w:tcW w:w="716" w:type="pct"/>
            <w:noWrap/>
            <w:hideMark/>
          </w:tcPr>
          <w:p w14:paraId="0FD9AE18"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2CF88245"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2.596</w:t>
            </w:r>
          </w:p>
        </w:tc>
        <w:tc>
          <w:tcPr>
            <w:tcW w:w="463" w:type="pct"/>
            <w:noWrap/>
            <w:hideMark/>
          </w:tcPr>
          <w:p w14:paraId="54AA69B5"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0.206</w:t>
            </w:r>
          </w:p>
        </w:tc>
        <w:tc>
          <w:tcPr>
            <w:tcW w:w="543" w:type="pct"/>
            <w:noWrap/>
            <w:hideMark/>
          </w:tcPr>
          <w:p w14:paraId="28A61A06"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0.003</w:t>
            </w:r>
          </w:p>
        </w:tc>
        <w:tc>
          <w:tcPr>
            <w:tcW w:w="671" w:type="pct"/>
            <w:noWrap/>
            <w:hideMark/>
          </w:tcPr>
          <w:p w14:paraId="074126C9" w14:textId="77777777" w:rsidR="005B0F62" w:rsidRPr="00476051" w:rsidRDefault="005B0F62" w:rsidP="00986671">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0.007</w:t>
            </w:r>
          </w:p>
        </w:tc>
        <w:tc>
          <w:tcPr>
            <w:tcW w:w="440" w:type="pct"/>
            <w:noWrap/>
            <w:hideMark/>
          </w:tcPr>
          <w:p w14:paraId="69798EE3" w14:textId="77777777" w:rsidR="005B0F62" w:rsidRPr="00476051" w:rsidRDefault="005B0F62" w:rsidP="00986671">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w:t>
            </w:r>
          </w:p>
        </w:tc>
      </w:tr>
      <w:tr w:rsidR="005B0F62" w:rsidRPr="001370A2" w14:paraId="454D2A2E" w14:textId="77777777" w:rsidTr="00986671">
        <w:trPr>
          <w:trHeight w:val="307"/>
        </w:trPr>
        <w:tc>
          <w:tcPr>
            <w:cnfStyle w:val="001000000000" w:firstRow="0" w:lastRow="0" w:firstColumn="1" w:lastColumn="0" w:oddVBand="0" w:evenVBand="0" w:oddHBand="0" w:evenHBand="0" w:firstRowFirstColumn="0" w:firstRowLastColumn="0" w:lastRowFirstColumn="0" w:lastRowLastColumn="0"/>
            <w:tcW w:w="1760" w:type="pct"/>
            <w:noWrap/>
            <w:hideMark/>
          </w:tcPr>
          <w:p w14:paraId="70EF1F48" w14:textId="77777777" w:rsidR="005B0F62" w:rsidRPr="00761CCA" w:rsidRDefault="005B0F62" w:rsidP="00986671">
            <w:pPr>
              <w:rPr>
                <w:rFonts w:eastAsia="Times New Roman" w:cstheme="minorHAnsi"/>
                <w:color w:val="000000"/>
                <w:lang w:eastAsia="en-GB"/>
              </w:rPr>
            </w:pPr>
            <w:r w:rsidRPr="00761CCA">
              <w:rPr>
                <w:rFonts w:eastAsia="Times New Roman" w:cstheme="minorHAnsi"/>
                <w:color w:val="000000"/>
                <w:lang w:eastAsia="en-GB"/>
              </w:rPr>
              <w:t xml:space="preserve">Ephemeroptera vs </w:t>
            </w:r>
            <w:proofErr w:type="spellStart"/>
            <w:r w:rsidRPr="00761CCA">
              <w:rPr>
                <w:rFonts w:eastAsia="Times New Roman" w:cstheme="minorHAnsi"/>
                <w:color w:val="000000"/>
                <w:lang w:eastAsia="en-GB"/>
              </w:rPr>
              <w:t>Plecoptera</w:t>
            </w:r>
            <w:proofErr w:type="spellEnd"/>
          </w:p>
        </w:tc>
        <w:tc>
          <w:tcPr>
            <w:tcW w:w="716" w:type="pct"/>
            <w:noWrap/>
            <w:hideMark/>
          </w:tcPr>
          <w:p w14:paraId="208FF695" w14:textId="77777777" w:rsidR="005B0F62" w:rsidRPr="00476051" w:rsidRDefault="005B0F62" w:rsidP="00986671">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roofErr w:type="spellStart"/>
            <w:r w:rsidRPr="00476051">
              <w:rPr>
                <w:rFonts w:eastAsia="Times New Roman" w:cstheme="minorHAnsi"/>
                <w:color w:val="000000"/>
                <w:lang w:eastAsia="en-GB"/>
              </w:rPr>
              <w:t>wei_unifrac</w:t>
            </w:r>
            <w:proofErr w:type="spellEnd"/>
          </w:p>
        </w:tc>
        <w:tc>
          <w:tcPr>
            <w:tcW w:w="407" w:type="pct"/>
            <w:noWrap/>
            <w:hideMark/>
          </w:tcPr>
          <w:p w14:paraId="4DF37B7C"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1.055</w:t>
            </w:r>
          </w:p>
        </w:tc>
        <w:tc>
          <w:tcPr>
            <w:tcW w:w="463" w:type="pct"/>
            <w:noWrap/>
            <w:hideMark/>
          </w:tcPr>
          <w:p w14:paraId="10D51738"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0.095</w:t>
            </w:r>
          </w:p>
        </w:tc>
        <w:tc>
          <w:tcPr>
            <w:tcW w:w="543" w:type="pct"/>
            <w:noWrap/>
            <w:hideMark/>
          </w:tcPr>
          <w:p w14:paraId="59E88AA5"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0.369</w:t>
            </w:r>
          </w:p>
        </w:tc>
        <w:tc>
          <w:tcPr>
            <w:tcW w:w="671" w:type="pct"/>
            <w:noWrap/>
            <w:hideMark/>
          </w:tcPr>
          <w:p w14:paraId="491BCAD6"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r w:rsidRPr="00476051">
              <w:rPr>
                <w:rFonts w:eastAsia="Times New Roman" w:cstheme="minorHAnsi"/>
                <w:color w:val="000000"/>
                <w:lang w:eastAsia="en-GB"/>
              </w:rPr>
              <w:t>0.369</w:t>
            </w:r>
          </w:p>
        </w:tc>
        <w:tc>
          <w:tcPr>
            <w:tcW w:w="440" w:type="pct"/>
            <w:noWrap/>
            <w:hideMark/>
          </w:tcPr>
          <w:p w14:paraId="4A4146FD" w14:textId="77777777" w:rsidR="005B0F62" w:rsidRPr="00476051" w:rsidRDefault="005B0F62" w:rsidP="00986671">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eastAsia="en-GB"/>
              </w:rPr>
            </w:pPr>
          </w:p>
        </w:tc>
      </w:tr>
    </w:tbl>
    <w:p w14:paraId="52DCEEFC" w14:textId="2B9F6B06" w:rsidR="007624F6" w:rsidRPr="00E84AC3" w:rsidRDefault="007624F6" w:rsidP="004550C9">
      <w:pPr>
        <w:spacing w:line="240" w:lineRule="auto"/>
        <w:rPr>
          <w:rFonts w:cstheme="minorHAnsi"/>
        </w:rPr>
      </w:pPr>
    </w:p>
    <w:sectPr w:rsidR="007624F6" w:rsidRPr="00E84AC3" w:rsidSect="001301F3">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E2B0BF" w14:textId="77777777" w:rsidR="00CA44B2" w:rsidRDefault="00CA44B2" w:rsidP="001301F3">
      <w:pPr>
        <w:spacing w:after="0" w:line="240" w:lineRule="auto"/>
      </w:pPr>
      <w:r>
        <w:separator/>
      </w:r>
    </w:p>
  </w:endnote>
  <w:endnote w:type="continuationSeparator" w:id="0">
    <w:p w14:paraId="5FA612BD" w14:textId="77777777" w:rsidR="00CA44B2" w:rsidRDefault="00CA44B2" w:rsidP="00130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86CD0" w14:textId="77777777" w:rsidR="00CA44B2" w:rsidRDefault="00CA44B2" w:rsidP="001301F3">
      <w:pPr>
        <w:spacing w:after="0" w:line="240" w:lineRule="auto"/>
      </w:pPr>
      <w:r>
        <w:separator/>
      </w:r>
    </w:p>
  </w:footnote>
  <w:footnote w:type="continuationSeparator" w:id="0">
    <w:p w14:paraId="68814BD0" w14:textId="77777777" w:rsidR="00CA44B2" w:rsidRDefault="00CA44B2" w:rsidP="001301F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7274"/>
    <w:rsid w:val="000065E0"/>
    <w:rsid w:val="000074A7"/>
    <w:rsid w:val="000139AB"/>
    <w:rsid w:val="000145C9"/>
    <w:rsid w:val="000213C5"/>
    <w:rsid w:val="00053390"/>
    <w:rsid w:val="00055AEE"/>
    <w:rsid w:val="00066E78"/>
    <w:rsid w:val="00067B13"/>
    <w:rsid w:val="00072668"/>
    <w:rsid w:val="00094FDC"/>
    <w:rsid w:val="000A478A"/>
    <w:rsid w:val="000C36AD"/>
    <w:rsid w:val="000C4124"/>
    <w:rsid w:val="0011099E"/>
    <w:rsid w:val="001117FA"/>
    <w:rsid w:val="001128E7"/>
    <w:rsid w:val="00112D9C"/>
    <w:rsid w:val="00113140"/>
    <w:rsid w:val="00120802"/>
    <w:rsid w:val="00125F4D"/>
    <w:rsid w:val="001301F3"/>
    <w:rsid w:val="00132507"/>
    <w:rsid w:val="001468C8"/>
    <w:rsid w:val="0015482A"/>
    <w:rsid w:val="0016688A"/>
    <w:rsid w:val="0016766D"/>
    <w:rsid w:val="0017579A"/>
    <w:rsid w:val="001B0039"/>
    <w:rsid w:val="001B4BE2"/>
    <w:rsid w:val="001C2319"/>
    <w:rsid w:val="001D5088"/>
    <w:rsid w:val="001D5FA8"/>
    <w:rsid w:val="00203793"/>
    <w:rsid w:val="002041CD"/>
    <w:rsid w:val="00212746"/>
    <w:rsid w:val="00217492"/>
    <w:rsid w:val="00227818"/>
    <w:rsid w:val="0023766D"/>
    <w:rsid w:val="0028139C"/>
    <w:rsid w:val="00287BA2"/>
    <w:rsid w:val="002E41B6"/>
    <w:rsid w:val="002E5093"/>
    <w:rsid w:val="002F69FF"/>
    <w:rsid w:val="002F6EB7"/>
    <w:rsid w:val="003434C6"/>
    <w:rsid w:val="00353080"/>
    <w:rsid w:val="00362695"/>
    <w:rsid w:val="00365AA3"/>
    <w:rsid w:val="00375B7F"/>
    <w:rsid w:val="003826BC"/>
    <w:rsid w:val="00397C43"/>
    <w:rsid w:val="003A7461"/>
    <w:rsid w:val="003B7BCE"/>
    <w:rsid w:val="003C01CA"/>
    <w:rsid w:val="003C312E"/>
    <w:rsid w:val="003D7209"/>
    <w:rsid w:val="003E6780"/>
    <w:rsid w:val="003F4F06"/>
    <w:rsid w:val="004153EE"/>
    <w:rsid w:val="004305CA"/>
    <w:rsid w:val="004550C9"/>
    <w:rsid w:val="00466631"/>
    <w:rsid w:val="004710E6"/>
    <w:rsid w:val="00475A74"/>
    <w:rsid w:val="004770F4"/>
    <w:rsid w:val="00492A36"/>
    <w:rsid w:val="004B7C56"/>
    <w:rsid w:val="004E0874"/>
    <w:rsid w:val="004F1D47"/>
    <w:rsid w:val="004F5856"/>
    <w:rsid w:val="00533E2E"/>
    <w:rsid w:val="00571235"/>
    <w:rsid w:val="005912C4"/>
    <w:rsid w:val="005949C4"/>
    <w:rsid w:val="005A4E1B"/>
    <w:rsid w:val="005B0F62"/>
    <w:rsid w:val="005B740D"/>
    <w:rsid w:val="005D2033"/>
    <w:rsid w:val="005D4E98"/>
    <w:rsid w:val="005D6F51"/>
    <w:rsid w:val="006018A6"/>
    <w:rsid w:val="006044D9"/>
    <w:rsid w:val="00631089"/>
    <w:rsid w:val="0063553C"/>
    <w:rsid w:val="00650DEA"/>
    <w:rsid w:val="00654DD2"/>
    <w:rsid w:val="00664F21"/>
    <w:rsid w:val="00671A8B"/>
    <w:rsid w:val="006727DB"/>
    <w:rsid w:val="00681401"/>
    <w:rsid w:val="00682BF4"/>
    <w:rsid w:val="00693859"/>
    <w:rsid w:val="006C5E7C"/>
    <w:rsid w:val="006C5FE3"/>
    <w:rsid w:val="006F5BE8"/>
    <w:rsid w:val="007059D5"/>
    <w:rsid w:val="00711387"/>
    <w:rsid w:val="00713BDF"/>
    <w:rsid w:val="007141AD"/>
    <w:rsid w:val="007172EB"/>
    <w:rsid w:val="0072391B"/>
    <w:rsid w:val="00753FCE"/>
    <w:rsid w:val="007601BF"/>
    <w:rsid w:val="00761135"/>
    <w:rsid w:val="00761CCA"/>
    <w:rsid w:val="00761E82"/>
    <w:rsid w:val="007624F6"/>
    <w:rsid w:val="007643B4"/>
    <w:rsid w:val="00783F8E"/>
    <w:rsid w:val="007A2E19"/>
    <w:rsid w:val="007A4AAA"/>
    <w:rsid w:val="007D5442"/>
    <w:rsid w:val="007F456A"/>
    <w:rsid w:val="008243F2"/>
    <w:rsid w:val="0084184B"/>
    <w:rsid w:val="00853599"/>
    <w:rsid w:val="00854061"/>
    <w:rsid w:val="00882526"/>
    <w:rsid w:val="00882BE4"/>
    <w:rsid w:val="0088580D"/>
    <w:rsid w:val="008861E3"/>
    <w:rsid w:val="00891B5F"/>
    <w:rsid w:val="008976CC"/>
    <w:rsid w:val="008A4FF4"/>
    <w:rsid w:val="008B2D3C"/>
    <w:rsid w:val="008B6D46"/>
    <w:rsid w:val="008D009C"/>
    <w:rsid w:val="008E1928"/>
    <w:rsid w:val="008E74E0"/>
    <w:rsid w:val="0090689D"/>
    <w:rsid w:val="00920DCC"/>
    <w:rsid w:val="00925945"/>
    <w:rsid w:val="0093493B"/>
    <w:rsid w:val="009466C7"/>
    <w:rsid w:val="0098669E"/>
    <w:rsid w:val="009960F6"/>
    <w:rsid w:val="009B3C6F"/>
    <w:rsid w:val="009D0F3A"/>
    <w:rsid w:val="009D2BB2"/>
    <w:rsid w:val="009D522E"/>
    <w:rsid w:val="009E62A7"/>
    <w:rsid w:val="00A07312"/>
    <w:rsid w:val="00A3099E"/>
    <w:rsid w:val="00A327B5"/>
    <w:rsid w:val="00A55BAB"/>
    <w:rsid w:val="00A70DE7"/>
    <w:rsid w:val="00A93240"/>
    <w:rsid w:val="00A958CE"/>
    <w:rsid w:val="00AD43EC"/>
    <w:rsid w:val="00AD63C0"/>
    <w:rsid w:val="00AF09EE"/>
    <w:rsid w:val="00B111E4"/>
    <w:rsid w:val="00B15C60"/>
    <w:rsid w:val="00B6058B"/>
    <w:rsid w:val="00B60B02"/>
    <w:rsid w:val="00B629C2"/>
    <w:rsid w:val="00B65DE7"/>
    <w:rsid w:val="00B7289E"/>
    <w:rsid w:val="00B7361F"/>
    <w:rsid w:val="00B73BA8"/>
    <w:rsid w:val="00B7601B"/>
    <w:rsid w:val="00B77EB5"/>
    <w:rsid w:val="00B8254A"/>
    <w:rsid w:val="00B95179"/>
    <w:rsid w:val="00B95DC7"/>
    <w:rsid w:val="00B9718F"/>
    <w:rsid w:val="00BA361D"/>
    <w:rsid w:val="00BB29C5"/>
    <w:rsid w:val="00BB3BFA"/>
    <w:rsid w:val="00BD7D53"/>
    <w:rsid w:val="00BE3190"/>
    <w:rsid w:val="00BF4472"/>
    <w:rsid w:val="00C03ECD"/>
    <w:rsid w:val="00C15975"/>
    <w:rsid w:val="00C210A5"/>
    <w:rsid w:val="00C22F42"/>
    <w:rsid w:val="00C42334"/>
    <w:rsid w:val="00C51D6C"/>
    <w:rsid w:val="00C54448"/>
    <w:rsid w:val="00C60E5F"/>
    <w:rsid w:val="00C834F4"/>
    <w:rsid w:val="00CA44B2"/>
    <w:rsid w:val="00CA5515"/>
    <w:rsid w:val="00CA5820"/>
    <w:rsid w:val="00CA767A"/>
    <w:rsid w:val="00CB1C6E"/>
    <w:rsid w:val="00CB775A"/>
    <w:rsid w:val="00CE0840"/>
    <w:rsid w:val="00CE5755"/>
    <w:rsid w:val="00D05D96"/>
    <w:rsid w:val="00D15A7B"/>
    <w:rsid w:val="00D562E6"/>
    <w:rsid w:val="00D6263F"/>
    <w:rsid w:val="00D722EF"/>
    <w:rsid w:val="00D8013E"/>
    <w:rsid w:val="00DA65E6"/>
    <w:rsid w:val="00DC0228"/>
    <w:rsid w:val="00DC11FA"/>
    <w:rsid w:val="00DD1A50"/>
    <w:rsid w:val="00DE1260"/>
    <w:rsid w:val="00E143DC"/>
    <w:rsid w:val="00E162A6"/>
    <w:rsid w:val="00E23070"/>
    <w:rsid w:val="00E47743"/>
    <w:rsid w:val="00E773BD"/>
    <w:rsid w:val="00E83BBC"/>
    <w:rsid w:val="00E841BA"/>
    <w:rsid w:val="00E84AC3"/>
    <w:rsid w:val="00E871FA"/>
    <w:rsid w:val="00E90553"/>
    <w:rsid w:val="00EA4936"/>
    <w:rsid w:val="00EC4FA0"/>
    <w:rsid w:val="00EF416D"/>
    <w:rsid w:val="00EF7C5D"/>
    <w:rsid w:val="00F00826"/>
    <w:rsid w:val="00F17141"/>
    <w:rsid w:val="00F309F2"/>
    <w:rsid w:val="00F5499F"/>
    <w:rsid w:val="00F64EB5"/>
    <w:rsid w:val="00F77274"/>
    <w:rsid w:val="00F93277"/>
    <w:rsid w:val="00FF44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16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7274"/>
    <w:rPr>
      <w:kern w:val="0"/>
      <w14:ligatures w14:val="none"/>
    </w:rPr>
  </w:style>
  <w:style w:type="paragraph" w:styleId="Heading1">
    <w:name w:val="heading 1"/>
    <w:basedOn w:val="Normal"/>
    <w:next w:val="Normal"/>
    <w:link w:val="Heading1Char"/>
    <w:uiPriority w:val="9"/>
    <w:qFormat/>
    <w:rsid w:val="006044D9"/>
    <w:pPr>
      <w:keepNext/>
      <w:keepLines/>
      <w:spacing w:before="240" w:after="0"/>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6044D9"/>
    <w:pPr>
      <w:keepNext/>
      <w:keepLines/>
      <w:spacing w:before="160" w:after="120"/>
      <w:outlineLvl w:val="1"/>
    </w:pPr>
    <w:rPr>
      <w:rFonts w:eastAsiaTheme="majorEastAsia" w:cstheme="majorBidi"/>
      <w:b/>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044D9"/>
    <w:rPr>
      <w:rFonts w:eastAsiaTheme="majorEastAsia" w:cstheme="majorBidi"/>
      <w:b/>
      <w:sz w:val="26"/>
      <w:szCs w:val="26"/>
    </w:rPr>
  </w:style>
  <w:style w:type="character" w:customStyle="1" w:styleId="Heading1Char">
    <w:name w:val="Heading 1 Char"/>
    <w:basedOn w:val="DefaultParagraphFont"/>
    <w:link w:val="Heading1"/>
    <w:uiPriority w:val="9"/>
    <w:rsid w:val="006044D9"/>
    <w:rPr>
      <w:rFonts w:eastAsiaTheme="majorEastAsia" w:cstheme="majorBidi"/>
      <w:b/>
      <w:sz w:val="32"/>
      <w:szCs w:val="32"/>
    </w:rPr>
  </w:style>
  <w:style w:type="paragraph" w:styleId="Caption">
    <w:name w:val="caption"/>
    <w:basedOn w:val="Normal"/>
    <w:next w:val="Normal"/>
    <w:autoRedefine/>
    <w:uiPriority w:val="35"/>
    <w:unhideWhenUsed/>
    <w:qFormat/>
    <w:rsid w:val="001C2319"/>
    <w:pPr>
      <w:spacing w:after="200" w:line="240" w:lineRule="auto"/>
    </w:pPr>
    <w:rPr>
      <w:bCs/>
      <w:iCs/>
      <w:szCs w:val="18"/>
    </w:rPr>
  </w:style>
  <w:style w:type="character" w:styleId="CommentReference">
    <w:name w:val="annotation reference"/>
    <w:basedOn w:val="DefaultParagraphFont"/>
    <w:uiPriority w:val="99"/>
    <w:semiHidden/>
    <w:unhideWhenUsed/>
    <w:rsid w:val="00AD63C0"/>
    <w:rPr>
      <w:sz w:val="16"/>
      <w:szCs w:val="16"/>
    </w:rPr>
  </w:style>
  <w:style w:type="paragraph" w:styleId="CommentText">
    <w:name w:val="annotation text"/>
    <w:basedOn w:val="Normal"/>
    <w:link w:val="CommentTextChar"/>
    <w:uiPriority w:val="99"/>
    <w:unhideWhenUsed/>
    <w:rsid w:val="00AD63C0"/>
    <w:pPr>
      <w:spacing w:line="240" w:lineRule="auto"/>
    </w:pPr>
    <w:rPr>
      <w:sz w:val="20"/>
      <w:szCs w:val="20"/>
    </w:rPr>
  </w:style>
  <w:style w:type="character" w:customStyle="1" w:styleId="CommentTextChar">
    <w:name w:val="Comment Text Char"/>
    <w:basedOn w:val="DefaultParagraphFont"/>
    <w:link w:val="CommentText"/>
    <w:uiPriority w:val="99"/>
    <w:rsid w:val="00AD63C0"/>
    <w:rPr>
      <w:kern w:val="0"/>
      <w:sz w:val="20"/>
      <w:szCs w:val="20"/>
      <w14:ligatures w14:val="none"/>
    </w:rPr>
  </w:style>
  <w:style w:type="character" w:styleId="Hyperlink">
    <w:name w:val="Hyperlink"/>
    <w:basedOn w:val="DefaultParagraphFont"/>
    <w:uiPriority w:val="99"/>
    <w:unhideWhenUsed/>
    <w:rsid w:val="00AD63C0"/>
    <w:rPr>
      <w:color w:val="0000FF"/>
      <w:u w:val="single"/>
    </w:rPr>
  </w:style>
  <w:style w:type="paragraph" w:styleId="Revision">
    <w:name w:val="Revision"/>
    <w:hidden/>
    <w:uiPriority w:val="99"/>
    <w:semiHidden/>
    <w:rsid w:val="005D6F51"/>
    <w:pPr>
      <w:spacing w:after="0" w:line="240" w:lineRule="auto"/>
    </w:pPr>
    <w:rPr>
      <w:kern w:val="0"/>
      <w14:ligatures w14:val="none"/>
    </w:rPr>
  </w:style>
  <w:style w:type="paragraph" w:styleId="Bibliography">
    <w:name w:val="Bibliography"/>
    <w:basedOn w:val="Normal"/>
    <w:next w:val="Normal"/>
    <w:uiPriority w:val="37"/>
    <w:unhideWhenUsed/>
    <w:rsid w:val="00B65DE7"/>
    <w:pPr>
      <w:spacing w:after="0" w:line="480" w:lineRule="auto"/>
      <w:ind w:left="720" w:hanging="720"/>
    </w:pPr>
  </w:style>
  <w:style w:type="table" w:styleId="PlainTable1">
    <w:name w:val="Plain Table 1"/>
    <w:basedOn w:val="TableNormal"/>
    <w:uiPriority w:val="41"/>
    <w:rsid w:val="005B0F62"/>
    <w:pPr>
      <w:spacing w:after="0" w:line="240" w:lineRule="auto"/>
    </w:pPr>
    <w:rPr>
      <w:kern w:val="0"/>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LineNumber">
    <w:name w:val="line number"/>
    <w:basedOn w:val="DefaultParagraphFont"/>
    <w:uiPriority w:val="99"/>
    <w:semiHidden/>
    <w:unhideWhenUsed/>
    <w:rsid w:val="001301F3"/>
  </w:style>
  <w:style w:type="paragraph" w:styleId="Header">
    <w:name w:val="header"/>
    <w:basedOn w:val="Normal"/>
    <w:link w:val="HeaderChar"/>
    <w:uiPriority w:val="99"/>
    <w:unhideWhenUsed/>
    <w:rsid w:val="001301F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01F3"/>
    <w:rPr>
      <w:kern w:val="0"/>
      <w14:ligatures w14:val="none"/>
    </w:rPr>
  </w:style>
  <w:style w:type="paragraph" w:styleId="Footer">
    <w:name w:val="footer"/>
    <w:basedOn w:val="Normal"/>
    <w:link w:val="FooterChar"/>
    <w:uiPriority w:val="99"/>
    <w:unhideWhenUsed/>
    <w:rsid w:val="001301F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01F3"/>
    <w:rPr>
      <w:kern w:val="0"/>
      <w14:ligatures w14:val="none"/>
    </w:rPr>
  </w:style>
  <w:style w:type="character" w:styleId="Strong">
    <w:name w:val="Strong"/>
    <w:basedOn w:val="DefaultParagraphFont"/>
    <w:uiPriority w:val="22"/>
    <w:qFormat/>
    <w:rsid w:val="00FF44FB"/>
    <w:rPr>
      <w:b/>
      <w:bCs/>
    </w:rPr>
  </w:style>
  <w:style w:type="character" w:styleId="UnresolvedMention">
    <w:name w:val="Unresolved Mention"/>
    <w:basedOn w:val="DefaultParagraphFont"/>
    <w:uiPriority w:val="99"/>
    <w:semiHidden/>
    <w:unhideWhenUsed/>
    <w:rsid w:val="009D5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2414860">
      <w:bodyDiv w:val="1"/>
      <w:marLeft w:val="0"/>
      <w:marRight w:val="0"/>
      <w:marTop w:val="0"/>
      <w:marBottom w:val="0"/>
      <w:divBdr>
        <w:top w:val="none" w:sz="0" w:space="0" w:color="auto"/>
        <w:left w:val="none" w:sz="0" w:space="0" w:color="auto"/>
        <w:bottom w:val="none" w:sz="0" w:space="0" w:color="auto"/>
        <w:right w:val="none" w:sz="0" w:space="0" w:color="auto"/>
      </w:divBdr>
    </w:div>
    <w:div w:id="1627857337">
      <w:bodyDiv w:val="1"/>
      <w:marLeft w:val="0"/>
      <w:marRight w:val="0"/>
      <w:marTop w:val="0"/>
      <w:marBottom w:val="0"/>
      <w:divBdr>
        <w:top w:val="none" w:sz="0" w:space="0" w:color="auto"/>
        <w:left w:val="none" w:sz="0" w:space="0" w:color="auto"/>
        <w:bottom w:val="none" w:sz="0" w:space="0" w:color="auto"/>
        <w:right w:val="none" w:sz="0" w:space="0" w:color="auto"/>
      </w:divBdr>
    </w:div>
    <w:div w:id="18552663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sv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mailto:Patrick_schaal@gmx.de" TargetMode="Externa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sv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svg"/><Relationship Id="rId24" Type="http://schemas.openxmlformats.org/officeDocument/2006/relationships/image" Target="media/image17.svg"/><Relationship Id="rId5"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sv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079696-8EA1-481D-BA10-45E34FA00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51618</Words>
  <Characters>294223</Characters>
  <Application>Microsoft Office Word</Application>
  <DocSecurity>0</DocSecurity>
  <Lines>2451</Lines>
  <Paragraphs>690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2023-07-04T23:35:00Z</dcterms:created>
  <dcterms:modified xsi:type="dcterms:W3CDTF">2023-07-06T16:12:00Z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id="7aD1WStK"/&gt;&lt;style id="http://www.zotero.org/styles/apa" locale="en-GB" hasBibliography="1" bibliographyStyleHasBeenSet="1"/&gt;&lt;prefs&gt;&lt;pref name="fieldType" value="Field"/&gt;&lt;pref name="automaticJourn</vt:lpwstr>
  </property>
  <property fmtid="{D5CDD505-2E9C-101B-9397-08002B2CF9AE}" pid="3" name="ZOTERO_PREF_2">
    <vt:lpwstr>alAbbreviations" value="true"/&gt;&lt;/prefs&gt;&lt;/data&gt;</vt:lpwstr>
  </property>
</Properties>
</file>