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1FA1D" w14:textId="77777777" w:rsidR="00BD47BB" w:rsidRPr="00B2290F" w:rsidRDefault="00BD47BB" w:rsidP="00481C2B">
      <w:pPr>
        <w:pStyle w:val="Title"/>
        <w:jc w:val="left"/>
        <w:rPr>
          <w:rFonts w:cs="Times New Roman"/>
        </w:rPr>
        <w:sectPr w:rsidR="00BD47BB" w:rsidRPr="00B2290F"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p>
    <w:p w14:paraId="1D2040DF" w14:textId="05E51BB8" w:rsidR="00481C2B" w:rsidRPr="00B2290F" w:rsidRDefault="00481C2B" w:rsidP="00481C2B">
      <w:pPr>
        <w:pStyle w:val="Title"/>
        <w:jc w:val="left"/>
        <w:rPr>
          <w:rFonts w:cs="Times New Roman"/>
        </w:rPr>
      </w:pPr>
      <w:r w:rsidRPr="00B2290F">
        <w:rPr>
          <w:rFonts w:cs="Times New Roman"/>
        </w:rPr>
        <w:t>The 2019 Marine Heatwave at Ocean Station Papa: A multi-disciplinary assessment of ocean conditions and impacts on marine ecosystem</w:t>
      </w:r>
      <w:r w:rsidRPr="00B2290F">
        <w:rPr>
          <w:rFonts w:cs="Times New Roman"/>
        </w:rPr>
        <w:t>s</w:t>
      </w:r>
    </w:p>
    <w:p w14:paraId="5C0B1730" w14:textId="77777777" w:rsidR="00481C2B" w:rsidRPr="00B2290F" w:rsidRDefault="00481C2B" w:rsidP="00481C2B"/>
    <w:p w14:paraId="03FEA8BC" w14:textId="64C8055F" w:rsidR="00481C2B" w:rsidRPr="00B2290F" w:rsidRDefault="00481C2B" w:rsidP="00481C2B">
      <w:pPr>
        <w:widowControl w:val="0"/>
        <w:rPr>
          <w:rFonts w:eastAsia="Times New Roman"/>
          <w:b/>
          <w:sz w:val="24"/>
          <w:szCs w:val="24"/>
          <w:vertAlign w:val="superscript"/>
        </w:rPr>
      </w:pPr>
      <w:r w:rsidRPr="00B2290F">
        <w:rPr>
          <w:rFonts w:eastAsia="Times New Roman"/>
          <w:b/>
          <w:sz w:val="24"/>
          <w:szCs w:val="24"/>
        </w:rPr>
        <w:t>Catherine Kohlman</w:t>
      </w:r>
      <w:r w:rsidRPr="00B2290F">
        <w:rPr>
          <w:rFonts w:eastAsia="Times New Roman"/>
          <w:b/>
          <w:sz w:val="24"/>
          <w:szCs w:val="24"/>
          <w:vertAlign w:val="superscript"/>
        </w:rPr>
        <w:t>1*</w:t>
      </w:r>
      <w:r w:rsidRPr="00B2290F">
        <w:rPr>
          <w:rFonts w:eastAsia="Times New Roman"/>
          <w:b/>
          <w:sz w:val="24"/>
          <w:szCs w:val="24"/>
        </w:rPr>
        <w:t>, Meghan F. Cronin</w:t>
      </w:r>
      <w:r w:rsidRPr="00B2290F">
        <w:rPr>
          <w:rFonts w:eastAsia="Times New Roman"/>
          <w:b/>
          <w:sz w:val="24"/>
          <w:szCs w:val="24"/>
          <w:vertAlign w:val="superscript"/>
        </w:rPr>
        <w:t>2</w:t>
      </w:r>
      <w:r w:rsidRPr="00B2290F">
        <w:rPr>
          <w:rFonts w:eastAsia="Times New Roman"/>
          <w:b/>
          <w:sz w:val="24"/>
          <w:szCs w:val="24"/>
        </w:rPr>
        <w:t>, Robert Dziak</w:t>
      </w:r>
      <w:r w:rsidRPr="00B2290F">
        <w:rPr>
          <w:rFonts w:eastAsia="Times New Roman"/>
          <w:b/>
          <w:sz w:val="24"/>
          <w:szCs w:val="24"/>
          <w:vertAlign w:val="superscript"/>
        </w:rPr>
        <w:t>3</w:t>
      </w:r>
      <w:r w:rsidRPr="00B2290F">
        <w:rPr>
          <w:rFonts w:eastAsia="Times New Roman"/>
          <w:b/>
          <w:sz w:val="24"/>
          <w:szCs w:val="24"/>
        </w:rPr>
        <w:t>, David Mellinger</w:t>
      </w:r>
      <w:r w:rsidRPr="00B2290F">
        <w:rPr>
          <w:rFonts w:eastAsia="Times New Roman"/>
          <w:b/>
          <w:sz w:val="24"/>
          <w:szCs w:val="24"/>
          <w:vertAlign w:val="superscript"/>
        </w:rPr>
        <w:t>3</w:t>
      </w:r>
      <w:r w:rsidRPr="00B2290F">
        <w:rPr>
          <w:rFonts w:eastAsia="Times New Roman"/>
          <w:b/>
          <w:sz w:val="24"/>
          <w:szCs w:val="24"/>
        </w:rPr>
        <w:t>, Adrienne Sutton</w:t>
      </w:r>
      <w:r w:rsidRPr="00B2290F">
        <w:rPr>
          <w:rFonts w:eastAsia="Times New Roman"/>
          <w:b/>
          <w:sz w:val="24"/>
          <w:szCs w:val="24"/>
          <w:vertAlign w:val="superscript"/>
        </w:rPr>
        <w:t>2</w:t>
      </w:r>
      <w:r w:rsidRPr="00B2290F">
        <w:rPr>
          <w:rFonts w:eastAsia="Times New Roman"/>
          <w:b/>
          <w:sz w:val="24"/>
          <w:szCs w:val="24"/>
        </w:rPr>
        <w:t>, Moira Galbraith</w:t>
      </w:r>
      <w:r w:rsidRPr="00B2290F">
        <w:rPr>
          <w:rFonts w:eastAsia="Times New Roman"/>
          <w:b/>
          <w:sz w:val="24"/>
          <w:szCs w:val="24"/>
          <w:vertAlign w:val="superscript"/>
        </w:rPr>
        <w:t>4</w:t>
      </w:r>
      <w:r w:rsidRPr="00B2290F">
        <w:rPr>
          <w:rFonts w:eastAsia="Times New Roman"/>
          <w:b/>
          <w:sz w:val="24"/>
          <w:szCs w:val="24"/>
        </w:rPr>
        <w:t>, Marie Robert</w:t>
      </w:r>
      <w:r w:rsidRPr="00B2290F">
        <w:rPr>
          <w:rFonts w:eastAsia="Times New Roman"/>
          <w:b/>
          <w:sz w:val="24"/>
          <w:szCs w:val="24"/>
          <w:vertAlign w:val="superscript"/>
        </w:rPr>
        <w:t>4</w:t>
      </w:r>
      <w:r w:rsidRPr="00B2290F">
        <w:rPr>
          <w:rFonts w:eastAsia="Times New Roman"/>
          <w:b/>
          <w:sz w:val="24"/>
          <w:szCs w:val="24"/>
        </w:rPr>
        <w:t>, Jim Thomson</w:t>
      </w:r>
      <w:r w:rsidRPr="00B2290F">
        <w:rPr>
          <w:rFonts w:eastAsia="Times New Roman"/>
          <w:b/>
          <w:sz w:val="24"/>
          <w:szCs w:val="24"/>
          <w:vertAlign w:val="superscript"/>
        </w:rPr>
        <w:t>5</w:t>
      </w:r>
      <w:r w:rsidRPr="00B2290F">
        <w:rPr>
          <w:rFonts w:eastAsia="Times New Roman"/>
          <w:b/>
          <w:sz w:val="24"/>
          <w:szCs w:val="24"/>
        </w:rPr>
        <w:t xml:space="preserve">, </w:t>
      </w:r>
      <w:r w:rsidRPr="00B2290F">
        <w:rPr>
          <w:rFonts w:eastAsia="Times New Roman"/>
          <w:b/>
          <w:sz w:val="24"/>
          <w:szCs w:val="24"/>
          <w:highlight w:val="white"/>
        </w:rPr>
        <w:t>Dongxiao Zhang</w:t>
      </w:r>
      <w:r w:rsidRPr="00B2290F">
        <w:rPr>
          <w:rFonts w:eastAsia="Times New Roman"/>
          <w:b/>
          <w:sz w:val="24"/>
          <w:szCs w:val="24"/>
          <w:highlight w:val="white"/>
          <w:vertAlign w:val="superscript"/>
        </w:rPr>
        <w:t>2,</w:t>
      </w:r>
      <w:r w:rsidRPr="00B2290F">
        <w:rPr>
          <w:rFonts w:eastAsia="Times New Roman"/>
          <w:b/>
          <w:sz w:val="24"/>
          <w:szCs w:val="24"/>
          <w:vertAlign w:val="superscript"/>
        </w:rPr>
        <w:t>6</w:t>
      </w:r>
      <w:r w:rsidRPr="00B2290F">
        <w:rPr>
          <w:rFonts w:eastAsia="Times New Roman"/>
          <w:b/>
          <w:sz w:val="24"/>
          <w:szCs w:val="24"/>
        </w:rPr>
        <w:t>, and</w:t>
      </w:r>
      <w:r w:rsidRPr="00B2290F">
        <w:rPr>
          <w:rFonts w:eastAsia="Times New Roman"/>
          <w:sz w:val="24"/>
          <w:szCs w:val="24"/>
        </w:rPr>
        <w:t xml:space="preserve"> </w:t>
      </w:r>
      <w:r w:rsidRPr="00B2290F">
        <w:rPr>
          <w:rFonts w:eastAsia="Times New Roman"/>
          <w:b/>
          <w:sz w:val="24"/>
          <w:szCs w:val="24"/>
        </w:rPr>
        <w:t>LuAnne Thompson</w:t>
      </w:r>
      <w:r w:rsidRPr="00B2290F">
        <w:rPr>
          <w:rFonts w:eastAsia="Times New Roman"/>
          <w:b/>
          <w:sz w:val="24"/>
          <w:szCs w:val="24"/>
          <w:vertAlign w:val="superscript"/>
        </w:rPr>
        <w:t>1</w:t>
      </w:r>
    </w:p>
    <w:p w14:paraId="7FB97449" w14:textId="77777777" w:rsidR="00481C2B" w:rsidRPr="00B2290F" w:rsidRDefault="00481C2B" w:rsidP="00481C2B">
      <w:pPr>
        <w:widowControl w:val="0"/>
        <w:rPr>
          <w:rFonts w:eastAsia="Times New Roman"/>
          <w:b/>
          <w:sz w:val="24"/>
          <w:szCs w:val="24"/>
          <w:vertAlign w:val="superscript"/>
        </w:rPr>
      </w:pPr>
    </w:p>
    <w:p w14:paraId="5A2E610F" w14:textId="77777777" w:rsidR="00481C2B" w:rsidRPr="00B2290F" w:rsidRDefault="00481C2B" w:rsidP="00481C2B">
      <w:pPr>
        <w:widowControl w:val="0"/>
        <w:shd w:val="clear" w:color="auto" w:fill="FFFFFF"/>
        <w:rPr>
          <w:rFonts w:eastAsia="Times New Roman"/>
          <w:sz w:val="24"/>
          <w:szCs w:val="24"/>
        </w:rPr>
      </w:pPr>
      <w:r w:rsidRPr="00B2290F">
        <w:rPr>
          <w:rFonts w:eastAsia="Times New Roman"/>
          <w:sz w:val="24"/>
          <w:szCs w:val="24"/>
          <w:vertAlign w:val="superscript"/>
        </w:rPr>
        <w:t>1</w:t>
      </w:r>
      <w:r w:rsidRPr="00B2290F">
        <w:rPr>
          <w:rFonts w:eastAsia="Times New Roman"/>
          <w:sz w:val="24"/>
          <w:szCs w:val="24"/>
        </w:rPr>
        <w:t>University of Washington, School of Oceanography, Seattle, WA, USA</w:t>
      </w:r>
    </w:p>
    <w:p w14:paraId="404E5D1B" w14:textId="77777777" w:rsidR="00481C2B" w:rsidRPr="00B2290F" w:rsidRDefault="00481C2B" w:rsidP="00481C2B">
      <w:pPr>
        <w:widowControl w:val="0"/>
        <w:shd w:val="clear" w:color="auto" w:fill="FFFFFF"/>
        <w:rPr>
          <w:rFonts w:eastAsia="Times New Roman"/>
          <w:sz w:val="24"/>
          <w:szCs w:val="24"/>
        </w:rPr>
      </w:pPr>
      <w:r w:rsidRPr="00B2290F">
        <w:rPr>
          <w:rFonts w:eastAsia="Times New Roman"/>
          <w:sz w:val="24"/>
          <w:szCs w:val="24"/>
          <w:vertAlign w:val="superscript"/>
        </w:rPr>
        <w:t>2</w:t>
      </w:r>
      <w:r w:rsidRPr="00B2290F">
        <w:rPr>
          <w:rFonts w:eastAsia="Times New Roman"/>
          <w:sz w:val="24"/>
          <w:szCs w:val="24"/>
        </w:rPr>
        <w:t>National Oceanic and Atmospheric Administration, Pacific Marine Environmental Laboratory, Seattle, WA, USA</w:t>
      </w:r>
    </w:p>
    <w:p w14:paraId="1956BACA" w14:textId="77777777" w:rsidR="00481C2B" w:rsidRPr="00B2290F" w:rsidRDefault="00481C2B" w:rsidP="00481C2B">
      <w:pPr>
        <w:widowControl w:val="0"/>
        <w:shd w:val="clear" w:color="auto" w:fill="FFFFFF"/>
        <w:rPr>
          <w:rFonts w:eastAsia="Times New Roman"/>
          <w:sz w:val="24"/>
          <w:szCs w:val="24"/>
        </w:rPr>
      </w:pPr>
      <w:r w:rsidRPr="00B2290F">
        <w:rPr>
          <w:rFonts w:eastAsia="Times New Roman"/>
          <w:sz w:val="24"/>
          <w:szCs w:val="24"/>
          <w:vertAlign w:val="superscript"/>
        </w:rPr>
        <w:t>3</w:t>
      </w:r>
      <w:r w:rsidRPr="00B2290F">
        <w:rPr>
          <w:rFonts w:eastAsia="Times New Roman"/>
          <w:sz w:val="24"/>
          <w:szCs w:val="24"/>
        </w:rPr>
        <w:t>National Oceanic and Atmospheric Administration, Pacific Marine Environmental Laboratory, Newport, OR, USA</w:t>
      </w:r>
    </w:p>
    <w:p w14:paraId="2F489307" w14:textId="77777777" w:rsidR="00481C2B" w:rsidRPr="00B91517" w:rsidRDefault="00481C2B" w:rsidP="00481C2B">
      <w:pPr>
        <w:widowControl w:val="0"/>
        <w:shd w:val="clear" w:color="auto" w:fill="FFFFFF"/>
        <w:rPr>
          <w:rFonts w:eastAsia="Times New Roman"/>
          <w:sz w:val="24"/>
          <w:szCs w:val="24"/>
        </w:rPr>
      </w:pPr>
      <w:r w:rsidRPr="00B91517">
        <w:rPr>
          <w:rFonts w:eastAsia="Times New Roman"/>
          <w:sz w:val="24"/>
          <w:szCs w:val="24"/>
          <w:vertAlign w:val="superscript"/>
        </w:rPr>
        <w:t>4</w:t>
      </w:r>
      <w:r w:rsidRPr="00B91517">
        <w:rPr>
          <w:rFonts w:eastAsia="Times New Roman"/>
          <w:sz w:val="24"/>
          <w:szCs w:val="24"/>
        </w:rPr>
        <w:t>Fisheries and Oceans Canada, Institute of Ocean Sciences, BC, Canada</w:t>
      </w:r>
    </w:p>
    <w:p w14:paraId="0E3D3D80" w14:textId="77777777" w:rsidR="00481C2B" w:rsidRPr="00B91517" w:rsidRDefault="00481C2B" w:rsidP="00481C2B">
      <w:pPr>
        <w:widowControl w:val="0"/>
        <w:shd w:val="clear" w:color="auto" w:fill="FFFFFF"/>
        <w:rPr>
          <w:rFonts w:eastAsia="Times New Roman"/>
          <w:sz w:val="24"/>
          <w:szCs w:val="24"/>
        </w:rPr>
      </w:pPr>
      <w:r w:rsidRPr="00B91517">
        <w:rPr>
          <w:rFonts w:eastAsia="Times New Roman"/>
          <w:sz w:val="24"/>
          <w:szCs w:val="24"/>
          <w:vertAlign w:val="superscript"/>
        </w:rPr>
        <w:t>5</w:t>
      </w:r>
      <w:r w:rsidRPr="00B91517">
        <w:rPr>
          <w:rFonts w:eastAsia="Times New Roman"/>
          <w:sz w:val="24"/>
          <w:szCs w:val="24"/>
        </w:rPr>
        <w:t>University of Washington, Applied Physics Laboratory, Seattle, WA, USA</w:t>
      </w:r>
    </w:p>
    <w:p w14:paraId="5E6D15B0" w14:textId="71D72AB9" w:rsidR="00481C2B" w:rsidRPr="00B91517" w:rsidRDefault="00481C2B" w:rsidP="00481C2B">
      <w:pPr>
        <w:widowControl w:val="0"/>
        <w:rPr>
          <w:rFonts w:eastAsia="Times New Roman"/>
          <w:sz w:val="24"/>
          <w:szCs w:val="24"/>
        </w:rPr>
      </w:pPr>
      <w:r w:rsidRPr="00B91517">
        <w:rPr>
          <w:rFonts w:eastAsia="Times New Roman"/>
          <w:sz w:val="24"/>
          <w:szCs w:val="24"/>
          <w:vertAlign w:val="superscript"/>
        </w:rPr>
        <w:t>6</w:t>
      </w:r>
      <w:r w:rsidRPr="00B91517">
        <w:rPr>
          <w:rFonts w:eastAsia="Times New Roman"/>
          <w:sz w:val="24"/>
          <w:szCs w:val="24"/>
        </w:rPr>
        <w:t>University of Washington, Cooperative Institute for Climate, Ocean, and Ecosystem Studies, Seattle, WA, USA</w:t>
      </w:r>
    </w:p>
    <w:p w14:paraId="668EEE85" w14:textId="77777777" w:rsidR="00481C2B" w:rsidRPr="00B91517" w:rsidRDefault="00481C2B" w:rsidP="00481C2B">
      <w:pPr>
        <w:widowControl w:val="0"/>
        <w:rPr>
          <w:rFonts w:eastAsia="Times New Roman"/>
          <w:sz w:val="24"/>
          <w:szCs w:val="24"/>
        </w:rPr>
      </w:pPr>
    </w:p>
    <w:p w14:paraId="39309E5A" w14:textId="4002252F" w:rsidR="00481C2B" w:rsidRPr="00B91517" w:rsidRDefault="00481C2B" w:rsidP="00481C2B">
      <w:pPr>
        <w:widowControl w:val="0"/>
        <w:rPr>
          <w:rFonts w:eastAsia="Times New Roman"/>
          <w:b/>
          <w:sz w:val="24"/>
          <w:szCs w:val="24"/>
        </w:rPr>
      </w:pPr>
      <w:r w:rsidRPr="00B91517">
        <w:rPr>
          <w:rFonts w:eastAsia="Times New Roman"/>
          <w:b/>
          <w:sz w:val="24"/>
          <w:szCs w:val="24"/>
        </w:rPr>
        <w:t>* Correspondence:</w:t>
      </w:r>
      <w:r w:rsidRPr="00B91517">
        <w:rPr>
          <w:rFonts w:eastAsia="Times New Roman"/>
          <w:b/>
          <w:sz w:val="24"/>
          <w:szCs w:val="24"/>
        </w:rPr>
        <w:t xml:space="preserve"> </w:t>
      </w:r>
      <w:r w:rsidRPr="00B91517">
        <w:rPr>
          <w:rFonts w:eastAsia="Times New Roman"/>
          <w:sz w:val="24"/>
          <w:szCs w:val="24"/>
        </w:rPr>
        <w:t>Catherine Kohlman</w:t>
      </w:r>
      <w:r w:rsidRPr="00B91517">
        <w:rPr>
          <w:rFonts w:eastAsia="Times New Roman"/>
          <w:b/>
          <w:sz w:val="24"/>
          <w:szCs w:val="24"/>
        </w:rPr>
        <w:t xml:space="preserve"> (</w:t>
      </w:r>
      <w:hyperlink r:id="rId10" w:history="1">
        <w:r w:rsidRPr="00B91517">
          <w:rPr>
            <w:rStyle w:val="Hyperlink"/>
            <w:rFonts w:eastAsia="Times New Roman"/>
            <w:sz w:val="24"/>
            <w:szCs w:val="24"/>
          </w:rPr>
          <w:t>kohlman@uw.edu</w:t>
        </w:r>
      </w:hyperlink>
      <w:r w:rsidRPr="00B91517">
        <w:rPr>
          <w:rFonts w:eastAsia="Times New Roman"/>
          <w:b/>
          <w:sz w:val="24"/>
          <w:szCs w:val="24"/>
        </w:rPr>
        <w:t>)</w:t>
      </w:r>
    </w:p>
    <w:p w14:paraId="52EAA876" w14:textId="0F4D9CB3" w:rsidR="00C94AA5" w:rsidRPr="00B91517" w:rsidRDefault="00C94AA5" w:rsidP="00481C2B">
      <w:pPr>
        <w:pStyle w:val="Heading-Main"/>
      </w:pPr>
      <w:r w:rsidRPr="00B91517">
        <w:t>Key Points:</w:t>
      </w:r>
    </w:p>
    <w:p w14:paraId="3AE22DC1" w14:textId="77777777" w:rsidR="0095179B" w:rsidRPr="00B91517" w:rsidRDefault="0095179B" w:rsidP="0095179B">
      <w:pPr>
        <w:numPr>
          <w:ilvl w:val="0"/>
          <w:numId w:val="14"/>
        </w:numPr>
        <w:autoSpaceDE w:val="0"/>
        <w:autoSpaceDN w:val="0"/>
        <w:adjustRightInd w:val="0"/>
        <w:rPr>
          <w:rFonts w:eastAsiaTheme="minorHAnsi"/>
          <w:sz w:val="24"/>
          <w:szCs w:val="24"/>
        </w:rPr>
      </w:pPr>
      <w:r w:rsidRPr="00B91517">
        <w:rPr>
          <w:rFonts w:eastAsiaTheme="minorHAnsi"/>
          <w:sz w:val="24"/>
          <w:szCs w:val="24"/>
        </w:rPr>
        <w:t xml:space="preserve">The 2019 northeastern Pacific marine heatwave had various offshore physical, biogeochemical, and biological impacts. </w:t>
      </w:r>
    </w:p>
    <w:p w14:paraId="12020914" w14:textId="77777777" w:rsidR="0095179B" w:rsidRPr="0095179B" w:rsidRDefault="0095179B" w:rsidP="0095179B">
      <w:pPr>
        <w:numPr>
          <w:ilvl w:val="0"/>
          <w:numId w:val="14"/>
        </w:numPr>
        <w:autoSpaceDE w:val="0"/>
        <w:autoSpaceDN w:val="0"/>
        <w:adjustRightInd w:val="0"/>
        <w:rPr>
          <w:rFonts w:eastAsiaTheme="minorHAnsi"/>
          <w:sz w:val="24"/>
          <w:szCs w:val="24"/>
        </w:rPr>
      </w:pPr>
      <w:r w:rsidRPr="00B91517">
        <w:rPr>
          <w:rFonts w:eastAsiaTheme="minorHAnsi"/>
          <w:sz w:val="24"/>
          <w:szCs w:val="24"/>
        </w:rPr>
        <w:t>Warm subsurface temperature anomalies suggest a connection between the 2013-2015 “Blob” and the 2019</w:t>
      </w:r>
      <w:r w:rsidRPr="0095179B">
        <w:rPr>
          <w:rFonts w:eastAsiaTheme="minorHAnsi"/>
          <w:sz w:val="24"/>
          <w:szCs w:val="24"/>
        </w:rPr>
        <w:t xml:space="preserve"> “Blob2.0” marine heatwaves.</w:t>
      </w:r>
    </w:p>
    <w:p w14:paraId="039F7E9C" w14:textId="40183EEE" w:rsidR="003C6DFD" w:rsidRPr="003C6DFD" w:rsidRDefault="0095179B" w:rsidP="0095179B">
      <w:pPr>
        <w:numPr>
          <w:ilvl w:val="0"/>
          <w:numId w:val="14"/>
        </w:numPr>
        <w:autoSpaceDE w:val="0"/>
        <w:autoSpaceDN w:val="0"/>
        <w:adjustRightInd w:val="0"/>
        <w:rPr>
          <w:rFonts w:eastAsiaTheme="minorHAnsi"/>
          <w:sz w:val="24"/>
          <w:szCs w:val="24"/>
        </w:rPr>
      </w:pPr>
      <w:r w:rsidRPr="0095179B">
        <w:rPr>
          <w:rFonts w:eastAsiaTheme="minorHAnsi"/>
          <w:sz w:val="24"/>
          <w:szCs w:val="24"/>
        </w:rPr>
        <w:t xml:space="preserve">Long-term multidisciplinary observing systems are necessary to provide </w:t>
      </w:r>
      <w:r w:rsidR="003C6DFD">
        <w:rPr>
          <w:rFonts w:eastAsiaTheme="minorHAnsi"/>
          <w:sz w:val="24"/>
          <w:szCs w:val="24"/>
        </w:rPr>
        <w:t>a</w:t>
      </w:r>
      <w:r w:rsidRPr="0095179B">
        <w:rPr>
          <w:rFonts w:eastAsiaTheme="minorHAnsi"/>
          <w:sz w:val="24"/>
          <w:szCs w:val="24"/>
        </w:rPr>
        <w:t xml:space="preserve"> holistic view of extreme events. </w:t>
      </w:r>
    </w:p>
    <w:p w14:paraId="1331DA8B" w14:textId="77777777" w:rsidR="003C6DFD" w:rsidRDefault="003C6DFD">
      <w:pPr>
        <w:rPr>
          <w:rFonts w:eastAsia="Times New Roman"/>
          <w:b/>
          <w:bCs/>
          <w:kern w:val="28"/>
          <w:sz w:val="24"/>
          <w:szCs w:val="24"/>
        </w:rPr>
      </w:pPr>
      <w:r>
        <w:br w:type="page"/>
      </w:r>
    </w:p>
    <w:p w14:paraId="2659CCE1" w14:textId="20FC8974" w:rsidR="002F3B11" w:rsidRPr="00B2290F" w:rsidRDefault="008A6077" w:rsidP="00C81368">
      <w:pPr>
        <w:pStyle w:val="Heading-Main"/>
      </w:pPr>
      <w:r w:rsidRPr="00B2290F">
        <w:lastRenderedPageBreak/>
        <w:t>Abstract</w:t>
      </w:r>
    </w:p>
    <w:p w14:paraId="51809AE4" w14:textId="1A70608A" w:rsidR="00DE3F91" w:rsidRDefault="002058E0" w:rsidP="00DE3F91">
      <w:pPr>
        <w:pStyle w:val="Abstract"/>
      </w:pPr>
      <w:r w:rsidRPr="002058E0">
        <w:t xml:space="preserve">In the past decade, two large marine heatwaves (MHWs) formed in the northeast Pacific near Ocean Station Papa (OSP), one of the oldest oceanic time series stations. Physical, </w:t>
      </w:r>
      <w:proofErr w:type="gramStart"/>
      <w:r w:rsidRPr="002058E0">
        <w:t>biogeochemical</w:t>
      </w:r>
      <w:proofErr w:type="gramEnd"/>
      <w:r w:rsidRPr="002058E0">
        <w:t xml:space="preserve"> and biological parameters observed at OSP from 2013 to 2020 are used to assess ocean response and potential impacts on marine life from the 2019 northeast Pacific MHW. The 2019 MHW was preceded by calm and stratified surface conditions, lower dissolved inorganic carbon, and higher pH of surface waters relative to the 2013-2020 period. A spike in the summertime chlorophyll followed by a decrease in surface macronutrients suggests increased productivity in the well-lit stratified upper ocean during summer 2019. More blue whale calls were recorded at OSP in 2019 compared to the prior year. Large subsurface temperature anomalies were also found, suggesting that the earlier northeast Pacific MHW (2013-2015, previously referred to as “Blob”) as well as the long-term increase in sea surface temperatures in the region contributed to the intensity of the 2019 MHW. This study shows how the utility of long-term, continuous oceanographic datasets and analysis with an interdisciplinary lens is necessary to understand the potential impact of MHWs on marine ecosystems. </w:t>
      </w:r>
    </w:p>
    <w:p w14:paraId="178ECC2A" w14:textId="35B67031" w:rsidR="00211FB9" w:rsidRPr="00211FB9" w:rsidRDefault="00211FB9" w:rsidP="00DE3F91">
      <w:pPr>
        <w:pStyle w:val="Abstract"/>
        <w:rPr>
          <w:b/>
          <w:bCs/>
        </w:rPr>
      </w:pPr>
      <w:r w:rsidRPr="00211FB9">
        <w:rPr>
          <w:b/>
          <w:bCs/>
        </w:rPr>
        <w:t>Plain Language Summary</w:t>
      </w:r>
    </w:p>
    <w:p w14:paraId="32FADF65" w14:textId="5995D151" w:rsidR="00211FB9" w:rsidRPr="00B2290F" w:rsidRDefault="00211FB9" w:rsidP="00DE3F91">
      <w:pPr>
        <w:pStyle w:val="Abstract"/>
      </w:pPr>
      <w:r w:rsidRPr="00211FB9">
        <w:t xml:space="preserve">Marine heatwaves (MHWs) are extremely warm </w:t>
      </w:r>
      <w:r w:rsidR="00272CE7">
        <w:t xml:space="preserve">temperature </w:t>
      </w:r>
      <w:r w:rsidRPr="00211FB9">
        <w:t>events in the ocean. In 2019, a MHW occurred in the northeastern Pacific, and we utilized Ocean Station Papa (OSP), a multidisciplinary observing system in the Gulf of Alaska, to present the physical, biogeochemical, and biological impacts. Prior to reaching the MHW</w:t>
      </w:r>
      <w:r w:rsidR="009E2EE1">
        <w:t>’s peak surface temperatures</w:t>
      </w:r>
      <w:r w:rsidRPr="00211FB9">
        <w:t xml:space="preserve">, the upper ocean exhibited a calm and stratified state, which facilitated the occurrence of exceptionally high sea </w:t>
      </w:r>
      <w:r w:rsidR="003C6DFD">
        <w:t xml:space="preserve">surface </w:t>
      </w:r>
      <w:r w:rsidRPr="00211FB9">
        <w:t>temperatures</w:t>
      </w:r>
      <w:r w:rsidR="003C6DFD">
        <w:t>. D</w:t>
      </w:r>
      <w:r w:rsidR="003C6DFD">
        <w:t>uring and after the extreme surface temperatures were observed</w:t>
      </w:r>
      <w:r w:rsidR="003C6DFD">
        <w:t xml:space="preserve"> at OSP, warm water</w:t>
      </w:r>
      <w:r w:rsidRPr="00211FB9">
        <w:t xml:space="preserve"> </w:t>
      </w:r>
      <w:r w:rsidR="003C6DFD">
        <w:t>was present well below the surface, extending throughout the water column</w:t>
      </w:r>
      <w:r w:rsidRPr="00211FB9">
        <w:t xml:space="preserve">. </w:t>
      </w:r>
      <w:r w:rsidR="003C6DFD">
        <w:t>P</w:t>
      </w:r>
      <w:r w:rsidR="003C6DFD" w:rsidRPr="00211FB9">
        <w:t>rior to the MHW</w:t>
      </w:r>
      <w:r w:rsidR="003C6DFD">
        <w:t>’s peak surface temperatures</w:t>
      </w:r>
      <w:r w:rsidR="003C6DFD">
        <w:t>, we also</w:t>
      </w:r>
      <w:r w:rsidRPr="00211FB9">
        <w:t xml:space="preserve"> observed indications of increased </w:t>
      </w:r>
      <w:r w:rsidR="009E2EE1">
        <w:t xml:space="preserve">primary </w:t>
      </w:r>
      <w:r w:rsidRPr="00211FB9">
        <w:t xml:space="preserve">productivity through </w:t>
      </w:r>
      <w:r w:rsidR="00272CE7">
        <w:t xml:space="preserve">observed </w:t>
      </w:r>
      <w:r w:rsidRPr="00211FB9">
        <w:t xml:space="preserve">spikes in chlorophyll levels and reductions in nutrient concentrations. </w:t>
      </w:r>
      <w:r w:rsidR="003C6DFD">
        <w:t>Due</w:t>
      </w:r>
      <w:r w:rsidRPr="00211FB9">
        <w:t xml:space="preserve"> to data limitations, the connection between this heightened </w:t>
      </w:r>
      <w:r w:rsidR="009E2EE1">
        <w:t>primary productivity</w:t>
      </w:r>
      <w:r w:rsidRPr="00211FB9">
        <w:t xml:space="preserve"> and higher trophic levels remains unclear. Our study </w:t>
      </w:r>
      <w:r w:rsidR="00272CE7">
        <w:t>demonstrates</w:t>
      </w:r>
      <w:r w:rsidRPr="00211FB9">
        <w:t xml:space="preserve"> the necessity of adopting holistic perspectives when seeking to understand the complexities of MHWs.</w:t>
      </w:r>
    </w:p>
    <w:p w14:paraId="16752E20" w14:textId="77777777" w:rsidR="002F3B11" w:rsidRPr="00B2290F" w:rsidRDefault="002F3B11" w:rsidP="00C81368">
      <w:pPr>
        <w:pStyle w:val="Heading-Main"/>
      </w:pPr>
      <w:r w:rsidRPr="00B2290F">
        <w:t>1 Introduction</w:t>
      </w:r>
    </w:p>
    <w:p w14:paraId="5A0E92C5" w14:textId="77777777" w:rsidR="002058E0" w:rsidRPr="00B2290F" w:rsidRDefault="002058E0" w:rsidP="002058E0">
      <w:pPr>
        <w:widowControl w:val="0"/>
        <w:ind w:firstLine="720"/>
        <w:rPr>
          <w:rFonts w:eastAsia="Times New Roman"/>
          <w:sz w:val="24"/>
          <w:szCs w:val="24"/>
        </w:rPr>
      </w:pPr>
      <w:r w:rsidRPr="00B2290F">
        <w:rPr>
          <w:rFonts w:eastAsia="Times New Roman"/>
          <w:sz w:val="24"/>
          <w:szCs w:val="24"/>
        </w:rPr>
        <w:t xml:space="preserve">Prolonged extreme sea surface temperature (SST) anomalies, or marine heatwaves (MHWs) (Hobday et al., 2016), are known to have a cascade of impacts on the ocean’s physics, biogeochemistry, </w:t>
      </w:r>
      <w:proofErr w:type="gramStart"/>
      <w:r w:rsidRPr="00B2290F">
        <w:rPr>
          <w:rFonts w:eastAsia="Times New Roman"/>
          <w:sz w:val="24"/>
          <w:szCs w:val="24"/>
        </w:rPr>
        <w:t>ecosystem</w:t>
      </w:r>
      <w:proofErr w:type="gramEnd"/>
      <w:r w:rsidRPr="00B2290F">
        <w:rPr>
          <w:rFonts w:eastAsia="Times New Roman"/>
          <w:sz w:val="24"/>
          <w:szCs w:val="24"/>
        </w:rPr>
        <w:t xml:space="preserve"> and marine life. MHWs are often examined using either models or satellite SST (Amaya et al., 2020; Bond et al., 2015; </w:t>
      </w:r>
      <w:proofErr w:type="spellStart"/>
      <w:r w:rsidRPr="00B2290F">
        <w:rPr>
          <w:rFonts w:eastAsia="Times New Roman"/>
          <w:sz w:val="24"/>
          <w:szCs w:val="24"/>
        </w:rPr>
        <w:t>Capotondi</w:t>
      </w:r>
      <w:proofErr w:type="spellEnd"/>
      <w:r w:rsidRPr="00B2290F">
        <w:rPr>
          <w:rFonts w:eastAsia="Times New Roman"/>
          <w:sz w:val="24"/>
          <w:szCs w:val="24"/>
        </w:rPr>
        <w:t xml:space="preserve"> et al., 2022; Holbrook et al., 2019), ocean color (</w:t>
      </w:r>
      <w:proofErr w:type="spellStart"/>
      <w:r w:rsidRPr="00B2290F">
        <w:rPr>
          <w:rFonts w:eastAsia="Times New Roman"/>
          <w:sz w:val="24"/>
          <w:szCs w:val="24"/>
        </w:rPr>
        <w:t>Hayashida</w:t>
      </w:r>
      <w:proofErr w:type="spellEnd"/>
      <w:r w:rsidRPr="00B2290F">
        <w:rPr>
          <w:rFonts w:eastAsia="Times New Roman"/>
          <w:sz w:val="24"/>
          <w:szCs w:val="24"/>
        </w:rPr>
        <w:t xml:space="preserve"> et al., 2020; Noh et al., 2022), gridded subsurface data (Scannell et al., 2020) or disparate observations (Bond et al., 2015). Here, we examine the 2019 MHW in the northeast (NE) Pacific using a long-term ocean time series from the Ocean Station Papa (OSP) observing node located near the epicenter of the NE Pacific MHWs. The meteorological, physical, biogeochemical, and lower and higher trophic biological data enable us to consider the connections that can result in widespread biogeochemical and ecosystem impacts.</w:t>
      </w:r>
    </w:p>
    <w:p w14:paraId="7C216535" w14:textId="77777777" w:rsidR="002058E0" w:rsidRPr="00B2290F" w:rsidRDefault="002058E0" w:rsidP="002058E0">
      <w:pPr>
        <w:widowControl w:val="0"/>
        <w:rPr>
          <w:rFonts w:eastAsia="Times New Roman"/>
          <w:sz w:val="24"/>
          <w:szCs w:val="24"/>
        </w:rPr>
      </w:pPr>
      <w:r w:rsidRPr="00B2290F">
        <w:rPr>
          <w:rFonts w:eastAsia="Times New Roman"/>
          <w:sz w:val="24"/>
          <w:szCs w:val="24"/>
        </w:rPr>
        <w:t xml:space="preserve"> </w:t>
      </w:r>
    </w:p>
    <w:p w14:paraId="283493B2" w14:textId="77777777" w:rsidR="002058E0" w:rsidRPr="00B2290F" w:rsidRDefault="002058E0" w:rsidP="002058E0">
      <w:pPr>
        <w:widowControl w:val="0"/>
        <w:ind w:firstLine="720"/>
        <w:rPr>
          <w:rFonts w:eastAsia="Times New Roman"/>
          <w:sz w:val="24"/>
          <w:szCs w:val="24"/>
        </w:rPr>
      </w:pPr>
      <w:r w:rsidRPr="00B2290F">
        <w:rPr>
          <w:rFonts w:eastAsia="Times New Roman"/>
          <w:sz w:val="24"/>
          <w:szCs w:val="24"/>
        </w:rPr>
        <w:t xml:space="preserve">In the recent decade, two notable MHWs (Hobday et al., 2016) have been observed in the NE Pacific surrounding OSP. In the winter of 2013/2014, a MHW named the “Blob” was observed and persisted well into 2015 (Bond et al., 2015) with subsurface temperature and </w:t>
      </w:r>
      <w:r w:rsidRPr="00B2290F">
        <w:rPr>
          <w:rFonts w:eastAsia="Times New Roman"/>
          <w:sz w:val="24"/>
          <w:szCs w:val="24"/>
        </w:rPr>
        <w:lastRenderedPageBreak/>
        <w:t xml:space="preserve">salinity anomalies lingering until 2018 (Scannell et al., 2020). The main drivers of the 2013-2015 MHW were weaker surface winds that resulted in weaker than normal surface heat loss and weaker cold advection (Bond et al., 2015). Teleconnections from the Tropical Pacific likely forced these atmospheric anomalies (Bond et al., 2015; </w:t>
      </w:r>
      <w:proofErr w:type="spellStart"/>
      <w:r w:rsidRPr="00B2290F">
        <w:rPr>
          <w:rFonts w:eastAsia="Times New Roman"/>
          <w:sz w:val="24"/>
          <w:szCs w:val="24"/>
        </w:rPr>
        <w:t>Capotondi</w:t>
      </w:r>
      <w:proofErr w:type="spellEnd"/>
      <w:r w:rsidRPr="00B2290F">
        <w:rPr>
          <w:rFonts w:eastAsia="Times New Roman"/>
          <w:sz w:val="24"/>
          <w:szCs w:val="24"/>
        </w:rPr>
        <w:t xml:space="preserve"> et al., 2022; Di Lorenzo &amp; Mantua, 2016; Hartmann, 2015; Holbrook et al., 2019; Holbrook et al., 2020). Based upon OSP biogeochemical observations from 2007 through 2018, Mogen et al. (2022) suggest that these 2013-2015 MHW drivers were also responsible for an observed decrease in surface oxygen (O</w:t>
      </w:r>
      <w:r w:rsidRPr="00B2290F">
        <w:rPr>
          <w:rFonts w:eastAsia="Times New Roman"/>
          <w:sz w:val="24"/>
          <w:szCs w:val="24"/>
          <w:vertAlign w:val="subscript"/>
        </w:rPr>
        <w:t>2</w:t>
      </w:r>
      <w:r w:rsidRPr="00B2290F">
        <w:rPr>
          <w:rFonts w:eastAsia="Times New Roman"/>
          <w:sz w:val="24"/>
          <w:szCs w:val="24"/>
        </w:rPr>
        <w:t xml:space="preserve">) and dissolved inorganic carbon (DIC). The upper ocean changes associated with the 2013-2015 MHW had pronounced coastal and offshore impacts on marine biodiversity, ecosystems, and fishery economics (Bond et al., 2015; Cheung &amp; </w:t>
      </w:r>
      <w:proofErr w:type="spellStart"/>
      <w:r w:rsidRPr="00B2290F">
        <w:rPr>
          <w:rFonts w:eastAsia="Times New Roman"/>
          <w:sz w:val="24"/>
          <w:szCs w:val="24"/>
        </w:rPr>
        <w:t>Frölicher</w:t>
      </w:r>
      <w:proofErr w:type="spellEnd"/>
      <w:r w:rsidRPr="00B2290F">
        <w:rPr>
          <w:rFonts w:eastAsia="Times New Roman"/>
          <w:sz w:val="24"/>
          <w:szCs w:val="24"/>
        </w:rPr>
        <w:t xml:space="preserve">, 2020; Holbrook et al., 2019; Long et al., 2021; </w:t>
      </w:r>
      <w:proofErr w:type="spellStart"/>
      <w:r w:rsidRPr="00B2290F">
        <w:rPr>
          <w:rFonts w:eastAsia="Times New Roman"/>
          <w:sz w:val="24"/>
          <w:szCs w:val="24"/>
        </w:rPr>
        <w:t>Smale</w:t>
      </w:r>
      <w:proofErr w:type="spellEnd"/>
      <w:r w:rsidRPr="00B2290F">
        <w:rPr>
          <w:rFonts w:eastAsia="Times New Roman"/>
          <w:sz w:val="24"/>
          <w:szCs w:val="24"/>
        </w:rPr>
        <w:t xml:space="preserve"> et al., 2019).</w:t>
      </w:r>
    </w:p>
    <w:p w14:paraId="0412EDCF" w14:textId="77777777" w:rsidR="002058E0" w:rsidRPr="00B2290F" w:rsidRDefault="002058E0" w:rsidP="002058E0">
      <w:pPr>
        <w:widowControl w:val="0"/>
        <w:rPr>
          <w:rFonts w:eastAsia="Times New Roman"/>
          <w:sz w:val="24"/>
          <w:szCs w:val="24"/>
        </w:rPr>
      </w:pPr>
      <w:r w:rsidRPr="00B2290F">
        <w:rPr>
          <w:rFonts w:eastAsia="Times New Roman"/>
          <w:sz w:val="24"/>
          <w:szCs w:val="24"/>
        </w:rPr>
        <w:t xml:space="preserve"> </w:t>
      </w:r>
    </w:p>
    <w:p w14:paraId="6539BF04" w14:textId="77777777" w:rsidR="002058E0" w:rsidRPr="00B2290F" w:rsidRDefault="002058E0" w:rsidP="002058E0">
      <w:pPr>
        <w:widowControl w:val="0"/>
        <w:ind w:firstLine="720"/>
        <w:rPr>
          <w:rFonts w:eastAsia="Times New Roman"/>
          <w:sz w:val="24"/>
          <w:szCs w:val="24"/>
        </w:rPr>
      </w:pPr>
      <w:r w:rsidRPr="00B2290F">
        <w:rPr>
          <w:rFonts w:eastAsia="Times New Roman"/>
          <w:sz w:val="24"/>
          <w:szCs w:val="24"/>
        </w:rPr>
        <w:t xml:space="preserve">In 2019, after the SST anomalies of the 2013-2015 MHW dissipated, the NE Pacific experienced another MHW, referred to as the “Blob2.0” (Amaya et al., 2020). </w:t>
      </w:r>
      <w:proofErr w:type="gramStart"/>
      <w:r w:rsidRPr="00B2290F">
        <w:rPr>
          <w:rFonts w:eastAsia="Times New Roman"/>
          <w:sz w:val="24"/>
          <w:szCs w:val="24"/>
        </w:rPr>
        <w:t>Similar to</w:t>
      </w:r>
      <w:proofErr w:type="gramEnd"/>
      <w:r w:rsidRPr="00B2290F">
        <w:rPr>
          <w:rFonts w:eastAsia="Times New Roman"/>
          <w:sz w:val="24"/>
          <w:szCs w:val="24"/>
        </w:rPr>
        <w:t xml:space="preserve"> the 2013-2015 MHW, the 2019 MHW appeared to be driven in part by reduced surface-level winds resulting from large-scale atmospheric anomalies (Amaya et al., 2020). The 2019 MHW peaked in the summer and had larger SST anomalies than the 2013-2015 MHW owing to positive net surface heat fluxes and a record shallow mixed layer (Amaya et al., 2020). The entire water column was fresher and more stratified than in the 2013-2015 MHW, and the 2019 MHW was believed to be supercharged by reemerged subsurface temperature anomalies from the 2013-2015 MHW (Scannell et al., 2020).</w:t>
      </w:r>
    </w:p>
    <w:p w14:paraId="7361EBB8" w14:textId="77777777" w:rsidR="002058E0" w:rsidRPr="00B2290F" w:rsidRDefault="002058E0" w:rsidP="002058E0">
      <w:pPr>
        <w:widowControl w:val="0"/>
        <w:rPr>
          <w:rFonts w:eastAsia="Times New Roman"/>
          <w:sz w:val="24"/>
          <w:szCs w:val="24"/>
        </w:rPr>
      </w:pPr>
      <w:r w:rsidRPr="00B2290F">
        <w:rPr>
          <w:rFonts w:eastAsia="Times New Roman"/>
          <w:sz w:val="24"/>
          <w:szCs w:val="24"/>
        </w:rPr>
        <w:t xml:space="preserve"> </w:t>
      </w:r>
    </w:p>
    <w:p w14:paraId="0E9CE7EF" w14:textId="70A5DE54" w:rsidR="002058E0" w:rsidRPr="00B2290F" w:rsidRDefault="002058E0" w:rsidP="002058E0">
      <w:pPr>
        <w:widowControl w:val="0"/>
        <w:ind w:firstLine="720"/>
        <w:rPr>
          <w:rFonts w:eastAsia="Times New Roman"/>
          <w:sz w:val="24"/>
          <w:szCs w:val="24"/>
          <w:highlight w:val="white"/>
        </w:rPr>
      </w:pPr>
      <w:r w:rsidRPr="00B2290F">
        <w:rPr>
          <w:rFonts w:eastAsia="Times New Roman"/>
          <w:sz w:val="24"/>
          <w:szCs w:val="24"/>
        </w:rPr>
        <w:t xml:space="preserve">Located at 50°N, 145°W, 1200 km offshore of Vancouver Island, B.C. Canada, OSP (Figure 1) is site of one of the oldest multi-disciplinary time series (Harrison, 2002; Whitney &amp; Freeland, 1999; Whitney et al., 1998) and is just north of the centers of the two </w:t>
      </w:r>
      <w:proofErr w:type="gramStart"/>
      <w:r w:rsidRPr="00B2290F">
        <w:rPr>
          <w:rFonts w:eastAsia="Times New Roman"/>
          <w:sz w:val="24"/>
          <w:szCs w:val="24"/>
        </w:rPr>
        <w:t>aforementioned MHWs</w:t>
      </w:r>
      <w:proofErr w:type="gramEnd"/>
      <w:r w:rsidRPr="00B2290F">
        <w:rPr>
          <w:rFonts w:eastAsia="Times New Roman"/>
          <w:sz w:val="24"/>
          <w:szCs w:val="24"/>
        </w:rPr>
        <w:t xml:space="preserve"> (Figure 2ab). From 1949 through 1981 it was occupied by a weathership and since 1956, the Canadian Department of Fisheries and Oceans (DFO) Line P Program has made </w:t>
      </w:r>
      <w:r w:rsidR="00533D41" w:rsidRPr="00B2290F">
        <w:rPr>
          <w:rFonts w:eastAsia="Times New Roman"/>
          <w:sz w:val="24"/>
          <w:szCs w:val="24"/>
        </w:rPr>
        <w:t>ship</w:t>
      </w:r>
      <w:r w:rsidR="00533D41">
        <w:rPr>
          <w:rFonts w:eastAsia="Times New Roman"/>
          <w:sz w:val="24"/>
          <w:szCs w:val="24"/>
        </w:rPr>
        <w:t>-</w:t>
      </w:r>
      <w:r w:rsidR="00533D41" w:rsidRPr="00B2290F">
        <w:rPr>
          <w:rFonts w:eastAsia="Times New Roman"/>
          <w:sz w:val="24"/>
          <w:szCs w:val="24"/>
        </w:rPr>
        <w:t>based</w:t>
      </w:r>
      <w:r w:rsidRPr="00B2290F">
        <w:rPr>
          <w:rFonts w:eastAsia="Times New Roman"/>
          <w:sz w:val="24"/>
          <w:szCs w:val="24"/>
        </w:rPr>
        <w:t xml:space="preserve"> oceanographic observations at OSP and along a transect from the coast to OSP. At present, Line P </w:t>
      </w:r>
      <w:r w:rsidR="00533D41" w:rsidRPr="00B2290F">
        <w:rPr>
          <w:rFonts w:eastAsia="Times New Roman"/>
          <w:sz w:val="24"/>
          <w:szCs w:val="24"/>
        </w:rPr>
        <w:t>ship-based</w:t>
      </w:r>
      <w:r w:rsidRPr="00B2290F">
        <w:rPr>
          <w:rFonts w:eastAsia="Times New Roman"/>
          <w:sz w:val="24"/>
          <w:szCs w:val="24"/>
        </w:rPr>
        <w:t xml:space="preserve"> observations are taken three times a year – typically in February, </w:t>
      </w:r>
      <w:proofErr w:type="gramStart"/>
      <w:r w:rsidRPr="00B2290F">
        <w:rPr>
          <w:rFonts w:eastAsia="Times New Roman"/>
          <w:sz w:val="24"/>
          <w:szCs w:val="24"/>
        </w:rPr>
        <w:t>June</w:t>
      </w:r>
      <w:proofErr w:type="gramEnd"/>
      <w:r w:rsidRPr="00B2290F">
        <w:rPr>
          <w:rFonts w:eastAsia="Times New Roman"/>
          <w:sz w:val="24"/>
          <w:szCs w:val="24"/>
        </w:rPr>
        <w:t xml:space="preserve"> and August (Freeland, 2007). The NOAA Pacific Marine Environmental Laboratory (PMEL) Ocean Climate Station (OCS) surface mooring time series began at OSP in June 2007. In 2010, a </w:t>
      </w:r>
      <w:proofErr w:type="spellStart"/>
      <w:r w:rsidR="00533D41">
        <w:rPr>
          <w:rFonts w:eastAsia="Times New Roman"/>
          <w:sz w:val="24"/>
          <w:szCs w:val="24"/>
        </w:rPr>
        <w:t>W</w:t>
      </w:r>
      <w:r w:rsidRPr="00B2290F">
        <w:rPr>
          <w:rFonts w:eastAsia="Times New Roman"/>
          <w:sz w:val="24"/>
          <w:szCs w:val="24"/>
        </w:rPr>
        <w:t>averider</w:t>
      </w:r>
      <w:proofErr w:type="spellEnd"/>
      <w:r w:rsidRPr="00B2290F">
        <w:rPr>
          <w:rFonts w:eastAsia="Times New Roman"/>
          <w:sz w:val="24"/>
          <w:szCs w:val="24"/>
        </w:rPr>
        <w:t xml:space="preserve"> surface mooring was deployed at OSP by the University of Washington (UW) Applied Physics Laboratory (APL). In 2015, OSP was enhanced to become a global node of the National Science Foundation (NSF) Ocean Observatory Initiative (OOI), with the deployment of two flanking subsurface moorings and a subsurface profiling mooring. In 2015, NOAA deployed a Noise Reference Station (NRS) that records passive acoustics for monitoring whales and other marine mammals. </w:t>
      </w:r>
      <w:r w:rsidRPr="00B2290F">
        <w:rPr>
          <w:rFonts w:eastAsia="Times New Roman"/>
          <w:sz w:val="24"/>
          <w:szCs w:val="24"/>
          <w:highlight w:val="white"/>
        </w:rPr>
        <w:t>Together, these time series allow for multi-disciplinary studies to understand the evolution and impacts surrounding extreme events, such as MHWs.</w:t>
      </w:r>
    </w:p>
    <w:p w14:paraId="347A797E" w14:textId="77777777" w:rsidR="002058E0" w:rsidRPr="00B2290F" w:rsidRDefault="002058E0" w:rsidP="002058E0">
      <w:pPr>
        <w:widowControl w:val="0"/>
        <w:rPr>
          <w:rFonts w:eastAsia="Times New Roman"/>
          <w:highlight w:val="white"/>
        </w:rPr>
      </w:pPr>
    </w:p>
    <w:p w14:paraId="59939D0E" w14:textId="77777777" w:rsidR="002058E0" w:rsidRPr="00B2290F" w:rsidRDefault="002058E0" w:rsidP="002058E0">
      <w:pPr>
        <w:widowControl w:val="0"/>
        <w:jc w:val="center"/>
        <w:rPr>
          <w:rFonts w:eastAsia="Times New Roman"/>
          <w:highlight w:val="white"/>
        </w:rPr>
      </w:pPr>
      <w:r w:rsidRPr="00B2290F">
        <w:rPr>
          <w:rFonts w:eastAsia="Times New Roman"/>
          <w:noProof/>
          <w:highlight w:val="white"/>
        </w:rPr>
        <w:lastRenderedPageBreak/>
        <w:drawing>
          <wp:inline distT="114300" distB="114300" distL="114300" distR="114300" wp14:anchorId="583D8BC5" wp14:editId="2876F7AB">
            <wp:extent cx="4236971" cy="4908884"/>
            <wp:effectExtent l="0" t="0" r="5080" b="6350"/>
            <wp:docPr id="36" name="image12.jpg" descr="A picture containing text, screenshot, map&#10;&#10;Description automatically generated"/>
            <wp:cNvGraphicFramePr/>
            <a:graphic xmlns:a="http://schemas.openxmlformats.org/drawingml/2006/main">
              <a:graphicData uri="http://schemas.openxmlformats.org/drawingml/2006/picture">
                <pic:pic xmlns:pic="http://schemas.openxmlformats.org/drawingml/2006/picture">
                  <pic:nvPicPr>
                    <pic:cNvPr id="36" name="image12.jpg" descr="A picture containing text, screenshot, map&#10;&#10;Description automatically generated"/>
                    <pic:cNvPicPr preferRelativeResize="0"/>
                  </pic:nvPicPr>
                  <pic:blipFill>
                    <a:blip r:embed="rId11"/>
                    <a:srcRect/>
                    <a:stretch>
                      <a:fillRect/>
                    </a:stretch>
                  </pic:blipFill>
                  <pic:spPr>
                    <a:xfrm>
                      <a:off x="0" y="0"/>
                      <a:ext cx="4244419" cy="4917514"/>
                    </a:xfrm>
                    <a:prstGeom prst="rect">
                      <a:avLst/>
                    </a:prstGeom>
                    <a:ln/>
                  </pic:spPr>
                </pic:pic>
              </a:graphicData>
            </a:graphic>
          </wp:inline>
        </w:drawing>
      </w:r>
    </w:p>
    <w:p w14:paraId="0EFD0A77" w14:textId="77777777" w:rsidR="002058E0" w:rsidRPr="00B2290F" w:rsidRDefault="002058E0" w:rsidP="002058E0">
      <w:pPr>
        <w:widowControl w:val="0"/>
        <w:rPr>
          <w:rFonts w:eastAsia="Times New Roman"/>
          <w:color w:val="222222"/>
          <w:sz w:val="24"/>
          <w:szCs w:val="24"/>
          <w:highlight w:val="white"/>
        </w:rPr>
      </w:pPr>
      <w:r w:rsidRPr="00B2290F">
        <w:rPr>
          <w:rFonts w:eastAsia="Times New Roman"/>
          <w:b/>
          <w:sz w:val="24"/>
          <w:szCs w:val="24"/>
        </w:rPr>
        <w:t>Figure 1</w:t>
      </w:r>
      <w:r w:rsidRPr="00B2290F">
        <w:rPr>
          <w:rFonts w:eastAsia="Times New Roman"/>
          <w:sz w:val="24"/>
          <w:szCs w:val="24"/>
        </w:rPr>
        <w:t xml:space="preserve">. Illustration of the operational components of Ocean Station Papa and their respective names and locations. </w:t>
      </w:r>
      <w:r w:rsidRPr="00B2290F">
        <w:rPr>
          <w:rFonts w:eastAsia="Times New Roman"/>
          <w:color w:val="222222"/>
          <w:sz w:val="24"/>
          <w:szCs w:val="24"/>
          <w:highlight w:val="white"/>
        </w:rPr>
        <w:t>Credit: Sarah Battle, NOAA/PMEL graphic adapted from original by the Ocean Observatories Initiative.</w:t>
      </w:r>
    </w:p>
    <w:p w14:paraId="1C872BAF" w14:textId="77777777" w:rsidR="002058E0" w:rsidRPr="00B2290F" w:rsidRDefault="002058E0" w:rsidP="002058E0">
      <w:pPr>
        <w:widowControl w:val="0"/>
        <w:rPr>
          <w:rFonts w:eastAsia="Times New Roman"/>
          <w:sz w:val="24"/>
          <w:szCs w:val="24"/>
        </w:rPr>
      </w:pPr>
      <w:r w:rsidRPr="00B2290F">
        <w:rPr>
          <w:rFonts w:eastAsia="Times New Roman"/>
          <w:sz w:val="24"/>
          <w:szCs w:val="24"/>
        </w:rPr>
        <w:t xml:space="preserve"> </w:t>
      </w:r>
    </w:p>
    <w:p w14:paraId="061B1692" w14:textId="351E7F0C" w:rsidR="002058E0" w:rsidRPr="00B2290F" w:rsidRDefault="002058E0" w:rsidP="002058E0">
      <w:pPr>
        <w:widowControl w:val="0"/>
        <w:ind w:firstLine="720"/>
        <w:rPr>
          <w:rFonts w:eastAsia="Times New Roman"/>
          <w:sz w:val="24"/>
          <w:szCs w:val="24"/>
        </w:rPr>
      </w:pPr>
      <w:r w:rsidRPr="00B2290F">
        <w:rPr>
          <w:rFonts w:eastAsia="Times New Roman"/>
          <w:sz w:val="24"/>
          <w:szCs w:val="24"/>
        </w:rPr>
        <w:t>In this study, we use OSP as an open ocean natural laboratory to explore the ocean’s physical, chemical, and biological responses to the 2019 MHW forcing. We present a holistic study of the 2019 MHW that analyzes the surface and subsurface temperature and stratification anomalies, including the recovery from the 2013-2015 MHW. We examine the potential relationships between the increased surface temperature, increased stratification, reduced ocean acidification, increased productivity, and possible linkages to higher trophic levels at OSP in the summer of 2019. This case study provides insight into the complex interconnections and potential impacts of extreme ocean warming events.</w:t>
      </w:r>
    </w:p>
    <w:p w14:paraId="7A8760A4" w14:textId="6719CD5D" w:rsidR="002F3B11" w:rsidRPr="00B2290F" w:rsidRDefault="002F3B11" w:rsidP="00C81368">
      <w:pPr>
        <w:pStyle w:val="Heading-Main"/>
      </w:pPr>
      <w:r w:rsidRPr="00B2290F">
        <w:t>2 Materials and Methods</w:t>
      </w:r>
    </w:p>
    <w:p w14:paraId="74DA8596" w14:textId="0B646F25" w:rsidR="002058E0" w:rsidRPr="00B2290F" w:rsidRDefault="002058E0" w:rsidP="002058E0">
      <w:pPr>
        <w:pStyle w:val="Heading-Main"/>
        <w:rPr>
          <w:bCs w:val="0"/>
        </w:rPr>
      </w:pPr>
      <w:r w:rsidRPr="00B2290F">
        <w:rPr>
          <w:bCs w:val="0"/>
        </w:rPr>
        <w:t xml:space="preserve">2.1. </w:t>
      </w:r>
      <w:r w:rsidRPr="00B2290F">
        <w:rPr>
          <w:bCs w:val="0"/>
        </w:rPr>
        <w:t>Identifying MHW periods at OSP</w:t>
      </w:r>
    </w:p>
    <w:p w14:paraId="098E418E" w14:textId="2EDF175F" w:rsidR="002058E0" w:rsidRPr="00B2290F" w:rsidRDefault="002058E0" w:rsidP="002058E0">
      <w:pPr>
        <w:pStyle w:val="Heading-Main"/>
        <w:rPr>
          <w:b w:val="0"/>
        </w:rPr>
      </w:pPr>
      <w:r w:rsidRPr="00B2290F">
        <w:rPr>
          <w:b w:val="0"/>
        </w:rPr>
        <w:t xml:space="preserve">We identified MHWs at OSP as events where the local 31-day </w:t>
      </w:r>
      <w:r w:rsidR="00F7548A" w:rsidRPr="00B2290F">
        <w:rPr>
          <w:b w:val="0"/>
        </w:rPr>
        <w:t>boxcar</w:t>
      </w:r>
      <w:r w:rsidRPr="00B2290F">
        <w:rPr>
          <w:b w:val="0"/>
        </w:rPr>
        <w:t xml:space="preserve"> filtered daily SST anomalies relative to the seasonal climatology exceed the 90th percentile, </w:t>
      </w:r>
      <w:proofErr w:type="gramStart"/>
      <w:r w:rsidRPr="00B2290F">
        <w:rPr>
          <w:b w:val="0"/>
        </w:rPr>
        <w:t>similar to</w:t>
      </w:r>
      <w:proofErr w:type="gramEnd"/>
      <w:r w:rsidRPr="00B2290F">
        <w:rPr>
          <w:b w:val="0"/>
        </w:rPr>
        <w:t xml:space="preserve"> the MHW </w:t>
      </w:r>
      <w:r w:rsidRPr="00B2290F">
        <w:rPr>
          <w:b w:val="0"/>
        </w:rPr>
        <w:lastRenderedPageBreak/>
        <w:t xml:space="preserve">definition in Hobday et al. (2016). Gaps less than 5-days were linearly interpolated prior to applying the 31-day filter. The climatology was calculated from the OSP NOAA surface mooring 31-day filtered SST time series from 2007 to 2020. </w:t>
      </w:r>
    </w:p>
    <w:p w14:paraId="0518895A" w14:textId="6D1044BB" w:rsidR="002058E0" w:rsidRPr="00B2290F" w:rsidRDefault="002058E0" w:rsidP="002058E0">
      <w:pPr>
        <w:pStyle w:val="Heading-Main"/>
        <w:rPr>
          <w:b w:val="0"/>
        </w:rPr>
      </w:pPr>
      <w:r w:rsidRPr="00B2290F">
        <w:rPr>
          <w:b w:val="0"/>
        </w:rPr>
        <w:t xml:space="preserve">The following list describes the suite of in-situ (moored and shipboard) and satellite data along with methods for quantities that we used to assess the widespread multi-disciplinary effects of the 2019 MHW. All </w:t>
      </w:r>
      <w:proofErr w:type="spellStart"/>
      <w:r w:rsidRPr="00B2290F">
        <w:rPr>
          <w:b w:val="0"/>
        </w:rPr>
        <w:t>climatologies</w:t>
      </w:r>
      <w:proofErr w:type="spellEnd"/>
      <w:r w:rsidRPr="00B2290F">
        <w:rPr>
          <w:b w:val="0"/>
        </w:rPr>
        <w:t xml:space="preserve"> are computed from a 31-day running average over the record length ending on Dec 31, 2020. </w:t>
      </w:r>
      <w:proofErr w:type="spellStart"/>
      <w:r w:rsidRPr="00B2290F">
        <w:rPr>
          <w:b w:val="0"/>
        </w:rPr>
        <w:t>Climatologies</w:t>
      </w:r>
      <w:proofErr w:type="spellEnd"/>
      <w:r w:rsidRPr="00B2290F">
        <w:rPr>
          <w:b w:val="0"/>
        </w:rPr>
        <w:t xml:space="preserve"> for subsurface salinity and temperatures were computed from nearby Argo floats profiles found within 49-51°N &amp; 144-146°W between 1999 and 2022. All other </w:t>
      </w:r>
      <w:proofErr w:type="spellStart"/>
      <w:r w:rsidRPr="00B2290F">
        <w:rPr>
          <w:b w:val="0"/>
        </w:rPr>
        <w:t>climatologies</w:t>
      </w:r>
      <w:proofErr w:type="spellEnd"/>
      <w:r w:rsidRPr="00B2290F">
        <w:rPr>
          <w:b w:val="0"/>
        </w:rPr>
        <w:t xml:space="preserve"> are based upon the OSP time series. Anomalies on the 31-day running average time series in moored and gridded quantities are computed relative to these </w:t>
      </w:r>
      <w:proofErr w:type="spellStart"/>
      <w:r w:rsidRPr="00B2290F">
        <w:rPr>
          <w:b w:val="0"/>
        </w:rPr>
        <w:t>climatologies</w:t>
      </w:r>
      <w:proofErr w:type="spellEnd"/>
      <w:r w:rsidRPr="00B2290F">
        <w:rPr>
          <w:b w:val="0"/>
        </w:rPr>
        <w:t xml:space="preserve"> after filling gaps that are 5-days or less. Links to data sets used are found in the </w:t>
      </w:r>
      <w:r w:rsidR="00D31CF7">
        <w:rPr>
          <w:b w:val="0"/>
        </w:rPr>
        <w:t>Data Availability section</w:t>
      </w:r>
      <w:r w:rsidRPr="00B2290F">
        <w:rPr>
          <w:b w:val="0"/>
        </w:rPr>
        <w:t>.</w:t>
      </w:r>
    </w:p>
    <w:p w14:paraId="0A7C1E0A" w14:textId="77777777" w:rsidR="000A0196" w:rsidRDefault="00925319" w:rsidP="00925319">
      <w:pPr>
        <w:pStyle w:val="Heading-Main"/>
        <w:rPr>
          <w:bCs w:val="0"/>
        </w:rPr>
      </w:pPr>
      <w:r w:rsidRPr="00B2290F">
        <w:rPr>
          <w:bCs w:val="0"/>
        </w:rPr>
        <w:t>2.</w:t>
      </w:r>
      <w:r w:rsidRPr="00B2290F">
        <w:rPr>
          <w:bCs w:val="0"/>
        </w:rPr>
        <w:t>2</w:t>
      </w:r>
      <w:r w:rsidRPr="00B2290F">
        <w:rPr>
          <w:bCs w:val="0"/>
        </w:rPr>
        <w:t xml:space="preserve"> NOAA Surface Mooring</w:t>
      </w:r>
    </w:p>
    <w:p w14:paraId="702E48AA" w14:textId="6A58720C" w:rsidR="00925319" w:rsidRPr="00B2290F" w:rsidRDefault="000A0196" w:rsidP="00925319">
      <w:pPr>
        <w:pStyle w:val="Heading-Main"/>
        <w:rPr>
          <w:bCs w:val="0"/>
        </w:rPr>
      </w:pPr>
      <w:r>
        <w:rPr>
          <w:bCs w:val="0"/>
        </w:rPr>
        <w:t xml:space="preserve">2.2.1. </w:t>
      </w:r>
      <w:r w:rsidR="00925319" w:rsidRPr="00B2290F">
        <w:rPr>
          <w:bCs w:val="0"/>
        </w:rPr>
        <w:t>Surface Meteorological Variables, Temperature, Salinity, and Currents Data</w:t>
      </w:r>
    </w:p>
    <w:p w14:paraId="457C00F3" w14:textId="6F6E6287" w:rsidR="00925319" w:rsidRDefault="00925319" w:rsidP="00925319">
      <w:pPr>
        <w:pStyle w:val="Heading-Main"/>
        <w:rPr>
          <w:b w:val="0"/>
        </w:rPr>
      </w:pPr>
      <w:r w:rsidRPr="00B2290F">
        <w:rPr>
          <w:b w:val="0"/>
        </w:rPr>
        <w:t xml:space="preserve">Air-sea flux state variables (downwelling solar and longwave radiation, winds, surface currents, humidity, air and sea surface temperature, sea surface salinity, humidity, barometric pressure and rain); upper ocean temperature (at 23 depths from 1 m to 300 m), salinity (at 21 depths from 1 m to 300 m), computed potential density, and horizontal current time series at 35 m from the NOAA surface mooring at OSP are provided by the Ocean Climate Stations (OCS) Group (Cronin et al., 2015). Wind stress, evaporation, and latent and sensible heat fluxes are computed hourly using the </w:t>
      </w:r>
      <w:proofErr w:type="spellStart"/>
      <w:r w:rsidRPr="00B2290F">
        <w:rPr>
          <w:b w:val="0"/>
        </w:rPr>
        <w:t>Fairall</w:t>
      </w:r>
      <w:proofErr w:type="spellEnd"/>
      <w:r w:rsidRPr="00B2290F">
        <w:rPr>
          <w:b w:val="0"/>
        </w:rPr>
        <w:t xml:space="preserve"> et al. (2003) COARE 3.0b algorithm, and net surface heat flux is estimated as described in Cronin et al. (2015).  </w:t>
      </w:r>
    </w:p>
    <w:p w14:paraId="3277C5FB" w14:textId="6C380707" w:rsidR="000A0196" w:rsidRPr="000A0196" w:rsidRDefault="000A0196" w:rsidP="000A0196">
      <w:pPr>
        <w:rPr>
          <w:rFonts w:eastAsia="Times New Roman"/>
          <w:b/>
          <w:color w:val="000000"/>
          <w:sz w:val="24"/>
          <w:szCs w:val="24"/>
        </w:rPr>
      </w:pPr>
      <w:r w:rsidRPr="000A0196">
        <w:rPr>
          <w:b/>
          <w:sz w:val="24"/>
          <w:szCs w:val="24"/>
        </w:rPr>
        <w:t>2.2.</w:t>
      </w:r>
      <w:r>
        <w:rPr>
          <w:b/>
          <w:sz w:val="24"/>
          <w:szCs w:val="24"/>
        </w:rPr>
        <w:t>2</w:t>
      </w:r>
      <w:r w:rsidRPr="000A0196">
        <w:rPr>
          <w:b/>
          <w:sz w:val="24"/>
          <w:szCs w:val="24"/>
        </w:rPr>
        <w:t xml:space="preserve">. </w:t>
      </w:r>
      <w:r w:rsidRPr="000A0196">
        <w:rPr>
          <w:rFonts w:eastAsia="Times New Roman"/>
          <w:b/>
          <w:color w:val="000000"/>
          <w:sz w:val="24"/>
          <w:szCs w:val="24"/>
        </w:rPr>
        <w:t>Seawater pCO</w:t>
      </w:r>
      <w:r w:rsidRPr="000A0196">
        <w:rPr>
          <w:rFonts w:eastAsia="Times New Roman"/>
          <w:b/>
          <w:color w:val="000000"/>
          <w:sz w:val="24"/>
          <w:szCs w:val="24"/>
          <w:vertAlign w:val="subscript"/>
        </w:rPr>
        <w:t>2</w:t>
      </w:r>
      <w:r w:rsidRPr="000A0196">
        <w:rPr>
          <w:rFonts w:eastAsia="Times New Roman"/>
          <w:b/>
          <w:color w:val="000000"/>
          <w:sz w:val="24"/>
          <w:szCs w:val="24"/>
        </w:rPr>
        <w:t xml:space="preserve"> and Surface pH</w:t>
      </w:r>
    </w:p>
    <w:p w14:paraId="22B7C604" w14:textId="77777777" w:rsidR="000A0196" w:rsidRPr="000A0196" w:rsidRDefault="000A0196" w:rsidP="000A0196">
      <w:pPr>
        <w:rPr>
          <w:rFonts w:eastAsia="Times New Roman"/>
          <w:sz w:val="24"/>
          <w:szCs w:val="24"/>
        </w:rPr>
      </w:pPr>
    </w:p>
    <w:p w14:paraId="78C6CF66" w14:textId="2AAC941A" w:rsidR="000A0196" w:rsidRPr="000A0196" w:rsidRDefault="000A0196" w:rsidP="000A0196">
      <w:pPr>
        <w:rPr>
          <w:rFonts w:eastAsia="Times New Roman"/>
          <w:sz w:val="24"/>
          <w:szCs w:val="24"/>
        </w:rPr>
      </w:pPr>
      <w:r w:rsidRPr="000A0196">
        <w:rPr>
          <w:rFonts w:eastAsia="Times New Roman"/>
          <w:color w:val="000000"/>
          <w:sz w:val="24"/>
          <w:szCs w:val="24"/>
        </w:rPr>
        <w:t xml:space="preserve">Surface water </w:t>
      </w:r>
      <w:r w:rsidRPr="000A0196">
        <w:rPr>
          <w:rFonts w:eastAsia="Times New Roman"/>
          <w:i/>
          <w:iCs/>
          <w:color w:val="000000"/>
          <w:sz w:val="24"/>
          <w:szCs w:val="24"/>
        </w:rPr>
        <w:t>p</w:t>
      </w:r>
      <w:r w:rsidRPr="000A0196">
        <w:rPr>
          <w:rFonts w:eastAsia="Times New Roman"/>
          <w:color w:val="000000"/>
          <w:sz w:val="24"/>
          <w:szCs w:val="24"/>
        </w:rPr>
        <w:t>CO</w:t>
      </w:r>
      <w:r w:rsidRPr="000A0196">
        <w:rPr>
          <w:rFonts w:eastAsia="Times New Roman"/>
          <w:color w:val="000000"/>
          <w:sz w:val="14"/>
          <w:szCs w:val="14"/>
          <w:vertAlign w:val="subscript"/>
        </w:rPr>
        <w:t>2</w:t>
      </w:r>
      <w:r w:rsidRPr="000A0196">
        <w:rPr>
          <w:rFonts w:eastAsia="Times New Roman"/>
          <w:color w:val="000000"/>
          <w:sz w:val="24"/>
          <w:szCs w:val="24"/>
        </w:rPr>
        <w:t xml:space="preserve"> (the partial pressure of CO</w:t>
      </w:r>
      <w:r w:rsidRPr="000A0196">
        <w:rPr>
          <w:rFonts w:eastAsia="Times New Roman"/>
          <w:color w:val="000000"/>
          <w:sz w:val="14"/>
          <w:szCs w:val="14"/>
          <w:vertAlign w:val="subscript"/>
        </w:rPr>
        <w:t>2</w:t>
      </w:r>
      <w:r w:rsidRPr="000A0196">
        <w:rPr>
          <w:rFonts w:eastAsia="Times New Roman"/>
          <w:color w:val="000000"/>
          <w:sz w:val="24"/>
          <w:szCs w:val="24"/>
        </w:rPr>
        <w:t xml:space="preserve"> in air in equilibrium with the seawater at sea surface temperature) and surface seawater pH time series are from the Pacific Marine Environmental Lab (PMEL) Carbon Group (Sutton et al., 2016; Sutton et al., 2014</w:t>
      </w:r>
      <w:r w:rsidR="00876745">
        <w:rPr>
          <w:rFonts w:eastAsia="Times New Roman"/>
          <w:color w:val="000000"/>
          <w:sz w:val="24"/>
          <w:szCs w:val="24"/>
        </w:rPr>
        <w:t>; Sutton et al., 2012</w:t>
      </w:r>
      <w:r w:rsidRPr="000A0196">
        <w:rPr>
          <w:rFonts w:eastAsia="Times New Roman"/>
          <w:color w:val="000000"/>
          <w:sz w:val="24"/>
          <w:szCs w:val="24"/>
        </w:rPr>
        <w:t>). Both variables were collected autonomously every 3-hours.</w:t>
      </w:r>
    </w:p>
    <w:p w14:paraId="3AEBC15F" w14:textId="46D2F7F0" w:rsidR="002058E0" w:rsidRPr="00B2290F" w:rsidRDefault="002058E0" w:rsidP="002058E0">
      <w:pPr>
        <w:pStyle w:val="Heading-Main"/>
        <w:rPr>
          <w:bCs w:val="0"/>
        </w:rPr>
      </w:pPr>
      <w:r w:rsidRPr="00B2290F">
        <w:rPr>
          <w:bCs w:val="0"/>
        </w:rPr>
        <w:t xml:space="preserve">2.2.3. </w:t>
      </w:r>
      <w:proofErr w:type="spellStart"/>
      <w:r w:rsidRPr="00B2290F">
        <w:rPr>
          <w:bCs w:val="0"/>
        </w:rPr>
        <w:t>Bandpassing</w:t>
      </w:r>
      <w:proofErr w:type="spellEnd"/>
      <w:r w:rsidRPr="00B2290F">
        <w:rPr>
          <w:bCs w:val="0"/>
        </w:rPr>
        <w:t xml:space="preserve"> </w:t>
      </w:r>
    </w:p>
    <w:p w14:paraId="46B90D4B" w14:textId="519651D0" w:rsidR="002058E0" w:rsidRPr="00B2290F" w:rsidRDefault="00D31CF7" w:rsidP="002058E0">
      <w:pPr>
        <w:pStyle w:val="Heading-Main"/>
        <w:rPr>
          <w:b w:val="0"/>
        </w:rPr>
      </w:pPr>
      <w:r>
        <w:rPr>
          <w:b w:val="0"/>
        </w:rPr>
        <w:t>To</w:t>
      </w:r>
      <w:r w:rsidR="002058E0" w:rsidRPr="00B2290F">
        <w:rPr>
          <w:b w:val="0"/>
        </w:rPr>
        <w:t xml:space="preserve"> obtain the near-inertial currents, we used a bandpass filter on 35 m hourly currents observed at the </w:t>
      </w:r>
      <w:r w:rsidR="00F61ADD">
        <w:rPr>
          <w:b w:val="0"/>
        </w:rPr>
        <w:t xml:space="preserve">OSP </w:t>
      </w:r>
      <w:r w:rsidR="00F61ADD" w:rsidRPr="00B2290F">
        <w:rPr>
          <w:b w:val="0"/>
        </w:rPr>
        <w:t>NOAA surface mooring</w:t>
      </w:r>
      <w:r w:rsidR="00F61ADD" w:rsidRPr="00B2290F">
        <w:rPr>
          <w:b w:val="0"/>
        </w:rPr>
        <w:t xml:space="preserve"> </w:t>
      </w:r>
      <w:r w:rsidR="002058E0" w:rsidRPr="00B2290F">
        <w:rPr>
          <w:b w:val="0"/>
        </w:rPr>
        <w:t>by defining the high-pass of the triangular filter to be 7-hours (~0.5 times the inertial period), and the low-pass of the filter was 1.5 times the inertial period (23 hours) at 50</w:t>
      </w:r>
      <w:r w:rsidR="002058E0" w:rsidRPr="00F61ADD">
        <w:rPr>
          <w:b w:val="0"/>
          <w:vertAlign w:val="superscript"/>
        </w:rPr>
        <w:t>o</w:t>
      </w:r>
      <w:r w:rsidR="002058E0" w:rsidRPr="00B2290F">
        <w:rPr>
          <w:b w:val="0"/>
        </w:rPr>
        <w:t xml:space="preserve">N. </w:t>
      </w:r>
    </w:p>
    <w:p w14:paraId="5E6EBCDB" w14:textId="41479B92" w:rsidR="002058E0" w:rsidRPr="00B2290F" w:rsidRDefault="002058E0" w:rsidP="002058E0">
      <w:pPr>
        <w:pStyle w:val="Heading-Main"/>
        <w:rPr>
          <w:bCs w:val="0"/>
        </w:rPr>
      </w:pPr>
      <w:r w:rsidRPr="00B2290F">
        <w:rPr>
          <w:bCs w:val="0"/>
        </w:rPr>
        <w:t>2.</w:t>
      </w:r>
      <w:r w:rsidRPr="00B2290F">
        <w:rPr>
          <w:bCs w:val="0"/>
        </w:rPr>
        <w:t>2</w:t>
      </w:r>
      <w:r w:rsidRPr="00B2290F">
        <w:rPr>
          <w:bCs w:val="0"/>
        </w:rPr>
        <w:t>.</w:t>
      </w:r>
      <w:r w:rsidRPr="00B2290F">
        <w:rPr>
          <w:bCs w:val="0"/>
        </w:rPr>
        <w:t>4.</w:t>
      </w:r>
      <w:r w:rsidRPr="00B2290F">
        <w:rPr>
          <w:bCs w:val="0"/>
        </w:rPr>
        <w:t xml:space="preserve"> Computing Dissolved Inorganic Carbon</w:t>
      </w:r>
      <w:r w:rsidRPr="00B2290F">
        <w:rPr>
          <w:bCs w:val="0"/>
        </w:rPr>
        <w:t xml:space="preserve">, Mixed Layer, and </w:t>
      </w:r>
      <w:r w:rsidRPr="00B2290F">
        <w:rPr>
          <w:bCs w:val="0"/>
        </w:rPr>
        <w:t>Saturation Equilibrium Oxygen</w:t>
      </w:r>
    </w:p>
    <w:p w14:paraId="5950125F" w14:textId="75264AA8" w:rsidR="002058E0" w:rsidRPr="00B2290F" w:rsidRDefault="002058E0" w:rsidP="002058E0">
      <w:pPr>
        <w:pStyle w:val="Heading-Main"/>
        <w:rPr>
          <w:b w:val="0"/>
        </w:rPr>
      </w:pPr>
      <w:r w:rsidRPr="00B2290F">
        <w:rPr>
          <w:b w:val="0"/>
        </w:rPr>
        <w:t xml:space="preserve">To analyze the carbon system during the study period, the surface dissolved inorganic carbon (DIC) was computed from daily-averaged surface water </w:t>
      </w:r>
      <w:r w:rsidRPr="00E32EA2">
        <w:rPr>
          <w:b w:val="0"/>
          <w:i/>
          <w:iCs/>
        </w:rPr>
        <w:t>p</w:t>
      </w:r>
      <w:r w:rsidRPr="00B2290F">
        <w:rPr>
          <w:b w:val="0"/>
        </w:rPr>
        <w:t>CO</w:t>
      </w:r>
      <w:r w:rsidRPr="00E32EA2">
        <w:rPr>
          <w:b w:val="0"/>
          <w:vertAlign w:val="subscript"/>
        </w:rPr>
        <w:t>2</w:t>
      </w:r>
      <w:r w:rsidRPr="00B2290F">
        <w:rPr>
          <w:b w:val="0"/>
        </w:rPr>
        <w:t xml:space="preserve">, surface pH, sea surface salinity, and sea surface temperature from the NOAA surface mooring at OSP. The program used to compute the surface DIC was the MATLAB-version (v1.1) of CO2SYS (Lewis &amp; Wallace, </w:t>
      </w:r>
      <w:r w:rsidRPr="00B2290F">
        <w:rPr>
          <w:b w:val="0"/>
        </w:rPr>
        <w:lastRenderedPageBreak/>
        <w:t xml:space="preserve">1998; van </w:t>
      </w:r>
      <w:proofErr w:type="spellStart"/>
      <w:r w:rsidRPr="00B2290F">
        <w:rPr>
          <w:b w:val="0"/>
        </w:rPr>
        <w:t>Heuven</w:t>
      </w:r>
      <w:proofErr w:type="spellEnd"/>
      <w:r w:rsidRPr="00B2290F">
        <w:rPr>
          <w:b w:val="0"/>
        </w:rPr>
        <w:t xml:space="preserve"> et al., 2011) with the borate-to-salinity ratio of Dickson (1990), sulfate dissociation constants of Dickson (1990), and the carbonic acid dissociation constants of Dickson and </w:t>
      </w:r>
      <w:proofErr w:type="spellStart"/>
      <w:r w:rsidRPr="00B2290F">
        <w:rPr>
          <w:b w:val="0"/>
        </w:rPr>
        <w:t>Millero</w:t>
      </w:r>
      <w:proofErr w:type="spellEnd"/>
      <w:r w:rsidRPr="00B2290F">
        <w:rPr>
          <w:b w:val="0"/>
        </w:rPr>
        <w:t xml:space="preserve"> (1987) - refit data of </w:t>
      </w:r>
      <w:proofErr w:type="spellStart"/>
      <w:r w:rsidRPr="00B2290F">
        <w:rPr>
          <w:b w:val="0"/>
        </w:rPr>
        <w:t>Mehrbach</w:t>
      </w:r>
      <w:proofErr w:type="spellEnd"/>
      <w:r w:rsidRPr="00B2290F">
        <w:rPr>
          <w:b w:val="0"/>
        </w:rPr>
        <w:t xml:space="preserve"> et al. (1973).</w:t>
      </w:r>
    </w:p>
    <w:p w14:paraId="590B1560" w14:textId="0511206A" w:rsidR="00925319" w:rsidRPr="00B2290F" w:rsidRDefault="00925319" w:rsidP="002058E0">
      <w:pPr>
        <w:pStyle w:val="Heading-Main"/>
        <w:rPr>
          <w:bCs w:val="0"/>
        </w:rPr>
      </w:pPr>
      <w:r w:rsidRPr="00B2290F">
        <w:rPr>
          <w:bCs w:val="0"/>
        </w:rPr>
        <w:t>2.2.</w:t>
      </w:r>
      <w:r w:rsidRPr="00B2290F">
        <w:rPr>
          <w:bCs w:val="0"/>
        </w:rPr>
        <w:t>5</w:t>
      </w:r>
      <w:r w:rsidRPr="00B2290F">
        <w:rPr>
          <w:bCs w:val="0"/>
        </w:rPr>
        <w:t>. Computing Mixed Layer</w:t>
      </w:r>
    </w:p>
    <w:p w14:paraId="23299A20" w14:textId="3064DE51" w:rsidR="002058E0" w:rsidRPr="00B2290F" w:rsidRDefault="002058E0" w:rsidP="002058E0">
      <w:pPr>
        <w:pStyle w:val="Heading-Main"/>
        <w:rPr>
          <w:b w:val="0"/>
        </w:rPr>
      </w:pPr>
      <w:r w:rsidRPr="00B2290F">
        <w:rPr>
          <w:b w:val="0"/>
        </w:rPr>
        <w:t>The mixed layer depths at OSP were computed using methods described in Cronin et al. (2015) using daily-averaged temperature and salinity profiles from the OSP surface mooring. Mixed layer depth is defined as the depth where density is 0.03 kg m</w:t>
      </w:r>
      <w:r w:rsidRPr="00E32EA2">
        <w:rPr>
          <w:b w:val="0"/>
          <w:vertAlign w:val="superscript"/>
        </w:rPr>
        <w:t>-3</w:t>
      </w:r>
      <w:r w:rsidRPr="00B2290F">
        <w:rPr>
          <w:b w:val="0"/>
        </w:rPr>
        <w:t xml:space="preserve"> denser than that found at 10</w:t>
      </w:r>
      <w:r w:rsidR="00E32EA2">
        <w:rPr>
          <w:b w:val="0"/>
        </w:rPr>
        <w:t xml:space="preserve"> </w:t>
      </w:r>
      <w:r w:rsidRPr="00B2290F">
        <w:rPr>
          <w:b w:val="0"/>
        </w:rPr>
        <w:t>m depth. An isothermal layer depth, defined as the depth where temperature is 0.2</w:t>
      </w:r>
      <w:r w:rsidRPr="00E32EA2">
        <w:rPr>
          <w:b w:val="0"/>
          <w:vertAlign w:val="superscript"/>
        </w:rPr>
        <w:t>o</w:t>
      </w:r>
      <w:r w:rsidRPr="00B2290F">
        <w:rPr>
          <w:b w:val="0"/>
        </w:rPr>
        <w:t xml:space="preserve">C cooler than found at 10 m depth, is also computed. A barrier layer exists when the mixed layer depth is salinity stratified and shallower than the isothermal layer (Katsura et al., 2015; Lukas &amp; Lindstrom, 1991; de Boyer </w:t>
      </w:r>
      <w:proofErr w:type="spellStart"/>
      <w:r w:rsidRPr="00B2290F">
        <w:rPr>
          <w:b w:val="0"/>
        </w:rPr>
        <w:t>Montégut</w:t>
      </w:r>
      <w:proofErr w:type="spellEnd"/>
      <w:r w:rsidRPr="00B2290F">
        <w:rPr>
          <w:b w:val="0"/>
        </w:rPr>
        <w:t xml:space="preserve">, 2004).   </w:t>
      </w:r>
    </w:p>
    <w:p w14:paraId="276CF72F" w14:textId="1172240D" w:rsidR="00925319" w:rsidRPr="00B2290F" w:rsidRDefault="00925319" w:rsidP="002058E0">
      <w:pPr>
        <w:pStyle w:val="Heading-Main"/>
        <w:rPr>
          <w:bCs w:val="0"/>
        </w:rPr>
      </w:pPr>
      <w:r w:rsidRPr="00B2290F">
        <w:rPr>
          <w:bCs w:val="0"/>
        </w:rPr>
        <w:t>2.2.</w:t>
      </w:r>
      <w:r w:rsidRPr="00B2290F">
        <w:rPr>
          <w:bCs w:val="0"/>
        </w:rPr>
        <w:t>6</w:t>
      </w:r>
      <w:r w:rsidRPr="00B2290F">
        <w:rPr>
          <w:bCs w:val="0"/>
        </w:rPr>
        <w:t>. Computing Saturation Equilibrium Oxygen</w:t>
      </w:r>
    </w:p>
    <w:p w14:paraId="4FF7EA78" w14:textId="31D0353E" w:rsidR="002058E0" w:rsidRPr="00B2290F" w:rsidRDefault="002058E0" w:rsidP="002058E0">
      <w:pPr>
        <w:pStyle w:val="Heading-Main"/>
        <w:rPr>
          <w:b w:val="0"/>
        </w:rPr>
      </w:pPr>
      <w:r w:rsidRPr="00B2290F">
        <w:rPr>
          <w:b w:val="0"/>
        </w:rPr>
        <w:t xml:space="preserve">The saturation equilibrium oxygen in seawater was computed using the Gibbs </w:t>
      </w:r>
      <w:proofErr w:type="spellStart"/>
      <w:r w:rsidRPr="00B2290F">
        <w:rPr>
          <w:b w:val="0"/>
        </w:rPr>
        <w:t>SeaWater</w:t>
      </w:r>
      <w:proofErr w:type="spellEnd"/>
      <w:r w:rsidRPr="00B2290F">
        <w:rPr>
          <w:b w:val="0"/>
        </w:rPr>
        <w:t xml:space="preserve"> (GSW) Oceanographic MATLAB Toolbox (McDougall &amp; Barker, 2011) with inputs of absolute salinity (computed from density and in-situ temperature) and conservative temperature (computed from absolute salinity and in-situ temperature). The GSW Toolbox uses solubility coefficients from Benson and Krause Jr (1984) as fitted by Garcia and Gordon (1992, 1993). </w:t>
      </w:r>
    </w:p>
    <w:p w14:paraId="74EAEC1C" w14:textId="688D9ECD" w:rsidR="002058E0" w:rsidRPr="00B2290F" w:rsidRDefault="002058E0" w:rsidP="002058E0">
      <w:pPr>
        <w:pStyle w:val="Heading-Main"/>
        <w:rPr>
          <w:bCs w:val="0"/>
        </w:rPr>
      </w:pPr>
      <w:r w:rsidRPr="00B2290F">
        <w:rPr>
          <w:bCs w:val="0"/>
        </w:rPr>
        <w:t>2.</w:t>
      </w:r>
      <w:r w:rsidR="000511B4">
        <w:rPr>
          <w:bCs w:val="0"/>
        </w:rPr>
        <w:t>3</w:t>
      </w:r>
      <w:r w:rsidRPr="00B2290F">
        <w:rPr>
          <w:bCs w:val="0"/>
        </w:rPr>
        <w:t>.</w:t>
      </w:r>
      <w:r w:rsidRPr="00B2290F">
        <w:rPr>
          <w:bCs w:val="0"/>
        </w:rPr>
        <w:t xml:space="preserve"> NSF OOI Subsurface Moorings</w:t>
      </w:r>
    </w:p>
    <w:p w14:paraId="4DFFD000" w14:textId="1ACC8680" w:rsidR="002058E0" w:rsidRPr="00B2290F" w:rsidRDefault="002058E0" w:rsidP="002058E0">
      <w:pPr>
        <w:pStyle w:val="Heading-Main"/>
        <w:rPr>
          <w:b w:val="0"/>
        </w:rPr>
      </w:pPr>
      <w:r w:rsidRPr="00B2290F">
        <w:rPr>
          <w:b w:val="0"/>
        </w:rPr>
        <w:t xml:space="preserve">Deep (300-1500 m) subsurface temperature and salinity observations were provided by the NSF OOI Global Station Papa Array’s Flanking Moorings A and B. These two flanking moorings are located within 60 km of the NOAA surface mooring and contain CTDs collecting data every 15 minutes at discrete depths from 30 m below the surface to 1500 m. Deep (300-1500 m) profiles (Figure 3a) were created by averaging the daily-averaged values between the Flanking Subsurface Moorings A and B. </w:t>
      </w:r>
    </w:p>
    <w:p w14:paraId="69DB608C" w14:textId="3DA85783" w:rsidR="002058E0" w:rsidRPr="00B2290F" w:rsidRDefault="002058E0" w:rsidP="002058E0">
      <w:pPr>
        <w:pStyle w:val="Heading-Main"/>
        <w:rPr>
          <w:bCs w:val="0"/>
        </w:rPr>
      </w:pPr>
      <w:r w:rsidRPr="00B2290F">
        <w:rPr>
          <w:bCs w:val="0"/>
        </w:rPr>
        <w:t>2.</w:t>
      </w:r>
      <w:r w:rsidR="000511B4">
        <w:rPr>
          <w:bCs w:val="0"/>
        </w:rPr>
        <w:t xml:space="preserve">4. </w:t>
      </w:r>
      <w:r w:rsidRPr="00B2290F">
        <w:rPr>
          <w:bCs w:val="0"/>
        </w:rPr>
        <w:t xml:space="preserve">APL-UW </w:t>
      </w:r>
      <w:proofErr w:type="spellStart"/>
      <w:r w:rsidRPr="00B2290F">
        <w:rPr>
          <w:bCs w:val="0"/>
        </w:rPr>
        <w:t>Waverider</w:t>
      </w:r>
      <w:proofErr w:type="spellEnd"/>
      <w:r w:rsidRPr="00B2290F">
        <w:rPr>
          <w:bCs w:val="0"/>
        </w:rPr>
        <w:t xml:space="preserve"> Mooring</w:t>
      </w:r>
    </w:p>
    <w:p w14:paraId="308C173E" w14:textId="0610483E" w:rsidR="002058E0" w:rsidRPr="00B2290F" w:rsidRDefault="002058E0" w:rsidP="002058E0">
      <w:pPr>
        <w:pStyle w:val="Heading-Main"/>
        <w:rPr>
          <w:b w:val="0"/>
        </w:rPr>
      </w:pPr>
      <w:r w:rsidRPr="00B2290F">
        <w:rPr>
          <w:b w:val="0"/>
        </w:rPr>
        <w:t xml:space="preserve">Daily significant wave height time series data from the </w:t>
      </w:r>
      <w:proofErr w:type="spellStart"/>
      <w:r w:rsidRPr="00B2290F">
        <w:rPr>
          <w:b w:val="0"/>
        </w:rPr>
        <w:t>Waverider</w:t>
      </w:r>
      <w:proofErr w:type="spellEnd"/>
      <w:r w:rsidRPr="00B2290F">
        <w:rPr>
          <w:b w:val="0"/>
        </w:rPr>
        <w:t xml:space="preserve"> mooring at OSP were provided by the APL-UW </w:t>
      </w:r>
      <w:proofErr w:type="spellStart"/>
      <w:r w:rsidRPr="00B2290F">
        <w:rPr>
          <w:b w:val="0"/>
        </w:rPr>
        <w:t>Waverider</w:t>
      </w:r>
      <w:proofErr w:type="spellEnd"/>
      <w:r w:rsidRPr="00B2290F">
        <w:rPr>
          <w:b w:val="0"/>
        </w:rPr>
        <w:t xml:space="preserve"> Group. The </w:t>
      </w:r>
      <w:proofErr w:type="spellStart"/>
      <w:r w:rsidRPr="00B2290F">
        <w:rPr>
          <w:b w:val="0"/>
        </w:rPr>
        <w:t>Waverider</w:t>
      </w:r>
      <w:proofErr w:type="spellEnd"/>
      <w:r w:rsidRPr="00B2290F">
        <w:rPr>
          <w:b w:val="0"/>
        </w:rPr>
        <w:t xml:space="preserve"> collects pitch roll and heave displacements at 1.28 Hz at </w:t>
      </w:r>
      <w:r w:rsidR="00A072F7" w:rsidRPr="00B2290F">
        <w:rPr>
          <w:b w:val="0"/>
        </w:rPr>
        <w:t>30-minute</w:t>
      </w:r>
      <w:r w:rsidRPr="00B2290F">
        <w:rPr>
          <w:b w:val="0"/>
        </w:rPr>
        <w:t xml:space="preserve"> intervals (Thomson et al., 2013). Spectral moments are computed onboard and then transmitted to the Coastal Data Information Program (CDIP) at the Scripps Institution of Oceanography. These buoy data are publicly available as CDIP Station 166 and National Data Buoy Center (NDBC) Station 46246. </w:t>
      </w:r>
    </w:p>
    <w:p w14:paraId="09646BA9" w14:textId="099CF522" w:rsidR="002058E0" w:rsidRPr="00B2290F" w:rsidRDefault="002058E0" w:rsidP="002058E0">
      <w:pPr>
        <w:pStyle w:val="Heading-Main"/>
        <w:rPr>
          <w:bCs w:val="0"/>
        </w:rPr>
      </w:pPr>
      <w:r w:rsidRPr="00B2290F">
        <w:rPr>
          <w:bCs w:val="0"/>
        </w:rPr>
        <w:t>2.</w:t>
      </w:r>
      <w:r w:rsidR="000511B4">
        <w:rPr>
          <w:bCs w:val="0"/>
        </w:rPr>
        <w:t>5.</w:t>
      </w:r>
      <w:r w:rsidRPr="00B2290F">
        <w:rPr>
          <w:bCs w:val="0"/>
        </w:rPr>
        <w:t xml:space="preserve"> Ship Data</w:t>
      </w:r>
    </w:p>
    <w:p w14:paraId="6C82E678" w14:textId="79578412" w:rsidR="002058E0" w:rsidRPr="00B2290F" w:rsidRDefault="000511B4" w:rsidP="002058E0">
      <w:pPr>
        <w:pStyle w:val="Heading-Main"/>
        <w:rPr>
          <w:bCs w:val="0"/>
        </w:rPr>
      </w:pPr>
      <w:r w:rsidRPr="00B2290F">
        <w:rPr>
          <w:bCs w:val="0"/>
        </w:rPr>
        <w:t>2.</w:t>
      </w:r>
      <w:r>
        <w:rPr>
          <w:bCs w:val="0"/>
        </w:rPr>
        <w:t>5</w:t>
      </w:r>
      <w:r>
        <w:rPr>
          <w:bCs w:val="0"/>
        </w:rPr>
        <w:t>.</w:t>
      </w:r>
      <w:r>
        <w:rPr>
          <w:bCs w:val="0"/>
        </w:rPr>
        <w:t>1.</w:t>
      </w:r>
      <w:r w:rsidRPr="00B2290F">
        <w:rPr>
          <w:bCs w:val="0"/>
        </w:rPr>
        <w:t xml:space="preserve"> </w:t>
      </w:r>
      <w:r w:rsidR="002058E0" w:rsidRPr="00B2290F">
        <w:rPr>
          <w:bCs w:val="0"/>
        </w:rPr>
        <w:t>DFO Line P shipboard data</w:t>
      </w:r>
    </w:p>
    <w:p w14:paraId="7AE4FB3C" w14:textId="294E215B" w:rsidR="002058E0" w:rsidRPr="00B2290F" w:rsidRDefault="002058E0" w:rsidP="002058E0">
      <w:pPr>
        <w:pStyle w:val="Heading-Main"/>
        <w:rPr>
          <w:b w:val="0"/>
        </w:rPr>
      </w:pPr>
      <w:r w:rsidRPr="00B2290F">
        <w:rPr>
          <w:b w:val="0"/>
        </w:rPr>
        <w:t xml:space="preserve">Station P26, at OSP, is the farthest offshore station of the “Line P” survey line. This study includes </w:t>
      </w:r>
      <w:proofErr w:type="spellStart"/>
      <w:r w:rsidRPr="00D204F9">
        <w:rPr>
          <w:b w:val="0"/>
          <w:i/>
          <w:iCs/>
        </w:rPr>
        <w:t>Euphausia</w:t>
      </w:r>
      <w:proofErr w:type="spellEnd"/>
      <w:r w:rsidRPr="00D204F9">
        <w:rPr>
          <w:b w:val="0"/>
          <w:i/>
          <w:iCs/>
        </w:rPr>
        <w:t xml:space="preserve"> </w:t>
      </w:r>
      <w:proofErr w:type="spellStart"/>
      <w:r w:rsidR="000859E9">
        <w:rPr>
          <w:b w:val="0"/>
          <w:i/>
          <w:iCs/>
        </w:rPr>
        <w:t>p</w:t>
      </w:r>
      <w:r w:rsidRPr="00D204F9">
        <w:rPr>
          <w:b w:val="0"/>
          <w:i/>
          <w:iCs/>
        </w:rPr>
        <w:t>acifica</w:t>
      </w:r>
      <w:proofErr w:type="spellEnd"/>
      <w:r w:rsidRPr="00B2290F">
        <w:rPr>
          <w:b w:val="0"/>
        </w:rPr>
        <w:t xml:space="preserve"> dry weight biomass (from </w:t>
      </w:r>
      <w:r w:rsidRPr="000859E9">
        <w:rPr>
          <w:b w:val="0"/>
          <w:i/>
          <w:iCs/>
        </w:rPr>
        <w:t xml:space="preserve">E. </w:t>
      </w:r>
      <w:proofErr w:type="spellStart"/>
      <w:r w:rsidR="000859E9">
        <w:rPr>
          <w:b w:val="0"/>
          <w:i/>
          <w:iCs/>
        </w:rPr>
        <w:t>p</w:t>
      </w:r>
      <w:r w:rsidRPr="000859E9">
        <w:rPr>
          <w:b w:val="0"/>
          <w:i/>
          <w:iCs/>
        </w:rPr>
        <w:t>acifica</w:t>
      </w:r>
      <w:proofErr w:type="spellEnd"/>
      <w:r w:rsidRPr="000859E9">
        <w:rPr>
          <w:b w:val="0"/>
          <w:i/>
          <w:iCs/>
        </w:rPr>
        <w:t xml:space="preserve"> </w:t>
      </w:r>
      <w:r w:rsidRPr="00B2290F">
        <w:rPr>
          <w:b w:val="0"/>
        </w:rPr>
        <w:t xml:space="preserve">abundance; </w:t>
      </w:r>
      <w:proofErr w:type="spellStart"/>
      <w:r w:rsidRPr="00B2290F">
        <w:rPr>
          <w:b w:val="0"/>
        </w:rPr>
        <w:t>Mackas</w:t>
      </w:r>
      <w:proofErr w:type="spellEnd"/>
      <w:r w:rsidRPr="00B2290F">
        <w:rPr>
          <w:b w:val="0"/>
        </w:rPr>
        <w:t xml:space="preserve">, 1995), chlorophyll concentrations, nitrate plus nitrite (nitrite measurements are so small, &lt;0.3 µM, that nitrate plus nitrite can be expressed as nitrate for simplicity; Whitney et al., 1998), sulfite, and </w:t>
      </w:r>
      <w:r w:rsidRPr="00B2290F">
        <w:rPr>
          <w:b w:val="0"/>
        </w:rPr>
        <w:lastRenderedPageBreak/>
        <w:t>oxygen observations at Station P26 for insight into biological activity at OSP. Data displayed as ‘surface’ refers to the depth integrated values from the air-sea interface to 5 m depth. There are three Line P cruises per year generally in February, June, and August. The Line P data are managed and coordinated by the Institute of Ocean Sciences from Fisheries and Oceans Canada (DFO). Data submitted to PACIFICA from NCEI (Suzuki et al., 2013), within 49-51°N &amp; 144-146°W, are used as a 1985-2008 climatology for nitrate plus nitrite, sulfite, and oxygen.</w:t>
      </w:r>
    </w:p>
    <w:p w14:paraId="3D873265" w14:textId="043451DF" w:rsidR="002058E0" w:rsidRPr="00B2290F" w:rsidRDefault="000511B4" w:rsidP="002058E0">
      <w:pPr>
        <w:pStyle w:val="Heading-Main"/>
        <w:rPr>
          <w:bCs w:val="0"/>
        </w:rPr>
      </w:pPr>
      <w:r w:rsidRPr="00B2290F">
        <w:rPr>
          <w:bCs w:val="0"/>
        </w:rPr>
        <w:t>2.</w:t>
      </w:r>
      <w:r>
        <w:rPr>
          <w:bCs w:val="0"/>
        </w:rPr>
        <w:t>5</w:t>
      </w:r>
      <w:r>
        <w:rPr>
          <w:bCs w:val="0"/>
        </w:rPr>
        <w:t>.</w:t>
      </w:r>
      <w:r>
        <w:rPr>
          <w:bCs w:val="0"/>
        </w:rPr>
        <w:t xml:space="preserve">2. </w:t>
      </w:r>
      <w:r w:rsidR="002058E0" w:rsidRPr="00B2290F">
        <w:rPr>
          <w:bCs w:val="0"/>
        </w:rPr>
        <w:t>OOI Various Cruises</w:t>
      </w:r>
    </w:p>
    <w:p w14:paraId="080089E0" w14:textId="291A688B" w:rsidR="002058E0" w:rsidRPr="00B2290F" w:rsidRDefault="002058E0" w:rsidP="002058E0">
      <w:pPr>
        <w:pStyle w:val="Heading-Main"/>
        <w:rPr>
          <w:b w:val="0"/>
        </w:rPr>
      </w:pPr>
      <w:r w:rsidRPr="00B2290F">
        <w:rPr>
          <w:b w:val="0"/>
        </w:rPr>
        <w:t>Supplemental chlorophyll, oxygen, nitrate plus nitrite, and sulfite cruise ship samples at OSP are included from OOI’s shipboard data log ranging from July 2013 to present with about one cruise per year, generally in late summer.</w:t>
      </w:r>
    </w:p>
    <w:p w14:paraId="17B61518" w14:textId="13F17D85" w:rsidR="002058E0" w:rsidRPr="00B2290F" w:rsidRDefault="002058E0" w:rsidP="002058E0">
      <w:pPr>
        <w:pStyle w:val="Heading-Main"/>
        <w:rPr>
          <w:bCs w:val="0"/>
        </w:rPr>
      </w:pPr>
      <w:r w:rsidRPr="00B2290F">
        <w:rPr>
          <w:bCs w:val="0"/>
        </w:rPr>
        <w:t>2.</w:t>
      </w:r>
      <w:r w:rsidR="000511B4">
        <w:rPr>
          <w:bCs w:val="0"/>
        </w:rPr>
        <w:t>6</w:t>
      </w:r>
      <w:r w:rsidRPr="00B2290F">
        <w:rPr>
          <w:bCs w:val="0"/>
        </w:rPr>
        <w:t>.</w:t>
      </w:r>
      <w:r w:rsidRPr="00B2290F">
        <w:rPr>
          <w:bCs w:val="0"/>
        </w:rPr>
        <w:t xml:space="preserve"> NOAA Noise Reference Station Mooring</w:t>
      </w:r>
      <w:r w:rsidR="00925319" w:rsidRPr="00B2290F">
        <w:rPr>
          <w:bCs w:val="0"/>
        </w:rPr>
        <w:t xml:space="preserve">: </w:t>
      </w:r>
      <w:r w:rsidR="00925319" w:rsidRPr="00B2290F">
        <w:rPr>
          <w:bCs w:val="0"/>
        </w:rPr>
        <w:t>Autonomous Hydrophone Data and Whale Call Detection</w:t>
      </w:r>
    </w:p>
    <w:p w14:paraId="22AB56A8" w14:textId="77777777" w:rsidR="00925319" w:rsidRPr="00B2290F" w:rsidRDefault="00925319" w:rsidP="002058E0">
      <w:pPr>
        <w:pStyle w:val="Heading-Main"/>
        <w:rPr>
          <w:b w:val="0"/>
        </w:rPr>
      </w:pPr>
      <w:r w:rsidRPr="00B2290F">
        <w:rPr>
          <w:b w:val="0"/>
        </w:rPr>
        <w:t>The hydrophone recording package used to collect ambient acoustic data at the OSP Noise Reference Station (NRS) subsurface mooring consists of a single ceramic hydrophone with a filter/amplifier, clock, and a low-power processor, all powered by an internal battery pack. The hydrophone (model ITC-1032) is omnidirectional with a nominal sensitivity of –192 dB re 1 V μPa</w:t>
      </w:r>
      <w:r w:rsidRPr="00D204F9">
        <w:rPr>
          <w:b w:val="0"/>
          <w:vertAlign w:val="superscript"/>
        </w:rPr>
        <w:t>-1</w:t>
      </w:r>
      <w:r w:rsidRPr="00B2290F">
        <w:rPr>
          <w:b w:val="0"/>
        </w:rPr>
        <w:t xml:space="preserve">. The instrument records at a sampling rate of 5 kHz with 16-bit resolution, providing a continuous record of ocean ambient sound levels from July 2018 to September 2020. The pre-amplifier has an eight-pole anti-aliasing filter at 2.5 kHz with a filter curve to equalize the spectrum against typical ocean noise over the passband (Dziak et al., 2019). A low power cesium atomic clock with an average time drift of </w:t>
      </w:r>
      <w:r w:rsidRPr="00B2290F">
        <w:rPr>
          <w:rFonts w:ascii="Cambria Math" w:hAnsi="Cambria Math" w:cs="Cambria Math"/>
          <w:b w:val="0"/>
        </w:rPr>
        <w:t>∼</w:t>
      </w:r>
      <w:r w:rsidRPr="00B2290F">
        <w:rPr>
          <w:b w:val="0"/>
        </w:rPr>
        <w:t>0.1 s year</w:t>
      </w:r>
      <w:r w:rsidRPr="00D204F9">
        <w:rPr>
          <w:b w:val="0"/>
          <w:vertAlign w:val="superscript"/>
        </w:rPr>
        <w:t>−1</w:t>
      </w:r>
      <w:r w:rsidRPr="00B2290F">
        <w:rPr>
          <w:b w:val="0"/>
        </w:rPr>
        <w:t xml:space="preserve"> was used for internal timing. The NRS sensor was located at 900 m within the ocean sound channel, with the goal of maximizing the detection range of biological sound sources.</w:t>
      </w:r>
    </w:p>
    <w:p w14:paraId="49D2BB46" w14:textId="79CF598C" w:rsidR="002058E0" w:rsidRPr="00B2290F" w:rsidRDefault="002058E0" w:rsidP="002058E0">
      <w:pPr>
        <w:pStyle w:val="Heading-Main"/>
        <w:rPr>
          <w:b w:val="0"/>
        </w:rPr>
      </w:pPr>
      <w:r w:rsidRPr="00B2290F">
        <w:rPr>
          <w:b w:val="0"/>
        </w:rPr>
        <w:t xml:space="preserve">The seasonal, acoustic presence of blue whales in the northeastern Pacific has been established in previous studies using hydrophone recordings of their vocalizations (Stafford et al., 2009). To detect recent blue whale call presence using the moored hydrophone at OSP, we used spectrogram correlation techniques (Mellinger &amp; Clark, 2000) to target the tonal parts of the blue whale B call at signal frequencies between 25 and 26.5 Hz and time durations between 2.5 and 15 seconds in duration. The B call is suggested to be a result of pneumatic air bursts from the whales opening and closing respiratory air valves and can be used to identify the presence of blue whales (Dziak et al., 2017). The whale detection analysis was run in Ishmael (V.2.3.1) (Mellinger, 2001) over the two years of continuous hydrophone data at OSP (2018-2020). To identify the B call, a two-dimensional synthetic kernel is constructed and cross-correlated with a spectrogram of a recording, producing a recognition function—the likelihood at each point in time that the sound type was present. A threshold is then applied to this function to obtain discrete detection events, which are discrete points in time when the B call was likely present. The same spectrogram correlation method was used to detect sperm whale clicks, with the kernel </w:t>
      </w:r>
      <w:r w:rsidRPr="00B2290F">
        <w:rPr>
          <w:b w:val="0"/>
        </w:rPr>
        <w:lastRenderedPageBreak/>
        <w:t>adjusted in frequency and time to capture the short duration (&lt;0.5 sec) broadband (~100-500 Hz) signal character of the clicks (Mellinger, 2004).</w:t>
      </w:r>
    </w:p>
    <w:p w14:paraId="34674106" w14:textId="29664A7E" w:rsidR="002058E0" w:rsidRPr="00B2290F" w:rsidRDefault="002058E0" w:rsidP="002058E0">
      <w:pPr>
        <w:pStyle w:val="Heading-Main"/>
        <w:rPr>
          <w:bCs w:val="0"/>
        </w:rPr>
      </w:pPr>
      <w:r w:rsidRPr="00B2290F">
        <w:rPr>
          <w:bCs w:val="0"/>
        </w:rPr>
        <w:t>2.</w:t>
      </w:r>
      <w:r w:rsidR="00452A5A">
        <w:rPr>
          <w:bCs w:val="0"/>
        </w:rPr>
        <w:t>7</w:t>
      </w:r>
      <w:r w:rsidRPr="00B2290F">
        <w:rPr>
          <w:bCs w:val="0"/>
        </w:rPr>
        <w:t xml:space="preserve">. </w:t>
      </w:r>
      <w:r w:rsidRPr="00B2290F">
        <w:rPr>
          <w:bCs w:val="0"/>
        </w:rPr>
        <w:t>Gridded SST Data</w:t>
      </w:r>
    </w:p>
    <w:p w14:paraId="4EFC9BEC" w14:textId="4845DC3C" w:rsidR="002058E0" w:rsidRPr="00B2290F" w:rsidRDefault="002058E0" w:rsidP="002058E0">
      <w:pPr>
        <w:pStyle w:val="Heading-Main"/>
        <w:rPr>
          <w:b w:val="0"/>
        </w:rPr>
      </w:pPr>
      <w:r w:rsidRPr="00B2290F">
        <w:rPr>
          <w:b w:val="0"/>
        </w:rPr>
        <w:t xml:space="preserve">The NOAA ¼ degree daily Optimum Interpolation Sea Surface Temperature (OISST) v2.1 data (Huang et al., 2020) were used to display locations of SST anomalies associated with the 2013-2015 and 2019 MHWs as well as a time series of SST anomalies associated with </w:t>
      </w:r>
      <w:r w:rsidR="009E636E">
        <w:rPr>
          <w:b w:val="0"/>
        </w:rPr>
        <w:t>other</w:t>
      </w:r>
      <w:r w:rsidRPr="00B2290F">
        <w:rPr>
          <w:b w:val="0"/>
        </w:rPr>
        <w:t xml:space="preserve"> studies, computed from the 1982-2010 climatology. The OISSTv2.1 data available from September 1, </w:t>
      </w:r>
      <w:proofErr w:type="gramStart"/>
      <w:r w:rsidRPr="00B2290F">
        <w:rPr>
          <w:b w:val="0"/>
        </w:rPr>
        <w:t>1981</w:t>
      </w:r>
      <w:proofErr w:type="gramEnd"/>
      <w:r w:rsidRPr="00B2290F">
        <w:rPr>
          <w:b w:val="0"/>
        </w:rPr>
        <w:t xml:space="preserve"> until the present are a combination of observations from different satellites, ships, buoys, and Argo floats interpolated to produce a spatially complete global SST map.</w:t>
      </w:r>
    </w:p>
    <w:p w14:paraId="6EB77176" w14:textId="3114B8B2" w:rsidR="002F3B11" w:rsidRPr="00B2290F" w:rsidRDefault="00925319" w:rsidP="00C81368">
      <w:pPr>
        <w:pStyle w:val="Heading-Main"/>
      </w:pPr>
      <w:r w:rsidRPr="00B2290F">
        <w:t>3</w:t>
      </w:r>
      <w:r w:rsidR="002F3B11" w:rsidRPr="00B2290F">
        <w:t xml:space="preserve"> Results</w:t>
      </w:r>
    </w:p>
    <w:p w14:paraId="227A7CBC" w14:textId="48DA2C13" w:rsidR="00100398" w:rsidRPr="00B2290F" w:rsidRDefault="00100398" w:rsidP="00100398">
      <w:pPr>
        <w:widowControl w:val="0"/>
        <w:rPr>
          <w:rFonts w:eastAsia="Times New Roman"/>
          <w:b/>
          <w:bCs/>
          <w:iCs/>
          <w:sz w:val="24"/>
          <w:szCs w:val="24"/>
        </w:rPr>
      </w:pPr>
      <w:r w:rsidRPr="00B2290F">
        <w:rPr>
          <w:rFonts w:eastAsia="Times New Roman"/>
          <w:b/>
          <w:bCs/>
          <w:iCs/>
          <w:sz w:val="24"/>
          <w:szCs w:val="24"/>
        </w:rPr>
        <w:t>3.1</w:t>
      </w:r>
      <w:r w:rsidR="0095222E" w:rsidRPr="00B2290F">
        <w:rPr>
          <w:rFonts w:eastAsia="Times New Roman"/>
          <w:b/>
          <w:bCs/>
          <w:iCs/>
          <w:sz w:val="24"/>
          <w:szCs w:val="24"/>
        </w:rPr>
        <w:t>.</w:t>
      </w:r>
      <w:r w:rsidRPr="00B2290F">
        <w:rPr>
          <w:rFonts w:eastAsia="Times New Roman"/>
          <w:b/>
          <w:bCs/>
          <w:iCs/>
          <w:sz w:val="24"/>
          <w:szCs w:val="24"/>
        </w:rPr>
        <w:t xml:space="preserve"> Surface and Subsurface Anomalies</w:t>
      </w:r>
    </w:p>
    <w:p w14:paraId="74D9AD9D" w14:textId="77777777" w:rsidR="0095222E" w:rsidRPr="00B2290F" w:rsidRDefault="0095222E" w:rsidP="00100398">
      <w:pPr>
        <w:widowControl w:val="0"/>
        <w:rPr>
          <w:rFonts w:eastAsia="Times New Roman"/>
          <w:b/>
          <w:bCs/>
          <w:iCs/>
          <w:sz w:val="24"/>
          <w:szCs w:val="24"/>
        </w:rPr>
      </w:pPr>
    </w:p>
    <w:p w14:paraId="349CEC96" w14:textId="254F7D56" w:rsidR="00436668" w:rsidRDefault="00100398" w:rsidP="00436668">
      <w:pPr>
        <w:widowControl w:val="0"/>
        <w:ind w:firstLine="720"/>
        <w:rPr>
          <w:rFonts w:eastAsia="Times New Roman"/>
          <w:sz w:val="24"/>
          <w:szCs w:val="24"/>
        </w:rPr>
      </w:pPr>
      <w:r w:rsidRPr="00B2290F">
        <w:rPr>
          <w:rFonts w:eastAsia="Times New Roman"/>
          <w:sz w:val="24"/>
          <w:szCs w:val="24"/>
        </w:rPr>
        <w:t xml:space="preserve">The general spatial pattern of SST anomalies for the 2013-2015 MHW (Figure 2a) and the 2019 MHW (Figure 2b) are similar. The centers of each event are generally located south of Anchorage, AK USA and west of Oregon USA. Centered in the Gulf of Alaska, OSP provides in-situ observations that create a unique natural laboratory for understanding MHWs. Although OSP is generally along the northernmost boundary for many area-averaged studies (Figure 2ab), the observed SST anomalies at the NOAA surface mooring at OSP align well with area-averaged studies using satellite data, identifying the periods of peak anomalies for each MHW (Figure 2c). The red shading in the time series in Figure 2c represents MHW periods (see methods) that were observed at the NOAA surface mooring (in black) and </w:t>
      </w:r>
      <w:r w:rsidR="00436668" w:rsidRPr="00B2290F">
        <w:rPr>
          <w:rFonts w:eastAsia="Times New Roman"/>
          <w:sz w:val="24"/>
          <w:szCs w:val="24"/>
        </w:rPr>
        <w:t>area averaged</w:t>
      </w:r>
      <w:r w:rsidRPr="00B2290F">
        <w:rPr>
          <w:rFonts w:eastAsia="Times New Roman"/>
          <w:sz w:val="24"/>
          <w:szCs w:val="24"/>
        </w:rPr>
        <w:t xml:space="preserve"> OISSTv2.1 SST anomalies defined by various other studies (colored) from 2013 to 2020. During the 2013-2015 MHW period, three MHW periods were observed at OSP, all part of the 2013-2015 MHW event. The longest period of high SST anomalies at OSP occurred from Dec 30, 2013, to Apr 17, 2014, that persisted for 109 days and reached a maximum SST anomaly of 2.1</w:t>
      </w:r>
      <w:r w:rsidRPr="00B2290F">
        <w:rPr>
          <w:rFonts w:eastAsia="Times New Roman"/>
          <w:sz w:val="24"/>
          <w:szCs w:val="24"/>
          <w:vertAlign w:val="superscript"/>
        </w:rPr>
        <w:t>o</w:t>
      </w:r>
      <w:r w:rsidRPr="00B2290F">
        <w:rPr>
          <w:rFonts w:eastAsia="Times New Roman"/>
          <w:sz w:val="24"/>
          <w:szCs w:val="24"/>
        </w:rPr>
        <w:t>C. The 2019 MHW was observed at OSP from Jun 8, 2019, to Aug 25, 2019 (79 days) with a peak SST anomaly of 2.6</w:t>
      </w:r>
      <w:r w:rsidRPr="00B2290F">
        <w:rPr>
          <w:rFonts w:eastAsia="Times New Roman"/>
          <w:sz w:val="24"/>
          <w:szCs w:val="24"/>
          <w:vertAlign w:val="superscript"/>
        </w:rPr>
        <w:t>o</w:t>
      </w:r>
      <w:r w:rsidRPr="00B2290F">
        <w:rPr>
          <w:rFonts w:eastAsia="Times New Roman"/>
          <w:sz w:val="24"/>
          <w:szCs w:val="24"/>
        </w:rPr>
        <w:t>C.</w:t>
      </w:r>
    </w:p>
    <w:p w14:paraId="5948C8FF" w14:textId="67377EFC" w:rsidR="00100398" w:rsidRPr="00B2290F" w:rsidRDefault="00436668" w:rsidP="006D3BC7">
      <w:pPr>
        <w:rPr>
          <w:rFonts w:eastAsia="Times New Roman"/>
          <w:sz w:val="24"/>
          <w:szCs w:val="24"/>
        </w:rPr>
      </w:pPr>
      <w:r>
        <w:rPr>
          <w:rFonts w:eastAsia="Times New Roman"/>
          <w:sz w:val="24"/>
          <w:szCs w:val="24"/>
        </w:rPr>
        <w:br w:type="page"/>
      </w:r>
    </w:p>
    <w:p w14:paraId="5853CC2E" w14:textId="60CB64F4" w:rsidR="00100398" w:rsidRPr="00B2290F" w:rsidRDefault="006D3BC7" w:rsidP="00100398">
      <w:pPr>
        <w:widowControl w:val="0"/>
        <w:rPr>
          <w:rFonts w:eastAsia="Times New Roman"/>
          <w:sz w:val="24"/>
          <w:szCs w:val="24"/>
        </w:rPr>
      </w:pPr>
      <w:r>
        <w:rPr>
          <w:rFonts w:eastAsia="Times New Roman"/>
          <w:noProof/>
          <w:sz w:val="24"/>
          <w:szCs w:val="24"/>
        </w:rPr>
        <w:lastRenderedPageBreak/>
        <w:drawing>
          <wp:inline distT="0" distB="0" distL="0" distR="0" wp14:anchorId="3DBFB33A" wp14:editId="75ECCCCA">
            <wp:extent cx="5943600" cy="4115435"/>
            <wp:effectExtent l="0" t="0" r="0" b="0"/>
            <wp:docPr id="1" name="Picture 1"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10;&#10;Description automatically generated"/>
                    <pic:cNvPicPr/>
                  </pic:nvPicPr>
                  <pic:blipFill>
                    <a:blip r:embed="rId12"/>
                    <a:stretch>
                      <a:fillRect/>
                    </a:stretch>
                  </pic:blipFill>
                  <pic:spPr>
                    <a:xfrm>
                      <a:off x="0" y="0"/>
                      <a:ext cx="5943600" cy="4115435"/>
                    </a:xfrm>
                    <a:prstGeom prst="rect">
                      <a:avLst/>
                    </a:prstGeom>
                  </pic:spPr>
                </pic:pic>
              </a:graphicData>
            </a:graphic>
          </wp:inline>
        </w:drawing>
      </w:r>
    </w:p>
    <w:p w14:paraId="21CCEFFB" w14:textId="77777777" w:rsidR="00100398" w:rsidRPr="00B2290F" w:rsidRDefault="00100398" w:rsidP="00100398">
      <w:pPr>
        <w:widowControl w:val="0"/>
        <w:rPr>
          <w:rFonts w:eastAsia="Times New Roman"/>
          <w:sz w:val="24"/>
          <w:szCs w:val="24"/>
        </w:rPr>
      </w:pPr>
      <w:r w:rsidRPr="00B2290F">
        <w:rPr>
          <w:rFonts w:eastAsia="Times New Roman"/>
          <w:b/>
          <w:sz w:val="24"/>
          <w:szCs w:val="24"/>
        </w:rPr>
        <w:t xml:space="preserve">Figure 2. </w:t>
      </w:r>
      <w:r w:rsidRPr="00B2290F">
        <w:rPr>
          <w:rFonts w:eastAsia="Times New Roman"/>
          <w:sz w:val="24"/>
          <w:szCs w:val="24"/>
        </w:rPr>
        <w:t>OISSTv2.1 daily sea surface temperature (SST) anomalies [</w:t>
      </w:r>
      <w:proofErr w:type="spellStart"/>
      <w:r w:rsidRPr="00B2290F">
        <w:rPr>
          <w:rFonts w:eastAsia="Times New Roman"/>
          <w:sz w:val="24"/>
          <w:szCs w:val="24"/>
          <w:vertAlign w:val="superscript"/>
        </w:rPr>
        <w:t>o</w:t>
      </w:r>
      <w:r w:rsidRPr="00B2290F">
        <w:rPr>
          <w:rFonts w:eastAsia="Times New Roman"/>
          <w:sz w:val="24"/>
          <w:szCs w:val="24"/>
        </w:rPr>
        <w:t>C</w:t>
      </w:r>
      <w:proofErr w:type="spellEnd"/>
      <w:r w:rsidRPr="00B2290F">
        <w:rPr>
          <w:rFonts w:eastAsia="Times New Roman"/>
          <w:sz w:val="24"/>
          <w:szCs w:val="24"/>
        </w:rPr>
        <w:t xml:space="preserve">] during </w:t>
      </w:r>
      <w:r w:rsidRPr="00B2290F">
        <w:rPr>
          <w:rFonts w:eastAsia="Times New Roman"/>
          <w:b/>
          <w:sz w:val="24"/>
          <w:szCs w:val="24"/>
        </w:rPr>
        <w:t>(a)</w:t>
      </w:r>
      <w:r w:rsidRPr="00B2290F">
        <w:rPr>
          <w:rFonts w:eastAsia="Times New Roman"/>
          <w:sz w:val="24"/>
          <w:szCs w:val="24"/>
        </w:rPr>
        <w:t xml:space="preserve"> Feb 2014 and </w:t>
      </w:r>
      <w:r w:rsidRPr="00B2290F">
        <w:rPr>
          <w:rFonts w:eastAsia="Times New Roman"/>
          <w:b/>
          <w:sz w:val="24"/>
          <w:szCs w:val="24"/>
        </w:rPr>
        <w:t>(b)</w:t>
      </w:r>
      <w:r w:rsidRPr="00B2290F">
        <w:rPr>
          <w:rFonts w:eastAsia="Times New Roman"/>
          <w:sz w:val="24"/>
          <w:szCs w:val="24"/>
        </w:rPr>
        <w:t xml:space="preserve"> Jul 2019. The blue star represents the location of OSP. </w:t>
      </w:r>
      <w:r w:rsidRPr="00B2290F">
        <w:rPr>
          <w:rFonts w:eastAsia="Times New Roman"/>
          <w:b/>
          <w:sz w:val="24"/>
          <w:szCs w:val="24"/>
        </w:rPr>
        <w:t>(c)</w:t>
      </w:r>
      <w:r w:rsidRPr="00B2290F">
        <w:rPr>
          <w:rFonts w:eastAsia="Times New Roman"/>
          <w:sz w:val="24"/>
          <w:szCs w:val="24"/>
        </w:rPr>
        <w:t xml:space="preserve"> Observed SST anomalies from the NOAA surface mooring at OSP [</w:t>
      </w:r>
      <w:proofErr w:type="spellStart"/>
      <w:r w:rsidRPr="00B2290F">
        <w:rPr>
          <w:rFonts w:eastAsia="Times New Roman"/>
          <w:sz w:val="24"/>
          <w:szCs w:val="24"/>
          <w:vertAlign w:val="superscript"/>
        </w:rPr>
        <w:t>o</w:t>
      </w:r>
      <w:r w:rsidRPr="00B2290F">
        <w:rPr>
          <w:rFonts w:eastAsia="Times New Roman"/>
          <w:sz w:val="24"/>
          <w:szCs w:val="24"/>
        </w:rPr>
        <w:t>C</w:t>
      </w:r>
      <w:proofErr w:type="spellEnd"/>
      <w:r w:rsidRPr="00B2290F">
        <w:rPr>
          <w:rFonts w:eastAsia="Times New Roman"/>
          <w:sz w:val="24"/>
          <w:szCs w:val="24"/>
        </w:rPr>
        <w:t>; black solid line] overlaid upon area-averaged SST anomalies [</w:t>
      </w:r>
      <w:proofErr w:type="spellStart"/>
      <w:r w:rsidRPr="00B2290F">
        <w:rPr>
          <w:rFonts w:eastAsia="Times New Roman"/>
          <w:sz w:val="24"/>
          <w:szCs w:val="24"/>
          <w:vertAlign w:val="superscript"/>
        </w:rPr>
        <w:t>o</w:t>
      </w:r>
      <w:r w:rsidRPr="00B2290F">
        <w:rPr>
          <w:rFonts w:eastAsia="Times New Roman"/>
          <w:sz w:val="24"/>
          <w:szCs w:val="24"/>
        </w:rPr>
        <w:t>C</w:t>
      </w:r>
      <w:proofErr w:type="spellEnd"/>
      <w:r w:rsidRPr="00B2290F">
        <w:rPr>
          <w:rFonts w:eastAsia="Times New Roman"/>
          <w:sz w:val="24"/>
          <w:szCs w:val="24"/>
        </w:rPr>
        <w:t xml:space="preserve">] from OISSTv2.1 from areas defined in other studies (Amaya et al., 2020: 34–47°N and 147–128 °W; Bond et al., 2015: 40–50°N and 150–130°W; Scannell et al., 2020: 35.5–51.5°N and 154.5–135.5°W and Schmeisser et al, 2019: 40–50°N and 150–130°W) plotted in various colors (see legend). The red shading indicates ‘MHW periods’ (see methods). The tick marks on the horizontal axis are placed on Jan 1 of the year shown. </w:t>
      </w:r>
    </w:p>
    <w:p w14:paraId="4E1F3FE8" w14:textId="77777777" w:rsidR="00100398" w:rsidRPr="00B2290F" w:rsidRDefault="00100398" w:rsidP="00100398">
      <w:pPr>
        <w:widowControl w:val="0"/>
        <w:rPr>
          <w:rFonts w:eastAsia="Times New Roman"/>
          <w:sz w:val="24"/>
          <w:szCs w:val="24"/>
          <w:shd w:val="clear" w:color="auto" w:fill="4A86E8"/>
        </w:rPr>
      </w:pPr>
    </w:p>
    <w:p w14:paraId="1FE38B50"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Subsurface temperature anomalies recorded at the NOAA surface mooring and OOI subsurface moorings at OSP during the start of the first MHW in late 2013 and early 2014 were strongest above the mixed layer depth (MLD) (i.e., the black line in Figure 3a above ~100 m) and persisted until 2017. In the winter and spring of 2017, deeper waters (120-300 m) remained anomalously warm. Scannell et al. (2020) suggest that this deep warm temperature anomaly may be a signature of subducted warm surface anomalies from the 2013-2015 MHW. Further, this subsurface temperature anomaly persisted at least to 2018 and possibly regionally to 2019 </w:t>
      </w:r>
      <w:proofErr w:type="gramStart"/>
      <w:r w:rsidRPr="00B2290F">
        <w:rPr>
          <w:rFonts w:eastAsia="Times New Roman"/>
          <w:sz w:val="24"/>
          <w:szCs w:val="24"/>
        </w:rPr>
        <w:t>as a result of</w:t>
      </w:r>
      <w:proofErr w:type="gramEnd"/>
      <w:r w:rsidRPr="00B2290F">
        <w:rPr>
          <w:rFonts w:eastAsia="Times New Roman"/>
          <w:sz w:val="24"/>
          <w:szCs w:val="24"/>
        </w:rPr>
        <w:t xml:space="preserve"> being shielded from winter surface cooling by anomalously strong stratification and a fresher surface layer. As shown in Figure 3, during the winter of 2017 an extraordinarily thick “barrier layer”, approximately 140 m thick, is found at OSP along with a temperature inversion present from Feb 2017 to Apr 2017 (Figure 3b). Here we define a barrier layer when the MLD is salinity stratified and shallow</w:t>
      </w:r>
      <w:r w:rsidRPr="00B2290F">
        <w:rPr>
          <w:rFonts w:eastAsia="Times New Roman"/>
          <w:sz w:val="24"/>
          <w:szCs w:val="24"/>
          <w:highlight w:val="white"/>
        </w:rPr>
        <w:t xml:space="preserve">er than the isothermal layer (Katsura et al., 2015; Lukas &amp; Lindstrom, 1991; de Boyer </w:t>
      </w:r>
      <w:proofErr w:type="spellStart"/>
      <w:r w:rsidRPr="00B2290F">
        <w:rPr>
          <w:rFonts w:eastAsia="Times New Roman"/>
          <w:sz w:val="24"/>
          <w:szCs w:val="24"/>
          <w:highlight w:val="white"/>
        </w:rPr>
        <w:t>Montégut</w:t>
      </w:r>
      <w:proofErr w:type="spellEnd"/>
      <w:r w:rsidRPr="00B2290F">
        <w:rPr>
          <w:rFonts w:eastAsia="Times New Roman"/>
          <w:sz w:val="24"/>
          <w:szCs w:val="24"/>
          <w:highlight w:val="white"/>
        </w:rPr>
        <w:t>, 2004).</w:t>
      </w:r>
      <w:r w:rsidRPr="00B2290F">
        <w:rPr>
          <w:rFonts w:eastAsia="Times New Roman"/>
          <w:sz w:val="24"/>
          <w:szCs w:val="24"/>
        </w:rPr>
        <w:t xml:space="preserve"> Turbulent mixing and entrainment that eroded the MLD in this case caused the warm anomalies to re-emerge and “supercharge” the 2019 MHW. </w:t>
      </w:r>
      <w:r w:rsidRPr="00B2290F">
        <w:rPr>
          <w:rFonts w:eastAsia="Times New Roman"/>
          <w:sz w:val="24"/>
          <w:szCs w:val="24"/>
        </w:rPr>
        <w:lastRenderedPageBreak/>
        <w:t xml:space="preserve">During the 2019 MHW, subsurface anomalously warm waters extended down to 1000 m, likely associated with a downward heaving of the thermocline associated with large-scale changes in the circulation.  </w:t>
      </w:r>
    </w:p>
    <w:p w14:paraId="77644258" w14:textId="77777777" w:rsidR="00100398" w:rsidRPr="00B2290F" w:rsidRDefault="00100398" w:rsidP="00100398">
      <w:pPr>
        <w:widowControl w:val="0"/>
        <w:ind w:firstLine="720"/>
        <w:rPr>
          <w:rFonts w:eastAsia="Times New Roman"/>
          <w:sz w:val="24"/>
          <w:szCs w:val="24"/>
        </w:rPr>
      </w:pPr>
    </w:p>
    <w:p w14:paraId="5C521258" w14:textId="77777777" w:rsidR="00100398" w:rsidRPr="00B2290F" w:rsidRDefault="00100398" w:rsidP="00100398">
      <w:pPr>
        <w:widowControl w:val="0"/>
        <w:rPr>
          <w:rFonts w:eastAsia="Times New Roman"/>
          <w:sz w:val="24"/>
          <w:szCs w:val="24"/>
        </w:rPr>
      </w:pPr>
      <w:r w:rsidRPr="00B2290F">
        <w:rPr>
          <w:rFonts w:eastAsia="Times New Roman"/>
          <w:noProof/>
          <w:sz w:val="24"/>
          <w:szCs w:val="24"/>
        </w:rPr>
        <w:drawing>
          <wp:inline distT="114300" distB="114300" distL="114300" distR="114300" wp14:anchorId="740F9D81" wp14:editId="161A4B1D">
            <wp:extent cx="5943600" cy="4330700"/>
            <wp:effectExtent l="0" t="0" r="0" b="0"/>
            <wp:docPr id="25" name="image9.jpg" descr="A picture containing text,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5" name="image9.jpg" descr="A picture containing text, screenshot&#10;&#10;Description automatically generated"/>
                    <pic:cNvPicPr preferRelativeResize="0"/>
                  </pic:nvPicPr>
                  <pic:blipFill>
                    <a:blip r:embed="rId13"/>
                    <a:srcRect/>
                    <a:stretch>
                      <a:fillRect/>
                    </a:stretch>
                  </pic:blipFill>
                  <pic:spPr>
                    <a:xfrm>
                      <a:off x="0" y="0"/>
                      <a:ext cx="5943600" cy="4330700"/>
                    </a:xfrm>
                    <a:prstGeom prst="rect">
                      <a:avLst/>
                    </a:prstGeom>
                    <a:ln/>
                  </pic:spPr>
                </pic:pic>
              </a:graphicData>
            </a:graphic>
          </wp:inline>
        </w:drawing>
      </w:r>
    </w:p>
    <w:p w14:paraId="52D97C0F" w14:textId="49F2061E" w:rsidR="00100398" w:rsidRPr="00B2290F" w:rsidRDefault="00100398" w:rsidP="00100398">
      <w:pPr>
        <w:widowControl w:val="0"/>
        <w:rPr>
          <w:rFonts w:eastAsia="Times New Roman"/>
          <w:sz w:val="24"/>
          <w:szCs w:val="24"/>
        </w:rPr>
      </w:pPr>
      <w:r w:rsidRPr="00B2290F">
        <w:rPr>
          <w:rFonts w:eastAsia="Times New Roman"/>
          <w:b/>
          <w:sz w:val="24"/>
          <w:szCs w:val="24"/>
        </w:rPr>
        <w:t xml:space="preserve">Figure 3. (a) </w:t>
      </w:r>
      <w:r w:rsidRPr="00B2290F">
        <w:rPr>
          <w:rFonts w:eastAsia="Times New Roman"/>
          <w:sz w:val="24"/>
          <w:szCs w:val="24"/>
        </w:rPr>
        <w:t>Subsurface temperature anomalies [</w:t>
      </w:r>
      <w:proofErr w:type="spellStart"/>
      <w:r w:rsidRPr="00B2290F">
        <w:rPr>
          <w:rFonts w:eastAsia="Times New Roman"/>
          <w:sz w:val="24"/>
          <w:szCs w:val="24"/>
          <w:vertAlign w:val="superscript"/>
        </w:rPr>
        <w:t>o</w:t>
      </w:r>
      <w:r w:rsidRPr="00B2290F">
        <w:rPr>
          <w:rFonts w:eastAsia="Times New Roman"/>
          <w:sz w:val="24"/>
          <w:szCs w:val="24"/>
        </w:rPr>
        <w:t>C</w:t>
      </w:r>
      <w:proofErr w:type="spellEnd"/>
      <w:r w:rsidRPr="00B2290F">
        <w:rPr>
          <w:rFonts w:eastAsia="Times New Roman"/>
          <w:sz w:val="24"/>
          <w:szCs w:val="24"/>
        </w:rPr>
        <w:t xml:space="preserve">] at OSP. Data from the surface to 300 m are from the OSP NOAA surface mooring, and data below 300 m are averaged from OSP OOI Flanking Moorings A and B. Subsurface </w:t>
      </w:r>
      <w:r w:rsidRPr="005E1517">
        <w:rPr>
          <w:rFonts w:eastAsia="Times New Roman"/>
          <w:sz w:val="24"/>
          <w:szCs w:val="24"/>
        </w:rPr>
        <w:t xml:space="preserve">anomalies computed from 1999-2020 Argo </w:t>
      </w:r>
      <w:proofErr w:type="spellStart"/>
      <w:proofErr w:type="gramStart"/>
      <w:r w:rsidRPr="005E1517">
        <w:rPr>
          <w:rFonts w:eastAsia="Times New Roman"/>
          <w:sz w:val="24"/>
          <w:szCs w:val="24"/>
        </w:rPr>
        <w:t>climatology.Base</w:t>
      </w:r>
      <w:proofErr w:type="spellEnd"/>
      <w:proofErr w:type="gramEnd"/>
      <w:r w:rsidRPr="005E1517">
        <w:rPr>
          <w:rFonts w:eastAsia="Times New Roman"/>
          <w:sz w:val="24"/>
          <w:szCs w:val="24"/>
        </w:rPr>
        <w:t xml:space="preserve"> of deep isothermal layer [m; purple solid line] and base of shallow </w:t>
      </w:r>
      <w:proofErr w:type="spellStart"/>
      <w:r w:rsidRPr="005E1517">
        <w:rPr>
          <w:rFonts w:eastAsia="Times New Roman"/>
          <w:sz w:val="24"/>
          <w:szCs w:val="24"/>
        </w:rPr>
        <w:t>isopycnal</w:t>
      </w:r>
      <w:proofErr w:type="spellEnd"/>
      <w:r w:rsidRPr="005E1517">
        <w:rPr>
          <w:rFonts w:eastAsia="Times New Roman"/>
          <w:sz w:val="24"/>
          <w:szCs w:val="24"/>
        </w:rPr>
        <w:t xml:space="preserve"> mixed layer depth (MLD) [m; black solid line] are overlaid. </w:t>
      </w:r>
      <w:r w:rsidRPr="005E1517">
        <w:rPr>
          <w:rFonts w:eastAsia="Times New Roman"/>
          <w:b/>
          <w:sz w:val="24"/>
          <w:szCs w:val="24"/>
        </w:rPr>
        <w:t>(b)</w:t>
      </w:r>
      <w:r w:rsidRPr="005E1517">
        <w:rPr>
          <w:rFonts w:eastAsia="Times New Roman"/>
          <w:sz w:val="24"/>
          <w:szCs w:val="24"/>
        </w:rPr>
        <w:t xml:space="preserve"> Temperature difference between the </w:t>
      </w:r>
      <w:r w:rsidR="005E1517" w:rsidRPr="005E1517">
        <w:rPr>
          <w:rFonts w:eastAsia="Times New Roman"/>
          <w:sz w:val="24"/>
          <w:szCs w:val="24"/>
        </w:rPr>
        <w:t>mixed layer</w:t>
      </w:r>
      <w:r w:rsidRPr="005E1517">
        <w:rPr>
          <w:rFonts w:eastAsia="Times New Roman"/>
          <w:sz w:val="24"/>
          <w:szCs w:val="24"/>
        </w:rPr>
        <w:t xml:space="preserve"> and 20 m below the mixed layer [</w:t>
      </w:r>
      <w:proofErr w:type="spellStart"/>
      <w:r w:rsidRPr="005E1517">
        <w:rPr>
          <w:rFonts w:eastAsia="Times New Roman"/>
          <w:sz w:val="24"/>
          <w:szCs w:val="24"/>
          <w:vertAlign w:val="superscript"/>
        </w:rPr>
        <w:t>o</w:t>
      </w:r>
      <w:r w:rsidRPr="005E1517">
        <w:rPr>
          <w:rFonts w:eastAsia="Times New Roman"/>
          <w:sz w:val="24"/>
          <w:szCs w:val="24"/>
        </w:rPr>
        <w:t>C</w:t>
      </w:r>
      <w:proofErr w:type="spellEnd"/>
      <w:r w:rsidRPr="005E1517">
        <w:rPr>
          <w:rFonts w:eastAsia="Times New Roman"/>
          <w:sz w:val="24"/>
          <w:szCs w:val="24"/>
        </w:rPr>
        <w:t>]. Data</w:t>
      </w:r>
      <w:r w:rsidRPr="00B2290F">
        <w:rPr>
          <w:rFonts w:eastAsia="Times New Roman"/>
          <w:sz w:val="24"/>
          <w:szCs w:val="24"/>
        </w:rPr>
        <w:t xml:space="preserve"> are shown as a 31-day running average. </w:t>
      </w:r>
    </w:p>
    <w:p w14:paraId="7C7937DE"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5161397B" w14:textId="5D36F309" w:rsidR="00100398" w:rsidRPr="00B2290F" w:rsidRDefault="00100398" w:rsidP="00100398">
      <w:pPr>
        <w:widowControl w:val="0"/>
        <w:ind w:firstLine="720"/>
        <w:rPr>
          <w:rFonts w:eastAsia="Times New Roman"/>
          <w:sz w:val="24"/>
          <w:szCs w:val="24"/>
        </w:rPr>
      </w:pPr>
      <w:r w:rsidRPr="00B2290F">
        <w:rPr>
          <w:rFonts w:eastAsia="Times New Roman"/>
          <w:sz w:val="24"/>
          <w:szCs w:val="24"/>
        </w:rPr>
        <w:t>The upper ocean was anomalously stratified preceding the 2019 MHW (as early as mid-2018 to the summer of 2019), as seen by the anomalously less dense (blue) waters above the anomalously denser waters (red) in Figure 4</w:t>
      </w:r>
      <w:r w:rsidR="00436668">
        <w:rPr>
          <w:rFonts w:eastAsia="Times New Roman"/>
          <w:sz w:val="24"/>
          <w:szCs w:val="24"/>
        </w:rPr>
        <w:t>b</w:t>
      </w:r>
      <w:r w:rsidRPr="00B2290F">
        <w:rPr>
          <w:rFonts w:eastAsia="Times New Roman"/>
          <w:sz w:val="24"/>
          <w:szCs w:val="24"/>
        </w:rPr>
        <w:t>. Since mid-2017 onward, there were fresher</w:t>
      </w:r>
      <w:r w:rsidR="003E5744">
        <w:rPr>
          <w:rFonts w:eastAsia="Times New Roman"/>
          <w:sz w:val="24"/>
          <w:szCs w:val="24"/>
        </w:rPr>
        <w:t xml:space="preserve"> </w:t>
      </w:r>
      <w:r w:rsidRPr="00B2290F">
        <w:rPr>
          <w:rFonts w:eastAsia="Times New Roman"/>
          <w:sz w:val="24"/>
          <w:szCs w:val="24"/>
        </w:rPr>
        <w:t>than</w:t>
      </w:r>
      <w:r w:rsidR="003E5744">
        <w:rPr>
          <w:rFonts w:eastAsia="Times New Roman"/>
          <w:sz w:val="24"/>
          <w:szCs w:val="24"/>
        </w:rPr>
        <w:t xml:space="preserve"> </w:t>
      </w:r>
      <w:r w:rsidRPr="00B2290F">
        <w:rPr>
          <w:rFonts w:eastAsia="Times New Roman"/>
          <w:sz w:val="24"/>
          <w:szCs w:val="24"/>
        </w:rPr>
        <w:t>normal conditions in the upper 100 m of the ocean at OSP that overlie a warm subsurface temperature anomaly (Figure 4a). Scannell et al. (2020) suggest that these fresh anomalies were a result of increased freshwater input from precipitation in the Gulf of Alaska; however, there was not an increase in precipitation at OSP (Figur</w:t>
      </w:r>
      <w:r w:rsidR="003E5744">
        <w:rPr>
          <w:rFonts w:eastAsia="Times New Roman"/>
          <w:sz w:val="24"/>
          <w:szCs w:val="24"/>
        </w:rPr>
        <w:t>e S1)</w:t>
      </w:r>
      <w:r w:rsidRPr="00B2290F">
        <w:rPr>
          <w:rFonts w:eastAsia="Times New Roman"/>
          <w:sz w:val="24"/>
          <w:szCs w:val="24"/>
        </w:rPr>
        <w:t xml:space="preserve">. Together, the surface ocean warm and fresh anomalies worked together to anomalously stratify the upper ocean in the winter of 2018/2019. The increase in stratification inhibited entrainment of deeper cooler waters, leading to favorable conditions for extreme SSTs. </w:t>
      </w:r>
    </w:p>
    <w:p w14:paraId="19E70B03" w14:textId="77777777" w:rsidR="00100398" w:rsidRPr="00B2290F" w:rsidRDefault="00100398" w:rsidP="00100398">
      <w:pPr>
        <w:widowControl w:val="0"/>
        <w:rPr>
          <w:rFonts w:eastAsia="Times New Roman"/>
          <w:sz w:val="24"/>
          <w:szCs w:val="24"/>
        </w:rPr>
      </w:pPr>
      <w:r w:rsidRPr="00B2290F">
        <w:rPr>
          <w:rFonts w:eastAsia="Times New Roman"/>
          <w:sz w:val="24"/>
          <w:szCs w:val="24"/>
        </w:rPr>
        <w:lastRenderedPageBreak/>
        <w:t xml:space="preserve"> </w:t>
      </w:r>
    </w:p>
    <w:p w14:paraId="4F9E3812" w14:textId="77777777" w:rsidR="00100398" w:rsidRPr="00B2290F" w:rsidRDefault="00100398" w:rsidP="00100398">
      <w:pPr>
        <w:widowControl w:val="0"/>
        <w:rPr>
          <w:rFonts w:eastAsia="Times New Roman"/>
          <w:sz w:val="24"/>
          <w:szCs w:val="24"/>
        </w:rPr>
      </w:pPr>
      <w:r w:rsidRPr="00B2290F">
        <w:rPr>
          <w:rFonts w:eastAsia="Times New Roman"/>
          <w:noProof/>
          <w:sz w:val="24"/>
          <w:szCs w:val="24"/>
        </w:rPr>
        <w:drawing>
          <wp:inline distT="114300" distB="114300" distL="114300" distR="114300" wp14:anchorId="09C044B8" wp14:editId="30190EA0">
            <wp:extent cx="5943600" cy="3429000"/>
            <wp:effectExtent l="0" t="0" r="0" b="0"/>
            <wp:docPr id="26" name="image8.png" descr="A picture containing screenshot, line, plot&#10;&#10;Description automatically generated"/>
            <wp:cNvGraphicFramePr/>
            <a:graphic xmlns:a="http://schemas.openxmlformats.org/drawingml/2006/main">
              <a:graphicData uri="http://schemas.openxmlformats.org/drawingml/2006/picture">
                <pic:pic xmlns:pic="http://schemas.openxmlformats.org/drawingml/2006/picture">
                  <pic:nvPicPr>
                    <pic:cNvPr id="26" name="image8.png" descr="A picture containing screenshot, line, plot&#10;&#10;Description automatically generated"/>
                    <pic:cNvPicPr preferRelativeResize="0"/>
                  </pic:nvPicPr>
                  <pic:blipFill>
                    <a:blip r:embed="rId14"/>
                    <a:srcRect/>
                    <a:stretch>
                      <a:fillRect/>
                    </a:stretch>
                  </pic:blipFill>
                  <pic:spPr>
                    <a:xfrm>
                      <a:off x="0" y="0"/>
                      <a:ext cx="5943600" cy="3429000"/>
                    </a:xfrm>
                    <a:prstGeom prst="rect">
                      <a:avLst/>
                    </a:prstGeom>
                    <a:ln/>
                  </pic:spPr>
                </pic:pic>
              </a:graphicData>
            </a:graphic>
          </wp:inline>
        </w:drawing>
      </w:r>
    </w:p>
    <w:p w14:paraId="03D9FD68" w14:textId="77777777" w:rsidR="00100398" w:rsidRPr="00B2290F" w:rsidRDefault="00100398" w:rsidP="00100398">
      <w:pPr>
        <w:widowControl w:val="0"/>
        <w:rPr>
          <w:rFonts w:eastAsia="Times New Roman"/>
          <w:sz w:val="24"/>
          <w:szCs w:val="24"/>
        </w:rPr>
      </w:pPr>
      <w:r w:rsidRPr="00B2290F">
        <w:rPr>
          <w:rFonts w:eastAsia="Times New Roman"/>
          <w:b/>
          <w:sz w:val="24"/>
          <w:szCs w:val="24"/>
        </w:rPr>
        <w:t>Figure 4. (a)</w:t>
      </w:r>
      <w:r w:rsidRPr="00B2290F">
        <w:rPr>
          <w:rFonts w:eastAsia="Times New Roman"/>
          <w:sz w:val="24"/>
          <w:szCs w:val="24"/>
        </w:rPr>
        <w:t xml:space="preserve"> Subsurface salinity anomalies [g kg</w:t>
      </w:r>
      <w:r w:rsidRPr="00B2290F">
        <w:rPr>
          <w:rFonts w:eastAsia="Times New Roman"/>
          <w:sz w:val="24"/>
          <w:szCs w:val="24"/>
          <w:vertAlign w:val="superscript"/>
        </w:rPr>
        <w:t>-1</w:t>
      </w:r>
      <w:r w:rsidRPr="00B2290F">
        <w:rPr>
          <w:rFonts w:eastAsia="Times New Roman"/>
          <w:sz w:val="24"/>
          <w:szCs w:val="24"/>
        </w:rPr>
        <w:t xml:space="preserve">] and </w:t>
      </w:r>
      <w:r w:rsidRPr="00B2290F">
        <w:rPr>
          <w:rFonts w:eastAsia="Times New Roman"/>
          <w:b/>
          <w:sz w:val="24"/>
          <w:szCs w:val="24"/>
        </w:rPr>
        <w:t>(b)</w:t>
      </w:r>
      <w:r w:rsidRPr="00B2290F">
        <w:rPr>
          <w:rFonts w:eastAsia="Times New Roman"/>
          <w:sz w:val="24"/>
          <w:szCs w:val="24"/>
        </w:rPr>
        <w:t xml:space="preserve"> potential density anomalies [kg m</w:t>
      </w:r>
      <w:r w:rsidRPr="00B2290F">
        <w:rPr>
          <w:rFonts w:eastAsia="Times New Roman"/>
          <w:sz w:val="24"/>
          <w:szCs w:val="24"/>
          <w:vertAlign w:val="superscript"/>
        </w:rPr>
        <w:t>-3</w:t>
      </w:r>
      <w:r w:rsidRPr="00B2290F">
        <w:rPr>
          <w:rFonts w:eastAsia="Times New Roman"/>
          <w:sz w:val="24"/>
          <w:szCs w:val="24"/>
        </w:rPr>
        <w:t>] computed from subsurface temperature and salinity profiles observed from the NOAA surface mooring at OSP. Subsurface anomalies computed from 1999-2020 ARGO climatology. Data are shown as a 31-day running average.</w:t>
      </w:r>
    </w:p>
    <w:p w14:paraId="5CDB43B7"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62C1A184"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Observed negative wind stress magnitude and significant wave height anomalies (Figure 5ab) suggest calmer surface conditions that likely reduced wind-driven turbulence and mixing during the winter of 2018/2019 and summer of 2019. These significant wave height anomalies are also included here as an integral measure of the regional winds in that they include not only local wind generated waves, but also swell (Belka et al., 2014). The calmer conditions are also reflected by the anomalously shallower winter and summer MLD (Figure 5c). Although the OSP 2019 summer MLD anomaly may appear small (5-6 m), the typical summer MLD (taken from the 2007-2020 climatology) at OSP reaches depths of about 10-13 m, suggesting roughly a 50% shoaling. The anomalously shallow winter mixed layer observed in 2018/2019 followed by reduction in wind-driven turbulence and shallow mixed layer in the summer of 2019 suggest a reduction of entrainment of cool, deeper waters into the upper ocean during the winter prior to the 2019 MHW, creating conditions favorable for warm upper ocean temperatures.</w:t>
      </w:r>
    </w:p>
    <w:p w14:paraId="395E1D38"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r w:rsidRPr="00B2290F">
        <w:rPr>
          <w:rFonts w:eastAsia="Times New Roman"/>
          <w:noProof/>
          <w:sz w:val="24"/>
          <w:szCs w:val="24"/>
        </w:rPr>
        <w:lastRenderedPageBreak/>
        <w:drawing>
          <wp:inline distT="114300" distB="114300" distL="114300" distR="114300" wp14:anchorId="4C52EA6A" wp14:editId="23F7B9A1">
            <wp:extent cx="5943600" cy="3429000"/>
            <wp:effectExtent l="0" t="0" r="0" b="0"/>
            <wp:docPr id="27" name="image6.png" descr="A picture containing text, font, handwriting, line&#10;&#10;Description automatically generated"/>
            <wp:cNvGraphicFramePr/>
            <a:graphic xmlns:a="http://schemas.openxmlformats.org/drawingml/2006/main">
              <a:graphicData uri="http://schemas.openxmlformats.org/drawingml/2006/picture">
                <pic:pic xmlns:pic="http://schemas.openxmlformats.org/drawingml/2006/picture">
                  <pic:nvPicPr>
                    <pic:cNvPr id="27" name="image6.png" descr="A picture containing text, font, handwriting, line&#10;&#10;Description automatically generated"/>
                    <pic:cNvPicPr preferRelativeResize="0"/>
                  </pic:nvPicPr>
                  <pic:blipFill>
                    <a:blip r:embed="rId15"/>
                    <a:srcRect/>
                    <a:stretch>
                      <a:fillRect/>
                    </a:stretch>
                  </pic:blipFill>
                  <pic:spPr>
                    <a:xfrm>
                      <a:off x="0" y="0"/>
                      <a:ext cx="5943600" cy="3429000"/>
                    </a:xfrm>
                    <a:prstGeom prst="rect">
                      <a:avLst/>
                    </a:prstGeom>
                    <a:ln/>
                  </pic:spPr>
                </pic:pic>
              </a:graphicData>
            </a:graphic>
          </wp:inline>
        </w:drawing>
      </w:r>
    </w:p>
    <w:p w14:paraId="6A93C622" w14:textId="77777777" w:rsidR="00100398" w:rsidRPr="00B2290F" w:rsidRDefault="00100398" w:rsidP="00100398">
      <w:pPr>
        <w:widowControl w:val="0"/>
        <w:rPr>
          <w:rFonts w:eastAsia="Times New Roman"/>
          <w:sz w:val="24"/>
          <w:szCs w:val="24"/>
        </w:rPr>
      </w:pPr>
      <w:r w:rsidRPr="00B2290F">
        <w:rPr>
          <w:rFonts w:eastAsia="Times New Roman"/>
          <w:b/>
          <w:sz w:val="24"/>
          <w:szCs w:val="24"/>
        </w:rPr>
        <w:t>Figure 5. (a)</w:t>
      </w:r>
      <w:r w:rsidRPr="00B2290F">
        <w:rPr>
          <w:rFonts w:eastAsia="Times New Roman"/>
          <w:sz w:val="24"/>
          <w:szCs w:val="24"/>
        </w:rPr>
        <w:t xml:space="preserve"> Wind stress [N m</w:t>
      </w:r>
      <w:r w:rsidRPr="00B2290F">
        <w:rPr>
          <w:rFonts w:eastAsia="Times New Roman"/>
          <w:sz w:val="24"/>
          <w:szCs w:val="24"/>
          <w:vertAlign w:val="superscript"/>
        </w:rPr>
        <w:t>-2</w:t>
      </w:r>
      <w:r w:rsidRPr="00B2290F">
        <w:rPr>
          <w:rFonts w:eastAsia="Times New Roman"/>
          <w:sz w:val="24"/>
          <w:szCs w:val="24"/>
        </w:rPr>
        <w:t>] observed from the NOAA surface mooring,</w:t>
      </w:r>
      <w:r w:rsidRPr="00B2290F">
        <w:rPr>
          <w:rFonts w:eastAsia="Times New Roman"/>
          <w:b/>
          <w:sz w:val="24"/>
          <w:szCs w:val="24"/>
        </w:rPr>
        <w:t xml:space="preserve"> (b)</w:t>
      </w:r>
      <w:r w:rsidRPr="00B2290F">
        <w:rPr>
          <w:rFonts w:eastAsia="Times New Roman"/>
          <w:color w:val="FF0000"/>
          <w:sz w:val="24"/>
          <w:szCs w:val="24"/>
        </w:rPr>
        <w:t xml:space="preserve"> </w:t>
      </w:r>
      <w:r w:rsidRPr="00B2290F">
        <w:rPr>
          <w:rFonts w:eastAsia="Times New Roman"/>
          <w:sz w:val="24"/>
          <w:szCs w:val="24"/>
        </w:rPr>
        <w:t xml:space="preserve">significant wave height [m] observed from the APL-UW </w:t>
      </w:r>
      <w:proofErr w:type="spellStart"/>
      <w:r w:rsidRPr="00B2290F">
        <w:rPr>
          <w:rFonts w:eastAsia="Times New Roman"/>
          <w:sz w:val="24"/>
          <w:szCs w:val="24"/>
        </w:rPr>
        <w:t>Waverider</w:t>
      </w:r>
      <w:proofErr w:type="spellEnd"/>
      <w:r w:rsidRPr="00B2290F">
        <w:rPr>
          <w:rFonts w:eastAsia="Times New Roman"/>
          <w:sz w:val="24"/>
          <w:szCs w:val="24"/>
        </w:rPr>
        <w:t xml:space="preserve"> mooring, and </w:t>
      </w:r>
      <w:r w:rsidRPr="00B2290F">
        <w:rPr>
          <w:rFonts w:eastAsia="Times New Roman"/>
          <w:b/>
          <w:sz w:val="24"/>
          <w:szCs w:val="24"/>
        </w:rPr>
        <w:t>(c)</w:t>
      </w:r>
      <w:r w:rsidRPr="00B2290F">
        <w:rPr>
          <w:rFonts w:eastAsia="Times New Roman"/>
          <w:sz w:val="24"/>
          <w:szCs w:val="24"/>
        </w:rPr>
        <w:t xml:space="preserve"> mixed layer depth [m] anomalies observed from the NOAA surface mooring at OSP. A negative mixed layer depth anomaly represents a shallower mixed layer. Data are shown as a 31-day running average. The red shading represents observed MHW periods.</w:t>
      </w:r>
    </w:p>
    <w:p w14:paraId="4224E98F"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1D20D94F"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At OSP, the surface heat flux anomalies leading up to the 2019 MHW do not show as large a signal as anticipated (Figure 6) based on other air-sea flux analyses of the initiation of NE Pacific MHWs (Amaya et al., 2020; </w:t>
      </w:r>
      <w:r w:rsidRPr="00B2290F">
        <w:rPr>
          <w:rFonts w:eastAsia="Times New Roman"/>
          <w:sz w:val="24"/>
          <w:szCs w:val="24"/>
          <w:highlight w:val="white"/>
        </w:rPr>
        <w:t xml:space="preserve">Schmeisser </w:t>
      </w:r>
      <w:r w:rsidRPr="00B2290F">
        <w:rPr>
          <w:rFonts w:eastAsia="Times New Roman"/>
          <w:sz w:val="24"/>
          <w:szCs w:val="24"/>
        </w:rPr>
        <w:t xml:space="preserve">et al., 2019). These studies, which interpret the large anomalous net surface heat flux to be major drivers in the 2019 MHW were based on area-averaged studies with an emphasis on the region south of OSP (Figure 2ab). At OSP, the net heat fluxes were anomalously positive (into the ocean) in May and June of 2019 prior to the MHW (Figure 6ab), largely due to contributions from shortwave radiative fluxes (Figure 6c). During the 2019 MHW period, there was anomalous net heat flux out of the ocean, rather than into the ocean, as expected. </w:t>
      </w:r>
    </w:p>
    <w:p w14:paraId="103D74AF" w14:textId="77777777" w:rsidR="00100398" w:rsidRPr="00B2290F" w:rsidRDefault="00100398" w:rsidP="00100398">
      <w:pPr>
        <w:widowControl w:val="0"/>
        <w:rPr>
          <w:rFonts w:eastAsia="Times New Roman"/>
          <w:sz w:val="24"/>
          <w:szCs w:val="24"/>
        </w:rPr>
      </w:pPr>
      <w:r w:rsidRPr="00B2290F">
        <w:rPr>
          <w:rFonts w:eastAsia="Times New Roman"/>
          <w:noProof/>
          <w:sz w:val="24"/>
          <w:szCs w:val="24"/>
        </w:rPr>
        <w:lastRenderedPageBreak/>
        <w:drawing>
          <wp:inline distT="114300" distB="114300" distL="114300" distR="114300" wp14:anchorId="71991626" wp14:editId="18F3A6A5">
            <wp:extent cx="5943600" cy="3429000"/>
            <wp:effectExtent l="0" t="0" r="0" b="0"/>
            <wp:docPr id="34" name="image7.png" descr="A picture containing text, line, font, plot&#10;&#10;Description automatically generated"/>
            <wp:cNvGraphicFramePr/>
            <a:graphic xmlns:a="http://schemas.openxmlformats.org/drawingml/2006/main">
              <a:graphicData uri="http://schemas.openxmlformats.org/drawingml/2006/picture">
                <pic:pic xmlns:pic="http://schemas.openxmlformats.org/drawingml/2006/picture">
                  <pic:nvPicPr>
                    <pic:cNvPr id="34" name="image7.png" descr="A picture containing text, line, font, plot&#10;&#10;Description automatically generated"/>
                    <pic:cNvPicPr preferRelativeResize="0"/>
                  </pic:nvPicPr>
                  <pic:blipFill>
                    <a:blip r:embed="rId16"/>
                    <a:srcRect/>
                    <a:stretch>
                      <a:fillRect/>
                    </a:stretch>
                  </pic:blipFill>
                  <pic:spPr>
                    <a:xfrm>
                      <a:off x="0" y="0"/>
                      <a:ext cx="5943600" cy="3429000"/>
                    </a:xfrm>
                    <a:prstGeom prst="rect">
                      <a:avLst/>
                    </a:prstGeom>
                    <a:ln/>
                  </pic:spPr>
                </pic:pic>
              </a:graphicData>
            </a:graphic>
          </wp:inline>
        </w:drawing>
      </w:r>
    </w:p>
    <w:p w14:paraId="20B20DE8" w14:textId="77777777" w:rsidR="00100398" w:rsidRPr="00B2290F" w:rsidRDefault="00100398" w:rsidP="00100398">
      <w:pPr>
        <w:widowControl w:val="0"/>
        <w:rPr>
          <w:rFonts w:eastAsia="Times New Roman"/>
          <w:sz w:val="24"/>
          <w:szCs w:val="24"/>
        </w:rPr>
      </w:pPr>
      <w:r w:rsidRPr="00B2290F">
        <w:rPr>
          <w:rFonts w:eastAsia="Times New Roman"/>
          <w:b/>
          <w:sz w:val="24"/>
          <w:szCs w:val="24"/>
        </w:rPr>
        <w:t>Figure 6. (a)</w:t>
      </w:r>
      <w:r w:rsidRPr="00B2290F">
        <w:rPr>
          <w:rFonts w:eastAsia="Times New Roman"/>
          <w:sz w:val="24"/>
          <w:szCs w:val="24"/>
        </w:rPr>
        <w:t xml:space="preserve"> Net heat flux [</w:t>
      </w:r>
      <w:proofErr w:type="spellStart"/>
      <w:r w:rsidRPr="00B2290F">
        <w:rPr>
          <w:rFonts w:eastAsia="Times New Roman"/>
          <w:sz w:val="24"/>
          <w:szCs w:val="24"/>
        </w:rPr>
        <w:t>Q</w:t>
      </w:r>
      <w:r w:rsidRPr="00B2290F">
        <w:rPr>
          <w:rFonts w:eastAsia="Times New Roman"/>
          <w:sz w:val="24"/>
          <w:szCs w:val="24"/>
          <w:vertAlign w:val="subscript"/>
        </w:rPr>
        <w:t>net</w:t>
      </w:r>
      <w:proofErr w:type="spellEnd"/>
      <w:r w:rsidRPr="00B2290F">
        <w:rPr>
          <w:rFonts w:eastAsia="Times New Roman"/>
          <w:sz w:val="24"/>
          <w:szCs w:val="24"/>
        </w:rPr>
        <w:t xml:space="preserve"> = </w:t>
      </w:r>
      <w:proofErr w:type="spellStart"/>
      <w:r w:rsidRPr="00B2290F">
        <w:rPr>
          <w:rFonts w:eastAsia="Times New Roman"/>
          <w:sz w:val="24"/>
          <w:szCs w:val="24"/>
        </w:rPr>
        <w:t>SW</w:t>
      </w:r>
      <w:r w:rsidRPr="00B2290F">
        <w:rPr>
          <w:rFonts w:eastAsia="Times New Roman"/>
          <w:sz w:val="24"/>
          <w:szCs w:val="24"/>
          <w:vertAlign w:val="subscript"/>
        </w:rPr>
        <w:t>net</w:t>
      </w:r>
      <w:proofErr w:type="spellEnd"/>
      <w:r w:rsidRPr="00B2290F">
        <w:rPr>
          <w:rFonts w:eastAsia="Times New Roman"/>
          <w:sz w:val="24"/>
          <w:szCs w:val="24"/>
        </w:rPr>
        <w:t xml:space="preserve"> - </w:t>
      </w:r>
      <w:proofErr w:type="spellStart"/>
      <w:r w:rsidRPr="00B2290F">
        <w:rPr>
          <w:rFonts w:eastAsia="Times New Roman"/>
          <w:sz w:val="24"/>
          <w:szCs w:val="24"/>
        </w:rPr>
        <w:t>Q</w:t>
      </w:r>
      <w:r w:rsidRPr="00B2290F">
        <w:rPr>
          <w:rFonts w:eastAsia="Times New Roman"/>
          <w:sz w:val="24"/>
          <w:szCs w:val="24"/>
          <w:vertAlign w:val="subscript"/>
        </w:rPr>
        <w:t>lat</w:t>
      </w:r>
      <w:proofErr w:type="spellEnd"/>
      <w:r w:rsidRPr="00B2290F">
        <w:rPr>
          <w:rFonts w:eastAsia="Times New Roman"/>
          <w:sz w:val="24"/>
          <w:szCs w:val="24"/>
        </w:rPr>
        <w:t xml:space="preserve"> - </w:t>
      </w:r>
      <w:proofErr w:type="spellStart"/>
      <w:r w:rsidRPr="00B2290F">
        <w:rPr>
          <w:rFonts w:eastAsia="Times New Roman"/>
          <w:sz w:val="24"/>
          <w:szCs w:val="24"/>
        </w:rPr>
        <w:t>Q</w:t>
      </w:r>
      <w:r w:rsidRPr="00B2290F">
        <w:rPr>
          <w:rFonts w:eastAsia="Times New Roman"/>
          <w:sz w:val="24"/>
          <w:szCs w:val="24"/>
          <w:vertAlign w:val="subscript"/>
        </w:rPr>
        <w:t>sen</w:t>
      </w:r>
      <w:proofErr w:type="spellEnd"/>
      <w:r w:rsidRPr="00B2290F">
        <w:rPr>
          <w:rFonts w:eastAsia="Times New Roman"/>
          <w:sz w:val="24"/>
          <w:szCs w:val="24"/>
        </w:rPr>
        <w:t xml:space="preserve"> - </w:t>
      </w:r>
      <w:proofErr w:type="spellStart"/>
      <w:r w:rsidRPr="00B2290F">
        <w:rPr>
          <w:rFonts w:eastAsia="Times New Roman"/>
          <w:sz w:val="24"/>
          <w:szCs w:val="24"/>
        </w:rPr>
        <w:t>LW</w:t>
      </w:r>
      <w:r w:rsidRPr="00B2290F">
        <w:rPr>
          <w:rFonts w:eastAsia="Times New Roman"/>
          <w:sz w:val="24"/>
          <w:szCs w:val="24"/>
          <w:vertAlign w:val="subscript"/>
        </w:rPr>
        <w:t>net</w:t>
      </w:r>
      <w:proofErr w:type="spellEnd"/>
      <w:r w:rsidRPr="00B2290F">
        <w:rPr>
          <w:rFonts w:eastAsia="Times New Roman"/>
          <w:sz w:val="24"/>
          <w:szCs w:val="24"/>
        </w:rPr>
        <w:t xml:space="preserve">], </w:t>
      </w:r>
      <w:r w:rsidRPr="00B2290F">
        <w:rPr>
          <w:rFonts w:eastAsia="Times New Roman"/>
          <w:b/>
          <w:sz w:val="24"/>
          <w:szCs w:val="24"/>
        </w:rPr>
        <w:t>(b)</w:t>
      </w:r>
      <w:r w:rsidRPr="00B2290F">
        <w:rPr>
          <w:rFonts w:eastAsia="Times New Roman"/>
          <w:sz w:val="24"/>
          <w:szCs w:val="24"/>
        </w:rPr>
        <w:t xml:space="preserve"> net heat flux anomalies, and </w:t>
      </w:r>
      <w:r w:rsidRPr="00B2290F">
        <w:rPr>
          <w:rFonts w:eastAsia="Times New Roman"/>
          <w:b/>
          <w:sz w:val="24"/>
          <w:szCs w:val="24"/>
        </w:rPr>
        <w:t>(c)</w:t>
      </w:r>
      <w:r w:rsidRPr="00B2290F">
        <w:rPr>
          <w:rFonts w:eastAsia="Times New Roman"/>
          <w:sz w:val="24"/>
          <w:szCs w:val="24"/>
        </w:rPr>
        <w:t xml:space="preserve"> latent heat flux anomalies (green), sensible heat flux anomalies (blue), longwave radiative anomalies (orange), and shortwave radiative anomalies (red) from the NOAA Surface Mooring at OSP. A positive flux anomaly warms the ocean. Data are shown as a 31-day running average. The red shading represents MHW periods.</w:t>
      </w:r>
    </w:p>
    <w:p w14:paraId="69CC36D3"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5A6029AC"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From early 2017 through winter 2019, the 35 m currents at OSP were generally eastward (positive zonal currents), in the direction of the North Pacific Current (Cummins &amp; Freeland, 2007). However, during the summer of 2019, there was a sudden weakening and shift from eastward to westward flow (Figure 7a). This shift from eastward to westward flow was not found during the 2013-2015 MHW. During the 2019 MHW, the changes in current direction may have reduced horizontal advection of cooler temperatures from west of OSP. Following this shift in zonal currents in mid-2019, the westward flow continued into the winter of 2019/2020. Although of lesser magnitude in summer 2019 compared to the 2013/2014 winter, there were also northward currents at OSP that might have advected warmer water into the region from the south (Figure 7a).</w:t>
      </w:r>
    </w:p>
    <w:p w14:paraId="362B9057"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 </w:t>
      </w:r>
    </w:p>
    <w:p w14:paraId="404D1FD0" w14:textId="6DED40F9" w:rsidR="00100398" w:rsidRPr="00B2290F" w:rsidRDefault="00100398" w:rsidP="00100398">
      <w:pPr>
        <w:widowControl w:val="0"/>
        <w:ind w:firstLine="720"/>
        <w:rPr>
          <w:rFonts w:eastAsia="Times New Roman"/>
          <w:sz w:val="24"/>
          <w:szCs w:val="24"/>
        </w:rPr>
      </w:pPr>
      <w:r w:rsidRPr="00B2290F">
        <w:rPr>
          <w:rFonts w:eastAsia="Times New Roman"/>
          <w:sz w:val="24"/>
          <w:szCs w:val="24"/>
        </w:rPr>
        <w:t>Higher energy near-inertial waves are typically observed at OSP during the winter season owing to the increased frequency of storms in winter (Alford et al., 2012). At OSP, the 35 m near-inertial currents are largest from October to January (Figure 7b). However, during the winter 2018/</w:t>
      </w:r>
      <w:r w:rsidR="00436668" w:rsidRPr="00B2290F">
        <w:rPr>
          <w:rFonts w:eastAsia="Times New Roman"/>
          <w:sz w:val="24"/>
          <w:szCs w:val="24"/>
        </w:rPr>
        <w:t>2019</w:t>
      </w:r>
      <w:r w:rsidRPr="00B2290F">
        <w:rPr>
          <w:rFonts w:eastAsia="Times New Roman"/>
          <w:sz w:val="24"/>
          <w:szCs w:val="24"/>
        </w:rPr>
        <w:t xml:space="preserve">, there were slightly smaller near-inertial currents (as seen by smaller high frequency currents in 2018/2019 winter compared to 2016/2017 and 2017/2018 winters). This suggests that the weaker winds and inertial currents resulted in a more stably stratified water column. This may have contributed to persistence of the surface water temperature anomalies and the delayed subduction of the warmer subsurface temperatures (Figure 3a) as speculated by Scannell et al. (2020). The lower energetic near-inertial currents in 2018/2019 winter could have also resulted in weaker mixing and less entrainment of colder subsurface water. The resulting </w:t>
      </w:r>
      <w:r w:rsidRPr="00B2290F">
        <w:rPr>
          <w:rFonts w:eastAsia="Times New Roman"/>
          <w:sz w:val="24"/>
          <w:szCs w:val="24"/>
        </w:rPr>
        <w:lastRenderedPageBreak/>
        <w:t>strong surface stratification could have contributed to the 2019 MHW.</w:t>
      </w:r>
    </w:p>
    <w:p w14:paraId="69CA4FF8" w14:textId="77777777" w:rsidR="00100398" w:rsidRPr="00B2290F" w:rsidRDefault="00100398" w:rsidP="00100398">
      <w:pPr>
        <w:widowControl w:val="0"/>
        <w:jc w:val="center"/>
        <w:rPr>
          <w:rFonts w:eastAsia="Times New Roman"/>
          <w:sz w:val="24"/>
          <w:szCs w:val="24"/>
        </w:rPr>
      </w:pPr>
      <w:r w:rsidRPr="00B2290F">
        <w:rPr>
          <w:rFonts w:eastAsia="Times New Roman"/>
          <w:noProof/>
          <w:sz w:val="24"/>
          <w:szCs w:val="24"/>
        </w:rPr>
        <w:drawing>
          <wp:inline distT="114300" distB="114300" distL="114300" distR="114300" wp14:anchorId="564CBEB7" wp14:editId="593D43DA">
            <wp:extent cx="5943600" cy="2329830"/>
            <wp:effectExtent l="0" t="0" r="0" b="0"/>
            <wp:docPr id="35" name="image1.png" descr="A picture containing text, line, plot,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35" name="image1.png" descr="A picture containing text, line, plot, diagram&#10;&#10;Description automatically generated"/>
                    <pic:cNvPicPr preferRelativeResize="0"/>
                  </pic:nvPicPr>
                  <pic:blipFill>
                    <a:blip r:embed="rId17"/>
                    <a:srcRect b="32055"/>
                    <a:stretch>
                      <a:fillRect/>
                    </a:stretch>
                  </pic:blipFill>
                  <pic:spPr>
                    <a:xfrm>
                      <a:off x="0" y="0"/>
                      <a:ext cx="5943600" cy="2329830"/>
                    </a:xfrm>
                    <a:prstGeom prst="rect">
                      <a:avLst/>
                    </a:prstGeom>
                    <a:ln/>
                  </pic:spPr>
                </pic:pic>
              </a:graphicData>
            </a:graphic>
          </wp:inline>
        </w:drawing>
      </w:r>
    </w:p>
    <w:p w14:paraId="116ABC08" w14:textId="77777777" w:rsidR="00100398" w:rsidRPr="00B2290F" w:rsidRDefault="00100398" w:rsidP="00100398">
      <w:pPr>
        <w:widowControl w:val="0"/>
        <w:rPr>
          <w:rFonts w:eastAsia="Times New Roman"/>
          <w:sz w:val="24"/>
          <w:szCs w:val="24"/>
        </w:rPr>
      </w:pPr>
      <w:r w:rsidRPr="00B2290F">
        <w:rPr>
          <w:rFonts w:eastAsia="Times New Roman"/>
          <w:b/>
          <w:sz w:val="24"/>
          <w:szCs w:val="24"/>
        </w:rPr>
        <w:t>Figure 7. (a)</w:t>
      </w:r>
      <w:r w:rsidRPr="00B2290F">
        <w:rPr>
          <w:rFonts w:eastAsia="Times New Roman"/>
          <w:sz w:val="24"/>
          <w:szCs w:val="24"/>
        </w:rPr>
        <w:t xml:space="preserve"> Total zonal and meridional 35 m currents [cm s</w:t>
      </w:r>
      <w:r w:rsidRPr="00B2290F">
        <w:rPr>
          <w:rFonts w:eastAsia="Times New Roman"/>
          <w:sz w:val="24"/>
          <w:szCs w:val="24"/>
          <w:vertAlign w:val="superscript"/>
        </w:rPr>
        <w:t>-1</w:t>
      </w:r>
      <w:r w:rsidRPr="00B2290F">
        <w:rPr>
          <w:rFonts w:eastAsia="Times New Roman"/>
          <w:sz w:val="24"/>
          <w:szCs w:val="24"/>
        </w:rPr>
        <w:t>] and</w:t>
      </w:r>
      <w:r w:rsidRPr="00B2290F">
        <w:rPr>
          <w:rFonts w:eastAsia="Times New Roman"/>
          <w:b/>
          <w:sz w:val="24"/>
          <w:szCs w:val="24"/>
        </w:rPr>
        <w:t xml:space="preserve"> (b)</w:t>
      </w:r>
      <w:r w:rsidRPr="00B2290F">
        <w:rPr>
          <w:rFonts w:eastAsia="Times New Roman"/>
          <w:sz w:val="24"/>
          <w:szCs w:val="24"/>
        </w:rPr>
        <w:t xml:space="preserve"> near-inertial 35 m current magnitudes [cm s</w:t>
      </w:r>
      <w:r w:rsidRPr="00B2290F">
        <w:rPr>
          <w:rFonts w:eastAsia="Times New Roman"/>
          <w:sz w:val="24"/>
          <w:szCs w:val="24"/>
          <w:vertAlign w:val="superscript"/>
        </w:rPr>
        <w:t>-1</w:t>
      </w:r>
      <w:r w:rsidRPr="00B2290F">
        <w:rPr>
          <w:rFonts w:eastAsia="Times New Roman"/>
          <w:sz w:val="24"/>
          <w:szCs w:val="24"/>
        </w:rPr>
        <w:t>] observed from the NOAA surface mooring at OSP. The zonal and meridional current data are shown as a 31-day running average. The red shading represents observed MHW periods.</w:t>
      </w:r>
    </w:p>
    <w:p w14:paraId="46BC37B4" w14:textId="77777777" w:rsidR="00100398" w:rsidRPr="00B2290F" w:rsidRDefault="00100398" w:rsidP="00100398">
      <w:pPr>
        <w:widowControl w:val="0"/>
        <w:rPr>
          <w:rFonts w:eastAsia="Times New Roman"/>
          <w:b/>
          <w:sz w:val="24"/>
          <w:szCs w:val="24"/>
        </w:rPr>
      </w:pPr>
      <w:r w:rsidRPr="00B2290F">
        <w:rPr>
          <w:rFonts w:eastAsia="Times New Roman"/>
          <w:b/>
          <w:sz w:val="24"/>
          <w:szCs w:val="24"/>
        </w:rPr>
        <w:t xml:space="preserve"> </w:t>
      </w:r>
    </w:p>
    <w:p w14:paraId="3DB1C217" w14:textId="3CD4A1EE" w:rsidR="00100398" w:rsidRDefault="00100398" w:rsidP="00100398">
      <w:pPr>
        <w:widowControl w:val="0"/>
        <w:rPr>
          <w:rFonts w:eastAsia="Times New Roman"/>
          <w:b/>
          <w:bCs/>
          <w:iCs/>
          <w:sz w:val="24"/>
          <w:szCs w:val="24"/>
        </w:rPr>
      </w:pPr>
      <w:r w:rsidRPr="00B2290F">
        <w:rPr>
          <w:rFonts w:eastAsia="Times New Roman"/>
          <w:b/>
          <w:bCs/>
          <w:iCs/>
          <w:sz w:val="24"/>
          <w:szCs w:val="24"/>
        </w:rPr>
        <w:t>3.2</w:t>
      </w:r>
      <w:r w:rsidR="0095222E" w:rsidRPr="00B2290F">
        <w:rPr>
          <w:rFonts w:eastAsia="Times New Roman"/>
          <w:b/>
          <w:bCs/>
          <w:iCs/>
          <w:sz w:val="24"/>
          <w:szCs w:val="24"/>
        </w:rPr>
        <w:t>.</w:t>
      </w:r>
      <w:r w:rsidRPr="00B2290F">
        <w:rPr>
          <w:rFonts w:eastAsia="Times New Roman"/>
          <w:b/>
          <w:bCs/>
          <w:iCs/>
          <w:sz w:val="24"/>
          <w:szCs w:val="24"/>
        </w:rPr>
        <w:t xml:space="preserve"> Ecosystem Impacts</w:t>
      </w:r>
    </w:p>
    <w:p w14:paraId="445503D9" w14:textId="77777777" w:rsidR="000A0196" w:rsidRPr="00B2290F" w:rsidRDefault="000A0196" w:rsidP="00100398">
      <w:pPr>
        <w:widowControl w:val="0"/>
        <w:rPr>
          <w:rFonts w:eastAsia="Times New Roman"/>
          <w:b/>
          <w:bCs/>
          <w:iCs/>
          <w:sz w:val="24"/>
          <w:szCs w:val="24"/>
        </w:rPr>
      </w:pPr>
    </w:p>
    <w:p w14:paraId="676FD40E" w14:textId="77777777" w:rsidR="00100398" w:rsidRPr="00B2290F" w:rsidRDefault="00100398" w:rsidP="00100398">
      <w:pPr>
        <w:widowControl w:val="0"/>
        <w:ind w:firstLine="720"/>
        <w:rPr>
          <w:rFonts w:eastAsia="Times New Roman"/>
          <w:sz w:val="24"/>
          <w:szCs w:val="24"/>
        </w:rPr>
      </w:pPr>
      <w:proofErr w:type="gramStart"/>
      <w:r w:rsidRPr="00B2290F">
        <w:rPr>
          <w:rFonts w:eastAsia="Times New Roman"/>
          <w:sz w:val="24"/>
          <w:szCs w:val="24"/>
        </w:rPr>
        <w:t>Similar to</w:t>
      </w:r>
      <w:proofErr w:type="gramEnd"/>
      <w:r w:rsidRPr="00B2290F">
        <w:rPr>
          <w:rFonts w:eastAsia="Times New Roman"/>
          <w:sz w:val="24"/>
          <w:szCs w:val="24"/>
        </w:rPr>
        <w:t xml:space="preserve"> the conditions observed during 2013-2015 MHW (Mogen et al., 2022), we find low surface DIC and </w:t>
      </w:r>
      <w:r w:rsidRPr="00B2290F">
        <w:rPr>
          <w:rFonts w:eastAsia="Times New Roman"/>
          <w:i/>
          <w:sz w:val="24"/>
          <w:szCs w:val="24"/>
        </w:rPr>
        <w:t>p</w:t>
      </w:r>
      <w:r w:rsidRPr="00B2290F">
        <w:rPr>
          <w:rFonts w:eastAsia="Times New Roman"/>
          <w:sz w:val="24"/>
          <w:szCs w:val="24"/>
        </w:rPr>
        <w:t>CO</w:t>
      </w:r>
      <w:r w:rsidRPr="00B2290F">
        <w:rPr>
          <w:rFonts w:eastAsia="Times New Roman"/>
          <w:sz w:val="24"/>
          <w:szCs w:val="24"/>
          <w:vertAlign w:val="subscript"/>
        </w:rPr>
        <w:t>2</w:t>
      </w:r>
      <w:r w:rsidRPr="00B2290F">
        <w:rPr>
          <w:rFonts w:eastAsia="Times New Roman"/>
          <w:sz w:val="24"/>
          <w:szCs w:val="24"/>
        </w:rPr>
        <w:t xml:space="preserve"> along with high surface pH during the 2019 MHW (Figure 8). The strong stratification and circulation changes could have contributed to the decrease in DIC </w:t>
      </w:r>
      <w:proofErr w:type="gramStart"/>
      <w:r w:rsidRPr="00B2290F">
        <w:rPr>
          <w:rFonts w:eastAsia="Times New Roman"/>
          <w:sz w:val="24"/>
          <w:szCs w:val="24"/>
        </w:rPr>
        <w:t>similar to</w:t>
      </w:r>
      <w:proofErr w:type="gramEnd"/>
      <w:r w:rsidRPr="00B2290F">
        <w:rPr>
          <w:rFonts w:eastAsia="Times New Roman"/>
          <w:sz w:val="24"/>
          <w:szCs w:val="24"/>
        </w:rPr>
        <w:t xml:space="preserve"> the 2013-2015 MHW (Mogen et al., 2022). </w:t>
      </w:r>
    </w:p>
    <w:p w14:paraId="482705E9" w14:textId="77777777" w:rsidR="00100398" w:rsidRPr="00B2290F" w:rsidRDefault="00100398" w:rsidP="00100398">
      <w:pPr>
        <w:widowControl w:val="0"/>
        <w:rPr>
          <w:rFonts w:eastAsia="Times New Roman"/>
          <w:sz w:val="24"/>
          <w:szCs w:val="24"/>
        </w:rPr>
      </w:pPr>
    </w:p>
    <w:p w14:paraId="1C1A99E8" w14:textId="77777777" w:rsidR="00100398" w:rsidRPr="00B2290F" w:rsidRDefault="00100398" w:rsidP="00100398">
      <w:pPr>
        <w:widowControl w:val="0"/>
        <w:rPr>
          <w:rFonts w:eastAsia="Times New Roman"/>
          <w:sz w:val="24"/>
          <w:szCs w:val="24"/>
        </w:rPr>
      </w:pPr>
      <w:r w:rsidRPr="00B2290F">
        <w:rPr>
          <w:rFonts w:eastAsia="Times New Roman"/>
          <w:noProof/>
          <w:sz w:val="24"/>
          <w:szCs w:val="24"/>
        </w:rPr>
        <w:drawing>
          <wp:inline distT="114300" distB="114300" distL="114300" distR="114300" wp14:anchorId="1E60E614" wp14:editId="0667459E">
            <wp:extent cx="5943600" cy="2302743"/>
            <wp:effectExtent l="0" t="0" r="0" b="0"/>
            <wp:docPr id="30" name="image11.png" descr="A picture containing text, diagram, line, plot&#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1.png" descr="A picture containing text, diagram, line, plot&#10;&#10;Description automatically generated"/>
                    <pic:cNvPicPr preferRelativeResize="0"/>
                  </pic:nvPicPr>
                  <pic:blipFill>
                    <a:blip r:embed="rId18"/>
                    <a:srcRect b="32845"/>
                    <a:stretch>
                      <a:fillRect/>
                    </a:stretch>
                  </pic:blipFill>
                  <pic:spPr>
                    <a:xfrm>
                      <a:off x="0" y="0"/>
                      <a:ext cx="5943600" cy="2302743"/>
                    </a:xfrm>
                    <a:prstGeom prst="rect">
                      <a:avLst/>
                    </a:prstGeom>
                    <a:ln/>
                  </pic:spPr>
                </pic:pic>
              </a:graphicData>
            </a:graphic>
          </wp:inline>
        </w:drawing>
      </w:r>
    </w:p>
    <w:p w14:paraId="438F2017" w14:textId="77777777" w:rsidR="00100398" w:rsidRPr="00B2290F" w:rsidRDefault="00100398" w:rsidP="00100398">
      <w:pPr>
        <w:widowControl w:val="0"/>
        <w:rPr>
          <w:rFonts w:eastAsia="Times New Roman"/>
          <w:sz w:val="24"/>
          <w:szCs w:val="24"/>
        </w:rPr>
      </w:pPr>
      <w:r w:rsidRPr="00B2290F">
        <w:rPr>
          <w:rFonts w:eastAsia="Times New Roman"/>
          <w:b/>
          <w:sz w:val="24"/>
          <w:szCs w:val="24"/>
        </w:rPr>
        <w:t>Figure 8. (a)</w:t>
      </w:r>
      <w:r w:rsidRPr="00B2290F">
        <w:rPr>
          <w:rFonts w:eastAsia="Times New Roman"/>
          <w:sz w:val="24"/>
          <w:szCs w:val="24"/>
        </w:rPr>
        <w:t xml:space="preserve"> Seawater </w:t>
      </w:r>
      <w:r w:rsidRPr="00B2290F">
        <w:rPr>
          <w:rFonts w:eastAsia="Times New Roman"/>
          <w:i/>
          <w:sz w:val="24"/>
          <w:szCs w:val="24"/>
        </w:rPr>
        <w:t>p</w:t>
      </w:r>
      <w:r w:rsidRPr="00B2290F">
        <w:rPr>
          <w:rFonts w:eastAsia="Times New Roman"/>
          <w:sz w:val="24"/>
          <w:szCs w:val="24"/>
        </w:rPr>
        <w:t>CO</w:t>
      </w:r>
      <w:r w:rsidRPr="00B2290F">
        <w:rPr>
          <w:rFonts w:eastAsia="Times New Roman"/>
          <w:sz w:val="24"/>
          <w:szCs w:val="24"/>
          <w:vertAlign w:val="subscript"/>
        </w:rPr>
        <w:t xml:space="preserve">2 </w:t>
      </w:r>
      <w:r w:rsidRPr="00B2290F">
        <w:rPr>
          <w:rFonts w:eastAsia="Times New Roman"/>
          <w:sz w:val="24"/>
          <w:szCs w:val="24"/>
        </w:rPr>
        <w:t>[µmol mol</w:t>
      </w:r>
      <w:r w:rsidRPr="00B2290F">
        <w:rPr>
          <w:rFonts w:eastAsia="Times New Roman"/>
          <w:sz w:val="24"/>
          <w:szCs w:val="24"/>
          <w:vertAlign w:val="superscript"/>
        </w:rPr>
        <w:t>-1</w:t>
      </w:r>
      <w:r w:rsidRPr="00B2290F">
        <w:rPr>
          <w:rFonts w:eastAsia="Times New Roman"/>
          <w:sz w:val="24"/>
          <w:szCs w:val="24"/>
        </w:rPr>
        <w:t xml:space="preserve">] and surface seawater pH [total scale] and </w:t>
      </w:r>
      <w:r w:rsidRPr="00B2290F">
        <w:rPr>
          <w:rFonts w:eastAsia="Times New Roman"/>
          <w:b/>
          <w:sz w:val="24"/>
          <w:szCs w:val="24"/>
        </w:rPr>
        <w:t>(b)</w:t>
      </w:r>
      <w:r w:rsidRPr="00B2290F">
        <w:rPr>
          <w:rFonts w:eastAsia="Times New Roman"/>
          <w:sz w:val="24"/>
          <w:szCs w:val="24"/>
        </w:rPr>
        <w:t xml:space="preserve"> surface dissolved inorganic carbon (DIC) [µmol kgSW</w:t>
      </w:r>
      <w:r w:rsidRPr="00B2290F">
        <w:rPr>
          <w:rFonts w:eastAsia="Times New Roman"/>
          <w:sz w:val="24"/>
          <w:szCs w:val="24"/>
          <w:vertAlign w:val="superscript"/>
        </w:rPr>
        <w:t>-1</w:t>
      </w:r>
      <w:r w:rsidRPr="00B2290F">
        <w:rPr>
          <w:rFonts w:eastAsia="Times New Roman"/>
          <w:sz w:val="24"/>
          <w:szCs w:val="24"/>
        </w:rPr>
        <w:t>] observed from the NOAA surface mooring at OSP. Data are shown as a 31-day running average. The red shading represents observed MHW periods.</w:t>
      </w:r>
    </w:p>
    <w:p w14:paraId="64CEDEC8"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6F4582FC"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Relatively large negative Apparent Oxygen Utilization (AOU) (oxygen concentration at saturation equilibrium minus observed oxygen) surface values were observed during the June </w:t>
      </w:r>
      <w:r w:rsidRPr="00B2290F">
        <w:rPr>
          <w:rFonts w:eastAsia="Times New Roman"/>
          <w:sz w:val="24"/>
          <w:szCs w:val="24"/>
        </w:rPr>
        <w:lastRenderedPageBreak/>
        <w:t>cruise of 2019 (Figure 9a), suggesting that more oxygen was available in the water than what is expected based on the water’s physical properties, which could be an indication of increased biological productivity.</w:t>
      </w:r>
    </w:p>
    <w:p w14:paraId="58BEDFB4" w14:textId="77777777" w:rsidR="00100398" w:rsidRPr="00B2290F" w:rsidRDefault="00100398" w:rsidP="00100398">
      <w:pPr>
        <w:widowControl w:val="0"/>
        <w:rPr>
          <w:rFonts w:eastAsia="Times New Roman"/>
          <w:sz w:val="24"/>
          <w:szCs w:val="24"/>
        </w:rPr>
      </w:pPr>
    </w:p>
    <w:p w14:paraId="2D98D46F"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Surface chlorophyll and macronutrients (nitrate and silicate) from Line P cruises at P26 were used as indicators of productivity occurring at OSP (Figure 9). Notable large amounts of chlorophyll at OSP were observed in June 2016 (~1.19 mg m</w:t>
      </w:r>
      <w:r w:rsidRPr="00B2290F">
        <w:rPr>
          <w:rFonts w:eastAsia="Times New Roman"/>
          <w:sz w:val="24"/>
          <w:szCs w:val="24"/>
          <w:vertAlign w:val="superscript"/>
        </w:rPr>
        <w:t>-3</w:t>
      </w:r>
      <w:r w:rsidRPr="00B2290F">
        <w:rPr>
          <w:rFonts w:eastAsia="Times New Roman"/>
          <w:sz w:val="24"/>
          <w:szCs w:val="24"/>
        </w:rPr>
        <w:t>), August 2017 (~1.28 mg m</w:t>
      </w:r>
      <w:r w:rsidRPr="00B2290F">
        <w:rPr>
          <w:rFonts w:eastAsia="Times New Roman"/>
          <w:sz w:val="24"/>
          <w:szCs w:val="24"/>
          <w:vertAlign w:val="superscript"/>
        </w:rPr>
        <w:t>-3</w:t>
      </w:r>
      <w:r w:rsidRPr="00B2290F">
        <w:rPr>
          <w:rFonts w:eastAsia="Times New Roman"/>
          <w:sz w:val="24"/>
          <w:szCs w:val="24"/>
        </w:rPr>
        <w:t>), and June 2019 (~1.08 mg m</w:t>
      </w:r>
      <w:r w:rsidRPr="00B2290F">
        <w:rPr>
          <w:rFonts w:eastAsia="Times New Roman"/>
          <w:sz w:val="24"/>
          <w:szCs w:val="24"/>
          <w:vertAlign w:val="superscript"/>
        </w:rPr>
        <w:t>-3</w:t>
      </w:r>
      <w:r w:rsidRPr="00B2290F">
        <w:rPr>
          <w:rFonts w:eastAsia="Times New Roman"/>
          <w:sz w:val="24"/>
          <w:szCs w:val="24"/>
        </w:rPr>
        <w:t xml:space="preserve">) as seen in Figure 9b. The large amount of chlorophyll in 2016 coincides with a negative AOU value in Figure 9a and was followed by a decrease in macronutrients (Figure 9cd). The 2017 chlorophyll bloom occurred directly following the observed spring barrier layer (Figure 3a), and a decrease in nitrate and a depletion of silicate were observed directly following as well (Figure 9). The macronutrients again decreased in 2019 (with observed depletion of surface nitrate), coinciding with the observed June 2019 chlorophyll. </w:t>
      </w:r>
    </w:p>
    <w:p w14:paraId="5B1A6A35" w14:textId="77777777" w:rsidR="00100398" w:rsidRPr="00B2290F" w:rsidRDefault="00100398" w:rsidP="00100398">
      <w:pPr>
        <w:widowControl w:val="0"/>
        <w:ind w:firstLine="720"/>
        <w:rPr>
          <w:rFonts w:eastAsia="Times New Roman"/>
          <w:sz w:val="24"/>
          <w:szCs w:val="24"/>
        </w:rPr>
      </w:pPr>
    </w:p>
    <w:p w14:paraId="1F6962D3"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Typical decreases in surface nitrate (6.9-7 µM) and silicate (11.1-11.5 µM) are indicators of primary productivity in the Gulf of Alaska (Harrison et al., 1999; Harrison et al., 2004; Wong et al., 1998). Between the June and August cruises in 2019, there was a 12.6 µM decrease in nitrate (Figure 9c), almost twice the typical decrease that would follow primary productivity, and a 12.0 µM decrease in silicate during 2019 (Figure 9d).</w:t>
      </w:r>
    </w:p>
    <w:p w14:paraId="2900FDE3" w14:textId="77777777" w:rsidR="00100398" w:rsidRPr="00B2290F" w:rsidRDefault="00100398" w:rsidP="00100398">
      <w:pPr>
        <w:widowControl w:val="0"/>
        <w:rPr>
          <w:rFonts w:eastAsia="Times New Roman"/>
          <w:sz w:val="24"/>
          <w:szCs w:val="24"/>
        </w:rPr>
      </w:pPr>
      <w:r w:rsidRPr="00B2290F">
        <w:rPr>
          <w:rFonts w:eastAsia="Times New Roman"/>
          <w:noProof/>
          <w:sz w:val="24"/>
          <w:szCs w:val="24"/>
        </w:rPr>
        <w:drawing>
          <wp:inline distT="114300" distB="114300" distL="114300" distR="114300" wp14:anchorId="42E6624A" wp14:editId="1B558AF3">
            <wp:extent cx="5943600" cy="3098800"/>
            <wp:effectExtent l="0" t="0" r="0" b="0"/>
            <wp:docPr id="29" name="image3.png" descr="A picture containing text, diagram, line, plot&#10;&#10;Description automatically generated"/>
            <wp:cNvGraphicFramePr/>
            <a:graphic xmlns:a="http://schemas.openxmlformats.org/drawingml/2006/main">
              <a:graphicData uri="http://schemas.openxmlformats.org/drawingml/2006/picture">
                <pic:pic xmlns:pic="http://schemas.openxmlformats.org/drawingml/2006/picture">
                  <pic:nvPicPr>
                    <pic:cNvPr id="29" name="image3.png" descr="A picture containing text, diagram, line, plot&#10;&#10;Description automatically generated"/>
                    <pic:cNvPicPr preferRelativeResize="0"/>
                  </pic:nvPicPr>
                  <pic:blipFill>
                    <a:blip r:embed="rId19"/>
                    <a:srcRect/>
                    <a:stretch>
                      <a:fillRect/>
                    </a:stretch>
                  </pic:blipFill>
                  <pic:spPr>
                    <a:xfrm>
                      <a:off x="0" y="0"/>
                      <a:ext cx="5943600" cy="3098800"/>
                    </a:xfrm>
                    <a:prstGeom prst="rect">
                      <a:avLst/>
                    </a:prstGeom>
                    <a:ln/>
                  </pic:spPr>
                </pic:pic>
              </a:graphicData>
            </a:graphic>
          </wp:inline>
        </w:drawing>
      </w:r>
    </w:p>
    <w:p w14:paraId="1EB157E0" w14:textId="73345816" w:rsidR="00100398" w:rsidRPr="00B2290F" w:rsidRDefault="00100398" w:rsidP="00100398">
      <w:pPr>
        <w:widowControl w:val="0"/>
        <w:rPr>
          <w:rFonts w:eastAsia="Times New Roman"/>
          <w:sz w:val="24"/>
          <w:szCs w:val="24"/>
        </w:rPr>
      </w:pPr>
      <w:r w:rsidRPr="00B2290F">
        <w:rPr>
          <w:rFonts w:eastAsia="Times New Roman"/>
          <w:b/>
          <w:sz w:val="24"/>
          <w:szCs w:val="24"/>
        </w:rPr>
        <w:t xml:space="preserve">Figure 9. </w:t>
      </w:r>
      <w:r w:rsidRPr="00B2290F">
        <w:rPr>
          <w:rFonts w:eastAsia="Times New Roman"/>
          <w:sz w:val="24"/>
          <w:szCs w:val="24"/>
        </w:rPr>
        <w:t xml:space="preserve">Surface </w:t>
      </w:r>
      <w:r w:rsidRPr="00B2290F">
        <w:rPr>
          <w:rFonts w:eastAsia="Times New Roman"/>
          <w:b/>
          <w:sz w:val="24"/>
          <w:szCs w:val="24"/>
        </w:rPr>
        <w:t>(a)</w:t>
      </w:r>
      <w:r w:rsidRPr="00B2290F">
        <w:rPr>
          <w:rFonts w:eastAsia="Times New Roman"/>
          <w:sz w:val="24"/>
          <w:szCs w:val="24"/>
        </w:rPr>
        <w:t xml:space="preserve"> Apparent Oxygen Utilization (AOU) [µmol mol</w:t>
      </w:r>
      <w:r w:rsidRPr="00B2290F">
        <w:rPr>
          <w:rFonts w:eastAsia="Times New Roman"/>
          <w:sz w:val="24"/>
          <w:szCs w:val="24"/>
          <w:vertAlign w:val="superscript"/>
        </w:rPr>
        <w:t>-1</w:t>
      </w:r>
      <w:r w:rsidRPr="00B2290F">
        <w:rPr>
          <w:rFonts w:eastAsia="Times New Roman"/>
          <w:sz w:val="24"/>
          <w:szCs w:val="24"/>
        </w:rPr>
        <w:t xml:space="preserve">] (computed oxygen concentration at saturation from the NOAA surface mooring at OSP minus observed oxygen from Line P Station P26 shipboard data), </w:t>
      </w:r>
      <w:r w:rsidRPr="00B2290F">
        <w:rPr>
          <w:rFonts w:eastAsia="Times New Roman"/>
          <w:b/>
          <w:sz w:val="24"/>
          <w:szCs w:val="24"/>
        </w:rPr>
        <w:t>(b)</w:t>
      </w:r>
      <w:r w:rsidRPr="00B2290F">
        <w:rPr>
          <w:rFonts w:eastAsia="Times New Roman"/>
          <w:sz w:val="24"/>
          <w:szCs w:val="24"/>
        </w:rPr>
        <w:t xml:space="preserve"> chlorophyll [mg m</w:t>
      </w:r>
      <w:r w:rsidRPr="00B2290F">
        <w:rPr>
          <w:rFonts w:eastAsia="Times New Roman"/>
          <w:sz w:val="24"/>
          <w:szCs w:val="24"/>
          <w:vertAlign w:val="superscript"/>
        </w:rPr>
        <w:t>-3</w:t>
      </w:r>
      <w:r w:rsidRPr="00B2290F">
        <w:rPr>
          <w:rFonts w:eastAsia="Times New Roman"/>
          <w:sz w:val="24"/>
          <w:szCs w:val="24"/>
        </w:rPr>
        <w:t xml:space="preserve">], </w:t>
      </w:r>
      <w:r w:rsidRPr="00B2290F">
        <w:rPr>
          <w:rFonts w:eastAsia="Times New Roman"/>
          <w:b/>
          <w:sz w:val="24"/>
          <w:szCs w:val="24"/>
        </w:rPr>
        <w:t>(c)</w:t>
      </w:r>
      <w:r w:rsidRPr="00B2290F">
        <w:rPr>
          <w:rFonts w:eastAsia="Times New Roman"/>
          <w:sz w:val="24"/>
          <w:szCs w:val="24"/>
        </w:rPr>
        <w:t xml:space="preserve"> nitrate [</w:t>
      </w:r>
      <w:proofErr w:type="spellStart"/>
      <w:r w:rsidRPr="00B2290F">
        <w:rPr>
          <w:rFonts w:eastAsia="Times New Roman"/>
          <w:sz w:val="24"/>
          <w:szCs w:val="24"/>
        </w:rPr>
        <w:t>μmol</w:t>
      </w:r>
      <w:proofErr w:type="spellEnd"/>
      <w:r w:rsidRPr="00B2290F">
        <w:rPr>
          <w:rFonts w:eastAsia="Times New Roman"/>
          <w:sz w:val="24"/>
          <w:szCs w:val="24"/>
        </w:rPr>
        <w:t xml:space="preserve"> l</w:t>
      </w:r>
      <w:r w:rsidRPr="00B2290F">
        <w:rPr>
          <w:rFonts w:eastAsia="Times New Roman"/>
          <w:sz w:val="24"/>
          <w:szCs w:val="24"/>
          <w:vertAlign w:val="superscript"/>
        </w:rPr>
        <w:t>-1</w:t>
      </w:r>
      <w:r w:rsidRPr="00B2290F">
        <w:rPr>
          <w:rFonts w:eastAsia="Times New Roman"/>
          <w:sz w:val="24"/>
          <w:szCs w:val="24"/>
        </w:rPr>
        <w:t>], and</w:t>
      </w:r>
      <w:r w:rsidRPr="00B2290F">
        <w:rPr>
          <w:rFonts w:eastAsia="Times New Roman"/>
          <w:b/>
          <w:sz w:val="24"/>
          <w:szCs w:val="24"/>
        </w:rPr>
        <w:t xml:space="preserve"> (d)</w:t>
      </w:r>
      <w:r w:rsidRPr="00B2290F">
        <w:rPr>
          <w:rFonts w:eastAsia="Times New Roman"/>
          <w:sz w:val="24"/>
          <w:szCs w:val="24"/>
        </w:rPr>
        <w:t xml:space="preserve"> silicate [</w:t>
      </w:r>
      <w:proofErr w:type="spellStart"/>
      <w:r w:rsidRPr="00B2290F">
        <w:rPr>
          <w:rFonts w:eastAsia="Times New Roman"/>
          <w:sz w:val="24"/>
          <w:szCs w:val="24"/>
        </w:rPr>
        <w:t>μmol</w:t>
      </w:r>
      <w:proofErr w:type="spellEnd"/>
      <w:r w:rsidRPr="00B2290F">
        <w:rPr>
          <w:rFonts w:eastAsia="Times New Roman"/>
          <w:sz w:val="24"/>
          <w:szCs w:val="24"/>
        </w:rPr>
        <w:t xml:space="preserve"> l</w:t>
      </w:r>
      <w:r w:rsidRPr="00B2290F">
        <w:rPr>
          <w:rFonts w:eastAsia="Times New Roman"/>
          <w:sz w:val="24"/>
          <w:szCs w:val="24"/>
          <w:vertAlign w:val="superscript"/>
        </w:rPr>
        <w:t>-1</w:t>
      </w:r>
      <w:r w:rsidRPr="00B2290F">
        <w:rPr>
          <w:rFonts w:eastAsia="Times New Roman"/>
          <w:sz w:val="24"/>
          <w:szCs w:val="24"/>
        </w:rPr>
        <w:t>]. Line P Station P26 shipboard data are represented in red. OOI shipboard data are represented as blue diamonds. For nitrate and silicate, the PACIFICA 1985-2008 climatology is represented as gray dashed lines. The red shading represents observed MHW periods.</w:t>
      </w:r>
    </w:p>
    <w:p w14:paraId="1484E04E" w14:textId="77777777" w:rsidR="00100398" w:rsidRPr="00B2290F" w:rsidRDefault="00100398" w:rsidP="00100398">
      <w:pPr>
        <w:widowControl w:val="0"/>
        <w:rPr>
          <w:rFonts w:eastAsia="Times New Roman"/>
          <w:b/>
          <w:sz w:val="24"/>
          <w:szCs w:val="24"/>
        </w:rPr>
      </w:pPr>
    </w:p>
    <w:p w14:paraId="489DBF17" w14:textId="010B2A1F" w:rsidR="00100398" w:rsidRDefault="00100398" w:rsidP="00100398">
      <w:pPr>
        <w:widowControl w:val="0"/>
        <w:rPr>
          <w:rFonts w:eastAsia="Times New Roman"/>
          <w:b/>
          <w:bCs/>
          <w:iCs/>
          <w:sz w:val="24"/>
          <w:szCs w:val="24"/>
        </w:rPr>
      </w:pPr>
      <w:r w:rsidRPr="00B2290F">
        <w:rPr>
          <w:rFonts w:eastAsia="Times New Roman"/>
          <w:b/>
          <w:bCs/>
          <w:iCs/>
          <w:sz w:val="24"/>
          <w:szCs w:val="24"/>
        </w:rPr>
        <w:t>3.3</w:t>
      </w:r>
      <w:r w:rsidR="0095222E" w:rsidRPr="00B2290F">
        <w:rPr>
          <w:rFonts w:eastAsia="Times New Roman"/>
          <w:b/>
          <w:bCs/>
          <w:iCs/>
          <w:sz w:val="24"/>
          <w:szCs w:val="24"/>
        </w:rPr>
        <w:t>.</w:t>
      </w:r>
      <w:r w:rsidRPr="00B2290F">
        <w:rPr>
          <w:rFonts w:eastAsia="Times New Roman"/>
          <w:b/>
          <w:bCs/>
          <w:iCs/>
          <w:sz w:val="24"/>
          <w:szCs w:val="24"/>
        </w:rPr>
        <w:t xml:space="preserve"> Higher Trophic Impacts</w:t>
      </w:r>
    </w:p>
    <w:p w14:paraId="245B8D1A" w14:textId="77777777" w:rsidR="000A0196" w:rsidRPr="00B2290F" w:rsidRDefault="000A0196" w:rsidP="00100398">
      <w:pPr>
        <w:widowControl w:val="0"/>
        <w:rPr>
          <w:rFonts w:eastAsia="Times New Roman"/>
          <w:b/>
          <w:bCs/>
          <w:iCs/>
          <w:sz w:val="24"/>
          <w:szCs w:val="24"/>
        </w:rPr>
      </w:pPr>
    </w:p>
    <w:p w14:paraId="66B8BC61" w14:textId="20231A2B"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We briefly explored other biological data to understand potential relationships </w:t>
      </w:r>
      <w:r w:rsidR="00E2597C" w:rsidRPr="00B2290F">
        <w:rPr>
          <w:rFonts w:eastAsia="Times New Roman"/>
          <w:sz w:val="24"/>
          <w:szCs w:val="24"/>
        </w:rPr>
        <w:t xml:space="preserve">with </w:t>
      </w:r>
      <w:r w:rsidR="00E2597C" w:rsidRPr="00B2290F">
        <w:rPr>
          <w:rFonts w:eastAsia="Times New Roman"/>
          <w:sz w:val="24"/>
          <w:szCs w:val="24"/>
        </w:rPr>
        <w:lastRenderedPageBreak/>
        <w:t>higher</w:t>
      </w:r>
      <w:r w:rsidRPr="00B2290F">
        <w:rPr>
          <w:rFonts w:eastAsia="Times New Roman"/>
          <w:sz w:val="24"/>
          <w:szCs w:val="24"/>
        </w:rPr>
        <w:t xml:space="preserve"> trophic levels during the summer of 2019 at OSP. We investigated biomass of </w:t>
      </w:r>
      <w:proofErr w:type="spellStart"/>
      <w:r w:rsidRPr="00B2290F">
        <w:rPr>
          <w:rFonts w:eastAsia="Times New Roman"/>
          <w:i/>
          <w:sz w:val="24"/>
          <w:szCs w:val="24"/>
        </w:rPr>
        <w:t>Euphausia</w:t>
      </w:r>
      <w:proofErr w:type="spellEnd"/>
      <w:r w:rsidRPr="00B2290F">
        <w:rPr>
          <w:rFonts w:eastAsia="Times New Roman"/>
          <w:i/>
          <w:sz w:val="24"/>
          <w:szCs w:val="24"/>
        </w:rPr>
        <w:t xml:space="preserve"> </w:t>
      </w:r>
      <w:proofErr w:type="spellStart"/>
      <w:r w:rsidRPr="00B2290F">
        <w:rPr>
          <w:rFonts w:eastAsia="Times New Roman"/>
          <w:i/>
          <w:sz w:val="24"/>
          <w:szCs w:val="24"/>
        </w:rPr>
        <w:t>pacifica</w:t>
      </w:r>
      <w:proofErr w:type="spellEnd"/>
      <w:r w:rsidRPr="00B2290F">
        <w:rPr>
          <w:rFonts w:eastAsia="Times New Roman"/>
          <w:i/>
          <w:sz w:val="24"/>
          <w:szCs w:val="24"/>
        </w:rPr>
        <w:t xml:space="preserve"> </w:t>
      </w:r>
      <w:r w:rsidRPr="00B2290F">
        <w:rPr>
          <w:rFonts w:eastAsia="Times New Roman"/>
          <w:sz w:val="24"/>
          <w:szCs w:val="24"/>
        </w:rPr>
        <w:t xml:space="preserve">from Line P’s station P26 zooplankton tows (Figure 10). </w:t>
      </w:r>
      <w:r w:rsidRPr="00B2290F">
        <w:rPr>
          <w:rFonts w:eastAsia="Times New Roman"/>
          <w:i/>
          <w:sz w:val="24"/>
          <w:szCs w:val="24"/>
        </w:rPr>
        <w:t xml:space="preserve">E. </w:t>
      </w:r>
      <w:proofErr w:type="spellStart"/>
      <w:r w:rsidRPr="00B2290F">
        <w:rPr>
          <w:rFonts w:eastAsia="Times New Roman"/>
          <w:i/>
          <w:sz w:val="24"/>
          <w:szCs w:val="24"/>
        </w:rPr>
        <w:t>pacifica</w:t>
      </w:r>
      <w:proofErr w:type="spellEnd"/>
      <w:r w:rsidRPr="00B2290F">
        <w:rPr>
          <w:rFonts w:eastAsia="Times New Roman"/>
          <w:i/>
          <w:sz w:val="24"/>
          <w:szCs w:val="24"/>
        </w:rPr>
        <w:t xml:space="preserve">, </w:t>
      </w:r>
      <w:r w:rsidRPr="00B2290F">
        <w:rPr>
          <w:rFonts w:eastAsia="Times New Roman"/>
          <w:sz w:val="24"/>
          <w:szCs w:val="24"/>
        </w:rPr>
        <w:t>or ‘krill’, are the most abundant zooplankton species to the region (</w:t>
      </w:r>
      <w:proofErr w:type="spellStart"/>
      <w:r w:rsidRPr="00B2290F">
        <w:rPr>
          <w:rFonts w:eastAsia="Times New Roman"/>
          <w:sz w:val="24"/>
          <w:szCs w:val="24"/>
        </w:rPr>
        <w:t>Mackas</w:t>
      </w:r>
      <w:proofErr w:type="spellEnd"/>
      <w:r w:rsidRPr="00B2290F">
        <w:rPr>
          <w:rFonts w:eastAsia="Times New Roman"/>
          <w:sz w:val="24"/>
          <w:szCs w:val="24"/>
        </w:rPr>
        <w:t xml:space="preserve">, 1992) and are prey for higher trophic levels, such as baleen whales. Due to the sparsity of cruise samples taken at P26, there is insufficient data to understand if the primary productivity and enhanced stratification that occurred in the summer of 2019 had an impact on </w:t>
      </w:r>
      <w:r w:rsidRPr="00B2290F">
        <w:rPr>
          <w:rFonts w:eastAsia="Times New Roman"/>
          <w:i/>
          <w:sz w:val="24"/>
          <w:szCs w:val="24"/>
        </w:rPr>
        <w:t xml:space="preserve">E. </w:t>
      </w:r>
      <w:proofErr w:type="spellStart"/>
      <w:r w:rsidRPr="00B2290F">
        <w:rPr>
          <w:rFonts w:eastAsia="Times New Roman"/>
          <w:i/>
          <w:sz w:val="24"/>
          <w:szCs w:val="24"/>
        </w:rPr>
        <w:t>pacifica</w:t>
      </w:r>
      <w:proofErr w:type="spellEnd"/>
      <w:r w:rsidRPr="00B2290F">
        <w:rPr>
          <w:rFonts w:eastAsia="Times New Roman"/>
          <w:i/>
          <w:sz w:val="24"/>
          <w:szCs w:val="24"/>
        </w:rPr>
        <w:t xml:space="preserve"> </w:t>
      </w:r>
      <w:r w:rsidRPr="00B2290F">
        <w:rPr>
          <w:rFonts w:eastAsia="Times New Roman"/>
          <w:sz w:val="24"/>
          <w:szCs w:val="24"/>
        </w:rPr>
        <w:t>biomass</w:t>
      </w:r>
      <w:r w:rsidRPr="00B2290F">
        <w:rPr>
          <w:rFonts w:eastAsia="Times New Roman"/>
          <w:i/>
          <w:sz w:val="24"/>
          <w:szCs w:val="24"/>
        </w:rPr>
        <w:t xml:space="preserve">. </w:t>
      </w:r>
      <w:r w:rsidRPr="00B2290F">
        <w:rPr>
          <w:rFonts w:eastAsia="Times New Roman"/>
          <w:sz w:val="24"/>
          <w:szCs w:val="24"/>
        </w:rPr>
        <w:t xml:space="preserve">However, it is possible that the data collected by Line P cruises does not fully capture the mobility of </w:t>
      </w:r>
      <w:r w:rsidRPr="00B2290F">
        <w:rPr>
          <w:rFonts w:eastAsia="Times New Roman"/>
          <w:i/>
          <w:sz w:val="24"/>
          <w:szCs w:val="24"/>
        </w:rPr>
        <w:t xml:space="preserve">E. </w:t>
      </w:r>
      <w:proofErr w:type="spellStart"/>
      <w:r w:rsidRPr="00B2290F">
        <w:rPr>
          <w:rFonts w:eastAsia="Times New Roman"/>
          <w:i/>
          <w:sz w:val="24"/>
          <w:szCs w:val="24"/>
        </w:rPr>
        <w:t>pacifica</w:t>
      </w:r>
      <w:proofErr w:type="spellEnd"/>
      <w:r w:rsidRPr="00B2290F">
        <w:rPr>
          <w:rFonts w:eastAsia="Times New Roman"/>
          <w:sz w:val="24"/>
          <w:szCs w:val="24"/>
        </w:rPr>
        <w:t xml:space="preserve">, as the anomalous conditions observed in 2019 were likely more widespread rather than localized solely to OSP. Therefore, we assessed </w:t>
      </w:r>
      <w:r w:rsidRPr="00B2290F">
        <w:rPr>
          <w:rFonts w:eastAsia="Times New Roman"/>
          <w:i/>
          <w:sz w:val="24"/>
          <w:szCs w:val="24"/>
        </w:rPr>
        <w:t xml:space="preserve">E. </w:t>
      </w:r>
      <w:proofErr w:type="spellStart"/>
      <w:r w:rsidRPr="00B2290F">
        <w:rPr>
          <w:rFonts w:eastAsia="Times New Roman"/>
          <w:i/>
          <w:sz w:val="24"/>
          <w:szCs w:val="24"/>
        </w:rPr>
        <w:t>pacifica</w:t>
      </w:r>
      <w:proofErr w:type="spellEnd"/>
      <w:r w:rsidRPr="00B2290F">
        <w:rPr>
          <w:rFonts w:eastAsia="Times New Roman"/>
          <w:sz w:val="24"/>
          <w:szCs w:val="24"/>
        </w:rPr>
        <w:t xml:space="preserve"> biomass on a wider swath </w:t>
      </w:r>
      <w:r w:rsidR="003E5744">
        <w:rPr>
          <w:rFonts w:eastAsia="Times New Roman"/>
          <w:sz w:val="24"/>
          <w:szCs w:val="24"/>
        </w:rPr>
        <w:t xml:space="preserve">(Figure S3) </w:t>
      </w:r>
      <w:r w:rsidRPr="00B2290F">
        <w:rPr>
          <w:rFonts w:eastAsia="Times New Roman"/>
          <w:sz w:val="24"/>
          <w:szCs w:val="24"/>
        </w:rPr>
        <w:t>which did show some similarities to the chlorophyll concentration.</w:t>
      </w:r>
    </w:p>
    <w:p w14:paraId="581FCC13" w14:textId="77777777" w:rsidR="00100398" w:rsidRPr="00B2290F" w:rsidRDefault="00100398" w:rsidP="00100398">
      <w:pPr>
        <w:widowControl w:val="0"/>
        <w:ind w:firstLine="720"/>
        <w:rPr>
          <w:rFonts w:eastAsia="Times New Roman"/>
          <w:sz w:val="24"/>
          <w:szCs w:val="24"/>
        </w:rPr>
      </w:pPr>
    </w:p>
    <w:p w14:paraId="56E4D1E3" w14:textId="77777777" w:rsidR="00100398" w:rsidRPr="00B2290F" w:rsidRDefault="00100398" w:rsidP="00100398">
      <w:pPr>
        <w:widowControl w:val="0"/>
        <w:jc w:val="center"/>
        <w:rPr>
          <w:rFonts w:eastAsia="Times New Roman"/>
          <w:sz w:val="24"/>
          <w:szCs w:val="24"/>
        </w:rPr>
      </w:pPr>
      <w:r w:rsidRPr="00B2290F">
        <w:rPr>
          <w:rFonts w:eastAsia="Times New Roman"/>
          <w:noProof/>
          <w:sz w:val="24"/>
          <w:szCs w:val="24"/>
        </w:rPr>
        <w:drawing>
          <wp:inline distT="114300" distB="114300" distL="114300" distR="114300" wp14:anchorId="3BC04C7E" wp14:editId="5B434ACC">
            <wp:extent cx="5943600" cy="1026691"/>
            <wp:effectExtent l="0" t="0" r="0" b="0"/>
            <wp:docPr id="31" name="image5.png" descr="A picture containing text, diagram, line,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31" name="image5.png" descr="A picture containing text, diagram, line, screenshot&#10;&#10;Description automatically generated"/>
                    <pic:cNvPicPr preferRelativeResize="0"/>
                  </pic:nvPicPr>
                  <pic:blipFill>
                    <a:blip r:embed="rId20"/>
                    <a:srcRect t="2839" b="63935"/>
                    <a:stretch>
                      <a:fillRect/>
                    </a:stretch>
                  </pic:blipFill>
                  <pic:spPr>
                    <a:xfrm>
                      <a:off x="0" y="0"/>
                      <a:ext cx="5943600" cy="1026691"/>
                    </a:xfrm>
                    <a:prstGeom prst="rect">
                      <a:avLst/>
                    </a:prstGeom>
                    <a:ln/>
                  </pic:spPr>
                </pic:pic>
              </a:graphicData>
            </a:graphic>
          </wp:inline>
        </w:drawing>
      </w:r>
    </w:p>
    <w:p w14:paraId="2354DB44" w14:textId="77777777" w:rsidR="00100398" w:rsidRPr="00B2290F" w:rsidRDefault="00100398" w:rsidP="00100398">
      <w:pPr>
        <w:widowControl w:val="0"/>
        <w:rPr>
          <w:rFonts w:eastAsia="Times New Roman"/>
          <w:sz w:val="24"/>
          <w:szCs w:val="24"/>
        </w:rPr>
      </w:pPr>
      <w:r w:rsidRPr="00B2290F">
        <w:rPr>
          <w:rFonts w:eastAsia="Times New Roman"/>
          <w:b/>
          <w:sz w:val="24"/>
          <w:szCs w:val="24"/>
        </w:rPr>
        <w:t xml:space="preserve">Figure 10. </w:t>
      </w:r>
      <w:r w:rsidRPr="00B2290F">
        <w:rPr>
          <w:rFonts w:eastAsia="Times New Roman"/>
          <w:sz w:val="24"/>
          <w:szCs w:val="24"/>
        </w:rPr>
        <w:t xml:space="preserve">Shipboard </w:t>
      </w:r>
      <w:r w:rsidRPr="00B2290F">
        <w:rPr>
          <w:rFonts w:eastAsia="Times New Roman"/>
          <w:i/>
          <w:sz w:val="24"/>
          <w:szCs w:val="24"/>
        </w:rPr>
        <w:t xml:space="preserve">E. </w:t>
      </w:r>
      <w:proofErr w:type="spellStart"/>
      <w:r w:rsidRPr="00B2290F">
        <w:rPr>
          <w:rFonts w:eastAsia="Times New Roman"/>
          <w:i/>
          <w:sz w:val="24"/>
          <w:szCs w:val="24"/>
        </w:rPr>
        <w:t>pacifica</w:t>
      </w:r>
      <w:proofErr w:type="spellEnd"/>
      <w:r w:rsidRPr="00B2290F">
        <w:rPr>
          <w:rFonts w:eastAsia="Times New Roman"/>
          <w:sz w:val="24"/>
          <w:szCs w:val="24"/>
        </w:rPr>
        <w:t xml:space="preserve"> biomass [mg m</w:t>
      </w:r>
      <w:r w:rsidRPr="00B2290F">
        <w:rPr>
          <w:rFonts w:eastAsia="Times New Roman"/>
          <w:sz w:val="24"/>
          <w:szCs w:val="24"/>
          <w:vertAlign w:val="superscript"/>
        </w:rPr>
        <w:t>-3</w:t>
      </w:r>
      <w:r w:rsidRPr="00B2290F">
        <w:rPr>
          <w:rFonts w:eastAsia="Times New Roman"/>
          <w:sz w:val="24"/>
          <w:szCs w:val="24"/>
        </w:rPr>
        <w:t>] from Line P Station P26 250 m to surface bongo net. The red shading represents observed MHW periods.</w:t>
      </w:r>
    </w:p>
    <w:p w14:paraId="096C8577" w14:textId="77777777" w:rsidR="00100398" w:rsidRPr="00B2290F" w:rsidRDefault="00100398" w:rsidP="00100398">
      <w:pPr>
        <w:widowControl w:val="0"/>
        <w:rPr>
          <w:rFonts w:eastAsia="Times New Roman"/>
          <w:sz w:val="24"/>
          <w:szCs w:val="24"/>
        </w:rPr>
      </w:pPr>
    </w:p>
    <w:p w14:paraId="2348DDD4" w14:textId="7CAC3E4E" w:rsidR="00100398" w:rsidRPr="00B2290F" w:rsidRDefault="00100398" w:rsidP="00100398">
      <w:pPr>
        <w:widowControl w:val="0"/>
        <w:ind w:firstLine="720"/>
        <w:rPr>
          <w:rFonts w:eastAsia="Times New Roman"/>
          <w:sz w:val="24"/>
          <w:szCs w:val="24"/>
        </w:rPr>
      </w:pPr>
      <w:r w:rsidRPr="00B2290F">
        <w:rPr>
          <w:rFonts w:eastAsia="Times New Roman"/>
          <w:sz w:val="24"/>
          <w:szCs w:val="24"/>
        </w:rPr>
        <w:t>OSP’s newly added Noise Reference Station’s passive acoustic hydrophone allowed us to capture a glimpse of whale activity surrounding the time of the 2019 MHW (Figure 11). Blue whales (</w:t>
      </w:r>
      <w:r w:rsidRPr="00B2290F">
        <w:rPr>
          <w:rFonts w:eastAsia="Times New Roman"/>
          <w:i/>
          <w:sz w:val="24"/>
          <w:szCs w:val="24"/>
        </w:rPr>
        <w:t>Balaenoptera musculus</w:t>
      </w:r>
      <w:r w:rsidRPr="00B2290F">
        <w:rPr>
          <w:rFonts w:eastAsia="Times New Roman"/>
          <w:sz w:val="24"/>
          <w:szCs w:val="24"/>
        </w:rPr>
        <w:t>) have been known to feed as far offshore as OSP (</w:t>
      </w:r>
      <w:proofErr w:type="spellStart"/>
      <w:r w:rsidRPr="00B2290F">
        <w:rPr>
          <w:rFonts w:eastAsia="Times New Roman"/>
          <w:sz w:val="24"/>
          <w:szCs w:val="24"/>
        </w:rPr>
        <w:t>Calambokidis</w:t>
      </w:r>
      <w:proofErr w:type="spellEnd"/>
      <w:r w:rsidRPr="00B2290F">
        <w:rPr>
          <w:rFonts w:eastAsia="Times New Roman"/>
          <w:sz w:val="24"/>
          <w:szCs w:val="24"/>
        </w:rPr>
        <w:t xml:space="preserve"> et al., 2009) and have been observed at OSP most often within Aug-Dec (Stafford et al., 1999). While the data set is limited in length, in September 2019, there were 38% more blue whale calls recorded compared to September 2018, suggesting that more blue whales appeared earlier in the foraging season (Aug to Dec) (Stafford et al., 2007; Stafford et al., 1999). Across the entire foraging season, more blue whales were present in Aug-Dec 2019 compared to Aug-Dec 2018 (49,879 vs. 45,754 calls) (Figure 11). </w:t>
      </w:r>
    </w:p>
    <w:p w14:paraId="3D72DF50" w14:textId="77777777" w:rsidR="00100398" w:rsidRPr="00B2290F" w:rsidRDefault="00100398" w:rsidP="00100398">
      <w:pPr>
        <w:widowControl w:val="0"/>
        <w:rPr>
          <w:rFonts w:eastAsia="Times New Roman"/>
          <w:sz w:val="24"/>
          <w:szCs w:val="24"/>
        </w:rPr>
      </w:pPr>
      <w:r w:rsidRPr="00B2290F">
        <w:rPr>
          <w:rFonts w:eastAsia="Times New Roman"/>
          <w:sz w:val="24"/>
          <w:szCs w:val="24"/>
        </w:rPr>
        <w:t xml:space="preserve"> </w:t>
      </w:r>
    </w:p>
    <w:p w14:paraId="7AEDDCF8" w14:textId="77777777" w:rsidR="00100398" w:rsidRPr="00B2290F" w:rsidRDefault="00100398" w:rsidP="00100398">
      <w:pPr>
        <w:widowControl w:val="0"/>
        <w:jc w:val="center"/>
        <w:rPr>
          <w:rFonts w:eastAsia="Times New Roman"/>
          <w:sz w:val="24"/>
          <w:szCs w:val="24"/>
        </w:rPr>
      </w:pPr>
      <w:r w:rsidRPr="00B2290F">
        <w:rPr>
          <w:rFonts w:eastAsia="Times New Roman"/>
          <w:noProof/>
          <w:sz w:val="24"/>
          <w:szCs w:val="24"/>
        </w:rPr>
        <w:drawing>
          <wp:inline distT="114300" distB="114300" distL="114300" distR="114300" wp14:anchorId="3F9969D2" wp14:editId="7B7D84D6">
            <wp:extent cx="5943600" cy="2238375"/>
            <wp:effectExtent l="0" t="0" r="0" b="0"/>
            <wp:docPr id="33" name="image4.png" descr="A picture containing text, sketch, screenshot, rectangle&#10;&#10;Description automatically generated"/>
            <wp:cNvGraphicFramePr/>
            <a:graphic xmlns:a="http://schemas.openxmlformats.org/drawingml/2006/main">
              <a:graphicData uri="http://schemas.openxmlformats.org/drawingml/2006/picture">
                <pic:pic xmlns:pic="http://schemas.openxmlformats.org/drawingml/2006/picture">
                  <pic:nvPicPr>
                    <pic:cNvPr id="33" name="image4.png" descr="A picture containing text, sketch, screenshot, rectangle&#10;&#10;Description automatically generated"/>
                    <pic:cNvPicPr preferRelativeResize="0"/>
                  </pic:nvPicPr>
                  <pic:blipFill>
                    <a:blip r:embed="rId21"/>
                    <a:srcRect b="34722"/>
                    <a:stretch>
                      <a:fillRect/>
                    </a:stretch>
                  </pic:blipFill>
                  <pic:spPr>
                    <a:xfrm>
                      <a:off x="0" y="0"/>
                      <a:ext cx="5943600" cy="2238375"/>
                    </a:xfrm>
                    <a:prstGeom prst="rect">
                      <a:avLst/>
                    </a:prstGeom>
                    <a:ln/>
                  </pic:spPr>
                </pic:pic>
              </a:graphicData>
            </a:graphic>
          </wp:inline>
        </w:drawing>
      </w:r>
    </w:p>
    <w:p w14:paraId="02FE44CF" w14:textId="0821659F" w:rsidR="00100398" w:rsidRPr="00B2290F" w:rsidRDefault="00100398" w:rsidP="00100398">
      <w:pPr>
        <w:widowControl w:val="0"/>
        <w:rPr>
          <w:rFonts w:eastAsia="Times New Roman"/>
          <w:sz w:val="24"/>
          <w:szCs w:val="24"/>
        </w:rPr>
      </w:pPr>
      <w:r w:rsidRPr="00B2290F">
        <w:rPr>
          <w:rFonts w:eastAsia="Times New Roman"/>
          <w:b/>
          <w:sz w:val="24"/>
          <w:szCs w:val="24"/>
        </w:rPr>
        <w:t xml:space="preserve">Figure 11. </w:t>
      </w:r>
      <w:r w:rsidRPr="00B2290F">
        <w:rPr>
          <w:rFonts w:eastAsia="Times New Roman"/>
          <w:sz w:val="24"/>
          <w:szCs w:val="24"/>
        </w:rPr>
        <w:t>Blue whale B-type calls for July 2018-July 2020 observed from the Noise Reference Station at OSP. Data are shown as a 15-day running average. The red transparent region represents the 2019 MHW period. Gray shaded regions represent prospective foraging seasons (Aug-Dec) of blue whales.</w:t>
      </w:r>
    </w:p>
    <w:p w14:paraId="69D87446" w14:textId="1C60ADA8" w:rsidR="002F3B11" w:rsidRPr="00B2290F" w:rsidRDefault="00925319" w:rsidP="00C81368">
      <w:pPr>
        <w:pStyle w:val="Heading-Main"/>
      </w:pPr>
      <w:r w:rsidRPr="00B2290F">
        <w:lastRenderedPageBreak/>
        <w:t>4</w:t>
      </w:r>
      <w:r w:rsidR="002F3B11" w:rsidRPr="00B2290F">
        <w:t xml:space="preserve"> </w:t>
      </w:r>
      <w:r w:rsidR="00100398" w:rsidRPr="00B2290F">
        <w:t>Summary</w:t>
      </w:r>
    </w:p>
    <w:p w14:paraId="0275E9F3"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Ocean Station Papa (OSP) provides a unique laboratory for investigating the cascade of offshore impacts of northeast (NE) Pacific MHWs. Although OSP is a point location, many of our observations and conclusions support previous areal-averaged studies of the 2013-2015 and 2019 MHWs (Figure 2) (Amaya et al., 2020; Bond et al., 2015; Mogen et al., 2022; Scannell et al., 2020) while providing insight into the widespread impacts of MHWs. OSP provides a unique opportunity to explore the linkages between the physical manifestation of MHWs in the Northeast Pacific and impacts on biogeochemistry and the ecosystem.</w:t>
      </w:r>
    </w:p>
    <w:p w14:paraId="009CD258" w14:textId="77777777" w:rsidR="00100398" w:rsidRPr="00B2290F" w:rsidRDefault="00100398" w:rsidP="00100398">
      <w:pPr>
        <w:widowControl w:val="0"/>
        <w:rPr>
          <w:rFonts w:eastAsia="Times New Roman"/>
          <w:sz w:val="24"/>
          <w:szCs w:val="24"/>
        </w:rPr>
      </w:pPr>
    </w:p>
    <w:p w14:paraId="1B3E1CE4" w14:textId="6021ABE7" w:rsidR="00100398" w:rsidRDefault="00100398" w:rsidP="00100398">
      <w:pPr>
        <w:widowControl w:val="0"/>
        <w:rPr>
          <w:rFonts w:eastAsia="Times New Roman"/>
          <w:b/>
          <w:bCs/>
          <w:iCs/>
          <w:sz w:val="24"/>
          <w:szCs w:val="24"/>
        </w:rPr>
      </w:pPr>
      <w:r w:rsidRPr="00B2290F">
        <w:rPr>
          <w:rFonts w:eastAsia="Times New Roman"/>
          <w:b/>
          <w:bCs/>
          <w:iCs/>
          <w:sz w:val="24"/>
          <w:szCs w:val="24"/>
        </w:rPr>
        <w:t>4.1</w:t>
      </w:r>
      <w:r w:rsidR="0095222E" w:rsidRPr="00B2290F">
        <w:rPr>
          <w:rFonts w:eastAsia="Times New Roman"/>
          <w:b/>
          <w:bCs/>
          <w:iCs/>
          <w:sz w:val="24"/>
          <w:szCs w:val="24"/>
        </w:rPr>
        <w:t>.</w:t>
      </w:r>
      <w:r w:rsidRPr="00B2290F">
        <w:rPr>
          <w:rFonts w:eastAsia="Times New Roman"/>
          <w:b/>
          <w:bCs/>
          <w:iCs/>
          <w:sz w:val="24"/>
          <w:szCs w:val="24"/>
        </w:rPr>
        <w:t xml:space="preserve"> Connecting the two most recent MHWs in the northeastern Pacific</w:t>
      </w:r>
    </w:p>
    <w:p w14:paraId="06CCAE83" w14:textId="77777777" w:rsidR="000A0196" w:rsidRPr="00B2290F" w:rsidRDefault="000A0196" w:rsidP="00100398">
      <w:pPr>
        <w:widowControl w:val="0"/>
        <w:rPr>
          <w:rFonts w:eastAsia="Times New Roman"/>
          <w:b/>
          <w:bCs/>
          <w:iCs/>
          <w:sz w:val="24"/>
          <w:szCs w:val="24"/>
        </w:rPr>
      </w:pPr>
    </w:p>
    <w:p w14:paraId="38E713AA" w14:textId="268391D1"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Subsurface observations (Figure 3 and 4) at OSP provide critical insights into the potential connection between the two recent MHW events along with interactions with the local ecosystems. The water column was stably stratified due to warm and fresh subsurface conditions prior to and during </w:t>
      </w:r>
      <w:r w:rsidR="00E2597C">
        <w:rPr>
          <w:rFonts w:eastAsia="Times New Roman"/>
          <w:sz w:val="24"/>
          <w:szCs w:val="24"/>
        </w:rPr>
        <w:t xml:space="preserve">the </w:t>
      </w:r>
      <w:r w:rsidRPr="00B2290F">
        <w:rPr>
          <w:rFonts w:eastAsia="Times New Roman"/>
          <w:sz w:val="24"/>
          <w:szCs w:val="24"/>
        </w:rPr>
        <w:t>2019 MHW. The temperatures at OSP during the peak SST anomalies in summer of 2019 were anomalous throughout the water column, unlike the 2013-2015 MHW where the subsurface temperature anomalies did not reach beyond 150 m (Figure 3a). Subsurface temperature anomalies associated with the 2013-2015 MHW appeared to have been subducted into deeper waters that could have connected the 2013-2015 and 2019 MHWs as previously noted by Scannell et al. (2020). We also found a strong salinity-stratified barrier layer (Figure 3a) that persisted between the two MHWs and helped to sustain the deep warm anomalies in-between the events.</w:t>
      </w:r>
    </w:p>
    <w:p w14:paraId="13EA3A56" w14:textId="77777777" w:rsidR="00100398" w:rsidRPr="00B2290F" w:rsidRDefault="00100398" w:rsidP="00100398">
      <w:pPr>
        <w:widowControl w:val="0"/>
        <w:rPr>
          <w:rFonts w:eastAsia="Times New Roman"/>
          <w:sz w:val="24"/>
          <w:szCs w:val="24"/>
        </w:rPr>
      </w:pPr>
    </w:p>
    <w:p w14:paraId="1BCCC1AC" w14:textId="135197D3" w:rsidR="00100398" w:rsidRDefault="00100398" w:rsidP="00100398">
      <w:pPr>
        <w:widowControl w:val="0"/>
        <w:rPr>
          <w:rFonts w:eastAsia="Times New Roman"/>
          <w:b/>
          <w:bCs/>
          <w:iCs/>
          <w:sz w:val="24"/>
          <w:szCs w:val="24"/>
        </w:rPr>
      </w:pPr>
      <w:r w:rsidRPr="00B2290F">
        <w:rPr>
          <w:rFonts w:eastAsia="Times New Roman"/>
          <w:b/>
          <w:bCs/>
          <w:iCs/>
          <w:sz w:val="24"/>
          <w:szCs w:val="24"/>
        </w:rPr>
        <w:t>4.2</w:t>
      </w:r>
      <w:r w:rsidR="0095222E" w:rsidRPr="00B2290F">
        <w:rPr>
          <w:rFonts w:eastAsia="Times New Roman"/>
          <w:b/>
          <w:bCs/>
          <w:iCs/>
          <w:sz w:val="24"/>
          <w:szCs w:val="24"/>
        </w:rPr>
        <w:t>.</w:t>
      </w:r>
      <w:r w:rsidRPr="00B2290F">
        <w:rPr>
          <w:rFonts w:eastAsia="Times New Roman"/>
          <w:b/>
          <w:bCs/>
          <w:iCs/>
          <w:sz w:val="24"/>
          <w:szCs w:val="24"/>
        </w:rPr>
        <w:t xml:space="preserve"> Impacts of stratification on biogeochemistry</w:t>
      </w:r>
    </w:p>
    <w:p w14:paraId="3C3A47A7" w14:textId="77777777" w:rsidR="000A0196" w:rsidRPr="00B2290F" w:rsidRDefault="000A0196" w:rsidP="00100398">
      <w:pPr>
        <w:widowControl w:val="0"/>
        <w:rPr>
          <w:rFonts w:eastAsia="Times New Roman"/>
          <w:b/>
          <w:bCs/>
          <w:iCs/>
          <w:sz w:val="24"/>
          <w:szCs w:val="24"/>
        </w:rPr>
      </w:pPr>
    </w:p>
    <w:p w14:paraId="192EA174" w14:textId="32557056"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There was a large decrease in surface DIC and </w:t>
      </w:r>
      <w:r w:rsidRPr="00B2290F">
        <w:rPr>
          <w:rFonts w:eastAsia="Times New Roman"/>
          <w:i/>
          <w:sz w:val="24"/>
          <w:szCs w:val="24"/>
        </w:rPr>
        <w:t>p</w:t>
      </w:r>
      <w:r w:rsidRPr="00B2290F">
        <w:rPr>
          <w:rFonts w:eastAsia="Times New Roman"/>
          <w:sz w:val="24"/>
          <w:szCs w:val="24"/>
        </w:rPr>
        <w:t>CO</w:t>
      </w:r>
      <w:r w:rsidRPr="00B2290F">
        <w:rPr>
          <w:rFonts w:eastAsia="Times New Roman"/>
          <w:sz w:val="24"/>
          <w:szCs w:val="24"/>
          <w:vertAlign w:val="subscript"/>
        </w:rPr>
        <w:t>2</w:t>
      </w:r>
      <w:r w:rsidRPr="00B2290F">
        <w:rPr>
          <w:rFonts w:eastAsia="Times New Roman"/>
          <w:sz w:val="24"/>
          <w:szCs w:val="24"/>
        </w:rPr>
        <w:t xml:space="preserve"> along with </w:t>
      </w:r>
      <w:proofErr w:type="gramStart"/>
      <w:r w:rsidR="000A0196" w:rsidRPr="00B2290F">
        <w:rPr>
          <w:rFonts w:eastAsia="Times New Roman"/>
          <w:sz w:val="24"/>
          <w:szCs w:val="24"/>
        </w:rPr>
        <w:t>higher</w:t>
      </w:r>
      <w:r w:rsidR="003E5744">
        <w:rPr>
          <w:rFonts w:eastAsia="Times New Roman"/>
          <w:sz w:val="24"/>
          <w:szCs w:val="24"/>
        </w:rPr>
        <w:t xml:space="preserve"> </w:t>
      </w:r>
      <w:r w:rsidR="000A0196" w:rsidRPr="00B2290F">
        <w:rPr>
          <w:rFonts w:eastAsia="Times New Roman"/>
          <w:sz w:val="24"/>
          <w:szCs w:val="24"/>
        </w:rPr>
        <w:t>than</w:t>
      </w:r>
      <w:r w:rsidR="003E5744">
        <w:rPr>
          <w:rFonts w:eastAsia="Times New Roman"/>
          <w:sz w:val="24"/>
          <w:szCs w:val="24"/>
        </w:rPr>
        <w:t xml:space="preserve"> </w:t>
      </w:r>
      <w:r w:rsidR="000A0196" w:rsidRPr="00B2290F">
        <w:rPr>
          <w:rFonts w:eastAsia="Times New Roman"/>
          <w:sz w:val="24"/>
          <w:szCs w:val="24"/>
        </w:rPr>
        <w:t>normal</w:t>
      </w:r>
      <w:proofErr w:type="gramEnd"/>
      <w:r w:rsidRPr="00B2290F">
        <w:rPr>
          <w:rFonts w:eastAsia="Times New Roman"/>
          <w:sz w:val="24"/>
          <w:szCs w:val="24"/>
        </w:rPr>
        <w:t xml:space="preserve"> surface pH during the 2019 MHW (Figure 8). The decrease in DIC could have been a result of increased stratification and coincident changes in circulation that were observed in 2019 at OSP, </w:t>
      </w:r>
      <w:proofErr w:type="gramStart"/>
      <w:r w:rsidRPr="00B2290F">
        <w:rPr>
          <w:rFonts w:eastAsia="Times New Roman"/>
          <w:sz w:val="24"/>
          <w:szCs w:val="24"/>
        </w:rPr>
        <w:t>similar to</w:t>
      </w:r>
      <w:proofErr w:type="gramEnd"/>
      <w:r w:rsidRPr="00B2290F">
        <w:rPr>
          <w:rFonts w:eastAsia="Times New Roman"/>
          <w:sz w:val="24"/>
          <w:szCs w:val="24"/>
        </w:rPr>
        <w:t xml:space="preserve"> the conditions observed during the 2013-2015 MHW as suggested by Mogen et al. (2022) and Franco et al. (2021); however, the increase in productivity observed in 2019 may have also contributed to this decrease in DIC. </w:t>
      </w:r>
    </w:p>
    <w:p w14:paraId="2CF49AEF" w14:textId="77777777" w:rsidR="00100398" w:rsidRPr="00B2290F" w:rsidRDefault="00100398" w:rsidP="00100398">
      <w:pPr>
        <w:widowControl w:val="0"/>
        <w:rPr>
          <w:rFonts w:eastAsia="Times New Roman"/>
        </w:rPr>
      </w:pPr>
    </w:p>
    <w:p w14:paraId="3EE89AB7" w14:textId="3B3494FD" w:rsidR="00100398" w:rsidRDefault="00100398" w:rsidP="00100398">
      <w:pPr>
        <w:widowControl w:val="0"/>
        <w:rPr>
          <w:rFonts w:eastAsia="Times New Roman"/>
          <w:b/>
          <w:bCs/>
          <w:iCs/>
          <w:sz w:val="24"/>
          <w:szCs w:val="24"/>
        </w:rPr>
      </w:pPr>
      <w:r w:rsidRPr="00B2290F">
        <w:rPr>
          <w:rFonts w:eastAsia="Times New Roman"/>
          <w:b/>
          <w:bCs/>
          <w:iCs/>
          <w:sz w:val="24"/>
          <w:szCs w:val="24"/>
        </w:rPr>
        <w:t>4.2</w:t>
      </w:r>
      <w:r w:rsidR="0095222E" w:rsidRPr="00B2290F">
        <w:rPr>
          <w:rFonts w:eastAsia="Times New Roman"/>
          <w:b/>
          <w:bCs/>
          <w:iCs/>
          <w:sz w:val="24"/>
          <w:szCs w:val="24"/>
        </w:rPr>
        <w:t>.</w:t>
      </w:r>
      <w:r w:rsidRPr="00B2290F">
        <w:rPr>
          <w:rFonts w:eastAsia="Times New Roman"/>
          <w:b/>
          <w:bCs/>
          <w:iCs/>
          <w:sz w:val="24"/>
          <w:szCs w:val="24"/>
        </w:rPr>
        <w:t xml:space="preserve"> Pre-conditioning of the upper ocean for warm temperatures through a shallow mixed layer and air-sea fluxes</w:t>
      </w:r>
    </w:p>
    <w:p w14:paraId="6B448CC4" w14:textId="77777777" w:rsidR="000A0196" w:rsidRPr="00B2290F" w:rsidRDefault="000A0196" w:rsidP="00100398">
      <w:pPr>
        <w:widowControl w:val="0"/>
        <w:rPr>
          <w:rFonts w:eastAsia="Times New Roman"/>
          <w:b/>
          <w:bCs/>
          <w:iCs/>
          <w:sz w:val="24"/>
          <w:szCs w:val="24"/>
        </w:rPr>
      </w:pPr>
    </w:p>
    <w:p w14:paraId="7C843ACA" w14:textId="77777777" w:rsidR="00100398" w:rsidRPr="00B2290F" w:rsidRDefault="00100398" w:rsidP="00100398">
      <w:pPr>
        <w:widowControl w:val="0"/>
        <w:ind w:firstLine="720"/>
        <w:rPr>
          <w:rFonts w:eastAsia="Times New Roman"/>
          <w:sz w:val="24"/>
          <w:szCs w:val="24"/>
        </w:rPr>
      </w:pPr>
      <w:r w:rsidRPr="00B2290F">
        <w:rPr>
          <w:rFonts w:eastAsia="Times New Roman"/>
          <w:sz w:val="24"/>
          <w:szCs w:val="24"/>
        </w:rPr>
        <w:t>The local heat flux anomalies for both the 2013-2015 and 2019 MHWs at OSP were relatively small compared to the area-average values documented by Schmeisser</w:t>
      </w:r>
      <w:r w:rsidRPr="00B2290F">
        <w:rPr>
          <w:rFonts w:eastAsia="Times New Roman"/>
          <w:sz w:val="24"/>
          <w:szCs w:val="24"/>
          <w:highlight w:val="white"/>
        </w:rPr>
        <w:t xml:space="preserve"> et al. (2019), Amaya et al. (2020), and Bond et al. (2015). OSP is located at the northern edge of the </w:t>
      </w:r>
      <w:proofErr w:type="gramStart"/>
      <w:r w:rsidRPr="00B2290F">
        <w:rPr>
          <w:rFonts w:eastAsia="Times New Roman"/>
          <w:sz w:val="24"/>
          <w:szCs w:val="24"/>
          <w:highlight w:val="white"/>
        </w:rPr>
        <w:t>aforementioned studies</w:t>
      </w:r>
      <w:proofErr w:type="gramEnd"/>
      <w:r w:rsidRPr="00B2290F">
        <w:rPr>
          <w:rFonts w:eastAsia="Times New Roman"/>
          <w:sz w:val="24"/>
          <w:szCs w:val="24"/>
          <w:highlight w:val="white"/>
        </w:rPr>
        <w:t xml:space="preserve"> (as seen in Figure 2ab). However, there were anomalous </w:t>
      </w:r>
      <w:r w:rsidRPr="00B2290F">
        <w:rPr>
          <w:rFonts w:eastAsia="Times New Roman"/>
          <w:sz w:val="24"/>
          <w:szCs w:val="24"/>
        </w:rPr>
        <w:t>shortwave radiative fluxes</w:t>
      </w:r>
      <w:r w:rsidRPr="00B2290F">
        <w:rPr>
          <w:rFonts w:eastAsia="Times New Roman"/>
          <w:sz w:val="24"/>
          <w:szCs w:val="24"/>
          <w:highlight w:val="white"/>
        </w:rPr>
        <w:t xml:space="preserve"> prior to the </w:t>
      </w:r>
      <w:r w:rsidRPr="00B2290F">
        <w:rPr>
          <w:rFonts w:eastAsia="Times New Roman"/>
          <w:sz w:val="24"/>
          <w:szCs w:val="24"/>
        </w:rPr>
        <w:t>2019 MHW</w:t>
      </w:r>
      <w:r w:rsidRPr="00B2290F">
        <w:rPr>
          <w:rFonts w:eastAsia="Times New Roman"/>
          <w:sz w:val="24"/>
          <w:szCs w:val="24"/>
          <w:highlight w:val="white"/>
        </w:rPr>
        <w:t xml:space="preserve"> and </w:t>
      </w:r>
      <w:r w:rsidRPr="00B2290F">
        <w:rPr>
          <w:rFonts w:eastAsia="Times New Roman"/>
          <w:sz w:val="24"/>
          <w:szCs w:val="24"/>
        </w:rPr>
        <w:t>stratification anomalies at OSP. Since the mixed layer is very thin during the summer in the Gulf of Alaska, the perturbations of the mixed layer have a direct influence on the sea surface temperature tendency, and the mixed layer depth perturbation likely dominates the SST variability (Amaya et al., 2020). Thus, the shallow mixed layer and anomalously high shortwave heat flux into the ocean could explain the extreme intensification of the 2019 SST anomalies at OSP.</w:t>
      </w:r>
    </w:p>
    <w:p w14:paraId="77D04F31" w14:textId="77777777" w:rsidR="00100398" w:rsidRPr="00B2290F" w:rsidRDefault="00100398" w:rsidP="00100398">
      <w:pPr>
        <w:widowControl w:val="0"/>
        <w:rPr>
          <w:rFonts w:eastAsia="Times New Roman"/>
          <w:sz w:val="24"/>
          <w:szCs w:val="24"/>
        </w:rPr>
      </w:pPr>
    </w:p>
    <w:p w14:paraId="0D7AF5BA" w14:textId="1C4F5F08" w:rsidR="00100398" w:rsidRDefault="00100398" w:rsidP="00100398">
      <w:pPr>
        <w:widowControl w:val="0"/>
        <w:rPr>
          <w:rFonts w:eastAsia="Times New Roman"/>
          <w:b/>
          <w:bCs/>
          <w:iCs/>
          <w:sz w:val="24"/>
          <w:szCs w:val="24"/>
        </w:rPr>
      </w:pPr>
      <w:r w:rsidRPr="00B2290F">
        <w:rPr>
          <w:rFonts w:eastAsia="Times New Roman"/>
          <w:b/>
          <w:bCs/>
          <w:iCs/>
          <w:sz w:val="24"/>
          <w:szCs w:val="24"/>
        </w:rPr>
        <w:lastRenderedPageBreak/>
        <w:t>4.3</w:t>
      </w:r>
      <w:r w:rsidR="0095222E" w:rsidRPr="00B2290F">
        <w:rPr>
          <w:rFonts w:eastAsia="Times New Roman"/>
          <w:b/>
          <w:bCs/>
          <w:iCs/>
          <w:sz w:val="24"/>
          <w:szCs w:val="24"/>
        </w:rPr>
        <w:t>.</w:t>
      </w:r>
      <w:r w:rsidRPr="00B2290F">
        <w:rPr>
          <w:rFonts w:eastAsia="Times New Roman"/>
          <w:b/>
          <w:bCs/>
          <w:iCs/>
          <w:sz w:val="24"/>
          <w:szCs w:val="24"/>
        </w:rPr>
        <w:t xml:space="preserve"> Impacts of available chemical nutrients and stratification on productivity </w:t>
      </w:r>
    </w:p>
    <w:p w14:paraId="2BFD86E8" w14:textId="77777777" w:rsidR="000A0196" w:rsidRPr="00B2290F" w:rsidRDefault="000A0196" w:rsidP="00100398">
      <w:pPr>
        <w:widowControl w:val="0"/>
        <w:rPr>
          <w:rFonts w:eastAsia="Times New Roman"/>
          <w:b/>
          <w:bCs/>
          <w:iCs/>
          <w:sz w:val="24"/>
          <w:szCs w:val="24"/>
        </w:rPr>
      </w:pPr>
    </w:p>
    <w:p w14:paraId="41319BD7" w14:textId="77777777" w:rsidR="00100398" w:rsidRPr="00B2290F" w:rsidRDefault="00100398" w:rsidP="00100398">
      <w:pPr>
        <w:widowControl w:val="0"/>
        <w:ind w:firstLine="720"/>
        <w:rPr>
          <w:rFonts w:eastAsia="Times New Roman"/>
          <w:sz w:val="24"/>
          <w:szCs w:val="24"/>
          <w:highlight w:val="yellow"/>
        </w:rPr>
      </w:pPr>
      <w:r w:rsidRPr="00B2290F">
        <w:rPr>
          <w:rFonts w:eastAsia="Times New Roman"/>
          <w:sz w:val="24"/>
          <w:szCs w:val="24"/>
        </w:rPr>
        <w:t xml:space="preserve">Coincident with the increased stratification leading up to the MHW of 2019, there was an increase in primary productivity in June at OSP (relative to prior summer samples taken at Line P Station P26 within 2013- 2020). Line P collected samples at P26 at the beginning (Jun 10) and at the end (Aug 24) of the MHW of 2019 (Jun 8 - Aug 25). In June, there was an increase in chlorophyll and negative AOU, followed by a decrease of silicate and depletion of nitrate in August (Figure 9). </w:t>
      </w:r>
    </w:p>
    <w:p w14:paraId="27345495" w14:textId="77777777" w:rsidR="00100398" w:rsidRPr="00B2290F" w:rsidRDefault="00100398" w:rsidP="00100398">
      <w:pPr>
        <w:widowControl w:val="0"/>
        <w:rPr>
          <w:rFonts w:eastAsia="Times New Roman"/>
          <w:sz w:val="24"/>
          <w:szCs w:val="24"/>
        </w:rPr>
      </w:pPr>
    </w:p>
    <w:p w14:paraId="1D9DAAED" w14:textId="60C6EE94"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It is likely that there were other processes at play that drove the productivity other than the MHW itself. There was also the possibility of iron enrichment, a limiting factor for larger phytoplankton (Wyatt et al., 2022), which could also have contributed to a large phytoplankton bloom and coincident decreases in nitrate and silicate between the June and August cruises in 2019 (Figure 9). The surface </w:t>
      </w:r>
      <w:r w:rsidRPr="00B2290F">
        <w:rPr>
          <w:rFonts w:eastAsia="Times New Roman"/>
          <w:i/>
          <w:sz w:val="24"/>
          <w:szCs w:val="24"/>
        </w:rPr>
        <w:t>p</w:t>
      </w:r>
      <w:r w:rsidRPr="00B2290F">
        <w:rPr>
          <w:rFonts w:eastAsia="Times New Roman"/>
          <w:sz w:val="24"/>
          <w:szCs w:val="24"/>
        </w:rPr>
        <w:t>CO</w:t>
      </w:r>
      <w:r w:rsidRPr="00B2290F">
        <w:rPr>
          <w:rFonts w:eastAsia="Times New Roman"/>
          <w:sz w:val="24"/>
          <w:szCs w:val="24"/>
          <w:vertAlign w:val="subscript"/>
        </w:rPr>
        <w:t>2</w:t>
      </w:r>
      <w:r w:rsidRPr="00B2290F">
        <w:rPr>
          <w:rFonts w:eastAsia="Times New Roman"/>
          <w:sz w:val="24"/>
          <w:szCs w:val="24"/>
        </w:rPr>
        <w:t xml:space="preserve"> decline and surface pH increase during 2019 at OSP are consistent with </w:t>
      </w:r>
      <w:r w:rsidRPr="00B2290F">
        <w:rPr>
          <w:rFonts w:eastAsia="Times New Roman"/>
          <w:i/>
          <w:sz w:val="24"/>
          <w:szCs w:val="24"/>
        </w:rPr>
        <w:t>p</w:t>
      </w:r>
      <w:r w:rsidRPr="00B2290F">
        <w:rPr>
          <w:rFonts w:eastAsia="Times New Roman"/>
          <w:sz w:val="24"/>
          <w:szCs w:val="24"/>
        </w:rPr>
        <w:t>CO</w:t>
      </w:r>
      <w:r w:rsidRPr="00B2290F">
        <w:rPr>
          <w:rFonts w:eastAsia="Times New Roman"/>
          <w:sz w:val="24"/>
          <w:szCs w:val="24"/>
          <w:vertAlign w:val="subscript"/>
        </w:rPr>
        <w:t>2</w:t>
      </w:r>
      <w:r w:rsidRPr="00B2290F">
        <w:rPr>
          <w:rFonts w:eastAsia="Times New Roman"/>
          <w:sz w:val="24"/>
          <w:szCs w:val="24"/>
        </w:rPr>
        <w:t xml:space="preserve"> and pH observations made during a phytoplankton bloom in the Gulf of Alaska that resulted from volcanic ash iron input in August 2008 (</w:t>
      </w:r>
      <w:proofErr w:type="spellStart"/>
      <w:r w:rsidRPr="00B2290F">
        <w:rPr>
          <w:rFonts w:eastAsia="Times New Roman"/>
          <w:sz w:val="24"/>
          <w:szCs w:val="24"/>
        </w:rPr>
        <w:t>Hamme</w:t>
      </w:r>
      <w:proofErr w:type="spellEnd"/>
      <w:r w:rsidRPr="00B2290F">
        <w:rPr>
          <w:rFonts w:eastAsia="Times New Roman"/>
          <w:sz w:val="24"/>
          <w:szCs w:val="24"/>
        </w:rPr>
        <w:t xml:space="preserve"> et al., 2010). </w:t>
      </w:r>
      <w:proofErr w:type="gramStart"/>
      <w:r w:rsidRPr="00B2290F">
        <w:rPr>
          <w:rFonts w:eastAsia="Times New Roman"/>
          <w:sz w:val="24"/>
          <w:szCs w:val="24"/>
        </w:rPr>
        <w:t>Similar to</w:t>
      </w:r>
      <w:proofErr w:type="gramEnd"/>
      <w:r w:rsidRPr="00B2290F">
        <w:rPr>
          <w:rFonts w:eastAsia="Times New Roman"/>
          <w:sz w:val="24"/>
          <w:szCs w:val="24"/>
        </w:rPr>
        <w:t xml:space="preserve"> </w:t>
      </w:r>
      <w:proofErr w:type="spellStart"/>
      <w:r w:rsidRPr="00B2290F">
        <w:rPr>
          <w:rFonts w:eastAsia="Times New Roman"/>
          <w:sz w:val="24"/>
          <w:szCs w:val="24"/>
        </w:rPr>
        <w:t>Hamme</w:t>
      </w:r>
      <w:proofErr w:type="spellEnd"/>
      <w:r w:rsidRPr="00B2290F">
        <w:rPr>
          <w:rFonts w:eastAsia="Times New Roman"/>
          <w:sz w:val="24"/>
          <w:szCs w:val="24"/>
        </w:rPr>
        <w:t xml:space="preserve"> et al. (2010), there was also evidence of iron deposited from atmospheric dust into surface waters near OSP</w:t>
      </w:r>
      <w:r w:rsidRPr="00B2290F">
        <w:rPr>
          <w:rFonts w:eastAsia="Times New Roman"/>
          <w:b/>
          <w:sz w:val="24"/>
          <w:szCs w:val="24"/>
        </w:rPr>
        <w:t xml:space="preserve"> </w:t>
      </w:r>
      <w:r w:rsidRPr="00B2290F">
        <w:rPr>
          <w:rFonts w:eastAsia="Times New Roman"/>
          <w:sz w:val="24"/>
          <w:szCs w:val="24"/>
        </w:rPr>
        <w:t>during the peak of the 2019 MHW (Long et al., 2021; Figur</w:t>
      </w:r>
      <w:r w:rsidR="003E5744">
        <w:rPr>
          <w:rFonts w:eastAsia="Times New Roman"/>
          <w:sz w:val="24"/>
          <w:szCs w:val="24"/>
        </w:rPr>
        <w:t xml:space="preserve">e S2). </w:t>
      </w:r>
      <w:r w:rsidRPr="00B2290F">
        <w:rPr>
          <w:rFonts w:eastAsia="Times New Roman"/>
          <w:sz w:val="24"/>
          <w:szCs w:val="24"/>
        </w:rPr>
        <w:t xml:space="preserve">Thus, the MHW’s shallow mixed layer might have worked in concert with the iron-enriched dust deposition to support an increase in productivity. </w:t>
      </w:r>
    </w:p>
    <w:p w14:paraId="44B314EC" w14:textId="77777777" w:rsidR="00100398" w:rsidRPr="00B2290F" w:rsidRDefault="00100398" w:rsidP="00100398">
      <w:pPr>
        <w:widowControl w:val="0"/>
        <w:rPr>
          <w:rFonts w:eastAsia="Times New Roman"/>
          <w:sz w:val="24"/>
          <w:szCs w:val="24"/>
        </w:rPr>
      </w:pPr>
    </w:p>
    <w:p w14:paraId="43F2C173" w14:textId="38F4CBFF" w:rsidR="00100398" w:rsidRPr="00B2290F" w:rsidRDefault="00100398" w:rsidP="00100398">
      <w:pPr>
        <w:widowControl w:val="0"/>
        <w:ind w:firstLine="720"/>
        <w:rPr>
          <w:rFonts w:eastAsia="Times New Roman"/>
          <w:sz w:val="24"/>
          <w:szCs w:val="24"/>
        </w:rPr>
      </w:pPr>
      <w:r w:rsidRPr="00B2290F">
        <w:rPr>
          <w:rFonts w:eastAsia="Times New Roman"/>
          <w:sz w:val="24"/>
          <w:szCs w:val="24"/>
        </w:rPr>
        <w:t>Other recent MHWs have been shown to have negative effects on higher trophic levels</w:t>
      </w:r>
      <w:r w:rsidR="00E2597C">
        <w:rPr>
          <w:rFonts w:eastAsia="Times New Roman"/>
          <w:sz w:val="24"/>
          <w:szCs w:val="24"/>
        </w:rPr>
        <w:t xml:space="preserve"> closer to shore</w:t>
      </w:r>
      <w:r w:rsidRPr="00B2290F">
        <w:rPr>
          <w:rFonts w:eastAsia="Times New Roman"/>
          <w:sz w:val="24"/>
          <w:szCs w:val="24"/>
        </w:rPr>
        <w:t xml:space="preserve"> (Barlow et al., 2023; </w:t>
      </w:r>
      <w:proofErr w:type="spellStart"/>
      <w:r w:rsidRPr="00B2290F">
        <w:rPr>
          <w:rFonts w:eastAsia="Times New Roman"/>
          <w:sz w:val="24"/>
          <w:szCs w:val="24"/>
        </w:rPr>
        <w:t>Cavole</w:t>
      </w:r>
      <w:proofErr w:type="spellEnd"/>
      <w:r w:rsidRPr="00B2290F">
        <w:rPr>
          <w:rFonts w:eastAsia="Times New Roman"/>
          <w:sz w:val="24"/>
          <w:szCs w:val="24"/>
        </w:rPr>
        <w:t xml:space="preserve"> et al., 2016). At OSP in 2019, </w:t>
      </w:r>
      <w:r w:rsidR="00E2597C">
        <w:rPr>
          <w:rFonts w:eastAsia="Times New Roman"/>
          <w:sz w:val="24"/>
          <w:szCs w:val="24"/>
        </w:rPr>
        <w:t xml:space="preserve">an offshore site, </w:t>
      </w:r>
      <w:r w:rsidRPr="00B2290F">
        <w:rPr>
          <w:rFonts w:eastAsia="Times New Roman"/>
          <w:sz w:val="24"/>
          <w:szCs w:val="24"/>
        </w:rPr>
        <w:t xml:space="preserve">it appears that there might have been a slightly positive effect on higher trophic levels. There was indication that blue whales came earlier in their foraging season and in greater numbers than in the previous year (Figure 11); however, there is not a clear connection between productivity and krill (Figure 10) due </w:t>
      </w:r>
      <w:r w:rsidR="00E2597C">
        <w:rPr>
          <w:rFonts w:eastAsia="Times New Roman"/>
          <w:sz w:val="24"/>
          <w:szCs w:val="24"/>
        </w:rPr>
        <w:t>to data limitations</w:t>
      </w:r>
      <w:r w:rsidRPr="00B2290F">
        <w:rPr>
          <w:rFonts w:eastAsia="Times New Roman"/>
          <w:sz w:val="24"/>
          <w:szCs w:val="24"/>
        </w:rPr>
        <w:t xml:space="preserve">. The krill data is collected three times a year at Line P’s P26 Station, whereas the acoustic data is continuously recorded from all directions surrounding OSP. The different temporal and spatial data collection techniques cause further challenges to connecting blue whale behavior to the krill abundance. </w:t>
      </w:r>
    </w:p>
    <w:p w14:paraId="4BD6BD9B" w14:textId="0B1262A6" w:rsidR="00100398" w:rsidRPr="00B2290F" w:rsidRDefault="00100398" w:rsidP="00C81368">
      <w:pPr>
        <w:pStyle w:val="Heading-Main"/>
      </w:pPr>
      <w:r w:rsidRPr="00B2290F">
        <w:t>5 Conclusion</w:t>
      </w:r>
    </w:p>
    <w:p w14:paraId="03F63E99" w14:textId="15E53C11" w:rsidR="00100398" w:rsidRPr="00B2290F" w:rsidRDefault="00100398" w:rsidP="00100398">
      <w:pPr>
        <w:widowControl w:val="0"/>
        <w:ind w:firstLine="720"/>
        <w:rPr>
          <w:rFonts w:eastAsia="Times New Roman"/>
          <w:sz w:val="24"/>
          <w:szCs w:val="24"/>
        </w:rPr>
      </w:pPr>
      <w:r w:rsidRPr="00B2290F">
        <w:rPr>
          <w:rFonts w:eastAsia="Times New Roman"/>
          <w:sz w:val="24"/>
          <w:szCs w:val="24"/>
        </w:rPr>
        <w:t xml:space="preserve">The long-term multi-disciplinary time series at OSP allows insight into the evolution and impacts of MHWs. The oceanographic environment at OSP is complex. Interannual and decadal variations in the atmospheric jet stream and Pacific storm track can lead to a wide range of variability in the NE Pacific subarctic gyre and physical environment at OSP. Influences of other processes, such as iron fertilization from wildfires and volcanoes, likely impact the physical, biogeochemical, and ecosystem dynamics at OSP. Due to the relatively short records, gaps, and limited spatial extent in the observational data sets, this analysis should be considered as a case study of the conditions associated with the 2019 NE Pacific MHW at OSP, rather than generalized relationships expected with MHWs at any location. The relationship between the 2019 MHW, increased productivity and the early arrival of blue whales, or increased stratification and de-acidification at OSP should be considered as provocative, rather than definitive. The link to these occurrences may be the enhanced near-surface stratification associated with the MHW, rather than necessarily the extreme temperature itself. The enhanced stratification increased the intensity of the surface forcing on the upper ocean leading to extreme </w:t>
      </w:r>
      <w:r w:rsidRPr="00B2290F">
        <w:rPr>
          <w:rFonts w:eastAsia="Times New Roman"/>
          <w:sz w:val="24"/>
          <w:szCs w:val="24"/>
        </w:rPr>
        <w:lastRenderedPageBreak/>
        <w:t>warming. The enhanced stratification also aided in productivity by providing a well-lit and nutrient-available upper ocean to primary producers that led to a bloom in productivity coinciding the extreme temperatures. MHWs can cause a cascade of impacts all over the world, and longer multi-disciplinary time series and time series of MHWs in other regions of the World’s oceans are necessary to understand their impacts and interdisciplinary connections.</w:t>
      </w:r>
    </w:p>
    <w:p w14:paraId="3BB30AAB" w14:textId="18CC250A" w:rsidR="00995CAA" w:rsidRPr="00B2290F" w:rsidRDefault="00995CAA" w:rsidP="00100398">
      <w:pPr>
        <w:pStyle w:val="Note"/>
        <w:rPr>
          <w:rFonts w:eastAsia="Times New Roman"/>
          <w:sz w:val="24"/>
          <w:szCs w:val="24"/>
        </w:rPr>
      </w:pPr>
      <w:r w:rsidRPr="00B2290F">
        <w:rPr>
          <w:rFonts w:eastAsia="Times New Roman"/>
          <w:b/>
          <w:bCs/>
          <w:color w:val="262626"/>
          <w:sz w:val="24"/>
          <w:szCs w:val="24"/>
        </w:rPr>
        <w:t>Acknowledgments</w:t>
      </w:r>
    </w:p>
    <w:p w14:paraId="0289DEC0" w14:textId="3A4E1223" w:rsidR="00100398" w:rsidRPr="00B2290F" w:rsidRDefault="00100398" w:rsidP="00100398">
      <w:pPr>
        <w:widowControl w:val="0"/>
        <w:rPr>
          <w:rFonts w:eastAsia="Times New Roman"/>
          <w:sz w:val="24"/>
          <w:szCs w:val="24"/>
        </w:rPr>
      </w:pPr>
      <w:r w:rsidRPr="00B2290F">
        <w:rPr>
          <w:rFonts w:eastAsia="Times New Roman"/>
          <w:sz w:val="24"/>
          <w:szCs w:val="24"/>
        </w:rPr>
        <w:t xml:space="preserve">This project would not have been possible without the help and support from the Ocean Climate Stations Group, Acoustics Group, and Carbon Group. Observations were supported by the NOAA NMFS Office of Science and Technology (OST), NOAA Global Ocean Monitoring and Observing (GOMO), DFO Line P Program, NOAA Ocean Acidification Program, and the National Science Foundation. Funding for CK was provided by the NOAA Ernest F. Hollings Undergraduate Scholarship Program, University of Washington, and a fellowship from the American Meteorological Society. This material is also based on the work supported by the National Science Foundation under Grant No. </w:t>
      </w:r>
      <w:r w:rsidRPr="00B2290F">
        <w:rPr>
          <w:rFonts w:eastAsia="Times New Roman"/>
          <w:color w:val="222222"/>
          <w:sz w:val="24"/>
          <w:szCs w:val="24"/>
          <w:highlight w:val="white"/>
        </w:rPr>
        <w:t>2022874. This publication is partially funded by the Cooperative Institute for Climate, Ocean, &amp; Ecosystem Studies (CIOCES) under NOAA Cooperative Agreement NA20OAR4320271, Contribution No. 2023-1269.</w:t>
      </w:r>
      <w:r w:rsidRPr="00B2290F">
        <w:rPr>
          <w:rFonts w:eastAsia="Times New Roman"/>
          <w:sz w:val="24"/>
          <w:szCs w:val="24"/>
        </w:rPr>
        <w:t xml:space="preserve"> This is PMEL contribution number </w:t>
      </w:r>
      <w:r w:rsidRPr="00B2290F">
        <w:rPr>
          <w:rFonts w:eastAsia="Times New Roman"/>
          <w:color w:val="222222"/>
          <w:sz w:val="24"/>
          <w:szCs w:val="24"/>
          <w:highlight w:val="white"/>
        </w:rPr>
        <w:t>5344.</w:t>
      </w:r>
    </w:p>
    <w:p w14:paraId="6119FAA2" w14:textId="77777777" w:rsidR="00995CAA" w:rsidRPr="00B2290F" w:rsidRDefault="00995CAA" w:rsidP="00995CAA">
      <w:pPr>
        <w:shd w:val="clear" w:color="auto" w:fill="FFFFFF"/>
        <w:spacing w:line="480" w:lineRule="auto"/>
        <w:rPr>
          <w:rFonts w:eastAsia="Times New Roman"/>
          <w:sz w:val="24"/>
          <w:szCs w:val="24"/>
        </w:rPr>
      </w:pPr>
      <w:r w:rsidRPr="00B2290F">
        <w:rPr>
          <w:rFonts w:eastAsia="Times New Roman"/>
          <w:sz w:val="24"/>
          <w:szCs w:val="24"/>
        </w:rPr>
        <w:t> </w:t>
      </w:r>
    </w:p>
    <w:p w14:paraId="3CB0FA2F" w14:textId="6D3C3165" w:rsidR="00995CAA" w:rsidRPr="0095179B" w:rsidRDefault="0095222E" w:rsidP="00995CAA">
      <w:pPr>
        <w:shd w:val="clear" w:color="auto" w:fill="FFFFFF"/>
        <w:spacing w:line="480" w:lineRule="auto"/>
        <w:rPr>
          <w:rFonts w:eastAsia="Times New Roman"/>
          <w:sz w:val="24"/>
          <w:szCs w:val="24"/>
        </w:rPr>
      </w:pPr>
      <w:r w:rsidRPr="00876745">
        <w:rPr>
          <w:rFonts w:eastAsia="Times New Roman"/>
          <w:b/>
          <w:bCs/>
          <w:color w:val="262626"/>
          <w:sz w:val="24"/>
          <w:szCs w:val="24"/>
        </w:rPr>
        <w:t xml:space="preserve">Data </w:t>
      </w:r>
      <w:r w:rsidR="0095179B" w:rsidRPr="00876745">
        <w:rPr>
          <w:rFonts w:eastAsia="Times New Roman"/>
          <w:b/>
          <w:bCs/>
          <w:color w:val="262626"/>
          <w:sz w:val="24"/>
          <w:szCs w:val="24"/>
        </w:rPr>
        <w:t>Availability</w:t>
      </w:r>
    </w:p>
    <w:p w14:paraId="0D53BF9E" w14:textId="1EDAC1E6" w:rsidR="0095222E" w:rsidRPr="00B2290F" w:rsidRDefault="00100398" w:rsidP="0095222E">
      <w:pPr>
        <w:widowControl w:val="0"/>
        <w:spacing w:line="276" w:lineRule="auto"/>
        <w:rPr>
          <w:rFonts w:eastAsia="Times New Roman"/>
          <w:color w:val="FF0000"/>
        </w:rPr>
      </w:pPr>
      <w:r w:rsidRPr="0095179B">
        <w:rPr>
          <w:rFonts w:eastAsia="Times New Roman"/>
          <w:sz w:val="24"/>
          <w:szCs w:val="24"/>
        </w:rPr>
        <w:t xml:space="preserve">The NOAA surface mooring data, provided by the OCS Group, were obtained from their website </w:t>
      </w:r>
      <w:r w:rsidRPr="003A42F6">
        <w:rPr>
          <w:rFonts w:eastAsia="Times New Roman"/>
          <w:color w:val="000000" w:themeColor="text1"/>
          <w:sz w:val="24"/>
          <w:szCs w:val="24"/>
        </w:rPr>
        <w:t>at</w:t>
      </w:r>
      <w:hyperlink r:id="rId22">
        <w:r w:rsidRPr="003A42F6">
          <w:rPr>
            <w:rFonts w:eastAsia="Times New Roman"/>
            <w:color w:val="000000" w:themeColor="text1"/>
            <w:sz w:val="24"/>
            <w:szCs w:val="24"/>
          </w:rPr>
          <w:t xml:space="preserve"> https://www.pmel.noaa.gov/oc</w:t>
        </w:r>
        <w:r w:rsidRPr="003A42F6">
          <w:rPr>
            <w:rFonts w:eastAsia="Times New Roman"/>
            <w:color w:val="000000" w:themeColor="text1"/>
            <w:sz w:val="24"/>
            <w:szCs w:val="24"/>
          </w:rPr>
          <w:t>s</w:t>
        </w:r>
        <w:r w:rsidRPr="003A42F6">
          <w:rPr>
            <w:rFonts w:eastAsia="Times New Roman"/>
            <w:color w:val="000000" w:themeColor="text1"/>
            <w:sz w:val="24"/>
            <w:szCs w:val="24"/>
          </w:rPr>
          <w:t>/</w:t>
        </w:r>
      </w:hyperlink>
      <w:r w:rsidRPr="003A42F6">
        <w:rPr>
          <w:rFonts w:eastAsia="Times New Roman"/>
          <w:color w:val="000000" w:themeColor="text1"/>
          <w:sz w:val="24"/>
          <w:szCs w:val="24"/>
        </w:rPr>
        <w:t>. The PMEL Carbon Group data are available at</w:t>
      </w:r>
      <w:r w:rsidR="00876745" w:rsidRPr="003A42F6">
        <w:rPr>
          <w:rFonts w:eastAsia="Times New Roman"/>
          <w:color w:val="000000" w:themeColor="text1"/>
          <w:sz w:val="24"/>
          <w:szCs w:val="24"/>
        </w:rPr>
        <w:t xml:space="preserve"> </w:t>
      </w:r>
      <w:hyperlink r:id="rId23" w:history="1">
        <w:r w:rsidR="00876745" w:rsidRPr="003A42F6">
          <w:rPr>
            <w:rStyle w:val="Hyperlink"/>
            <w:rFonts w:eastAsia="Times New Roman"/>
            <w:color w:val="000000" w:themeColor="text1"/>
            <w:sz w:val="24"/>
            <w:szCs w:val="24"/>
          </w:rPr>
          <w:t>https://doi.org/10.3334/cdiac/otg.tsm_papa_145w_50n</w:t>
        </w:r>
      </w:hyperlink>
      <w:r w:rsidR="00876745" w:rsidRPr="003A42F6">
        <w:rPr>
          <w:rFonts w:eastAsia="Times New Roman"/>
          <w:color w:val="000000" w:themeColor="text1"/>
          <w:sz w:val="24"/>
          <w:szCs w:val="24"/>
        </w:rPr>
        <w:t>.</w:t>
      </w:r>
      <w:r w:rsidR="00876745" w:rsidRPr="003A42F6">
        <w:rPr>
          <w:rFonts w:eastAsia="Times New Roman"/>
          <w:color w:val="000000" w:themeColor="text1"/>
          <w:sz w:val="24"/>
          <w:szCs w:val="24"/>
        </w:rPr>
        <w:t xml:space="preserve"> </w:t>
      </w:r>
      <w:r w:rsidRPr="003A42F6">
        <w:rPr>
          <w:rFonts w:eastAsia="Times New Roman"/>
          <w:color w:val="000000" w:themeColor="text1"/>
          <w:sz w:val="24"/>
          <w:szCs w:val="24"/>
        </w:rPr>
        <w:t>OOI data are available at the NSF OOI Data Explorer,</w:t>
      </w:r>
      <w:hyperlink r:id="rId24" w:anchor="go-to-data-access">
        <w:r w:rsidRPr="003A42F6">
          <w:rPr>
            <w:rFonts w:eastAsia="Times New Roman"/>
            <w:color w:val="000000" w:themeColor="text1"/>
            <w:sz w:val="24"/>
            <w:szCs w:val="24"/>
          </w:rPr>
          <w:t xml:space="preserve"> https://dataexplorer.oceanobs</w:t>
        </w:r>
        <w:r w:rsidRPr="003A42F6">
          <w:rPr>
            <w:rFonts w:eastAsia="Times New Roman"/>
            <w:color w:val="000000" w:themeColor="text1"/>
            <w:sz w:val="24"/>
            <w:szCs w:val="24"/>
          </w:rPr>
          <w:t>e</w:t>
        </w:r>
        <w:r w:rsidRPr="003A42F6">
          <w:rPr>
            <w:rFonts w:eastAsia="Times New Roman"/>
            <w:color w:val="000000" w:themeColor="text1"/>
            <w:sz w:val="24"/>
            <w:szCs w:val="24"/>
          </w:rPr>
          <w:t>rvatories.org/#go-to-data-access</w:t>
        </w:r>
      </w:hyperlink>
      <w:r w:rsidRPr="003A42F6">
        <w:rPr>
          <w:rFonts w:eastAsia="Times New Roman"/>
          <w:color w:val="000000" w:themeColor="text1"/>
          <w:sz w:val="24"/>
          <w:szCs w:val="24"/>
        </w:rPr>
        <w:t xml:space="preserve">. The wave height data from the APL-UW </w:t>
      </w:r>
      <w:proofErr w:type="spellStart"/>
      <w:r w:rsidRPr="003A42F6">
        <w:rPr>
          <w:rFonts w:eastAsia="Times New Roman"/>
          <w:color w:val="000000" w:themeColor="text1"/>
          <w:sz w:val="24"/>
          <w:szCs w:val="24"/>
        </w:rPr>
        <w:t>Waverider</w:t>
      </w:r>
      <w:proofErr w:type="spellEnd"/>
      <w:r w:rsidRPr="003A42F6">
        <w:rPr>
          <w:rFonts w:eastAsia="Times New Roman"/>
          <w:color w:val="000000" w:themeColor="text1"/>
          <w:sz w:val="24"/>
          <w:szCs w:val="24"/>
        </w:rPr>
        <w:t xml:space="preserve"> Mooring data are available at</w:t>
      </w:r>
      <w:hyperlink r:id="rId25">
        <w:r w:rsidRPr="003A42F6">
          <w:rPr>
            <w:rFonts w:eastAsia="Times New Roman"/>
            <w:color w:val="000000" w:themeColor="text1"/>
            <w:sz w:val="24"/>
            <w:szCs w:val="24"/>
          </w:rPr>
          <w:t xml:space="preserve"> https://cdip.ucsd.edu/themes/cdip?pb=1&amp;u2=s:166:st:1&amp;d2=p70</w:t>
        </w:r>
      </w:hyperlink>
      <w:r w:rsidRPr="003A42F6">
        <w:rPr>
          <w:rFonts w:eastAsia="Times New Roman"/>
          <w:color w:val="000000" w:themeColor="text1"/>
          <w:sz w:val="24"/>
          <w:szCs w:val="24"/>
        </w:rPr>
        <w:t>. DFO Line P shipboard data are available at</w:t>
      </w:r>
      <w:r w:rsidR="00876745" w:rsidRPr="003A42F6">
        <w:rPr>
          <w:color w:val="000000" w:themeColor="text1"/>
          <w:sz w:val="24"/>
          <w:szCs w:val="24"/>
        </w:rPr>
        <w:t xml:space="preserve"> </w:t>
      </w:r>
      <w:hyperlink r:id="rId26" w:history="1">
        <w:r w:rsidR="00876745" w:rsidRPr="003A42F6">
          <w:rPr>
            <w:rStyle w:val="Hyperlink"/>
            <w:color w:val="000000" w:themeColor="text1"/>
            <w:sz w:val="24"/>
            <w:szCs w:val="24"/>
          </w:rPr>
          <w:t>http://www.pac.dfo-mpo.gc.ca/science/oceans/data-donnees/line-p/index-eng.htm</w:t>
        </w:r>
      </w:hyperlink>
      <w:r w:rsidRPr="003A42F6">
        <w:rPr>
          <w:rFonts w:eastAsia="Times New Roman"/>
          <w:color w:val="000000" w:themeColor="text1"/>
          <w:sz w:val="24"/>
          <w:szCs w:val="24"/>
        </w:rPr>
        <w:t>. OOI cruise data are available at</w:t>
      </w:r>
      <w:hyperlink r:id="rId27">
        <w:r w:rsidRPr="003A42F6">
          <w:rPr>
            <w:rFonts w:eastAsia="Times New Roman"/>
            <w:color w:val="000000" w:themeColor="text1"/>
            <w:sz w:val="24"/>
            <w:szCs w:val="24"/>
          </w:rPr>
          <w:t xml:space="preserve"> https://alfresco.oceanobservatories</w:t>
        </w:r>
        <w:r w:rsidRPr="003A42F6">
          <w:rPr>
            <w:rFonts w:eastAsia="Times New Roman"/>
            <w:color w:val="000000" w:themeColor="text1"/>
            <w:sz w:val="24"/>
            <w:szCs w:val="24"/>
          </w:rPr>
          <w:t>.</w:t>
        </w:r>
        <w:r w:rsidRPr="003A42F6">
          <w:rPr>
            <w:rFonts w:eastAsia="Times New Roman"/>
            <w:color w:val="000000" w:themeColor="text1"/>
            <w:sz w:val="24"/>
            <w:szCs w:val="24"/>
          </w:rPr>
          <w:t>org/alfresco/faces/jsp/browse/browse.jsp</w:t>
        </w:r>
      </w:hyperlink>
      <w:r w:rsidRPr="003A42F6">
        <w:rPr>
          <w:rFonts w:eastAsia="Times New Roman"/>
          <w:color w:val="000000" w:themeColor="text1"/>
          <w:sz w:val="24"/>
          <w:szCs w:val="24"/>
        </w:rPr>
        <w:t xml:space="preserve"> and</w:t>
      </w:r>
      <w:hyperlink r:id="rId28">
        <w:r w:rsidRPr="003A42F6">
          <w:rPr>
            <w:rFonts w:eastAsia="Times New Roman"/>
            <w:color w:val="000000" w:themeColor="text1"/>
            <w:sz w:val="24"/>
            <w:szCs w:val="24"/>
          </w:rPr>
          <w:t xml:space="preserve"> http://ooinet.oceanobservat</w:t>
        </w:r>
        <w:r w:rsidRPr="003A42F6">
          <w:rPr>
            <w:rFonts w:eastAsia="Times New Roman"/>
            <w:color w:val="000000" w:themeColor="text1"/>
            <w:sz w:val="24"/>
            <w:szCs w:val="24"/>
          </w:rPr>
          <w:t>o</w:t>
        </w:r>
        <w:r w:rsidRPr="003A42F6">
          <w:rPr>
            <w:rFonts w:eastAsia="Times New Roman"/>
            <w:color w:val="000000" w:themeColor="text1"/>
            <w:sz w:val="24"/>
            <w:szCs w:val="24"/>
          </w:rPr>
          <w:t>ries.org</w:t>
        </w:r>
      </w:hyperlink>
      <w:r w:rsidRPr="003A42F6">
        <w:rPr>
          <w:rFonts w:eastAsia="Times New Roman"/>
          <w:color w:val="000000" w:themeColor="text1"/>
          <w:sz w:val="24"/>
          <w:szCs w:val="24"/>
        </w:rPr>
        <w:t>. The NOAA OISSTv2.1 High Resolution Dataset data provided by the NOAA PSL, Boulder, Colorado, USA, are available from their website at</w:t>
      </w:r>
      <w:hyperlink r:id="rId29">
        <w:r w:rsidRPr="003A42F6">
          <w:rPr>
            <w:rFonts w:eastAsia="Times New Roman"/>
            <w:color w:val="000000" w:themeColor="text1"/>
            <w:sz w:val="24"/>
            <w:szCs w:val="24"/>
          </w:rPr>
          <w:t xml:space="preserve"> </w:t>
        </w:r>
      </w:hyperlink>
      <w:hyperlink r:id="rId30">
        <w:r w:rsidRPr="003A42F6">
          <w:rPr>
            <w:rFonts w:eastAsia="Times New Roman"/>
            <w:color w:val="000000" w:themeColor="text1"/>
            <w:sz w:val="24"/>
            <w:szCs w:val="24"/>
          </w:rPr>
          <w:t>https://psl.noaa.gov</w:t>
        </w:r>
      </w:hyperlink>
      <w:r w:rsidRPr="003A42F6">
        <w:rPr>
          <w:rFonts w:eastAsia="Times New Roman"/>
          <w:color w:val="000000" w:themeColor="text1"/>
          <w:sz w:val="24"/>
          <w:szCs w:val="24"/>
        </w:rPr>
        <w:t>. Argo float data were collected and made freely available by the International Argo Program and the national programs that contribute to it and are available at</w:t>
      </w:r>
      <w:hyperlink r:id="rId31">
        <w:r w:rsidRPr="003A42F6">
          <w:rPr>
            <w:rFonts w:eastAsia="Times New Roman"/>
            <w:color w:val="000000" w:themeColor="text1"/>
            <w:sz w:val="24"/>
            <w:szCs w:val="24"/>
          </w:rPr>
          <w:t xml:space="preserve"> </w:t>
        </w:r>
      </w:hyperlink>
      <w:hyperlink r:id="rId32">
        <w:r w:rsidRPr="003A42F6">
          <w:rPr>
            <w:rFonts w:eastAsia="Times New Roman"/>
            <w:color w:val="000000" w:themeColor="text1"/>
            <w:sz w:val="24"/>
            <w:szCs w:val="24"/>
            <w:u w:val="single"/>
          </w:rPr>
          <w:t>https://argo.ucsd.edu</w:t>
        </w:r>
      </w:hyperlink>
      <w:r w:rsidRPr="003A42F6">
        <w:rPr>
          <w:rFonts w:eastAsia="Times New Roman"/>
          <w:color w:val="000000" w:themeColor="text1"/>
          <w:sz w:val="24"/>
          <w:szCs w:val="24"/>
        </w:rPr>
        <w:t xml:space="preserve"> and</w:t>
      </w:r>
      <w:hyperlink r:id="rId33">
        <w:r w:rsidRPr="003A42F6">
          <w:rPr>
            <w:rFonts w:eastAsia="Times New Roman"/>
            <w:color w:val="000000" w:themeColor="text1"/>
            <w:sz w:val="24"/>
            <w:szCs w:val="24"/>
          </w:rPr>
          <w:t xml:space="preserve"> https://www.ocean-ops.org</w:t>
        </w:r>
      </w:hyperlink>
      <w:r w:rsidRPr="003A42F6">
        <w:rPr>
          <w:rFonts w:eastAsia="Times New Roman"/>
          <w:color w:val="000000" w:themeColor="text1"/>
          <w:sz w:val="24"/>
          <w:szCs w:val="24"/>
        </w:rPr>
        <w:t>. The Argo Program is part of the Global Ocean Observing System.</w:t>
      </w:r>
      <w:r w:rsidR="00995CAA" w:rsidRPr="003A42F6">
        <w:rPr>
          <w:rFonts w:eastAsia="Times New Roman"/>
          <w:color w:val="000000" w:themeColor="text1"/>
          <w:sz w:val="24"/>
          <w:szCs w:val="24"/>
        </w:rPr>
        <w:t> </w:t>
      </w:r>
      <w:r w:rsidR="0095222E" w:rsidRPr="00B2290F">
        <w:rPr>
          <w:rFonts w:eastAsia="Times New Roman"/>
          <w:b/>
          <w:bCs/>
          <w:color w:val="262626"/>
          <w:sz w:val="24"/>
          <w:szCs w:val="24"/>
        </w:rPr>
        <w:br w:type="page"/>
      </w:r>
    </w:p>
    <w:p w14:paraId="3BE6A8F9" w14:textId="1526D205" w:rsidR="00995CAA" w:rsidRPr="00B2290F" w:rsidRDefault="00995CAA" w:rsidP="00995CAA">
      <w:pPr>
        <w:shd w:val="clear" w:color="auto" w:fill="FFFFFF"/>
        <w:spacing w:line="480" w:lineRule="auto"/>
        <w:rPr>
          <w:rFonts w:eastAsia="Times New Roman"/>
          <w:sz w:val="24"/>
          <w:szCs w:val="24"/>
        </w:rPr>
      </w:pPr>
      <w:r w:rsidRPr="00B2290F">
        <w:rPr>
          <w:rFonts w:eastAsia="Times New Roman"/>
          <w:b/>
          <w:bCs/>
          <w:color w:val="262626"/>
          <w:sz w:val="24"/>
          <w:szCs w:val="24"/>
        </w:rPr>
        <w:lastRenderedPageBreak/>
        <w:t>References</w:t>
      </w:r>
    </w:p>
    <w:p w14:paraId="1646866E"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Alford, M.H., Cronin, M.F. &amp; </w:t>
      </w:r>
      <w:proofErr w:type="spellStart"/>
      <w:r w:rsidRPr="00B2290F">
        <w:rPr>
          <w:rFonts w:eastAsia="Times New Roman"/>
          <w:sz w:val="24"/>
          <w:szCs w:val="24"/>
        </w:rPr>
        <w:t>Klymak</w:t>
      </w:r>
      <w:proofErr w:type="spellEnd"/>
      <w:r w:rsidRPr="00B2290F">
        <w:rPr>
          <w:rFonts w:eastAsia="Times New Roman"/>
          <w:sz w:val="24"/>
          <w:szCs w:val="24"/>
        </w:rPr>
        <w:t xml:space="preserve">, J.M. (2012). Annual Cycle and Depth Penetration of Wind-Generated Near-Inertial Internal Waves at Ocean Station Papa in the Northeast Pacific. </w:t>
      </w:r>
      <w:r w:rsidRPr="00B2290F">
        <w:rPr>
          <w:rFonts w:eastAsia="Times New Roman"/>
          <w:i/>
          <w:sz w:val="24"/>
          <w:szCs w:val="24"/>
        </w:rPr>
        <w:t>Journal of Physical Oceanography</w:t>
      </w:r>
      <w:r w:rsidRPr="00B2290F">
        <w:rPr>
          <w:rFonts w:eastAsia="Times New Roman"/>
          <w:sz w:val="24"/>
          <w:szCs w:val="24"/>
        </w:rPr>
        <w:t xml:space="preserve">, 42(6), 889–909. </w:t>
      </w:r>
      <w:r w:rsidRPr="00B2290F">
        <w:rPr>
          <w:rFonts w:eastAsia="Times New Roman"/>
          <w:color w:val="262626"/>
          <w:sz w:val="24"/>
          <w:szCs w:val="24"/>
          <w:highlight w:val="white"/>
        </w:rPr>
        <w:t>https://doi.org/</w:t>
      </w:r>
      <w:r w:rsidRPr="00B2290F">
        <w:rPr>
          <w:rFonts w:eastAsia="Times New Roman"/>
          <w:sz w:val="24"/>
          <w:szCs w:val="24"/>
        </w:rPr>
        <w:t>10.1175/jpo-d-11-092.1</w:t>
      </w:r>
    </w:p>
    <w:p w14:paraId="2A9FEDD9"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Amaya, D.J., Miller, A.J., </w:t>
      </w:r>
      <w:proofErr w:type="spellStart"/>
      <w:r w:rsidRPr="00B2290F">
        <w:rPr>
          <w:rFonts w:eastAsia="Times New Roman"/>
          <w:sz w:val="24"/>
          <w:szCs w:val="24"/>
        </w:rPr>
        <w:t>Xie</w:t>
      </w:r>
      <w:proofErr w:type="spellEnd"/>
      <w:r w:rsidRPr="00B2290F">
        <w:rPr>
          <w:rFonts w:eastAsia="Times New Roman"/>
          <w:sz w:val="24"/>
          <w:szCs w:val="24"/>
        </w:rPr>
        <w:t xml:space="preserve">, S.-P. &amp; </w:t>
      </w:r>
      <w:proofErr w:type="spellStart"/>
      <w:r w:rsidRPr="00B2290F">
        <w:rPr>
          <w:rFonts w:eastAsia="Times New Roman"/>
          <w:sz w:val="24"/>
          <w:szCs w:val="24"/>
        </w:rPr>
        <w:t>Kosaka</w:t>
      </w:r>
      <w:proofErr w:type="spellEnd"/>
      <w:r w:rsidRPr="00B2290F">
        <w:rPr>
          <w:rFonts w:eastAsia="Times New Roman"/>
          <w:sz w:val="24"/>
          <w:szCs w:val="24"/>
        </w:rPr>
        <w:t xml:space="preserve">, Y. (2020). Physical drivers of the summer 2019 North Pacific marine heatwave. </w:t>
      </w:r>
      <w:r w:rsidRPr="00B2290F">
        <w:rPr>
          <w:rFonts w:eastAsia="Times New Roman"/>
          <w:i/>
          <w:sz w:val="24"/>
          <w:szCs w:val="24"/>
        </w:rPr>
        <w:t>Nature Communications</w:t>
      </w:r>
      <w:r w:rsidRPr="00B2290F">
        <w:rPr>
          <w:rFonts w:eastAsia="Times New Roman"/>
          <w:sz w:val="24"/>
          <w:szCs w:val="24"/>
        </w:rPr>
        <w:t xml:space="preserve">, 11(1). </w:t>
      </w:r>
      <w:r w:rsidRPr="00B2290F">
        <w:rPr>
          <w:rFonts w:eastAsia="Times New Roman"/>
          <w:color w:val="262626"/>
          <w:sz w:val="24"/>
          <w:szCs w:val="24"/>
          <w:highlight w:val="white"/>
        </w:rPr>
        <w:t>https://doi.org/</w:t>
      </w:r>
      <w:r w:rsidRPr="00B2290F">
        <w:rPr>
          <w:rFonts w:eastAsia="Times New Roman"/>
          <w:sz w:val="24"/>
          <w:szCs w:val="24"/>
        </w:rPr>
        <w:t>10.1038/s41467-020-15820-w</w:t>
      </w:r>
    </w:p>
    <w:p w14:paraId="54746709"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Barlow, D.R., </w:t>
      </w:r>
      <w:proofErr w:type="spellStart"/>
      <w:r w:rsidRPr="00B2290F">
        <w:rPr>
          <w:rFonts w:eastAsia="Times New Roman"/>
          <w:sz w:val="24"/>
          <w:szCs w:val="24"/>
        </w:rPr>
        <w:t>Klinck</w:t>
      </w:r>
      <w:proofErr w:type="spellEnd"/>
      <w:r w:rsidRPr="00B2290F">
        <w:rPr>
          <w:rFonts w:eastAsia="Times New Roman"/>
          <w:sz w:val="24"/>
          <w:szCs w:val="24"/>
        </w:rPr>
        <w:t xml:space="preserve">, H., </w:t>
      </w:r>
      <w:proofErr w:type="spellStart"/>
      <w:r w:rsidRPr="00B2290F">
        <w:rPr>
          <w:rFonts w:eastAsia="Times New Roman"/>
          <w:sz w:val="24"/>
          <w:szCs w:val="24"/>
        </w:rPr>
        <w:t>Ponirakis</w:t>
      </w:r>
      <w:proofErr w:type="spellEnd"/>
      <w:r w:rsidRPr="00B2290F">
        <w:rPr>
          <w:rFonts w:eastAsia="Times New Roman"/>
          <w:sz w:val="24"/>
          <w:szCs w:val="24"/>
        </w:rPr>
        <w:t xml:space="preserve">, D., Branch, T.A., &amp; Torres, L.G. (2023). Environmental Conditions and Marine Heatwaves Influence Blue Whale Foraging and Reproductive Effort. </w:t>
      </w:r>
      <w:r w:rsidRPr="00B2290F">
        <w:rPr>
          <w:rFonts w:eastAsia="Times New Roman"/>
          <w:i/>
          <w:sz w:val="24"/>
          <w:szCs w:val="24"/>
        </w:rPr>
        <w:t>Ecology and Evolution</w:t>
      </w:r>
      <w:r w:rsidRPr="00B2290F">
        <w:rPr>
          <w:rFonts w:eastAsia="Times New Roman"/>
          <w:sz w:val="24"/>
          <w:szCs w:val="24"/>
        </w:rPr>
        <w:t xml:space="preserve">, 13(2). https://doi.org/10.1002/ece3.9770 </w:t>
      </w:r>
    </w:p>
    <w:p w14:paraId="10A1AFDF" w14:textId="77777777" w:rsidR="00100398" w:rsidRPr="00B2290F" w:rsidRDefault="00100398" w:rsidP="00100398">
      <w:pPr>
        <w:keepLines/>
        <w:widowControl w:val="0"/>
        <w:ind w:left="360" w:hanging="360"/>
        <w:rPr>
          <w:rFonts w:eastAsia="Times New Roman"/>
          <w:sz w:val="24"/>
          <w:szCs w:val="24"/>
        </w:rPr>
      </w:pPr>
      <w:r w:rsidRPr="00B2290F">
        <w:rPr>
          <w:rFonts w:eastAsia="Times New Roman"/>
          <w:sz w:val="24"/>
          <w:szCs w:val="24"/>
        </w:rPr>
        <w:t xml:space="preserve">Belka, D.J., </w:t>
      </w:r>
      <w:proofErr w:type="spellStart"/>
      <w:r w:rsidRPr="00B2290F">
        <w:rPr>
          <w:rFonts w:eastAsia="Times New Roman"/>
          <w:sz w:val="24"/>
          <w:szCs w:val="24"/>
        </w:rPr>
        <w:t>Schwendeman</w:t>
      </w:r>
      <w:proofErr w:type="spellEnd"/>
      <w:r w:rsidRPr="00B2290F">
        <w:rPr>
          <w:rFonts w:eastAsia="Times New Roman"/>
          <w:sz w:val="24"/>
          <w:szCs w:val="24"/>
        </w:rPr>
        <w:t xml:space="preserve">, M., Thomson, J., &amp; Cronin, M.F. (2014). Historical Wave and Wind Observations at Ocean Station P. </w:t>
      </w:r>
      <w:r w:rsidRPr="00B2290F">
        <w:rPr>
          <w:rFonts w:eastAsia="Times New Roman"/>
          <w:i/>
          <w:sz w:val="24"/>
          <w:szCs w:val="24"/>
        </w:rPr>
        <w:t>Technical Report no. 1407</w:t>
      </w:r>
      <w:r w:rsidRPr="00B2290F">
        <w:rPr>
          <w:rFonts w:eastAsia="Times New Roman"/>
          <w:sz w:val="24"/>
          <w:szCs w:val="24"/>
        </w:rPr>
        <w:t>. Washington University Seattle Applied Physics Lab, Seattle, WA.</w:t>
      </w:r>
    </w:p>
    <w:p w14:paraId="25E4AB32" w14:textId="77777777" w:rsidR="00100398" w:rsidRPr="00B2290F" w:rsidRDefault="00100398" w:rsidP="00100398">
      <w:pPr>
        <w:keepLines/>
        <w:widowControl w:val="0"/>
        <w:shd w:val="clear" w:color="auto" w:fill="FFFFFF"/>
        <w:ind w:left="360" w:hanging="360"/>
        <w:rPr>
          <w:rFonts w:eastAsia="Times New Roman"/>
          <w:sz w:val="24"/>
          <w:szCs w:val="24"/>
        </w:rPr>
      </w:pPr>
      <w:r w:rsidRPr="00B2290F">
        <w:rPr>
          <w:rFonts w:eastAsia="Times New Roman"/>
          <w:color w:val="1A1A1A"/>
          <w:sz w:val="24"/>
          <w:szCs w:val="24"/>
        </w:rPr>
        <w:t xml:space="preserve">Benson, B.B. &amp; Krause Jr., D. (1984). The concentration and isotopic fractionation of oxygen dissolved in freshwater and seawater in equilibrium with the atmosphere. </w:t>
      </w:r>
      <w:r w:rsidRPr="00B2290F">
        <w:rPr>
          <w:rFonts w:eastAsia="Times New Roman"/>
          <w:i/>
          <w:color w:val="1A1A1A"/>
          <w:sz w:val="24"/>
          <w:szCs w:val="24"/>
        </w:rPr>
        <w:t>Limnology and Oceanography,</w:t>
      </w:r>
      <w:r w:rsidRPr="00B2290F">
        <w:rPr>
          <w:rFonts w:eastAsia="Times New Roman"/>
          <w:color w:val="1A1A1A"/>
          <w:sz w:val="24"/>
          <w:szCs w:val="24"/>
        </w:rPr>
        <w:t xml:space="preserve"> 29(3), 620–632. https://doi.org/10.4319/lo.1984.29.3.0620</w:t>
      </w:r>
    </w:p>
    <w:p w14:paraId="508864F2" w14:textId="77777777" w:rsidR="00100398" w:rsidRPr="00B2290F" w:rsidRDefault="00100398" w:rsidP="00100398">
      <w:pPr>
        <w:keepLines/>
        <w:widowControl w:val="0"/>
        <w:ind w:left="360" w:hanging="360"/>
        <w:rPr>
          <w:rFonts w:eastAsia="Times New Roman"/>
          <w:sz w:val="24"/>
          <w:szCs w:val="24"/>
        </w:rPr>
      </w:pPr>
      <w:r w:rsidRPr="00B2290F">
        <w:rPr>
          <w:rFonts w:eastAsia="Times New Roman"/>
          <w:sz w:val="24"/>
          <w:szCs w:val="24"/>
        </w:rPr>
        <w:t xml:space="preserve">Bond, N.A., Cronin, M.F., Freeland, H., &amp; Mantua, N. (2015). Causes and impacts of the 2014 warm anomaly in the NE Pacific. </w:t>
      </w:r>
      <w:r w:rsidRPr="00B2290F">
        <w:rPr>
          <w:rFonts w:eastAsia="Times New Roman"/>
          <w:i/>
          <w:sz w:val="24"/>
          <w:szCs w:val="24"/>
        </w:rPr>
        <w:t>Geophysical Research Letters</w:t>
      </w:r>
      <w:r w:rsidRPr="00B2290F">
        <w:rPr>
          <w:rFonts w:eastAsia="Times New Roman"/>
          <w:sz w:val="24"/>
          <w:szCs w:val="24"/>
        </w:rPr>
        <w:t xml:space="preserve">, 42(9), 3414–3420. </w:t>
      </w:r>
      <w:r w:rsidRPr="00B2290F">
        <w:rPr>
          <w:rFonts w:eastAsia="Times New Roman"/>
          <w:color w:val="262626"/>
          <w:sz w:val="24"/>
          <w:szCs w:val="24"/>
          <w:highlight w:val="white"/>
        </w:rPr>
        <w:t>https://doi.org/</w:t>
      </w:r>
      <w:r w:rsidRPr="00B2290F">
        <w:rPr>
          <w:rFonts w:eastAsia="Times New Roman"/>
          <w:sz w:val="24"/>
          <w:szCs w:val="24"/>
        </w:rPr>
        <w:t>10.1002/2015gl063306</w:t>
      </w:r>
    </w:p>
    <w:p w14:paraId="1B957235"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Calambokidis</w:t>
      </w:r>
      <w:proofErr w:type="spellEnd"/>
      <w:r w:rsidRPr="00B2290F">
        <w:rPr>
          <w:rFonts w:eastAsia="Times New Roman"/>
          <w:sz w:val="24"/>
          <w:szCs w:val="24"/>
        </w:rPr>
        <w:t xml:space="preserve">, J., Barlow, J., Ford, J.K.B., Chandler, T.E., &amp; Douglas, A.B. (2009). Insights into the population structure of blue whales in the Eastern North Pacific from recent sightings and photographic identification. </w:t>
      </w:r>
      <w:r w:rsidRPr="00B2290F">
        <w:rPr>
          <w:rFonts w:eastAsia="Times New Roman"/>
          <w:i/>
          <w:sz w:val="24"/>
          <w:szCs w:val="24"/>
        </w:rPr>
        <w:t>Marine Mammal Science</w:t>
      </w:r>
      <w:r w:rsidRPr="00B2290F">
        <w:rPr>
          <w:rFonts w:eastAsia="Times New Roman"/>
          <w:sz w:val="24"/>
          <w:szCs w:val="24"/>
        </w:rPr>
        <w:t xml:space="preserve">, 25(4), 816–832. </w:t>
      </w:r>
      <w:r w:rsidRPr="00B2290F">
        <w:rPr>
          <w:rFonts w:eastAsia="Times New Roman"/>
          <w:color w:val="262626"/>
          <w:sz w:val="24"/>
          <w:szCs w:val="24"/>
          <w:highlight w:val="white"/>
        </w:rPr>
        <w:t>https://doi.org/</w:t>
      </w:r>
      <w:r w:rsidRPr="00B2290F">
        <w:rPr>
          <w:rFonts w:eastAsia="Times New Roman"/>
          <w:sz w:val="24"/>
          <w:szCs w:val="24"/>
        </w:rPr>
        <w:t>10.1111/j.1748-7692.2009.00298.x</w:t>
      </w:r>
    </w:p>
    <w:p w14:paraId="4F4B0A02"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Capotondi</w:t>
      </w:r>
      <w:proofErr w:type="spellEnd"/>
      <w:r w:rsidRPr="00B2290F">
        <w:rPr>
          <w:rFonts w:eastAsia="Times New Roman"/>
          <w:sz w:val="24"/>
          <w:szCs w:val="24"/>
        </w:rPr>
        <w:t xml:space="preserve">, A., Newman, M., Xu, T., &amp; Di Lorenzo, E. (2022). An Optimal Precursor of Northeast Pacific Marine Heatwaves and Central Pacific El Niño Events. </w:t>
      </w:r>
      <w:r w:rsidRPr="00B2290F">
        <w:rPr>
          <w:rFonts w:eastAsia="Times New Roman"/>
          <w:i/>
          <w:sz w:val="24"/>
          <w:szCs w:val="24"/>
        </w:rPr>
        <w:t>Geophysical Research Letters</w:t>
      </w:r>
      <w:r w:rsidRPr="00B2290F">
        <w:rPr>
          <w:rFonts w:eastAsia="Times New Roman"/>
          <w:sz w:val="24"/>
          <w:szCs w:val="24"/>
        </w:rPr>
        <w:t xml:space="preserve">, 49(5). </w:t>
      </w:r>
      <w:r w:rsidRPr="00B2290F">
        <w:rPr>
          <w:rFonts w:eastAsia="Times New Roman"/>
          <w:color w:val="262626"/>
          <w:sz w:val="24"/>
          <w:szCs w:val="24"/>
        </w:rPr>
        <w:t>https://doi.org/</w:t>
      </w:r>
      <w:r w:rsidRPr="00B2290F">
        <w:rPr>
          <w:rFonts w:eastAsia="Times New Roman"/>
          <w:sz w:val="24"/>
          <w:szCs w:val="24"/>
        </w:rPr>
        <w:t>10.1029/2021gl097350</w:t>
      </w:r>
    </w:p>
    <w:p w14:paraId="0CCBD5C2"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Cavole</w:t>
      </w:r>
      <w:proofErr w:type="spellEnd"/>
      <w:r w:rsidRPr="00B2290F">
        <w:rPr>
          <w:rFonts w:eastAsia="Times New Roman"/>
          <w:sz w:val="24"/>
          <w:szCs w:val="24"/>
        </w:rPr>
        <w:t xml:space="preserve">, L. M., </w:t>
      </w:r>
      <w:proofErr w:type="spellStart"/>
      <w:r w:rsidRPr="00B2290F">
        <w:rPr>
          <w:rFonts w:eastAsia="Times New Roman"/>
          <w:sz w:val="24"/>
          <w:szCs w:val="24"/>
        </w:rPr>
        <w:t>Demko</w:t>
      </w:r>
      <w:proofErr w:type="spellEnd"/>
      <w:r w:rsidRPr="00B2290F">
        <w:rPr>
          <w:rFonts w:eastAsia="Times New Roman"/>
          <w:sz w:val="24"/>
          <w:szCs w:val="24"/>
        </w:rPr>
        <w:t xml:space="preserve">, A. M., Diner, R. E., Giddings, A., Koester, I., </w:t>
      </w:r>
      <w:proofErr w:type="spellStart"/>
      <w:r w:rsidRPr="00B2290F">
        <w:rPr>
          <w:rFonts w:eastAsia="Times New Roman"/>
          <w:sz w:val="24"/>
          <w:szCs w:val="24"/>
        </w:rPr>
        <w:t>Pagniello</w:t>
      </w:r>
      <w:proofErr w:type="spellEnd"/>
      <w:r w:rsidRPr="00B2290F">
        <w:rPr>
          <w:rFonts w:eastAsia="Times New Roman"/>
          <w:sz w:val="24"/>
          <w:szCs w:val="24"/>
        </w:rPr>
        <w:t xml:space="preserve">, C. M. L. S., Paulsen, M.-L., Ramirez-Valdez, A., </w:t>
      </w:r>
      <w:proofErr w:type="spellStart"/>
      <w:r w:rsidRPr="00B2290F">
        <w:rPr>
          <w:rFonts w:eastAsia="Times New Roman"/>
          <w:sz w:val="24"/>
          <w:szCs w:val="24"/>
        </w:rPr>
        <w:t>Schwenck</w:t>
      </w:r>
      <w:proofErr w:type="spellEnd"/>
      <w:r w:rsidRPr="00B2290F">
        <w:rPr>
          <w:rFonts w:eastAsia="Times New Roman"/>
          <w:sz w:val="24"/>
          <w:szCs w:val="24"/>
        </w:rPr>
        <w:t xml:space="preserve">, S. M., Yen, N. K., Zill, M. E., &amp; Franks, P. J. S. (2016). Biological Impacts of the 2013–2015 Warm-Water Anomaly in the Northeast Pacific: Winners, Losers, and the Future. </w:t>
      </w:r>
      <w:r w:rsidRPr="00B2290F">
        <w:rPr>
          <w:rFonts w:eastAsia="Times New Roman"/>
          <w:i/>
          <w:sz w:val="24"/>
          <w:szCs w:val="24"/>
        </w:rPr>
        <w:t>Oceanography</w:t>
      </w:r>
      <w:r w:rsidRPr="00B2290F">
        <w:rPr>
          <w:rFonts w:eastAsia="Times New Roman"/>
          <w:sz w:val="24"/>
          <w:szCs w:val="24"/>
        </w:rPr>
        <w:t xml:space="preserve">, </w:t>
      </w:r>
      <w:r w:rsidRPr="00B2290F">
        <w:rPr>
          <w:rFonts w:eastAsia="Times New Roman"/>
          <w:i/>
          <w:sz w:val="24"/>
          <w:szCs w:val="24"/>
        </w:rPr>
        <w:t>29</w:t>
      </w:r>
      <w:r w:rsidRPr="00B2290F">
        <w:rPr>
          <w:rFonts w:eastAsia="Times New Roman"/>
          <w:sz w:val="24"/>
          <w:szCs w:val="24"/>
        </w:rPr>
        <w:t>(2), 273–285. https://doi.org/10.5670/oceanog.2016.32</w:t>
      </w:r>
    </w:p>
    <w:p w14:paraId="02D41D97"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Cheung, W.W.L., &amp; </w:t>
      </w:r>
      <w:proofErr w:type="spellStart"/>
      <w:r w:rsidRPr="00B2290F">
        <w:rPr>
          <w:rFonts w:eastAsia="Times New Roman"/>
          <w:sz w:val="24"/>
          <w:szCs w:val="24"/>
        </w:rPr>
        <w:t>Frölicher</w:t>
      </w:r>
      <w:proofErr w:type="spellEnd"/>
      <w:r w:rsidRPr="00B2290F">
        <w:rPr>
          <w:rFonts w:eastAsia="Times New Roman"/>
          <w:sz w:val="24"/>
          <w:szCs w:val="24"/>
        </w:rPr>
        <w:t xml:space="preserve">, T.L. (2020). Marine heatwaves exacerbate climate change impacts for fisheries in the northeast Pacific. </w:t>
      </w:r>
      <w:r w:rsidRPr="00B2290F">
        <w:rPr>
          <w:rFonts w:eastAsia="Times New Roman"/>
          <w:i/>
          <w:sz w:val="24"/>
          <w:szCs w:val="24"/>
        </w:rPr>
        <w:t>Scientific Reports</w:t>
      </w:r>
      <w:r w:rsidRPr="00B2290F">
        <w:rPr>
          <w:rFonts w:eastAsia="Times New Roman"/>
          <w:sz w:val="24"/>
          <w:szCs w:val="24"/>
        </w:rPr>
        <w:t xml:space="preserve">, 10(1), 1–10. </w:t>
      </w:r>
      <w:r w:rsidRPr="00B2290F">
        <w:rPr>
          <w:rFonts w:eastAsia="Times New Roman"/>
          <w:color w:val="262626"/>
          <w:sz w:val="24"/>
          <w:szCs w:val="24"/>
          <w:highlight w:val="white"/>
        </w:rPr>
        <w:t>https://doi.org/</w:t>
      </w:r>
      <w:r w:rsidRPr="00B2290F">
        <w:rPr>
          <w:rFonts w:eastAsia="Times New Roman"/>
          <w:sz w:val="24"/>
          <w:szCs w:val="24"/>
        </w:rPr>
        <w:t>10.1038/s41598-020-63650-z</w:t>
      </w:r>
    </w:p>
    <w:p w14:paraId="1E7FE07B"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Cronin, M.F., </w:t>
      </w:r>
      <w:proofErr w:type="spellStart"/>
      <w:r w:rsidRPr="00B2290F">
        <w:rPr>
          <w:rFonts w:eastAsia="Times New Roman"/>
          <w:sz w:val="24"/>
          <w:szCs w:val="24"/>
        </w:rPr>
        <w:t>Pelland</w:t>
      </w:r>
      <w:proofErr w:type="spellEnd"/>
      <w:r w:rsidRPr="00B2290F">
        <w:rPr>
          <w:rFonts w:eastAsia="Times New Roman"/>
          <w:sz w:val="24"/>
          <w:szCs w:val="24"/>
        </w:rPr>
        <w:t xml:space="preserve">, N.A., Emerson, S.R., &amp; Crawford, W.R. (2015). Estimating diffusivity from the mixed layer heat and salt balances in the North Pacific. </w:t>
      </w:r>
      <w:r w:rsidRPr="00B2290F">
        <w:rPr>
          <w:rFonts w:eastAsia="Times New Roman"/>
          <w:i/>
          <w:sz w:val="24"/>
          <w:szCs w:val="24"/>
        </w:rPr>
        <w:t>Journal of Geophysical Research: Oceans</w:t>
      </w:r>
      <w:r w:rsidRPr="00B2290F">
        <w:rPr>
          <w:rFonts w:eastAsia="Times New Roman"/>
          <w:sz w:val="24"/>
          <w:szCs w:val="24"/>
        </w:rPr>
        <w:t xml:space="preserve">, 120(11), 7346–7362. </w:t>
      </w:r>
      <w:r w:rsidRPr="00B2290F">
        <w:rPr>
          <w:rFonts w:eastAsia="Times New Roman"/>
          <w:color w:val="262626"/>
          <w:sz w:val="24"/>
          <w:szCs w:val="24"/>
          <w:highlight w:val="white"/>
        </w:rPr>
        <w:t>https://doi.org/</w:t>
      </w:r>
      <w:r w:rsidRPr="00B2290F">
        <w:rPr>
          <w:rFonts w:eastAsia="Times New Roman"/>
          <w:sz w:val="24"/>
          <w:szCs w:val="24"/>
        </w:rPr>
        <w:t>10.1002/2015jc011010</w:t>
      </w:r>
    </w:p>
    <w:p w14:paraId="2AD3921F"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Cummins, P.F., &amp; Freeland, H.J. (2007). Variability of the North Pacific Current and its bifurcation. </w:t>
      </w:r>
      <w:r w:rsidRPr="00B2290F">
        <w:rPr>
          <w:rFonts w:eastAsia="Times New Roman"/>
          <w:i/>
          <w:sz w:val="24"/>
          <w:szCs w:val="24"/>
        </w:rPr>
        <w:t>Progress in Oceanography</w:t>
      </w:r>
      <w:r w:rsidRPr="00B2290F">
        <w:rPr>
          <w:rFonts w:eastAsia="Times New Roman"/>
          <w:sz w:val="24"/>
          <w:szCs w:val="24"/>
        </w:rPr>
        <w:t xml:space="preserve">, 75(2), 253–265. </w:t>
      </w:r>
      <w:r w:rsidRPr="00B2290F">
        <w:rPr>
          <w:rFonts w:eastAsia="Times New Roman"/>
          <w:color w:val="262626"/>
          <w:sz w:val="24"/>
          <w:szCs w:val="24"/>
          <w:highlight w:val="white"/>
        </w:rPr>
        <w:t>https://doi.org/</w:t>
      </w:r>
      <w:r w:rsidRPr="00B2290F">
        <w:rPr>
          <w:rFonts w:eastAsia="Times New Roman"/>
          <w:sz w:val="24"/>
          <w:szCs w:val="24"/>
        </w:rPr>
        <w:t>10.1016/j.pocean.2007.08.006</w:t>
      </w:r>
    </w:p>
    <w:p w14:paraId="11998C07"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de Boyer </w:t>
      </w:r>
      <w:proofErr w:type="spellStart"/>
      <w:r w:rsidRPr="00B2290F">
        <w:rPr>
          <w:rFonts w:eastAsia="Times New Roman"/>
          <w:sz w:val="24"/>
          <w:szCs w:val="24"/>
        </w:rPr>
        <w:t>Montégut</w:t>
      </w:r>
      <w:proofErr w:type="spellEnd"/>
      <w:r w:rsidRPr="00B2290F">
        <w:rPr>
          <w:rFonts w:eastAsia="Times New Roman"/>
          <w:sz w:val="24"/>
          <w:szCs w:val="24"/>
        </w:rPr>
        <w:t xml:space="preserve">, C. (2004). Mixed layer depth over the global ocean: An examination of profile data and a profile-based climatology. </w:t>
      </w:r>
      <w:r w:rsidRPr="00B2290F">
        <w:rPr>
          <w:rFonts w:eastAsia="Times New Roman"/>
          <w:i/>
          <w:sz w:val="24"/>
          <w:szCs w:val="24"/>
        </w:rPr>
        <w:t>Journal of Geophysical Research</w:t>
      </w:r>
      <w:r w:rsidRPr="00B2290F">
        <w:rPr>
          <w:rFonts w:eastAsia="Times New Roman"/>
          <w:sz w:val="24"/>
          <w:szCs w:val="24"/>
        </w:rPr>
        <w:t xml:space="preserve">, 109(C12). </w:t>
      </w:r>
      <w:r w:rsidRPr="00B2290F">
        <w:rPr>
          <w:rFonts w:eastAsia="Times New Roman"/>
          <w:color w:val="262626"/>
          <w:sz w:val="24"/>
          <w:szCs w:val="24"/>
          <w:highlight w:val="white"/>
        </w:rPr>
        <w:t>https://doi.org/</w:t>
      </w:r>
      <w:r w:rsidRPr="00B2290F">
        <w:rPr>
          <w:rFonts w:eastAsia="Times New Roman"/>
          <w:sz w:val="24"/>
          <w:szCs w:val="24"/>
        </w:rPr>
        <w:t>10.1029/2004jc002378</w:t>
      </w:r>
    </w:p>
    <w:p w14:paraId="4A9D9713"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Di Lorenzo, E., &amp; Mantua, N. (2016). Multi-year persistence of the 2014/15 North Pacific marine heatwave. </w:t>
      </w:r>
      <w:r w:rsidRPr="00B2290F">
        <w:rPr>
          <w:rFonts w:eastAsia="Times New Roman"/>
          <w:i/>
          <w:sz w:val="24"/>
          <w:szCs w:val="24"/>
        </w:rPr>
        <w:t>Nature Climate Change</w:t>
      </w:r>
      <w:r w:rsidRPr="00B2290F">
        <w:rPr>
          <w:rFonts w:eastAsia="Times New Roman"/>
          <w:sz w:val="24"/>
          <w:szCs w:val="24"/>
        </w:rPr>
        <w:t xml:space="preserve">, 6(11), 1042–1047. </w:t>
      </w:r>
      <w:r w:rsidRPr="00B2290F">
        <w:rPr>
          <w:rFonts w:eastAsia="Times New Roman"/>
          <w:color w:val="262626"/>
          <w:sz w:val="24"/>
          <w:szCs w:val="24"/>
          <w:highlight w:val="white"/>
        </w:rPr>
        <w:lastRenderedPageBreak/>
        <w:t>https://doi.org/</w:t>
      </w:r>
      <w:r w:rsidRPr="00B2290F">
        <w:rPr>
          <w:rFonts w:eastAsia="Times New Roman"/>
          <w:sz w:val="24"/>
          <w:szCs w:val="24"/>
        </w:rPr>
        <w:t>10.1038/nclimate3082</w:t>
      </w:r>
    </w:p>
    <w:p w14:paraId="1AB98607" w14:textId="77777777" w:rsidR="00100398" w:rsidRPr="00B2290F" w:rsidRDefault="00100398" w:rsidP="00100398">
      <w:pPr>
        <w:widowControl w:val="0"/>
        <w:ind w:left="360" w:hanging="360"/>
        <w:rPr>
          <w:rFonts w:eastAsia="Times New Roman"/>
          <w:sz w:val="24"/>
          <w:szCs w:val="24"/>
        </w:rPr>
      </w:pPr>
      <w:sdt>
        <w:sdtPr>
          <w:rPr>
            <w:sz w:val="24"/>
            <w:szCs w:val="24"/>
          </w:rPr>
          <w:tag w:val="goog_rdk_3"/>
          <w:id w:val="-1970892815"/>
        </w:sdtPr>
        <w:sdtContent>
          <w:r w:rsidRPr="00B2290F">
            <w:rPr>
              <w:rFonts w:eastAsia="Gungsuh"/>
              <w:sz w:val="24"/>
              <w:szCs w:val="24"/>
            </w:rPr>
            <w:t>Dickson, A.G. (1990). Standard potential of the reaction: AgCl(s) + 12H2(g) = Ag(s) + HCl(</w:t>
          </w:r>
          <w:proofErr w:type="spellStart"/>
          <w:r w:rsidRPr="00B2290F">
            <w:rPr>
              <w:rFonts w:eastAsia="Gungsuh"/>
              <w:sz w:val="24"/>
              <w:szCs w:val="24"/>
            </w:rPr>
            <w:t>aq</w:t>
          </w:r>
          <w:proofErr w:type="spellEnd"/>
          <w:r w:rsidRPr="00B2290F">
            <w:rPr>
              <w:rFonts w:eastAsia="Gungsuh"/>
              <w:sz w:val="24"/>
              <w:szCs w:val="24"/>
            </w:rPr>
            <w:t xml:space="preserve">), and the standard acidity constant of the ion HSO4− in synthetic sea water from 273.15 to 318.15 K. </w:t>
          </w:r>
        </w:sdtContent>
      </w:sdt>
      <w:r w:rsidRPr="00B2290F">
        <w:rPr>
          <w:rFonts w:eastAsia="Times New Roman"/>
          <w:i/>
          <w:sz w:val="24"/>
          <w:szCs w:val="24"/>
        </w:rPr>
        <w:t>The Journal of Chemical Thermodynamics</w:t>
      </w:r>
      <w:r w:rsidRPr="00B2290F">
        <w:rPr>
          <w:rFonts w:eastAsia="Times New Roman"/>
          <w:sz w:val="24"/>
          <w:szCs w:val="24"/>
        </w:rPr>
        <w:t xml:space="preserve">, 22(2), 113–127. </w:t>
      </w:r>
      <w:r w:rsidRPr="00B2290F">
        <w:rPr>
          <w:rFonts w:eastAsia="Times New Roman"/>
          <w:color w:val="262626"/>
          <w:sz w:val="24"/>
          <w:szCs w:val="24"/>
          <w:highlight w:val="white"/>
        </w:rPr>
        <w:t>https://doi.org/</w:t>
      </w:r>
      <w:r w:rsidRPr="00B2290F">
        <w:rPr>
          <w:rFonts w:eastAsia="Times New Roman"/>
          <w:sz w:val="24"/>
          <w:szCs w:val="24"/>
        </w:rPr>
        <w:t>10.1016/0021-9614(90)90074-z</w:t>
      </w:r>
    </w:p>
    <w:p w14:paraId="5A577104"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Dickson, A.G., &amp; </w:t>
      </w:r>
      <w:proofErr w:type="spellStart"/>
      <w:r w:rsidRPr="00B2290F">
        <w:rPr>
          <w:rFonts w:eastAsia="Times New Roman"/>
          <w:sz w:val="24"/>
          <w:szCs w:val="24"/>
        </w:rPr>
        <w:t>Millero</w:t>
      </w:r>
      <w:proofErr w:type="spellEnd"/>
      <w:r w:rsidRPr="00B2290F">
        <w:rPr>
          <w:rFonts w:eastAsia="Times New Roman"/>
          <w:sz w:val="24"/>
          <w:szCs w:val="24"/>
        </w:rPr>
        <w:t xml:space="preserve">, F.J. (1987). A comparison of the equilibrium constants for the dissociation of carbonic acid in seawater media. </w:t>
      </w:r>
      <w:r w:rsidRPr="00B2290F">
        <w:rPr>
          <w:rFonts w:eastAsia="Times New Roman"/>
          <w:i/>
          <w:sz w:val="24"/>
          <w:szCs w:val="24"/>
        </w:rPr>
        <w:t>Deep Sea Research Part A. Oceanographic Research Papers</w:t>
      </w:r>
      <w:r w:rsidRPr="00B2290F">
        <w:rPr>
          <w:rFonts w:eastAsia="Times New Roman"/>
          <w:sz w:val="24"/>
          <w:szCs w:val="24"/>
        </w:rPr>
        <w:t xml:space="preserve">, 34(10), 1733–1743. </w:t>
      </w:r>
      <w:r w:rsidRPr="00B2290F">
        <w:rPr>
          <w:rFonts w:eastAsia="Times New Roman"/>
          <w:color w:val="262626"/>
          <w:sz w:val="24"/>
          <w:szCs w:val="24"/>
          <w:highlight w:val="white"/>
        </w:rPr>
        <w:t>https://doi.org/</w:t>
      </w:r>
      <w:r w:rsidRPr="00B2290F">
        <w:rPr>
          <w:rFonts w:eastAsia="Times New Roman"/>
          <w:sz w:val="24"/>
          <w:szCs w:val="24"/>
        </w:rPr>
        <w:t>10.1016/0198-0149(87)90021-5</w:t>
      </w:r>
    </w:p>
    <w:p w14:paraId="67978250"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Dziak, R.P., Lee, W.S., </w:t>
      </w:r>
      <w:proofErr w:type="spellStart"/>
      <w:r w:rsidRPr="00B2290F">
        <w:rPr>
          <w:rFonts w:eastAsia="Times New Roman"/>
          <w:sz w:val="24"/>
          <w:szCs w:val="24"/>
        </w:rPr>
        <w:t>Haxel</w:t>
      </w:r>
      <w:proofErr w:type="spellEnd"/>
      <w:r w:rsidRPr="00B2290F">
        <w:rPr>
          <w:rFonts w:eastAsia="Times New Roman"/>
          <w:sz w:val="24"/>
          <w:szCs w:val="24"/>
        </w:rPr>
        <w:t xml:space="preserve">, J.H., Matsumoto, H., </w:t>
      </w:r>
      <w:proofErr w:type="spellStart"/>
      <w:r w:rsidRPr="00B2290F">
        <w:rPr>
          <w:rFonts w:eastAsia="Times New Roman"/>
          <w:sz w:val="24"/>
          <w:szCs w:val="24"/>
        </w:rPr>
        <w:t>Tepp</w:t>
      </w:r>
      <w:proofErr w:type="spellEnd"/>
      <w:r w:rsidRPr="00B2290F">
        <w:rPr>
          <w:rFonts w:eastAsia="Times New Roman"/>
          <w:sz w:val="24"/>
          <w:szCs w:val="24"/>
        </w:rPr>
        <w:t>, G., Lau, T.-</w:t>
      </w:r>
      <w:proofErr w:type="gramStart"/>
      <w:r w:rsidRPr="00B2290F">
        <w:rPr>
          <w:rFonts w:eastAsia="Times New Roman"/>
          <w:sz w:val="24"/>
          <w:szCs w:val="24"/>
        </w:rPr>
        <w:t>K. .</w:t>
      </w:r>
      <w:proofErr w:type="gramEnd"/>
      <w:r w:rsidRPr="00B2290F">
        <w:rPr>
          <w:rFonts w:eastAsia="Times New Roman"/>
          <w:sz w:val="24"/>
          <w:szCs w:val="24"/>
        </w:rPr>
        <w:t xml:space="preserve">, Roche, L., Yun, S., Lee, C.-K. ., Lee, J., &amp; Yoon, S.-T. (2019). Hydroacoustic, Meteorologic and Seismic Observations of the 2016 Nansen Ice Shelf Calving Event and Iceberg Formation. </w:t>
      </w:r>
      <w:r w:rsidRPr="00B2290F">
        <w:rPr>
          <w:rFonts w:eastAsia="Times New Roman"/>
          <w:i/>
          <w:sz w:val="24"/>
          <w:szCs w:val="24"/>
        </w:rPr>
        <w:t>Frontiers in Earth Science</w:t>
      </w:r>
      <w:r w:rsidRPr="00B2290F">
        <w:rPr>
          <w:rFonts w:eastAsia="Times New Roman"/>
          <w:sz w:val="24"/>
          <w:szCs w:val="24"/>
        </w:rPr>
        <w:t xml:space="preserve">, 7. </w:t>
      </w:r>
      <w:r w:rsidRPr="00B2290F">
        <w:rPr>
          <w:rFonts w:eastAsia="Times New Roman"/>
          <w:color w:val="262626"/>
          <w:sz w:val="24"/>
          <w:szCs w:val="24"/>
          <w:highlight w:val="white"/>
        </w:rPr>
        <w:t>https://doi.org/</w:t>
      </w:r>
      <w:r w:rsidRPr="00B2290F">
        <w:rPr>
          <w:rFonts w:eastAsia="Times New Roman"/>
          <w:sz w:val="24"/>
          <w:szCs w:val="24"/>
        </w:rPr>
        <w:t>10.3389/feart.2019.00183</w:t>
      </w:r>
    </w:p>
    <w:p w14:paraId="3A6F2B6D" w14:textId="77777777" w:rsidR="00100398" w:rsidRPr="00B2290F" w:rsidRDefault="00100398" w:rsidP="00100398">
      <w:pPr>
        <w:widowControl w:val="0"/>
        <w:ind w:left="360" w:hanging="360"/>
        <w:rPr>
          <w:rFonts w:eastAsia="Times New Roman"/>
          <w:sz w:val="24"/>
          <w:szCs w:val="24"/>
        </w:rPr>
      </w:pPr>
      <w:r w:rsidRPr="00B2290F">
        <w:rPr>
          <w:rFonts w:eastAsia="Times New Roman"/>
          <w:color w:val="222222"/>
          <w:sz w:val="24"/>
          <w:szCs w:val="24"/>
          <w:highlight w:val="white"/>
        </w:rPr>
        <w:t xml:space="preserve">Dziak, R.P., </w:t>
      </w:r>
      <w:proofErr w:type="spellStart"/>
      <w:r w:rsidRPr="00B2290F">
        <w:rPr>
          <w:rFonts w:eastAsia="Times New Roman"/>
          <w:color w:val="222222"/>
          <w:sz w:val="24"/>
          <w:szCs w:val="24"/>
          <w:highlight w:val="white"/>
        </w:rPr>
        <w:t>Haxel</w:t>
      </w:r>
      <w:proofErr w:type="spellEnd"/>
      <w:r w:rsidRPr="00B2290F">
        <w:rPr>
          <w:rFonts w:eastAsia="Times New Roman"/>
          <w:color w:val="222222"/>
          <w:sz w:val="24"/>
          <w:szCs w:val="24"/>
          <w:highlight w:val="white"/>
        </w:rPr>
        <w:t xml:space="preserve">, J.H., Lau, TK. Heimlich, S., Caplan-Auerbach, J., Mellinger, D. K., Matsumoto, H., </w:t>
      </w:r>
      <w:r w:rsidRPr="00B2290F">
        <w:rPr>
          <w:rFonts w:eastAsia="Times New Roman"/>
          <w:sz w:val="24"/>
          <w:szCs w:val="24"/>
        </w:rPr>
        <w:t>&amp;</w:t>
      </w:r>
      <w:r w:rsidRPr="00B2290F">
        <w:rPr>
          <w:rFonts w:eastAsia="Times New Roman"/>
          <w:color w:val="222222"/>
          <w:sz w:val="24"/>
          <w:szCs w:val="24"/>
          <w:highlight w:val="white"/>
        </w:rPr>
        <w:t xml:space="preserve"> Mate, B. (2017). A pulsed-air model of blue whale B call vocalizations. </w:t>
      </w:r>
      <w:r w:rsidRPr="00B2290F">
        <w:rPr>
          <w:rFonts w:eastAsia="Times New Roman"/>
          <w:i/>
          <w:color w:val="222222"/>
          <w:sz w:val="24"/>
          <w:szCs w:val="24"/>
        </w:rPr>
        <w:t>Scientific Reports,</w:t>
      </w:r>
      <w:r w:rsidRPr="00B2290F">
        <w:rPr>
          <w:rFonts w:eastAsia="Times New Roman"/>
          <w:color w:val="222222"/>
          <w:sz w:val="24"/>
          <w:szCs w:val="24"/>
        </w:rPr>
        <w:t xml:space="preserve"> 7(9122). </w:t>
      </w:r>
      <w:r w:rsidRPr="00B2290F">
        <w:rPr>
          <w:rFonts w:eastAsia="Times New Roman"/>
          <w:color w:val="262626"/>
          <w:sz w:val="24"/>
          <w:szCs w:val="24"/>
        </w:rPr>
        <w:t>https://doi.org/</w:t>
      </w:r>
      <w:r w:rsidRPr="00B2290F">
        <w:rPr>
          <w:rFonts w:eastAsia="Times New Roman"/>
          <w:color w:val="222222"/>
          <w:sz w:val="24"/>
          <w:szCs w:val="24"/>
        </w:rPr>
        <w:t>10.1038/s41598-017-09423-7</w:t>
      </w:r>
    </w:p>
    <w:p w14:paraId="55E1D1CF"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Fairall</w:t>
      </w:r>
      <w:proofErr w:type="spellEnd"/>
      <w:r w:rsidRPr="00B2290F">
        <w:rPr>
          <w:rFonts w:eastAsia="Times New Roman"/>
          <w:sz w:val="24"/>
          <w:szCs w:val="24"/>
        </w:rPr>
        <w:t xml:space="preserve">, C.W., Bradley, E.F., Hare, J.E., </w:t>
      </w:r>
      <w:proofErr w:type="spellStart"/>
      <w:r w:rsidRPr="00B2290F">
        <w:rPr>
          <w:rFonts w:eastAsia="Times New Roman"/>
          <w:sz w:val="24"/>
          <w:szCs w:val="24"/>
        </w:rPr>
        <w:t>Grachev</w:t>
      </w:r>
      <w:proofErr w:type="spellEnd"/>
      <w:r w:rsidRPr="00B2290F">
        <w:rPr>
          <w:rFonts w:eastAsia="Times New Roman"/>
          <w:sz w:val="24"/>
          <w:szCs w:val="24"/>
        </w:rPr>
        <w:t xml:space="preserve">, A.A., &amp; Edson, J.B. (2003). Bulk Parameterization of Air–Sea Fluxes: Updates and Verification for the COARE Algorithm. </w:t>
      </w:r>
      <w:r w:rsidRPr="00B2290F">
        <w:rPr>
          <w:rFonts w:eastAsia="Times New Roman"/>
          <w:i/>
          <w:sz w:val="24"/>
          <w:szCs w:val="24"/>
        </w:rPr>
        <w:t>Journal of Climate</w:t>
      </w:r>
      <w:r w:rsidRPr="00B2290F">
        <w:rPr>
          <w:rFonts w:eastAsia="Times New Roman"/>
          <w:sz w:val="24"/>
          <w:szCs w:val="24"/>
        </w:rPr>
        <w:t xml:space="preserve">, 16(4), 571–591 </w:t>
      </w:r>
      <w:r w:rsidRPr="00B2290F">
        <w:rPr>
          <w:rFonts w:eastAsia="Times New Roman"/>
          <w:color w:val="262626"/>
          <w:sz w:val="24"/>
          <w:szCs w:val="24"/>
          <w:highlight w:val="white"/>
        </w:rPr>
        <w:t>https://doi.org/</w:t>
      </w:r>
      <w:r w:rsidRPr="00B2290F">
        <w:rPr>
          <w:rFonts w:eastAsia="Times New Roman"/>
          <w:sz w:val="24"/>
          <w:szCs w:val="24"/>
        </w:rPr>
        <w:t>10.1175/1520-0442(2003)016&lt;</w:t>
      </w:r>
      <w:proofErr w:type="gramStart"/>
      <w:r w:rsidRPr="00B2290F">
        <w:rPr>
          <w:rFonts w:eastAsia="Times New Roman"/>
          <w:sz w:val="24"/>
          <w:szCs w:val="24"/>
        </w:rPr>
        <w:t>0571:BPOASF</w:t>
      </w:r>
      <w:proofErr w:type="gramEnd"/>
      <w:r w:rsidRPr="00B2290F">
        <w:rPr>
          <w:rFonts w:eastAsia="Times New Roman"/>
          <w:sz w:val="24"/>
          <w:szCs w:val="24"/>
        </w:rPr>
        <w:t>&gt;2.0.CO;2</w:t>
      </w:r>
    </w:p>
    <w:p w14:paraId="533ACA8A"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Franco, A.C., </w:t>
      </w:r>
      <w:proofErr w:type="spellStart"/>
      <w:r w:rsidRPr="00B2290F">
        <w:rPr>
          <w:rFonts w:eastAsia="Times New Roman"/>
          <w:sz w:val="24"/>
          <w:szCs w:val="24"/>
        </w:rPr>
        <w:t>Ianson</w:t>
      </w:r>
      <w:proofErr w:type="spellEnd"/>
      <w:r w:rsidRPr="00B2290F">
        <w:rPr>
          <w:rFonts w:eastAsia="Times New Roman"/>
          <w:sz w:val="24"/>
          <w:szCs w:val="24"/>
        </w:rPr>
        <w:t xml:space="preserve">, D., Ross, T., </w:t>
      </w:r>
      <w:proofErr w:type="spellStart"/>
      <w:r w:rsidRPr="00B2290F">
        <w:rPr>
          <w:rFonts w:eastAsia="Times New Roman"/>
          <w:sz w:val="24"/>
          <w:szCs w:val="24"/>
        </w:rPr>
        <w:t>Hamme</w:t>
      </w:r>
      <w:proofErr w:type="spellEnd"/>
      <w:r w:rsidRPr="00B2290F">
        <w:rPr>
          <w:rFonts w:eastAsia="Times New Roman"/>
          <w:sz w:val="24"/>
          <w:szCs w:val="24"/>
        </w:rPr>
        <w:t xml:space="preserve">, R.C., Monahan, A.H., Christian, J.R., </w:t>
      </w:r>
      <w:proofErr w:type="spellStart"/>
      <w:r w:rsidRPr="00B2290F">
        <w:rPr>
          <w:rFonts w:eastAsia="Times New Roman"/>
          <w:sz w:val="24"/>
          <w:szCs w:val="24"/>
        </w:rPr>
        <w:t>Davelaar</w:t>
      </w:r>
      <w:proofErr w:type="spellEnd"/>
      <w:r w:rsidRPr="00B2290F">
        <w:rPr>
          <w:rFonts w:eastAsia="Times New Roman"/>
          <w:sz w:val="24"/>
          <w:szCs w:val="24"/>
        </w:rPr>
        <w:t xml:space="preserve">, M., Johnson, W.K., Miller, L.A., Robert, M., &amp; </w:t>
      </w:r>
      <w:proofErr w:type="spellStart"/>
      <w:r w:rsidRPr="00B2290F">
        <w:rPr>
          <w:rFonts w:eastAsia="Times New Roman"/>
          <w:sz w:val="24"/>
          <w:szCs w:val="24"/>
        </w:rPr>
        <w:t>Tortell</w:t>
      </w:r>
      <w:proofErr w:type="spellEnd"/>
      <w:r w:rsidRPr="00B2290F">
        <w:rPr>
          <w:rFonts w:eastAsia="Times New Roman"/>
          <w:sz w:val="24"/>
          <w:szCs w:val="24"/>
        </w:rPr>
        <w:t xml:space="preserve">, P.D. (2021). Anthropogenic and Climatic Contributions to Observed Carbon System Trends in the Northeast Pacific. </w:t>
      </w:r>
      <w:r w:rsidRPr="00B2290F">
        <w:rPr>
          <w:rFonts w:eastAsia="Times New Roman"/>
          <w:i/>
          <w:sz w:val="24"/>
          <w:szCs w:val="24"/>
        </w:rPr>
        <w:t>Global Biogeochemical Cycles</w:t>
      </w:r>
      <w:r w:rsidRPr="00B2290F">
        <w:rPr>
          <w:rFonts w:eastAsia="Times New Roman"/>
          <w:sz w:val="24"/>
          <w:szCs w:val="24"/>
        </w:rPr>
        <w:t xml:space="preserve">, 35(7). </w:t>
      </w:r>
      <w:r w:rsidRPr="00B2290F">
        <w:rPr>
          <w:rFonts w:eastAsia="Times New Roman"/>
          <w:color w:val="262626"/>
          <w:sz w:val="24"/>
          <w:szCs w:val="24"/>
          <w:highlight w:val="white"/>
        </w:rPr>
        <w:t>https://doi.org/</w:t>
      </w:r>
      <w:r w:rsidRPr="00B2290F">
        <w:rPr>
          <w:rFonts w:eastAsia="Times New Roman"/>
          <w:sz w:val="24"/>
          <w:szCs w:val="24"/>
        </w:rPr>
        <w:t>10.1029/2020gb006829</w:t>
      </w:r>
    </w:p>
    <w:p w14:paraId="1178EFE5"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Freeland, H. (2007). A short history of Ocean Station Papa and Line P. </w:t>
      </w:r>
      <w:r w:rsidRPr="00B2290F">
        <w:rPr>
          <w:rFonts w:eastAsia="Times New Roman"/>
          <w:i/>
          <w:sz w:val="24"/>
          <w:szCs w:val="24"/>
        </w:rPr>
        <w:t>Progress in Oceanography</w:t>
      </w:r>
      <w:r w:rsidRPr="00B2290F">
        <w:rPr>
          <w:rFonts w:eastAsia="Times New Roman"/>
          <w:sz w:val="24"/>
          <w:szCs w:val="24"/>
        </w:rPr>
        <w:t xml:space="preserve">, 75(2), 120–125. </w:t>
      </w:r>
      <w:hyperlink r:id="rId34">
        <w:r w:rsidRPr="00B2290F">
          <w:rPr>
            <w:rFonts w:eastAsia="Times New Roman"/>
            <w:color w:val="1155CC"/>
            <w:sz w:val="24"/>
            <w:szCs w:val="24"/>
            <w:u w:val="single"/>
          </w:rPr>
          <w:t>https://doi.org/</w:t>
        </w:r>
      </w:hyperlink>
      <w:hyperlink r:id="rId35">
        <w:r w:rsidRPr="00B2290F">
          <w:rPr>
            <w:rFonts w:eastAsia="Times New Roman"/>
            <w:color w:val="1155CC"/>
            <w:sz w:val="24"/>
            <w:szCs w:val="24"/>
            <w:u w:val="single"/>
          </w:rPr>
          <w:t>10.1016/j.pocean.2007.08.005</w:t>
        </w:r>
      </w:hyperlink>
    </w:p>
    <w:p w14:paraId="6797DCE9" w14:textId="77777777" w:rsidR="00100398" w:rsidRPr="00B2290F" w:rsidRDefault="00100398" w:rsidP="00100398">
      <w:pPr>
        <w:widowControl w:val="0"/>
        <w:shd w:val="clear" w:color="auto" w:fill="FFFFFF"/>
        <w:spacing w:line="276" w:lineRule="auto"/>
        <w:ind w:left="360" w:hanging="360"/>
        <w:rPr>
          <w:rFonts w:eastAsia="Times New Roman"/>
          <w:color w:val="1A1A1A"/>
          <w:sz w:val="24"/>
          <w:szCs w:val="24"/>
        </w:rPr>
      </w:pPr>
      <w:r w:rsidRPr="00B2290F">
        <w:rPr>
          <w:rFonts w:eastAsia="Times New Roman"/>
          <w:color w:val="1A1A1A"/>
          <w:sz w:val="24"/>
          <w:szCs w:val="24"/>
        </w:rPr>
        <w:t xml:space="preserve">Garcia, H.E. &amp; Gordon, L.I. (1992). Oxygen solubility in seawater: </w:t>
      </w:r>
      <w:proofErr w:type="gramStart"/>
      <w:r w:rsidRPr="00B2290F">
        <w:rPr>
          <w:rFonts w:eastAsia="Times New Roman"/>
          <w:color w:val="1A1A1A"/>
          <w:sz w:val="24"/>
          <w:szCs w:val="24"/>
        </w:rPr>
        <w:t>Better</w:t>
      </w:r>
      <w:proofErr w:type="gramEnd"/>
      <w:r w:rsidRPr="00B2290F">
        <w:rPr>
          <w:rFonts w:eastAsia="Times New Roman"/>
          <w:color w:val="1A1A1A"/>
          <w:sz w:val="24"/>
          <w:szCs w:val="24"/>
        </w:rPr>
        <w:t xml:space="preserve"> fitting equations. </w:t>
      </w:r>
      <w:r w:rsidRPr="00B2290F">
        <w:rPr>
          <w:rFonts w:eastAsia="Times New Roman"/>
          <w:i/>
          <w:color w:val="1A1A1A"/>
          <w:sz w:val="24"/>
          <w:szCs w:val="24"/>
        </w:rPr>
        <w:t>Limnology and Oceanography</w:t>
      </w:r>
      <w:r w:rsidRPr="00B2290F">
        <w:rPr>
          <w:rFonts w:eastAsia="Times New Roman"/>
          <w:color w:val="1A1A1A"/>
          <w:sz w:val="24"/>
          <w:szCs w:val="24"/>
        </w:rPr>
        <w:t>, 37(6), 1307–1312. https://doi.org/10.4319/lo.1992.37.6.1307.</w:t>
      </w:r>
    </w:p>
    <w:p w14:paraId="4802C3BD" w14:textId="77777777" w:rsidR="00100398" w:rsidRPr="00B2290F" w:rsidRDefault="00100398" w:rsidP="00100398">
      <w:pPr>
        <w:widowControl w:val="0"/>
        <w:shd w:val="clear" w:color="auto" w:fill="FFFFFF"/>
        <w:spacing w:line="276" w:lineRule="auto"/>
        <w:ind w:left="360" w:hanging="360"/>
        <w:rPr>
          <w:rFonts w:eastAsia="Times New Roman"/>
          <w:sz w:val="24"/>
          <w:szCs w:val="24"/>
        </w:rPr>
      </w:pPr>
      <w:r w:rsidRPr="00B2290F">
        <w:rPr>
          <w:rFonts w:eastAsia="Times New Roman"/>
          <w:color w:val="1A1A1A"/>
          <w:sz w:val="24"/>
          <w:szCs w:val="24"/>
        </w:rPr>
        <w:t xml:space="preserve">Garcia, H.E. &amp; Gordon, L.I. (1993). Erratum: Oxygen solubility in seawater: </w:t>
      </w:r>
      <w:proofErr w:type="gramStart"/>
      <w:r w:rsidRPr="00B2290F">
        <w:rPr>
          <w:rFonts w:eastAsia="Times New Roman"/>
          <w:color w:val="1A1A1A"/>
          <w:sz w:val="24"/>
          <w:szCs w:val="24"/>
        </w:rPr>
        <w:t>Better</w:t>
      </w:r>
      <w:proofErr w:type="gramEnd"/>
      <w:r w:rsidRPr="00B2290F">
        <w:rPr>
          <w:rFonts w:eastAsia="Times New Roman"/>
          <w:color w:val="1A1A1A"/>
          <w:sz w:val="24"/>
          <w:szCs w:val="24"/>
        </w:rPr>
        <w:t xml:space="preserve"> fitting equations. </w:t>
      </w:r>
      <w:r w:rsidRPr="00B2290F">
        <w:rPr>
          <w:rFonts w:eastAsia="Times New Roman"/>
          <w:i/>
          <w:color w:val="1A1A1A"/>
          <w:sz w:val="24"/>
          <w:szCs w:val="24"/>
        </w:rPr>
        <w:t>Limnology and Oceanography,</w:t>
      </w:r>
      <w:r w:rsidRPr="00B2290F">
        <w:rPr>
          <w:rFonts w:eastAsia="Times New Roman"/>
          <w:color w:val="1A1A1A"/>
          <w:sz w:val="24"/>
          <w:szCs w:val="24"/>
        </w:rPr>
        <w:t xml:space="preserve"> 38(3), 656. https://doi.org/10.4319/lo.1993.38.3.0643.</w:t>
      </w:r>
    </w:p>
    <w:p w14:paraId="2D1C157C"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Hamme</w:t>
      </w:r>
      <w:proofErr w:type="spellEnd"/>
      <w:r w:rsidRPr="00B2290F">
        <w:rPr>
          <w:rFonts w:eastAsia="Times New Roman"/>
          <w:sz w:val="24"/>
          <w:szCs w:val="24"/>
        </w:rPr>
        <w:t xml:space="preserve">, R.C., Webley, P.W., Crawford, W.R., Whitney, F.A., </w:t>
      </w:r>
      <w:proofErr w:type="spellStart"/>
      <w:r w:rsidRPr="00B2290F">
        <w:rPr>
          <w:rFonts w:eastAsia="Times New Roman"/>
          <w:sz w:val="24"/>
          <w:szCs w:val="24"/>
        </w:rPr>
        <w:t>DeGrandpre</w:t>
      </w:r>
      <w:proofErr w:type="spellEnd"/>
      <w:r w:rsidRPr="00B2290F">
        <w:rPr>
          <w:rFonts w:eastAsia="Times New Roman"/>
          <w:sz w:val="24"/>
          <w:szCs w:val="24"/>
        </w:rPr>
        <w:t xml:space="preserve">, M.D., Emerson, S.R., Eriksen, C.C., Giesbrecht, K.E., Gower, J.F.R., Kavanaugh, M.T., Peña, M.A., Sabine, C.L., Batten, S.D., Coogan, L.A., </w:t>
      </w:r>
      <w:proofErr w:type="spellStart"/>
      <w:r w:rsidRPr="00B2290F">
        <w:rPr>
          <w:rFonts w:eastAsia="Times New Roman"/>
          <w:sz w:val="24"/>
          <w:szCs w:val="24"/>
        </w:rPr>
        <w:t>Grundle</w:t>
      </w:r>
      <w:proofErr w:type="spellEnd"/>
      <w:r w:rsidRPr="00B2290F">
        <w:rPr>
          <w:rFonts w:eastAsia="Times New Roman"/>
          <w:sz w:val="24"/>
          <w:szCs w:val="24"/>
        </w:rPr>
        <w:t xml:space="preserve">, D.S., &amp; Lockwood, D. (2010). Volcanic ash fuels anomalous plankton bloom in subarctic northeast Pacific. </w:t>
      </w:r>
      <w:r w:rsidRPr="00B2290F">
        <w:rPr>
          <w:rFonts w:eastAsia="Times New Roman"/>
          <w:i/>
          <w:sz w:val="24"/>
          <w:szCs w:val="24"/>
        </w:rPr>
        <w:t>Geophysical Research Letters</w:t>
      </w:r>
      <w:r w:rsidRPr="00B2290F">
        <w:rPr>
          <w:rFonts w:eastAsia="Times New Roman"/>
          <w:sz w:val="24"/>
          <w:szCs w:val="24"/>
        </w:rPr>
        <w:t xml:space="preserve">, 37(19). </w:t>
      </w:r>
      <w:r w:rsidRPr="00B2290F">
        <w:rPr>
          <w:rFonts w:eastAsia="Times New Roman"/>
          <w:color w:val="262626"/>
          <w:sz w:val="24"/>
          <w:szCs w:val="24"/>
          <w:highlight w:val="white"/>
        </w:rPr>
        <w:t>https://doi.org/</w:t>
      </w:r>
      <w:r w:rsidRPr="00B2290F">
        <w:rPr>
          <w:rFonts w:eastAsia="Times New Roman"/>
          <w:sz w:val="24"/>
          <w:szCs w:val="24"/>
        </w:rPr>
        <w:t>10.1029/2010gl044629</w:t>
      </w:r>
    </w:p>
    <w:p w14:paraId="2970F823"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Harrison, P.J. (2002). Station Papa Time Series: Insights into Ecosystem Dynamics. </w:t>
      </w:r>
      <w:r w:rsidRPr="00B2290F">
        <w:rPr>
          <w:rFonts w:eastAsia="Times New Roman"/>
          <w:i/>
          <w:sz w:val="24"/>
          <w:szCs w:val="24"/>
        </w:rPr>
        <w:t>Journal of Oceanography</w:t>
      </w:r>
      <w:r w:rsidRPr="00B2290F">
        <w:rPr>
          <w:rFonts w:eastAsia="Times New Roman"/>
          <w:sz w:val="24"/>
          <w:szCs w:val="24"/>
        </w:rPr>
        <w:t xml:space="preserve">, 58(2), 259–264. </w:t>
      </w:r>
      <w:r w:rsidRPr="00B2290F">
        <w:rPr>
          <w:rFonts w:eastAsia="Times New Roman"/>
          <w:color w:val="262626"/>
          <w:sz w:val="24"/>
          <w:szCs w:val="24"/>
          <w:highlight w:val="white"/>
        </w:rPr>
        <w:t>https://doi.org/</w:t>
      </w:r>
      <w:r w:rsidRPr="00B2290F">
        <w:rPr>
          <w:rFonts w:eastAsia="Times New Roman"/>
          <w:sz w:val="24"/>
          <w:szCs w:val="24"/>
        </w:rPr>
        <w:t>10.1023/a:1015857624562</w:t>
      </w:r>
    </w:p>
    <w:p w14:paraId="6DEC1221"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Harrison, P.J., </w:t>
      </w:r>
      <w:proofErr w:type="spellStart"/>
      <w:r w:rsidRPr="00B2290F">
        <w:rPr>
          <w:rFonts w:eastAsia="Times New Roman"/>
          <w:sz w:val="24"/>
          <w:szCs w:val="24"/>
        </w:rPr>
        <w:t>Boyda</w:t>
      </w:r>
      <w:proofErr w:type="spellEnd"/>
      <w:r w:rsidRPr="00B2290F">
        <w:rPr>
          <w:rFonts w:eastAsia="Times New Roman"/>
          <w:sz w:val="24"/>
          <w:szCs w:val="24"/>
        </w:rPr>
        <w:t xml:space="preserve">, P.W., Varela, D.E., Takeda, S., </w:t>
      </w:r>
      <w:proofErr w:type="spellStart"/>
      <w:r w:rsidRPr="00B2290F">
        <w:rPr>
          <w:rFonts w:eastAsia="Times New Roman"/>
          <w:sz w:val="24"/>
          <w:szCs w:val="24"/>
        </w:rPr>
        <w:t>Shiomoto</w:t>
      </w:r>
      <w:proofErr w:type="spellEnd"/>
      <w:r w:rsidRPr="00B2290F">
        <w:rPr>
          <w:rFonts w:eastAsia="Times New Roman"/>
          <w:sz w:val="24"/>
          <w:szCs w:val="24"/>
        </w:rPr>
        <w:t xml:space="preserve">, A., &amp; </w:t>
      </w:r>
      <w:proofErr w:type="spellStart"/>
      <w:r w:rsidRPr="00B2290F">
        <w:rPr>
          <w:rFonts w:eastAsia="Times New Roman"/>
          <w:sz w:val="24"/>
          <w:szCs w:val="24"/>
        </w:rPr>
        <w:t>Odate</w:t>
      </w:r>
      <w:proofErr w:type="spellEnd"/>
      <w:r w:rsidRPr="00B2290F">
        <w:rPr>
          <w:rFonts w:eastAsia="Times New Roman"/>
          <w:sz w:val="24"/>
          <w:szCs w:val="24"/>
        </w:rPr>
        <w:t xml:space="preserve">, T. (1999). Comparison of factors controlling phytoplankton productivity in the NE and NW subarctic Pacific gyres. </w:t>
      </w:r>
      <w:r w:rsidRPr="00B2290F">
        <w:rPr>
          <w:rFonts w:eastAsia="Times New Roman"/>
          <w:i/>
          <w:sz w:val="24"/>
          <w:szCs w:val="24"/>
        </w:rPr>
        <w:t>Progress in Oceanography</w:t>
      </w:r>
      <w:r w:rsidRPr="00B2290F">
        <w:rPr>
          <w:rFonts w:eastAsia="Times New Roman"/>
          <w:sz w:val="24"/>
          <w:szCs w:val="24"/>
        </w:rPr>
        <w:t xml:space="preserve">, 43(2-4), 205–234. </w:t>
      </w:r>
      <w:r w:rsidRPr="00B2290F">
        <w:rPr>
          <w:rFonts w:eastAsia="Times New Roman"/>
          <w:color w:val="262626"/>
          <w:sz w:val="24"/>
          <w:szCs w:val="24"/>
          <w:highlight w:val="white"/>
        </w:rPr>
        <w:t>https://doi.org/</w:t>
      </w:r>
      <w:r w:rsidRPr="00B2290F">
        <w:rPr>
          <w:rFonts w:eastAsia="Times New Roman"/>
          <w:sz w:val="24"/>
          <w:szCs w:val="24"/>
        </w:rPr>
        <w:t>10.1016/s0079-6611(99)00015-4</w:t>
      </w:r>
    </w:p>
    <w:p w14:paraId="14807DC4"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Harrison, P.J., Whitney, F.A., Tsuda, A., Saito, H., &amp; Tadokoro, K. (2004). Nutrient and Plankton Dynamics in the NE and NW Gyres of the Subarctic Pacific Ocean. </w:t>
      </w:r>
      <w:r w:rsidRPr="00B2290F">
        <w:rPr>
          <w:rFonts w:eastAsia="Times New Roman"/>
          <w:i/>
          <w:sz w:val="24"/>
          <w:szCs w:val="24"/>
        </w:rPr>
        <w:t>Journal of Oceanography</w:t>
      </w:r>
      <w:r w:rsidRPr="00B2290F">
        <w:rPr>
          <w:rFonts w:eastAsia="Times New Roman"/>
          <w:sz w:val="24"/>
          <w:szCs w:val="24"/>
        </w:rPr>
        <w:t xml:space="preserve">, 60(1), 93–117. </w:t>
      </w:r>
      <w:r w:rsidRPr="00B2290F">
        <w:rPr>
          <w:rFonts w:eastAsia="Times New Roman"/>
          <w:color w:val="262626"/>
          <w:sz w:val="24"/>
          <w:szCs w:val="24"/>
          <w:highlight w:val="white"/>
        </w:rPr>
        <w:t>https://doi.org/</w:t>
      </w:r>
      <w:r w:rsidRPr="00B2290F">
        <w:rPr>
          <w:rFonts w:eastAsia="Times New Roman"/>
          <w:sz w:val="24"/>
          <w:szCs w:val="24"/>
        </w:rPr>
        <w:t>10.1023/b:joce.0000038321.57391.2a</w:t>
      </w:r>
    </w:p>
    <w:p w14:paraId="206592C2"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Hartmann, D.L. (2015). Pacific sea surface temperature and the winter of 2014. </w:t>
      </w:r>
      <w:r w:rsidRPr="00B2290F">
        <w:rPr>
          <w:rFonts w:eastAsia="Times New Roman"/>
          <w:i/>
          <w:sz w:val="24"/>
          <w:szCs w:val="24"/>
        </w:rPr>
        <w:t>Geophysical Research Letters</w:t>
      </w:r>
      <w:r w:rsidRPr="00B2290F">
        <w:rPr>
          <w:rFonts w:eastAsia="Times New Roman"/>
          <w:sz w:val="24"/>
          <w:szCs w:val="24"/>
        </w:rPr>
        <w:t xml:space="preserve">, 42(6), 1894–1902. </w:t>
      </w:r>
      <w:r w:rsidRPr="00B2290F">
        <w:rPr>
          <w:rFonts w:eastAsia="Times New Roman"/>
          <w:color w:val="262626"/>
          <w:sz w:val="24"/>
          <w:szCs w:val="24"/>
          <w:highlight w:val="white"/>
        </w:rPr>
        <w:t>https://doi.org/</w:t>
      </w:r>
      <w:r w:rsidRPr="00B2290F">
        <w:rPr>
          <w:rFonts w:eastAsia="Times New Roman"/>
          <w:sz w:val="24"/>
          <w:szCs w:val="24"/>
        </w:rPr>
        <w:t>10.1002/2015gl063083</w:t>
      </w:r>
    </w:p>
    <w:p w14:paraId="73BBEC0C"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lastRenderedPageBreak/>
        <w:t>Hayashida</w:t>
      </w:r>
      <w:proofErr w:type="spellEnd"/>
      <w:r w:rsidRPr="00B2290F">
        <w:rPr>
          <w:rFonts w:eastAsia="Times New Roman"/>
          <w:sz w:val="24"/>
          <w:szCs w:val="24"/>
        </w:rPr>
        <w:t xml:space="preserve">, H., </w:t>
      </w:r>
      <w:proofErr w:type="spellStart"/>
      <w:r w:rsidRPr="00B2290F">
        <w:rPr>
          <w:rFonts w:eastAsia="Times New Roman"/>
          <w:sz w:val="24"/>
          <w:szCs w:val="24"/>
        </w:rPr>
        <w:t>Matear</w:t>
      </w:r>
      <w:proofErr w:type="spellEnd"/>
      <w:r w:rsidRPr="00B2290F">
        <w:rPr>
          <w:rFonts w:eastAsia="Times New Roman"/>
          <w:sz w:val="24"/>
          <w:szCs w:val="24"/>
        </w:rPr>
        <w:t xml:space="preserve">, R. J., &amp; </w:t>
      </w:r>
      <w:proofErr w:type="spellStart"/>
      <w:r w:rsidRPr="00B2290F">
        <w:rPr>
          <w:rFonts w:eastAsia="Times New Roman"/>
          <w:sz w:val="24"/>
          <w:szCs w:val="24"/>
        </w:rPr>
        <w:t>Strutton</w:t>
      </w:r>
      <w:proofErr w:type="spellEnd"/>
      <w:r w:rsidRPr="00B2290F">
        <w:rPr>
          <w:rFonts w:eastAsia="Times New Roman"/>
          <w:sz w:val="24"/>
          <w:szCs w:val="24"/>
        </w:rPr>
        <w:t xml:space="preserve">, P. G. (2020). Background Nutrient Concentration Determines Phytoplankton Bloom Response to Marine Heatwaves. </w:t>
      </w:r>
      <w:r w:rsidRPr="00B2290F">
        <w:rPr>
          <w:rFonts w:eastAsia="Times New Roman"/>
          <w:i/>
          <w:sz w:val="24"/>
          <w:szCs w:val="24"/>
        </w:rPr>
        <w:t>Global Change Biology</w:t>
      </w:r>
      <w:r w:rsidRPr="00B2290F">
        <w:rPr>
          <w:rFonts w:eastAsia="Times New Roman"/>
          <w:sz w:val="24"/>
          <w:szCs w:val="24"/>
        </w:rPr>
        <w:t xml:space="preserve">, 26(9), 4800–4811. </w:t>
      </w:r>
      <w:r w:rsidRPr="00B2290F">
        <w:rPr>
          <w:rFonts w:eastAsia="Times New Roman"/>
          <w:color w:val="262626"/>
          <w:sz w:val="24"/>
          <w:szCs w:val="24"/>
          <w:highlight w:val="white"/>
        </w:rPr>
        <w:t>https://doi.org/</w:t>
      </w:r>
      <w:r w:rsidRPr="00B2290F">
        <w:rPr>
          <w:rFonts w:eastAsia="Times New Roman"/>
          <w:sz w:val="24"/>
          <w:szCs w:val="24"/>
        </w:rPr>
        <w:t xml:space="preserve">10.1111/gcb.15255 </w:t>
      </w:r>
    </w:p>
    <w:p w14:paraId="0B5B84D2"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Hobday, A.J., Alexander, L.V., Perkins, S.E., </w:t>
      </w:r>
      <w:proofErr w:type="spellStart"/>
      <w:r w:rsidRPr="00B2290F">
        <w:rPr>
          <w:rFonts w:eastAsia="Times New Roman"/>
          <w:sz w:val="24"/>
          <w:szCs w:val="24"/>
        </w:rPr>
        <w:t>Smale</w:t>
      </w:r>
      <w:proofErr w:type="spellEnd"/>
      <w:r w:rsidRPr="00B2290F">
        <w:rPr>
          <w:rFonts w:eastAsia="Times New Roman"/>
          <w:sz w:val="24"/>
          <w:szCs w:val="24"/>
        </w:rPr>
        <w:t xml:space="preserve">, D.A., Straub, S.C., Oliver, E.C.J., </w:t>
      </w:r>
      <w:proofErr w:type="spellStart"/>
      <w:r w:rsidRPr="00B2290F">
        <w:rPr>
          <w:rFonts w:eastAsia="Times New Roman"/>
          <w:sz w:val="24"/>
          <w:szCs w:val="24"/>
        </w:rPr>
        <w:t>Benthuysen</w:t>
      </w:r>
      <w:proofErr w:type="spellEnd"/>
      <w:r w:rsidRPr="00B2290F">
        <w:rPr>
          <w:rFonts w:eastAsia="Times New Roman"/>
          <w:sz w:val="24"/>
          <w:szCs w:val="24"/>
        </w:rPr>
        <w:t xml:space="preserve">, J.A., Burrows, M.T., </w:t>
      </w:r>
      <w:proofErr w:type="spellStart"/>
      <w:r w:rsidRPr="00B2290F">
        <w:rPr>
          <w:rFonts w:eastAsia="Times New Roman"/>
          <w:sz w:val="24"/>
          <w:szCs w:val="24"/>
        </w:rPr>
        <w:t>Donat</w:t>
      </w:r>
      <w:proofErr w:type="spellEnd"/>
      <w:r w:rsidRPr="00B2290F">
        <w:rPr>
          <w:rFonts w:eastAsia="Times New Roman"/>
          <w:sz w:val="24"/>
          <w:szCs w:val="24"/>
        </w:rPr>
        <w:t xml:space="preserve">, M.G., Feng, M., Holbrook, N.J., Moore, P.J., Scannell, H.A., Sen Gupta, A., &amp; </w:t>
      </w:r>
      <w:proofErr w:type="spellStart"/>
      <w:r w:rsidRPr="00B2290F">
        <w:rPr>
          <w:rFonts w:eastAsia="Times New Roman"/>
          <w:sz w:val="24"/>
          <w:szCs w:val="24"/>
        </w:rPr>
        <w:t>Wernberg</w:t>
      </w:r>
      <w:proofErr w:type="spellEnd"/>
      <w:r w:rsidRPr="00B2290F">
        <w:rPr>
          <w:rFonts w:eastAsia="Times New Roman"/>
          <w:sz w:val="24"/>
          <w:szCs w:val="24"/>
        </w:rPr>
        <w:t xml:space="preserve">, T. (2016). A hierarchical approach to defining marine heatwaves. </w:t>
      </w:r>
      <w:r w:rsidRPr="00B2290F">
        <w:rPr>
          <w:rFonts w:eastAsia="Times New Roman"/>
          <w:i/>
          <w:sz w:val="24"/>
          <w:szCs w:val="24"/>
        </w:rPr>
        <w:t>Progress in Oceanography</w:t>
      </w:r>
      <w:r w:rsidRPr="00B2290F">
        <w:rPr>
          <w:rFonts w:eastAsia="Times New Roman"/>
          <w:sz w:val="24"/>
          <w:szCs w:val="24"/>
        </w:rPr>
        <w:t xml:space="preserve">, 141(0079-6611), 227–238. </w:t>
      </w:r>
      <w:r w:rsidRPr="00B2290F">
        <w:rPr>
          <w:rFonts w:eastAsia="Times New Roman"/>
          <w:color w:val="262626"/>
          <w:sz w:val="24"/>
          <w:szCs w:val="24"/>
          <w:highlight w:val="white"/>
        </w:rPr>
        <w:t>https://doi.org/</w:t>
      </w:r>
      <w:r w:rsidRPr="00B2290F">
        <w:rPr>
          <w:rFonts w:eastAsia="Times New Roman"/>
          <w:sz w:val="24"/>
          <w:szCs w:val="24"/>
        </w:rPr>
        <w:t>10.1016/j.pocean.2015.12.014</w:t>
      </w:r>
    </w:p>
    <w:p w14:paraId="51031486"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Holbrook, N.J., Scannell, H.A., Sen Gupta, A., </w:t>
      </w:r>
      <w:proofErr w:type="spellStart"/>
      <w:r w:rsidRPr="00B2290F">
        <w:rPr>
          <w:rFonts w:eastAsia="Times New Roman"/>
          <w:sz w:val="24"/>
          <w:szCs w:val="24"/>
        </w:rPr>
        <w:t>Benthuysen</w:t>
      </w:r>
      <w:proofErr w:type="spellEnd"/>
      <w:r w:rsidRPr="00B2290F">
        <w:rPr>
          <w:rFonts w:eastAsia="Times New Roman"/>
          <w:sz w:val="24"/>
          <w:szCs w:val="24"/>
        </w:rPr>
        <w:t xml:space="preserve">, J.A., Feng, M., Oliver, E.C.J., Alexander, L.V., Burrows, M.T., </w:t>
      </w:r>
      <w:proofErr w:type="spellStart"/>
      <w:r w:rsidRPr="00B2290F">
        <w:rPr>
          <w:rFonts w:eastAsia="Times New Roman"/>
          <w:sz w:val="24"/>
          <w:szCs w:val="24"/>
        </w:rPr>
        <w:t>Donat</w:t>
      </w:r>
      <w:proofErr w:type="spellEnd"/>
      <w:r w:rsidRPr="00B2290F">
        <w:rPr>
          <w:rFonts w:eastAsia="Times New Roman"/>
          <w:sz w:val="24"/>
          <w:szCs w:val="24"/>
        </w:rPr>
        <w:t xml:space="preserve">, M.G., Hobday, A.J., Moore, P.J., Perkins-Kirkpatrick, S.E., </w:t>
      </w:r>
      <w:proofErr w:type="spellStart"/>
      <w:r w:rsidRPr="00B2290F">
        <w:rPr>
          <w:rFonts w:eastAsia="Times New Roman"/>
          <w:sz w:val="24"/>
          <w:szCs w:val="24"/>
        </w:rPr>
        <w:t>Smale</w:t>
      </w:r>
      <w:proofErr w:type="spellEnd"/>
      <w:r w:rsidRPr="00B2290F">
        <w:rPr>
          <w:rFonts w:eastAsia="Times New Roman"/>
          <w:sz w:val="24"/>
          <w:szCs w:val="24"/>
        </w:rPr>
        <w:t xml:space="preserve">, D.A., Straub, S.C., &amp; </w:t>
      </w:r>
      <w:proofErr w:type="spellStart"/>
      <w:r w:rsidRPr="00B2290F">
        <w:rPr>
          <w:rFonts w:eastAsia="Times New Roman"/>
          <w:sz w:val="24"/>
          <w:szCs w:val="24"/>
        </w:rPr>
        <w:t>Wernberg</w:t>
      </w:r>
      <w:proofErr w:type="spellEnd"/>
      <w:r w:rsidRPr="00B2290F">
        <w:rPr>
          <w:rFonts w:eastAsia="Times New Roman"/>
          <w:sz w:val="24"/>
          <w:szCs w:val="24"/>
        </w:rPr>
        <w:t xml:space="preserve">, T. (2019). A global assessment of marine heatwaves and their drivers. </w:t>
      </w:r>
      <w:r w:rsidRPr="00B2290F">
        <w:rPr>
          <w:rFonts w:eastAsia="Times New Roman"/>
          <w:i/>
          <w:sz w:val="24"/>
          <w:szCs w:val="24"/>
        </w:rPr>
        <w:t>Nature Communications</w:t>
      </w:r>
      <w:r w:rsidRPr="00B2290F">
        <w:rPr>
          <w:rFonts w:eastAsia="Times New Roman"/>
          <w:sz w:val="24"/>
          <w:szCs w:val="24"/>
        </w:rPr>
        <w:t xml:space="preserve">, 10(1). </w:t>
      </w:r>
      <w:r w:rsidRPr="00B2290F">
        <w:rPr>
          <w:rFonts w:eastAsia="Times New Roman"/>
          <w:color w:val="262626"/>
          <w:sz w:val="24"/>
          <w:szCs w:val="24"/>
          <w:highlight w:val="white"/>
        </w:rPr>
        <w:t>https://doi.org/</w:t>
      </w:r>
      <w:r w:rsidRPr="00B2290F">
        <w:rPr>
          <w:rFonts w:eastAsia="Times New Roman"/>
          <w:sz w:val="24"/>
          <w:szCs w:val="24"/>
        </w:rPr>
        <w:t>10.1038/s41467-019-10206-z</w:t>
      </w:r>
    </w:p>
    <w:p w14:paraId="7E374745" w14:textId="77777777" w:rsidR="00100398" w:rsidRPr="00876745" w:rsidRDefault="00100398" w:rsidP="00100398">
      <w:pPr>
        <w:widowControl w:val="0"/>
        <w:ind w:left="360" w:hanging="360"/>
        <w:rPr>
          <w:rFonts w:eastAsia="Times New Roman"/>
          <w:sz w:val="24"/>
          <w:szCs w:val="24"/>
        </w:rPr>
      </w:pPr>
      <w:r w:rsidRPr="00B2290F">
        <w:rPr>
          <w:rFonts w:eastAsia="Times New Roman"/>
          <w:sz w:val="24"/>
          <w:szCs w:val="24"/>
        </w:rPr>
        <w:t xml:space="preserve">Holbrook, N.J., Sen Gupta, A., Oliver, E.C.J., Hobday, A.J., </w:t>
      </w:r>
      <w:proofErr w:type="spellStart"/>
      <w:r w:rsidRPr="00B2290F">
        <w:rPr>
          <w:rFonts w:eastAsia="Times New Roman"/>
          <w:sz w:val="24"/>
          <w:szCs w:val="24"/>
        </w:rPr>
        <w:t>Benthuysen</w:t>
      </w:r>
      <w:proofErr w:type="spellEnd"/>
      <w:r w:rsidRPr="00B2290F">
        <w:rPr>
          <w:rFonts w:eastAsia="Times New Roman"/>
          <w:sz w:val="24"/>
          <w:szCs w:val="24"/>
        </w:rPr>
        <w:t xml:space="preserve">, J.A., Scannell, H.A., </w:t>
      </w:r>
      <w:proofErr w:type="spellStart"/>
      <w:r w:rsidRPr="00B2290F">
        <w:rPr>
          <w:rFonts w:eastAsia="Times New Roman"/>
          <w:sz w:val="24"/>
          <w:szCs w:val="24"/>
        </w:rPr>
        <w:t>Smale</w:t>
      </w:r>
      <w:proofErr w:type="spellEnd"/>
      <w:r w:rsidRPr="00B2290F">
        <w:rPr>
          <w:rFonts w:eastAsia="Times New Roman"/>
          <w:sz w:val="24"/>
          <w:szCs w:val="24"/>
        </w:rPr>
        <w:t xml:space="preserve">, D.A., &amp; </w:t>
      </w:r>
      <w:proofErr w:type="spellStart"/>
      <w:r w:rsidRPr="00B2290F">
        <w:rPr>
          <w:rFonts w:eastAsia="Times New Roman"/>
          <w:sz w:val="24"/>
          <w:szCs w:val="24"/>
        </w:rPr>
        <w:t>Wernberg</w:t>
      </w:r>
      <w:proofErr w:type="spellEnd"/>
      <w:r w:rsidRPr="00B2290F">
        <w:rPr>
          <w:rFonts w:eastAsia="Times New Roman"/>
          <w:sz w:val="24"/>
          <w:szCs w:val="24"/>
        </w:rPr>
        <w:t xml:space="preserve">, T. (2020). Keeping pace with marine heatwaves. </w:t>
      </w:r>
      <w:r w:rsidRPr="00B2290F">
        <w:rPr>
          <w:rFonts w:eastAsia="Times New Roman"/>
          <w:i/>
          <w:sz w:val="24"/>
          <w:szCs w:val="24"/>
        </w:rPr>
        <w:t xml:space="preserve">Nature Reviews </w:t>
      </w:r>
      <w:r w:rsidRPr="00876745">
        <w:rPr>
          <w:rFonts w:eastAsia="Times New Roman"/>
          <w:i/>
          <w:sz w:val="24"/>
          <w:szCs w:val="24"/>
        </w:rPr>
        <w:t>Earth &amp; Environment</w:t>
      </w:r>
      <w:r w:rsidRPr="00876745">
        <w:rPr>
          <w:rFonts w:eastAsia="Times New Roman"/>
          <w:sz w:val="24"/>
          <w:szCs w:val="24"/>
        </w:rPr>
        <w:t xml:space="preserve">, 1(9), 482–493. </w:t>
      </w:r>
      <w:hyperlink r:id="rId36">
        <w:r w:rsidRPr="00876745">
          <w:rPr>
            <w:rFonts w:eastAsia="Times New Roman"/>
            <w:color w:val="1155CC"/>
            <w:sz w:val="24"/>
            <w:szCs w:val="24"/>
            <w:u w:val="single"/>
          </w:rPr>
          <w:t>https://doi.org/</w:t>
        </w:r>
      </w:hyperlink>
      <w:hyperlink r:id="rId37">
        <w:r w:rsidRPr="00876745">
          <w:rPr>
            <w:rFonts w:eastAsia="Times New Roman"/>
            <w:color w:val="1155CC"/>
            <w:sz w:val="24"/>
            <w:szCs w:val="24"/>
            <w:u w:val="single"/>
          </w:rPr>
          <w:t>10.1038/s43017-020-0068-4</w:t>
        </w:r>
      </w:hyperlink>
    </w:p>
    <w:p w14:paraId="29B6262B" w14:textId="5950ED54" w:rsidR="00100398" w:rsidRPr="00B2290F" w:rsidRDefault="00100398" w:rsidP="00100398">
      <w:pPr>
        <w:widowControl w:val="0"/>
        <w:ind w:left="360" w:hanging="360"/>
        <w:rPr>
          <w:rFonts w:eastAsia="Times New Roman"/>
          <w:sz w:val="24"/>
          <w:szCs w:val="24"/>
        </w:rPr>
      </w:pPr>
      <w:r w:rsidRPr="00876745">
        <w:rPr>
          <w:rFonts w:eastAsia="Times New Roman"/>
          <w:sz w:val="24"/>
          <w:szCs w:val="24"/>
        </w:rPr>
        <w:t xml:space="preserve">Huang, B., Liu, C., </w:t>
      </w:r>
      <w:proofErr w:type="spellStart"/>
      <w:r w:rsidRPr="00876745">
        <w:rPr>
          <w:rFonts w:eastAsia="Times New Roman"/>
          <w:sz w:val="24"/>
          <w:szCs w:val="24"/>
        </w:rPr>
        <w:t>Banzon</w:t>
      </w:r>
      <w:proofErr w:type="spellEnd"/>
      <w:r w:rsidRPr="00876745">
        <w:rPr>
          <w:rFonts w:eastAsia="Times New Roman"/>
          <w:sz w:val="24"/>
          <w:szCs w:val="24"/>
        </w:rPr>
        <w:t xml:space="preserve">, V., Freeman, E., Graham, G., Hankins, B., Smith, T., &amp; Zhang, H.-M. (2020). Improvements of the Daily Optimum Interpolation Sea Surface Temperature (DOISST) Version 2.1, </w:t>
      </w:r>
      <w:r w:rsidRPr="00876745">
        <w:rPr>
          <w:rFonts w:eastAsia="Times New Roman"/>
          <w:i/>
          <w:sz w:val="24"/>
          <w:szCs w:val="24"/>
        </w:rPr>
        <w:t>Journal of Climate</w:t>
      </w:r>
      <w:r w:rsidRPr="00876745">
        <w:rPr>
          <w:rFonts w:eastAsia="Times New Roman"/>
          <w:sz w:val="24"/>
          <w:szCs w:val="24"/>
        </w:rPr>
        <w:t xml:space="preserve">, 34, 2923-2939. </w:t>
      </w:r>
      <w:proofErr w:type="spellStart"/>
      <w:r w:rsidRPr="00876745">
        <w:rPr>
          <w:rFonts w:eastAsia="Times New Roman"/>
          <w:sz w:val="24"/>
          <w:szCs w:val="24"/>
        </w:rPr>
        <w:t>doi</w:t>
      </w:r>
      <w:proofErr w:type="spellEnd"/>
      <w:r w:rsidRPr="00876745">
        <w:rPr>
          <w:rFonts w:eastAsia="Times New Roman"/>
          <w:sz w:val="24"/>
          <w:szCs w:val="24"/>
        </w:rPr>
        <w:t>: 10.1175/JCLI-D-20-0166.1</w:t>
      </w:r>
      <w:r w:rsidR="00DC242E" w:rsidRPr="00876745">
        <w:rPr>
          <w:rFonts w:eastAsia="Times New Roman"/>
          <w:sz w:val="24"/>
          <w:szCs w:val="24"/>
        </w:rPr>
        <w:t xml:space="preserve"> </w:t>
      </w:r>
      <w:r w:rsidR="00DC242E" w:rsidRPr="00876745">
        <w:rPr>
          <w:rFonts w:eastAsia="Times New Roman"/>
          <w:sz w:val="24"/>
          <w:szCs w:val="24"/>
        </w:rPr>
        <w:t>Accessed Jun 2022.</w:t>
      </w:r>
    </w:p>
    <w:p w14:paraId="4BE2FC16"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Katsura, S., Oka, E., &amp; Sato, K. (2015). Formation Mechanism of Barrier Layer in the Subtropical Pacific. </w:t>
      </w:r>
      <w:r w:rsidRPr="00B2290F">
        <w:rPr>
          <w:rFonts w:eastAsia="Times New Roman"/>
          <w:i/>
          <w:sz w:val="24"/>
          <w:szCs w:val="24"/>
        </w:rPr>
        <w:t>Journal of Physical Oceanography</w:t>
      </w:r>
      <w:r w:rsidRPr="00B2290F">
        <w:rPr>
          <w:rFonts w:eastAsia="Times New Roman"/>
          <w:sz w:val="24"/>
          <w:szCs w:val="24"/>
        </w:rPr>
        <w:t xml:space="preserve">, 45(11), 2790–2805. </w:t>
      </w:r>
      <w:r w:rsidRPr="00B2290F">
        <w:rPr>
          <w:rFonts w:eastAsia="Times New Roman"/>
          <w:color w:val="262626"/>
          <w:sz w:val="24"/>
          <w:szCs w:val="24"/>
        </w:rPr>
        <w:t>https://doi.org/</w:t>
      </w:r>
      <w:r w:rsidRPr="00B2290F">
        <w:rPr>
          <w:rFonts w:eastAsia="Times New Roman"/>
          <w:sz w:val="24"/>
          <w:szCs w:val="24"/>
        </w:rPr>
        <w:t>10.1175/jpo-d-15-0028.1</w:t>
      </w:r>
    </w:p>
    <w:p w14:paraId="5DEDC83C"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Lewis, E., &amp; Wallace, D. W. R. (1998). Program Developed for CO2 System Calculations, ORNL/CDIAC-105, </w:t>
      </w:r>
      <w:r w:rsidRPr="00B2290F">
        <w:rPr>
          <w:rFonts w:eastAsia="Times New Roman"/>
          <w:i/>
          <w:sz w:val="24"/>
          <w:szCs w:val="24"/>
        </w:rPr>
        <w:t>Oak Ridge National Lab</w:t>
      </w:r>
      <w:r w:rsidRPr="00B2290F">
        <w:rPr>
          <w:rFonts w:eastAsia="Times New Roman"/>
          <w:sz w:val="24"/>
          <w:szCs w:val="24"/>
        </w:rPr>
        <w:t xml:space="preserve">. </w:t>
      </w:r>
      <w:r w:rsidRPr="00B2290F">
        <w:rPr>
          <w:rFonts w:eastAsia="Times New Roman"/>
          <w:color w:val="262626"/>
          <w:sz w:val="24"/>
          <w:szCs w:val="24"/>
        </w:rPr>
        <w:t>https://doi.org/</w:t>
      </w:r>
      <w:r w:rsidRPr="00B2290F">
        <w:rPr>
          <w:rFonts w:eastAsia="Times New Roman"/>
          <w:sz w:val="24"/>
          <w:szCs w:val="24"/>
        </w:rPr>
        <w:t>10.15485/1464255</w:t>
      </w:r>
    </w:p>
    <w:p w14:paraId="06278363"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Long, J.S., Fassbender, A.J., &amp; </w:t>
      </w:r>
      <w:proofErr w:type="spellStart"/>
      <w:r w:rsidRPr="00B2290F">
        <w:rPr>
          <w:rFonts w:eastAsia="Times New Roman"/>
          <w:sz w:val="24"/>
          <w:szCs w:val="24"/>
        </w:rPr>
        <w:t>Estapa</w:t>
      </w:r>
      <w:proofErr w:type="spellEnd"/>
      <w:r w:rsidRPr="00B2290F">
        <w:rPr>
          <w:rFonts w:eastAsia="Times New Roman"/>
          <w:sz w:val="24"/>
          <w:szCs w:val="24"/>
        </w:rPr>
        <w:t xml:space="preserve">, M.L. (2021). Depth Resolved Net Primary Production in the Northeast Pacific Ocean: A Comparison of Satellite and Profiling Float Estimates in the Context of Two Marine Heatwaves. </w:t>
      </w:r>
      <w:r w:rsidRPr="00B2290F">
        <w:rPr>
          <w:rFonts w:eastAsia="Times New Roman"/>
          <w:i/>
          <w:sz w:val="24"/>
          <w:szCs w:val="24"/>
        </w:rPr>
        <w:t>Geophysical Research Letters</w:t>
      </w:r>
      <w:r w:rsidRPr="00B2290F">
        <w:rPr>
          <w:rFonts w:eastAsia="Times New Roman"/>
          <w:sz w:val="24"/>
          <w:szCs w:val="24"/>
        </w:rPr>
        <w:t xml:space="preserve">, 48(19). </w:t>
      </w:r>
      <w:r w:rsidRPr="00B2290F">
        <w:rPr>
          <w:rFonts w:eastAsia="Times New Roman"/>
          <w:color w:val="262626"/>
          <w:sz w:val="24"/>
          <w:szCs w:val="24"/>
        </w:rPr>
        <w:t>https://doi.org/</w:t>
      </w:r>
      <w:r w:rsidRPr="00B2290F">
        <w:rPr>
          <w:rFonts w:eastAsia="Times New Roman"/>
          <w:sz w:val="24"/>
          <w:szCs w:val="24"/>
        </w:rPr>
        <w:t>10.1029/2021gl093462</w:t>
      </w:r>
    </w:p>
    <w:p w14:paraId="34E81B6C"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Lukas, R., &amp; Lindstrom, E. (1991). The mixed layer of the western equatorial Pacific Ocean. </w:t>
      </w:r>
      <w:r w:rsidRPr="00B2290F">
        <w:rPr>
          <w:rFonts w:eastAsia="Times New Roman"/>
          <w:i/>
          <w:sz w:val="24"/>
          <w:szCs w:val="24"/>
        </w:rPr>
        <w:t>Journal of Geophysical Research</w:t>
      </w:r>
      <w:r w:rsidRPr="00B2290F">
        <w:rPr>
          <w:rFonts w:eastAsia="Times New Roman"/>
          <w:sz w:val="24"/>
          <w:szCs w:val="24"/>
        </w:rPr>
        <w:t xml:space="preserve">, 96(S01), 3343. </w:t>
      </w:r>
      <w:hyperlink r:id="rId38">
        <w:r w:rsidRPr="00B2290F">
          <w:rPr>
            <w:rFonts w:eastAsia="Times New Roman"/>
            <w:color w:val="1155CC"/>
            <w:sz w:val="24"/>
            <w:szCs w:val="24"/>
            <w:u w:val="single"/>
          </w:rPr>
          <w:t>https://doi.org/</w:t>
        </w:r>
      </w:hyperlink>
      <w:hyperlink r:id="rId39">
        <w:r w:rsidRPr="00B2290F">
          <w:rPr>
            <w:rFonts w:eastAsia="Times New Roman"/>
            <w:color w:val="1155CC"/>
            <w:sz w:val="24"/>
            <w:szCs w:val="24"/>
            <w:u w:val="single"/>
          </w:rPr>
          <w:t>10.1029/90jc01951</w:t>
        </w:r>
      </w:hyperlink>
    </w:p>
    <w:p w14:paraId="4770C963"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Mackas</w:t>
      </w:r>
      <w:proofErr w:type="spellEnd"/>
      <w:r w:rsidRPr="00B2290F">
        <w:rPr>
          <w:rFonts w:eastAsia="Times New Roman"/>
          <w:sz w:val="24"/>
          <w:szCs w:val="24"/>
        </w:rPr>
        <w:t xml:space="preserve">, D.L. (1992). Seasonal Cycle of Zooplankton off Southwestern British Columbia: 1979–89. </w:t>
      </w:r>
      <w:r w:rsidRPr="00B2290F">
        <w:rPr>
          <w:rFonts w:eastAsia="Times New Roman"/>
          <w:i/>
          <w:sz w:val="24"/>
          <w:szCs w:val="24"/>
        </w:rPr>
        <w:t>Canadian Journal of Fisheries and Aquatic Sciences</w:t>
      </w:r>
      <w:r w:rsidRPr="00B2290F">
        <w:rPr>
          <w:rFonts w:eastAsia="Times New Roman"/>
          <w:sz w:val="24"/>
          <w:szCs w:val="24"/>
        </w:rPr>
        <w:t xml:space="preserve">, 49(5), 903–921. </w:t>
      </w:r>
      <w:hyperlink r:id="rId40">
        <w:r w:rsidRPr="00B2290F">
          <w:rPr>
            <w:rFonts w:eastAsia="Times New Roman"/>
            <w:color w:val="1155CC"/>
            <w:sz w:val="24"/>
            <w:szCs w:val="24"/>
            <w:u w:val="single"/>
          </w:rPr>
          <w:t>https://doi.org/10.1139/f92-101</w:t>
        </w:r>
      </w:hyperlink>
    </w:p>
    <w:p w14:paraId="4CEABBEC"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Mackas</w:t>
      </w:r>
      <w:proofErr w:type="spellEnd"/>
      <w:r w:rsidRPr="00B2290F">
        <w:rPr>
          <w:rFonts w:eastAsia="Times New Roman"/>
          <w:sz w:val="24"/>
          <w:szCs w:val="24"/>
        </w:rPr>
        <w:t xml:space="preserve">, D.L. (1995). Interannual variability of the zooplankton community off southern Vancouver Island. </w:t>
      </w:r>
      <w:r w:rsidRPr="00B2290F">
        <w:rPr>
          <w:rFonts w:eastAsia="Times New Roman"/>
          <w:i/>
          <w:sz w:val="24"/>
          <w:szCs w:val="24"/>
        </w:rPr>
        <w:t>Climate change and northern fish populations</w:t>
      </w:r>
      <w:r w:rsidRPr="00B2290F">
        <w:rPr>
          <w:rFonts w:eastAsia="Times New Roman"/>
          <w:sz w:val="24"/>
          <w:szCs w:val="24"/>
        </w:rPr>
        <w:t>, 121, 603-615.</w:t>
      </w:r>
    </w:p>
    <w:p w14:paraId="64382838" w14:textId="77777777" w:rsidR="00100398" w:rsidRPr="00B2290F" w:rsidRDefault="00100398" w:rsidP="00100398">
      <w:pPr>
        <w:widowControl w:val="0"/>
        <w:shd w:val="clear" w:color="auto" w:fill="FFFFFF"/>
        <w:spacing w:line="276" w:lineRule="auto"/>
        <w:ind w:left="360" w:hanging="360"/>
        <w:rPr>
          <w:rFonts w:eastAsia="Times New Roman"/>
          <w:sz w:val="24"/>
          <w:szCs w:val="24"/>
        </w:rPr>
      </w:pPr>
      <w:r w:rsidRPr="00B2290F">
        <w:rPr>
          <w:rFonts w:eastAsia="Times New Roman"/>
          <w:color w:val="1A1A1A"/>
          <w:sz w:val="24"/>
          <w:szCs w:val="24"/>
        </w:rPr>
        <w:t xml:space="preserve">McDougall, T. J. &amp; Barker P.M. (2011). Getting started with TEOS-10 and the Gibbs Seawater (GSW) Oceanographic Toolbox, 28, SCOR/IAPSO WG127, ISBN 978-0-646-55621-5. </w:t>
      </w:r>
    </w:p>
    <w:p w14:paraId="596BE43A"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Mehrbach</w:t>
      </w:r>
      <w:proofErr w:type="spellEnd"/>
      <w:r w:rsidRPr="00B2290F">
        <w:rPr>
          <w:rFonts w:eastAsia="Times New Roman"/>
          <w:sz w:val="24"/>
          <w:szCs w:val="24"/>
        </w:rPr>
        <w:t xml:space="preserve">, C., Culberson, C.H., Hawley, J.E., &amp; </w:t>
      </w:r>
      <w:proofErr w:type="spellStart"/>
      <w:r w:rsidRPr="00B2290F">
        <w:rPr>
          <w:rFonts w:eastAsia="Times New Roman"/>
          <w:sz w:val="24"/>
          <w:szCs w:val="24"/>
        </w:rPr>
        <w:t>Pytkowicx</w:t>
      </w:r>
      <w:proofErr w:type="spellEnd"/>
      <w:r w:rsidRPr="00B2290F">
        <w:rPr>
          <w:rFonts w:eastAsia="Times New Roman"/>
          <w:sz w:val="24"/>
          <w:szCs w:val="24"/>
        </w:rPr>
        <w:t xml:space="preserve">, R.M. (1973). Measurement of The Apparent Dissociation Constants of Carbonic Acid in Seawater at Atmospheric Pressure. </w:t>
      </w:r>
      <w:r w:rsidRPr="00B2290F">
        <w:rPr>
          <w:rFonts w:eastAsia="Times New Roman"/>
          <w:i/>
          <w:sz w:val="24"/>
          <w:szCs w:val="24"/>
        </w:rPr>
        <w:t>Limnology and Oceanography</w:t>
      </w:r>
      <w:r w:rsidRPr="00B2290F">
        <w:rPr>
          <w:rFonts w:eastAsia="Times New Roman"/>
          <w:sz w:val="24"/>
          <w:szCs w:val="24"/>
        </w:rPr>
        <w:t xml:space="preserve">, 18(6), 897–907. </w:t>
      </w:r>
      <w:r w:rsidRPr="00B2290F">
        <w:rPr>
          <w:rFonts w:eastAsia="Times New Roman"/>
          <w:color w:val="262626"/>
          <w:sz w:val="24"/>
          <w:szCs w:val="24"/>
        </w:rPr>
        <w:t>https://doi.org/</w:t>
      </w:r>
      <w:r w:rsidRPr="00B2290F">
        <w:rPr>
          <w:rFonts w:eastAsia="Times New Roman"/>
          <w:sz w:val="24"/>
          <w:szCs w:val="24"/>
        </w:rPr>
        <w:t>10.4319/lo.1973.18.6.0897</w:t>
      </w:r>
    </w:p>
    <w:p w14:paraId="1B1F76E4" w14:textId="77777777" w:rsidR="00100398" w:rsidRPr="00B2290F" w:rsidRDefault="00100398" w:rsidP="00100398">
      <w:pPr>
        <w:widowControl w:val="0"/>
        <w:shd w:val="clear" w:color="auto" w:fill="FFFFFF"/>
        <w:ind w:left="360" w:hanging="360"/>
        <w:rPr>
          <w:rFonts w:eastAsia="Times New Roman"/>
          <w:sz w:val="24"/>
          <w:szCs w:val="24"/>
        </w:rPr>
      </w:pPr>
      <w:r w:rsidRPr="00B2290F">
        <w:rPr>
          <w:rFonts w:eastAsia="Times New Roman"/>
          <w:sz w:val="24"/>
          <w:szCs w:val="24"/>
        </w:rPr>
        <w:t>Mellinger, D.K. (2001). Ishmael 1.0 User’s Guide. NOAA Technical Memorandum OAR PMEL-120.</w:t>
      </w:r>
      <w:hyperlink r:id="rId41">
        <w:r w:rsidRPr="00B2290F">
          <w:rPr>
            <w:rFonts w:eastAsia="Times New Roman"/>
            <w:sz w:val="24"/>
            <w:szCs w:val="24"/>
          </w:rPr>
          <w:t xml:space="preserve"> http://www.pmel.noaa.gov/pubs/PDF/mell2434/mell2434.pdf</w:t>
        </w:r>
      </w:hyperlink>
      <w:r w:rsidRPr="00B2290F">
        <w:rPr>
          <w:rFonts w:eastAsia="Times New Roman"/>
          <w:sz w:val="24"/>
          <w:szCs w:val="24"/>
        </w:rPr>
        <w:t>. Available from NOAA/PMEL/OERD, 2115 SE OSU Drive, Newport, Oregon.</w:t>
      </w:r>
    </w:p>
    <w:p w14:paraId="2120B8EF" w14:textId="77777777" w:rsidR="00100398" w:rsidRPr="00B2290F" w:rsidRDefault="00100398" w:rsidP="00100398">
      <w:pPr>
        <w:widowControl w:val="0"/>
        <w:shd w:val="clear" w:color="auto" w:fill="FFFFFF"/>
        <w:ind w:left="360" w:hanging="360"/>
        <w:rPr>
          <w:rFonts w:eastAsia="Times New Roman"/>
          <w:sz w:val="24"/>
          <w:szCs w:val="24"/>
        </w:rPr>
      </w:pPr>
      <w:r w:rsidRPr="00B2290F">
        <w:rPr>
          <w:rFonts w:eastAsia="Times New Roman"/>
          <w:sz w:val="24"/>
          <w:szCs w:val="24"/>
        </w:rPr>
        <w:t xml:space="preserve">Mellinger, D.K. (2004). A comparison of methods for detecting right whale calls. </w:t>
      </w:r>
      <w:r w:rsidRPr="00B2290F">
        <w:rPr>
          <w:rFonts w:eastAsia="Times New Roman"/>
          <w:i/>
          <w:sz w:val="24"/>
          <w:szCs w:val="24"/>
        </w:rPr>
        <w:t>Canadian Acoustics</w:t>
      </w:r>
      <w:r w:rsidRPr="00B2290F">
        <w:rPr>
          <w:rFonts w:eastAsia="Times New Roman"/>
          <w:sz w:val="24"/>
          <w:szCs w:val="24"/>
        </w:rPr>
        <w:t>, 32(55-65).</w:t>
      </w:r>
    </w:p>
    <w:p w14:paraId="7F6373D3"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lastRenderedPageBreak/>
        <w:t xml:space="preserve">Mellinger, D.K., &amp; Clark, C.W. (2000). Recognizing transient low-frequency whale sounds by spectrogram correlation. </w:t>
      </w:r>
      <w:r w:rsidRPr="00B2290F">
        <w:rPr>
          <w:rFonts w:eastAsia="Times New Roman"/>
          <w:i/>
          <w:sz w:val="24"/>
          <w:szCs w:val="24"/>
        </w:rPr>
        <w:t>The Journal of the Acoustical Society of America</w:t>
      </w:r>
      <w:r w:rsidRPr="00B2290F">
        <w:rPr>
          <w:rFonts w:eastAsia="Times New Roman"/>
          <w:sz w:val="24"/>
          <w:szCs w:val="24"/>
        </w:rPr>
        <w:t xml:space="preserve">, 107(6), 3518–3529. </w:t>
      </w:r>
      <w:r w:rsidRPr="00B2290F">
        <w:rPr>
          <w:rFonts w:eastAsia="Times New Roman"/>
          <w:color w:val="262626"/>
          <w:sz w:val="24"/>
          <w:szCs w:val="24"/>
          <w:highlight w:val="white"/>
        </w:rPr>
        <w:t>https://doi.org/</w:t>
      </w:r>
      <w:r w:rsidRPr="00B2290F">
        <w:rPr>
          <w:rFonts w:eastAsia="Times New Roman"/>
          <w:sz w:val="24"/>
          <w:szCs w:val="24"/>
        </w:rPr>
        <w:t>10.1121/1.429434</w:t>
      </w:r>
    </w:p>
    <w:p w14:paraId="255F5F0A"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Mogen, S.C., </w:t>
      </w:r>
      <w:proofErr w:type="spellStart"/>
      <w:r w:rsidRPr="00B2290F">
        <w:rPr>
          <w:rFonts w:eastAsia="Times New Roman"/>
          <w:sz w:val="24"/>
          <w:szCs w:val="24"/>
        </w:rPr>
        <w:t>Lovenduski</w:t>
      </w:r>
      <w:proofErr w:type="spellEnd"/>
      <w:r w:rsidRPr="00B2290F">
        <w:rPr>
          <w:rFonts w:eastAsia="Times New Roman"/>
          <w:sz w:val="24"/>
          <w:szCs w:val="24"/>
        </w:rPr>
        <w:t xml:space="preserve">, N.S., </w:t>
      </w:r>
      <w:proofErr w:type="spellStart"/>
      <w:r w:rsidRPr="00B2290F">
        <w:rPr>
          <w:rFonts w:eastAsia="Times New Roman"/>
          <w:sz w:val="24"/>
          <w:szCs w:val="24"/>
        </w:rPr>
        <w:t>Dallmann</w:t>
      </w:r>
      <w:proofErr w:type="spellEnd"/>
      <w:r w:rsidRPr="00B2290F">
        <w:rPr>
          <w:rFonts w:eastAsia="Times New Roman"/>
          <w:sz w:val="24"/>
          <w:szCs w:val="24"/>
        </w:rPr>
        <w:t xml:space="preserve">, A.R., Gregor, L., Sutton, A.J., </w:t>
      </w:r>
      <w:proofErr w:type="spellStart"/>
      <w:r w:rsidRPr="00B2290F">
        <w:rPr>
          <w:rFonts w:eastAsia="Times New Roman"/>
          <w:sz w:val="24"/>
          <w:szCs w:val="24"/>
        </w:rPr>
        <w:t>Bograd</w:t>
      </w:r>
      <w:proofErr w:type="spellEnd"/>
      <w:r w:rsidRPr="00B2290F">
        <w:rPr>
          <w:rFonts w:eastAsia="Times New Roman"/>
          <w:sz w:val="24"/>
          <w:szCs w:val="24"/>
        </w:rPr>
        <w:t xml:space="preserve">, S.J., </w:t>
      </w:r>
      <w:proofErr w:type="spellStart"/>
      <w:r w:rsidRPr="00B2290F">
        <w:rPr>
          <w:rFonts w:eastAsia="Times New Roman"/>
          <w:sz w:val="24"/>
          <w:szCs w:val="24"/>
        </w:rPr>
        <w:t>Quiros</w:t>
      </w:r>
      <w:proofErr w:type="spellEnd"/>
      <w:r w:rsidRPr="00B2290F">
        <w:rPr>
          <w:rFonts w:eastAsia="Times New Roman"/>
          <w:sz w:val="24"/>
          <w:szCs w:val="24"/>
        </w:rPr>
        <w:t xml:space="preserve">, N.C., Di Lorenzo, E., Hazen, E.L., </w:t>
      </w:r>
      <w:proofErr w:type="spellStart"/>
      <w:r w:rsidRPr="00B2290F">
        <w:rPr>
          <w:rFonts w:eastAsia="Times New Roman"/>
          <w:sz w:val="24"/>
          <w:szCs w:val="24"/>
        </w:rPr>
        <w:t>Jacox</w:t>
      </w:r>
      <w:proofErr w:type="spellEnd"/>
      <w:r w:rsidRPr="00B2290F">
        <w:rPr>
          <w:rFonts w:eastAsia="Times New Roman"/>
          <w:sz w:val="24"/>
          <w:szCs w:val="24"/>
        </w:rPr>
        <w:t xml:space="preserve">, M.G., </w:t>
      </w:r>
      <w:proofErr w:type="spellStart"/>
      <w:r w:rsidRPr="00B2290F">
        <w:rPr>
          <w:rFonts w:eastAsia="Times New Roman"/>
          <w:sz w:val="24"/>
          <w:szCs w:val="24"/>
        </w:rPr>
        <w:t>Buil</w:t>
      </w:r>
      <w:proofErr w:type="spellEnd"/>
      <w:r w:rsidRPr="00B2290F">
        <w:rPr>
          <w:rFonts w:eastAsia="Times New Roman"/>
          <w:sz w:val="24"/>
          <w:szCs w:val="24"/>
        </w:rPr>
        <w:t xml:space="preserve">, M.P., &amp; Yeager, S. (2022). Ocean Biogeochemical Signatures of the North Pacific Blob. </w:t>
      </w:r>
      <w:r w:rsidRPr="00B2290F">
        <w:rPr>
          <w:rFonts w:eastAsia="Times New Roman"/>
          <w:i/>
          <w:sz w:val="24"/>
          <w:szCs w:val="24"/>
        </w:rPr>
        <w:t>Geophysical Research Letters</w:t>
      </w:r>
      <w:r w:rsidRPr="00B2290F">
        <w:rPr>
          <w:rFonts w:eastAsia="Times New Roman"/>
          <w:sz w:val="24"/>
          <w:szCs w:val="24"/>
        </w:rPr>
        <w:t xml:space="preserve">, 49(9). </w:t>
      </w:r>
      <w:r w:rsidRPr="00B2290F">
        <w:rPr>
          <w:rFonts w:eastAsia="Times New Roman"/>
          <w:color w:val="262626"/>
          <w:sz w:val="24"/>
          <w:szCs w:val="24"/>
          <w:highlight w:val="white"/>
        </w:rPr>
        <w:t>https://doi.org/</w:t>
      </w:r>
      <w:r w:rsidRPr="00B2290F">
        <w:rPr>
          <w:rFonts w:eastAsia="Times New Roman"/>
          <w:sz w:val="24"/>
          <w:szCs w:val="24"/>
        </w:rPr>
        <w:t>10.1029/2021gl096938</w:t>
      </w:r>
    </w:p>
    <w:p w14:paraId="56CDBFFF" w14:textId="77777777" w:rsidR="00100398" w:rsidRPr="00B2290F" w:rsidRDefault="00100398" w:rsidP="00100398">
      <w:pPr>
        <w:widowControl w:val="0"/>
        <w:ind w:left="360" w:hanging="360"/>
        <w:rPr>
          <w:rFonts w:eastAsia="Times New Roman"/>
          <w:color w:val="333333"/>
          <w:sz w:val="24"/>
          <w:szCs w:val="24"/>
        </w:rPr>
      </w:pPr>
      <w:r w:rsidRPr="00B2290F">
        <w:rPr>
          <w:rFonts w:eastAsia="Times New Roman"/>
          <w:sz w:val="24"/>
          <w:szCs w:val="24"/>
        </w:rPr>
        <w:t xml:space="preserve">Noh, K. M., Lim H.-G., &amp; </w:t>
      </w:r>
      <w:proofErr w:type="spellStart"/>
      <w:r w:rsidRPr="00B2290F">
        <w:rPr>
          <w:rFonts w:eastAsia="Times New Roman"/>
          <w:sz w:val="24"/>
          <w:szCs w:val="24"/>
        </w:rPr>
        <w:t>Kug</w:t>
      </w:r>
      <w:proofErr w:type="spellEnd"/>
      <w:r w:rsidRPr="00B2290F">
        <w:rPr>
          <w:rFonts w:eastAsia="Times New Roman"/>
          <w:sz w:val="24"/>
          <w:szCs w:val="24"/>
        </w:rPr>
        <w:t xml:space="preserve"> J.-S. (2022). Global Chlorophyll Responses to Marine Heatwaves in Satellite Ocean Color. </w:t>
      </w:r>
      <w:r w:rsidRPr="00B2290F">
        <w:rPr>
          <w:rFonts w:eastAsia="Times New Roman"/>
          <w:i/>
          <w:sz w:val="24"/>
          <w:szCs w:val="24"/>
        </w:rPr>
        <w:t>Environmental Research Letters</w:t>
      </w:r>
      <w:r w:rsidRPr="00B2290F">
        <w:rPr>
          <w:rFonts w:eastAsia="Times New Roman"/>
          <w:sz w:val="24"/>
          <w:szCs w:val="24"/>
        </w:rPr>
        <w:t xml:space="preserve">, 17(6), 064034. </w:t>
      </w:r>
      <w:r w:rsidRPr="00B2290F">
        <w:rPr>
          <w:rFonts w:eastAsia="Times New Roman"/>
          <w:color w:val="262626"/>
          <w:sz w:val="24"/>
          <w:szCs w:val="24"/>
        </w:rPr>
        <w:t>https://doi.org/</w:t>
      </w:r>
      <w:r w:rsidRPr="00B2290F">
        <w:rPr>
          <w:rFonts w:eastAsia="Times New Roman"/>
          <w:sz w:val="24"/>
          <w:szCs w:val="24"/>
        </w:rPr>
        <w:t>10.1088/1748-9326/ac70ec</w:t>
      </w:r>
    </w:p>
    <w:p w14:paraId="2E4B90C6"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Scannell, H.A., Johnson, G.C., Thompson, L., Lyman, J.M., &amp; Riser, S.C. (2020). Subsurface Evolution and Persistence of Marine Heatwaves in the Northeast Pacific. </w:t>
      </w:r>
      <w:r w:rsidRPr="00B2290F">
        <w:rPr>
          <w:rFonts w:eastAsia="Times New Roman"/>
          <w:i/>
          <w:sz w:val="24"/>
          <w:szCs w:val="24"/>
        </w:rPr>
        <w:t>Geophysical Research Letters</w:t>
      </w:r>
      <w:r w:rsidRPr="00B2290F">
        <w:rPr>
          <w:rFonts w:eastAsia="Times New Roman"/>
          <w:sz w:val="24"/>
          <w:szCs w:val="24"/>
        </w:rPr>
        <w:t xml:space="preserve">, 47(23). </w:t>
      </w:r>
      <w:r w:rsidRPr="00B2290F">
        <w:rPr>
          <w:rFonts w:eastAsia="Times New Roman"/>
          <w:color w:val="262626"/>
          <w:sz w:val="24"/>
          <w:szCs w:val="24"/>
        </w:rPr>
        <w:t>https://doi.org/</w:t>
      </w:r>
      <w:r w:rsidRPr="00B2290F">
        <w:rPr>
          <w:rFonts w:eastAsia="Times New Roman"/>
          <w:sz w:val="24"/>
          <w:szCs w:val="24"/>
        </w:rPr>
        <w:t>10.1029/2020gl090548</w:t>
      </w:r>
    </w:p>
    <w:p w14:paraId="23FDCE6E"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Schmeisser, L., Bond, N.A., </w:t>
      </w:r>
      <w:proofErr w:type="spellStart"/>
      <w:r w:rsidRPr="00B2290F">
        <w:rPr>
          <w:rFonts w:eastAsia="Times New Roman"/>
          <w:sz w:val="24"/>
          <w:szCs w:val="24"/>
        </w:rPr>
        <w:t>Siedlecki</w:t>
      </w:r>
      <w:proofErr w:type="spellEnd"/>
      <w:r w:rsidRPr="00B2290F">
        <w:rPr>
          <w:rFonts w:eastAsia="Times New Roman"/>
          <w:sz w:val="24"/>
          <w:szCs w:val="24"/>
        </w:rPr>
        <w:t xml:space="preserve">, S.A., &amp; Ackerman, T.P. (2019). The Role of Clouds and Surface Heat Fluxes in the Maintenance of the 2013–2016 Northeast Pacific Marine Heatwave. </w:t>
      </w:r>
      <w:r w:rsidRPr="00B2290F">
        <w:rPr>
          <w:rFonts w:eastAsia="Times New Roman"/>
          <w:i/>
          <w:sz w:val="24"/>
          <w:szCs w:val="24"/>
        </w:rPr>
        <w:t>Journal of Geophysical Research: Atmospheres</w:t>
      </w:r>
      <w:r w:rsidRPr="00B2290F">
        <w:rPr>
          <w:rFonts w:eastAsia="Times New Roman"/>
          <w:sz w:val="24"/>
          <w:szCs w:val="24"/>
        </w:rPr>
        <w:t xml:space="preserve">, 124(20), 10772–10783. </w:t>
      </w:r>
      <w:r w:rsidRPr="00B2290F">
        <w:rPr>
          <w:rFonts w:eastAsia="Times New Roman"/>
          <w:color w:val="262626"/>
          <w:sz w:val="24"/>
          <w:szCs w:val="24"/>
          <w:highlight w:val="white"/>
        </w:rPr>
        <w:t>https://doi.org/</w:t>
      </w:r>
      <w:r w:rsidRPr="00B2290F">
        <w:rPr>
          <w:rFonts w:eastAsia="Times New Roman"/>
          <w:sz w:val="24"/>
          <w:szCs w:val="24"/>
        </w:rPr>
        <w:t>10.1029/2019jd030780</w:t>
      </w:r>
    </w:p>
    <w:p w14:paraId="5AE504E9" w14:textId="77777777" w:rsidR="00100398" w:rsidRPr="00B2290F" w:rsidRDefault="00100398" w:rsidP="00100398">
      <w:pPr>
        <w:widowControl w:val="0"/>
        <w:ind w:left="360" w:hanging="360"/>
        <w:rPr>
          <w:rFonts w:eastAsia="Times New Roman"/>
          <w:sz w:val="24"/>
          <w:szCs w:val="24"/>
        </w:rPr>
      </w:pPr>
      <w:proofErr w:type="spellStart"/>
      <w:r w:rsidRPr="00B2290F">
        <w:rPr>
          <w:rFonts w:eastAsia="Times New Roman"/>
          <w:sz w:val="24"/>
          <w:szCs w:val="24"/>
        </w:rPr>
        <w:t>Smale</w:t>
      </w:r>
      <w:proofErr w:type="spellEnd"/>
      <w:r w:rsidRPr="00B2290F">
        <w:rPr>
          <w:rFonts w:eastAsia="Times New Roman"/>
          <w:sz w:val="24"/>
          <w:szCs w:val="24"/>
        </w:rPr>
        <w:t xml:space="preserve">, D.A., </w:t>
      </w:r>
      <w:proofErr w:type="spellStart"/>
      <w:r w:rsidRPr="00B2290F">
        <w:rPr>
          <w:rFonts w:eastAsia="Times New Roman"/>
          <w:sz w:val="24"/>
          <w:szCs w:val="24"/>
        </w:rPr>
        <w:t>Wernberg</w:t>
      </w:r>
      <w:proofErr w:type="spellEnd"/>
      <w:r w:rsidRPr="00B2290F">
        <w:rPr>
          <w:rFonts w:eastAsia="Times New Roman"/>
          <w:sz w:val="24"/>
          <w:szCs w:val="24"/>
        </w:rPr>
        <w:t xml:space="preserve">, T., Oliver, E.C.J., Thomsen, M., Harvey, B.P., Straub, S.C., Burrows, M.T., Alexander, L.V., </w:t>
      </w:r>
      <w:proofErr w:type="spellStart"/>
      <w:r w:rsidRPr="00B2290F">
        <w:rPr>
          <w:rFonts w:eastAsia="Times New Roman"/>
          <w:sz w:val="24"/>
          <w:szCs w:val="24"/>
        </w:rPr>
        <w:t>Benthuysen</w:t>
      </w:r>
      <w:proofErr w:type="spellEnd"/>
      <w:r w:rsidRPr="00B2290F">
        <w:rPr>
          <w:rFonts w:eastAsia="Times New Roman"/>
          <w:sz w:val="24"/>
          <w:szCs w:val="24"/>
        </w:rPr>
        <w:t xml:space="preserve">, J.A., </w:t>
      </w:r>
      <w:proofErr w:type="spellStart"/>
      <w:r w:rsidRPr="00B2290F">
        <w:rPr>
          <w:rFonts w:eastAsia="Times New Roman"/>
          <w:sz w:val="24"/>
          <w:szCs w:val="24"/>
        </w:rPr>
        <w:t>Donat</w:t>
      </w:r>
      <w:proofErr w:type="spellEnd"/>
      <w:r w:rsidRPr="00B2290F">
        <w:rPr>
          <w:rFonts w:eastAsia="Times New Roman"/>
          <w:sz w:val="24"/>
          <w:szCs w:val="24"/>
        </w:rPr>
        <w:t xml:space="preserve">, M.G., Feng, M., Hobday, A.J., Holbrook, N.J., Perkins-Kirkpatrick, S.E., Scannell, H.A., Sen Gupta, A., Payne, B.L., &amp; Moore, P.J. (2019). Marine heatwaves threaten global biodiversity and the provision of ecosystem services. </w:t>
      </w:r>
      <w:r w:rsidRPr="00B2290F">
        <w:rPr>
          <w:rFonts w:eastAsia="Times New Roman"/>
          <w:i/>
          <w:sz w:val="24"/>
          <w:szCs w:val="24"/>
        </w:rPr>
        <w:t>Nature Climate Change</w:t>
      </w:r>
      <w:r w:rsidRPr="00B2290F">
        <w:rPr>
          <w:rFonts w:eastAsia="Times New Roman"/>
          <w:sz w:val="24"/>
          <w:szCs w:val="24"/>
        </w:rPr>
        <w:t xml:space="preserve">, 9(4), 306–312. </w:t>
      </w:r>
      <w:r w:rsidRPr="00B2290F">
        <w:rPr>
          <w:rFonts w:eastAsia="Times New Roman"/>
          <w:color w:val="262626"/>
          <w:sz w:val="24"/>
          <w:szCs w:val="24"/>
          <w:highlight w:val="white"/>
        </w:rPr>
        <w:t>https://doi.org/</w:t>
      </w:r>
      <w:r w:rsidRPr="00B2290F">
        <w:rPr>
          <w:rFonts w:eastAsia="Times New Roman"/>
          <w:sz w:val="24"/>
          <w:szCs w:val="24"/>
        </w:rPr>
        <w:t>10.1038/s41558-019-0412-1</w:t>
      </w:r>
    </w:p>
    <w:p w14:paraId="1EFA4C44"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Stafford, K., </w:t>
      </w:r>
      <w:proofErr w:type="spellStart"/>
      <w:r w:rsidRPr="00B2290F">
        <w:rPr>
          <w:rFonts w:eastAsia="Times New Roman"/>
          <w:sz w:val="24"/>
          <w:szCs w:val="24"/>
        </w:rPr>
        <w:t>Citta</w:t>
      </w:r>
      <w:proofErr w:type="spellEnd"/>
      <w:r w:rsidRPr="00B2290F">
        <w:rPr>
          <w:rFonts w:eastAsia="Times New Roman"/>
          <w:sz w:val="24"/>
          <w:szCs w:val="24"/>
        </w:rPr>
        <w:t xml:space="preserve">, J., Moore, S., Daher, M., &amp; George, J. (2009). Environmental correlates of blue and fin whale call detections in the North Pacific Ocean from 1997 to 2002. </w:t>
      </w:r>
      <w:r w:rsidRPr="00B2290F">
        <w:rPr>
          <w:rFonts w:eastAsia="Times New Roman"/>
          <w:i/>
          <w:sz w:val="24"/>
          <w:szCs w:val="24"/>
        </w:rPr>
        <w:t>Marine Ecology Progress Series</w:t>
      </w:r>
      <w:r w:rsidRPr="00B2290F">
        <w:rPr>
          <w:rFonts w:eastAsia="Times New Roman"/>
          <w:sz w:val="24"/>
          <w:szCs w:val="24"/>
        </w:rPr>
        <w:t xml:space="preserve">, 395, 37–53. </w:t>
      </w:r>
      <w:r w:rsidRPr="00B2290F">
        <w:rPr>
          <w:rFonts w:eastAsia="Times New Roman"/>
          <w:color w:val="262626"/>
          <w:sz w:val="24"/>
          <w:szCs w:val="24"/>
          <w:highlight w:val="white"/>
        </w:rPr>
        <w:t>https://doi.org/</w:t>
      </w:r>
      <w:r w:rsidRPr="00B2290F">
        <w:rPr>
          <w:rFonts w:eastAsia="Times New Roman"/>
          <w:sz w:val="24"/>
          <w:szCs w:val="24"/>
        </w:rPr>
        <w:t>10.3354/meps08362</w:t>
      </w:r>
    </w:p>
    <w:p w14:paraId="034C9C95"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Stafford, K.M., Mellinger, D.K., Moore, S.E., &amp; Fox, C.G. (2007). Seasonal variability and detection range modeling of baleen whale calls in the Gulf of Alaska, 1999–2002. </w:t>
      </w:r>
      <w:r w:rsidRPr="00B2290F">
        <w:rPr>
          <w:rFonts w:eastAsia="Times New Roman"/>
          <w:i/>
          <w:sz w:val="24"/>
          <w:szCs w:val="24"/>
        </w:rPr>
        <w:t>The Journal of the Acoustical Society of America</w:t>
      </w:r>
      <w:r w:rsidRPr="00B2290F">
        <w:rPr>
          <w:rFonts w:eastAsia="Times New Roman"/>
          <w:sz w:val="24"/>
          <w:szCs w:val="24"/>
        </w:rPr>
        <w:t xml:space="preserve">, 122(6), 3378–3390. </w:t>
      </w:r>
      <w:r w:rsidRPr="00B2290F">
        <w:rPr>
          <w:rFonts w:eastAsia="Times New Roman"/>
          <w:color w:val="262626"/>
          <w:sz w:val="24"/>
          <w:szCs w:val="24"/>
          <w:highlight w:val="white"/>
        </w:rPr>
        <w:t>https://doi.org/</w:t>
      </w:r>
      <w:r w:rsidRPr="00B2290F">
        <w:rPr>
          <w:rFonts w:eastAsia="Times New Roman"/>
          <w:sz w:val="24"/>
          <w:szCs w:val="24"/>
        </w:rPr>
        <w:t>10.1121/1.2799905</w:t>
      </w:r>
    </w:p>
    <w:p w14:paraId="2D1FA55F" w14:textId="6359793C" w:rsidR="00100398" w:rsidRDefault="00100398" w:rsidP="00100398">
      <w:pPr>
        <w:widowControl w:val="0"/>
        <w:ind w:left="360" w:hanging="360"/>
        <w:rPr>
          <w:rFonts w:eastAsia="Times New Roman"/>
          <w:sz w:val="24"/>
          <w:szCs w:val="24"/>
        </w:rPr>
      </w:pPr>
      <w:r w:rsidRPr="00B2290F">
        <w:rPr>
          <w:rFonts w:eastAsia="Times New Roman"/>
          <w:sz w:val="24"/>
          <w:szCs w:val="24"/>
        </w:rPr>
        <w:t xml:space="preserve">Stafford, K.M., </w:t>
      </w:r>
      <w:proofErr w:type="spellStart"/>
      <w:r w:rsidRPr="00B2290F">
        <w:rPr>
          <w:rFonts w:eastAsia="Times New Roman"/>
          <w:sz w:val="24"/>
          <w:szCs w:val="24"/>
        </w:rPr>
        <w:t>Nieukirk</w:t>
      </w:r>
      <w:proofErr w:type="spellEnd"/>
      <w:r w:rsidRPr="00B2290F">
        <w:rPr>
          <w:rFonts w:eastAsia="Times New Roman"/>
          <w:sz w:val="24"/>
          <w:szCs w:val="24"/>
        </w:rPr>
        <w:t xml:space="preserve">, S.L., &amp; Fox, C.G. (1999). AN ACOUSTIC LINK BETWEEN BLUE WHALES IN THE EASTERN TROPICAL PACIFIC AND THE NORTHEAST PACIFIC1. </w:t>
      </w:r>
      <w:r w:rsidRPr="00B2290F">
        <w:rPr>
          <w:rFonts w:eastAsia="Times New Roman"/>
          <w:i/>
          <w:sz w:val="24"/>
          <w:szCs w:val="24"/>
        </w:rPr>
        <w:t>Marine Mammal Science</w:t>
      </w:r>
      <w:r w:rsidRPr="00B2290F">
        <w:rPr>
          <w:rFonts w:eastAsia="Times New Roman"/>
          <w:sz w:val="24"/>
          <w:szCs w:val="24"/>
        </w:rPr>
        <w:t xml:space="preserve">, 15(4), 1258–1268. </w:t>
      </w:r>
      <w:hyperlink r:id="rId42" w:history="1">
        <w:r w:rsidR="00876745" w:rsidRPr="00DD19C5">
          <w:rPr>
            <w:rStyle w:val="Hyperlink"/>
            <w:rFonts w:eastAsia="Times New Roman"/>
            <w:sz w:val="24"/>
            <w:szCs w:val="24"/>
            <w:highlight w:val="white"/>
          </w:rPr>
          <w:t>https://doi.org/</w:t>
        </w:r>
        <w:r w:rsidR="00876745" w:rsidRPr="00DD19C5">
          <w:rPr>
            <w:rStyle w:val="Hyperlink"/>
            <w:rFonts w:eastAsia="Times New Roman"/>
            <w:sz w:val="24"/>
            <w:szCs w:val="24"/>
          </w:rPr>
          <w:t>10.1111/j.1748-7692.1999.tb00889.x</w:t>
        </w:r>
      </w:hyperlink>
    </w:p>
    <w:p w14:paraId="7C5A1028" w14:textId="6F89B124" w:rsidR="00876745" w:rsidRPr="00B2290F" w:rsidRDefault="00876745" w:rsidP="00100398">
      <w:pPr>
        <w:widowControl w:val="0"/>
        <w:ind w:left="360" w:hanging="360"/>
        <w:rPr>
          <w:rFonts w:eastAsia="Times New Roman"/>
          <w:sz w:val="24"/>
          <w:szCs w:val="24"/>
        </w:rPr>
      </w:pPr>
      <w:r w:rsidRPr="00876745">
        <w:rPr>
          <w:rFonts w:eastAsia="Times New Roman"/>
          <w:sz w:val="24"/>
          <w:szCs w:val="24"/>
        </w:rPr>
        <w:t>Sutton, A</w:t>
      </w:r>
      <w:r>
        <w:rPr>
          <w:rFonts w:eastAsia="Times New Roman"/>
          <w:sz w:val="24"/>
          <w:szCs w:val="24"/>
        </w:rPr>
        <w:t>.</w:t>
      </w:r>
      <w:r w:rsidRPr="00876745">
        <w:rPr>
          <w:rFonts w:eastAsia="Times New Roman"/>
          <w:sz w:val="24"/>
          <w:szCs w:val="24"/>
        </w:rPr>
        <w:t>J.</w:t>
      </w:r>
      <w:r>
        <w:rPr>
          <w:rFonts w:eastAsia="Times New Roman"/>
          <w:sz w:val="24"/>
          <w:szCs w:val="24"/>
        </w:rPr>
        <w:t xml:space="preserve">, </w:t>
      </w:r>
      <w:r w:rsidRPr="00876745">
        <w:rPr>
          <w:rFonts w:eastAsia="Times New Roman"/>
          <w:sz w:val="24"/>
          <w:szCs w:val="24"/>
        </w:rPr>
        <w:t>Sabine, C</w:t>
      </w:r>
      <w:r>
        <w:rPr>
          <w:rFonts w:eastAsia="Times New Roman"/>
          <w:sz w:val="24"/>
          <w:szCs w:val="24"/>
        </w:rPr>
        <w:t>.</w:t>
      </w:r>
      <w:r w:rsidRPr="00876745">
        <w:rPr>
          <w:rFonts w:eastAsia="Times New Roman"/>
          <w:sz w:val="24"/>
          <w:szCs w:val="24"/>
        </w:rPr>
        <w:t>L.</w:t>
      </w:r>
      <w:r>
        <w:rPr>
          <w:rFonts w:eastAsia="Times New Roman"/>
          <w:sz w:val="24"/>
          <w:szCs w:val="24"/>
        </w:rPr>
        <w:t>,</w:t>
      </w:r>
      <w:r w:rsidRPr="00876745">
        <w:rPr>
          <w:rFonts w:eastAsia="Times New Roman"/>
          <w:sz w:val="24"/>
          <w:szCs w:val="24"/>
        </w:rPr>
        <w:t xml:space="preserve"> Dietrich, C</w:t>
      </w:r>
      <w:r>
        <w:rPr>
          <w:rFonts w:eastAsia="Times New Roman"/>
          <w:sz w:val="24"/>
          <w:szCs w:val="24"/>
        </w:rPr>
        <w:t>.,</w:t>
      </w:r>
      <w:r w:rsidRPr="00876745">
        <w:rPr>
          <w:rFonts w:eastAsia="Times New Roman"/>
          <w:sz w:val="24"/>
          <w:szCs w:val="24"/>
        </w:rPr>
        <w:t xml:space="preserve"> </w:t>
      </w:r>
      <w:proofErr w:type="spellStart"/>
      <w:r w:rsidRPr="00876745">
        <w:rPr>
          <w:rFonts w:eastAsia="Times New Roman"/>
          <w:sz w:val="24"/>
          <w:szCs w:val="24"/>
        </w:rPr>
        <w:t>Maenner</w:t>
      </w:r>
      <w:proofErr w:type="spellEnd"/>
      <w:r>
        <w:rPr>
          <w:rFonts w:eastAsia="Times New Roman"/>
          <w:sz w:val="24"/>
          <w:szCs w:val="24"/>
        </w:rPr>
        <w:t>-</w:t>
      </w:r>
      <w:r w:rsidRPr="00876745">
        <w:rPr>
          <w:rFonts w:eastAsia="Times New Roman"/>
          <w:sz w:val="24"/>
          <w:szCs w:val="24"/>
        </w:rPr>
        <w:t xml:space="preserve">Jones, </w:t>
      </w:r>
      <w:r>
        <w:rPr>
          <w:rFonts w:eastAsia="Times New Roman"/>
          <w:sz w:val="24"/>
          <w:szCs w:val="24"/>
        </w:rPr>
        <w:t>S.,</w:t>
      </w:r>
      <w:r w:rsidRPr="00876745">
        <w:rPr>
          <w:rFonts w:eastAsia="Times New Roman"/>
          <w:sz w:val="24"/>
          <w:szCs w:val="24"/>
        </w:rPr>
        <w:t xml:space="preserve"> </w:t>
      </w:r>
      <w:proofErr w:type="spellStart"/>
      <w:r w:rsidRPr="00876745">
        <w:rPr>
          <w:rFonts w:eastAsia="Times New Roman"/>
          <w:sz w:val="24"/>
          <w:szCs w:val="24"/>
        </w:rPr>
        <w:t>Musielewicz</w:t>
      </w:r>
      <w:proofErr w:type="spellEnd"/>
      <w:r w:rsidRPr="00876745">
        <w:rPr>
          <w:rFonts w:eastAsia="Times New Roman"/>
          <w:sz w:val="24"/>
          <w:szCs w:val="24"/>
        </w:rPr>
        <w:t>, S</w:t>
      </w:r>
      <w:r>
        <w:rPr>
          <w:rFonts w:eastAsia="Times New Roman"/>
          <w:sz w:val="24"/>
          <w:szCs w:val="24"/>
        </w:rPr>
        <w:t>.,</w:t>
      </w:r>
      <w:r w:rsidRPr="00876745">
        <w:rPr>
          <w:rFonts w:eastAsia="Times New Roman"/>
          <w:sz w:val="24"/>
          <w:szCs w:val="24"/>
        </w:rPr>
        <w:t xml:space="preserve"> Bott, </w:t>
      </w:r>
      <w:r>
        <w:rPr>
          <w:rFonts w:eastAsia="Times New Roman"/>
          <w:sz w:val="24"/>
          <w:szCs w:val="24"/>
        </w:rPr>
        <w:t>R.,</w:t>
      </w:r>
      <w:r w:rsidRPr="00876745">
        <w:rPr>
          <w:rFonts w:eastAsia="Times New Roman"/>
          <w:sz w:val="24"/>
          <w:szCs w:val="24"/>
        </w:rPr>
        <w:t xml:space="preserve"> Osborne, </w:t>
      </w:r>
      <w:r>
        <w:rPr>
          <w:rFonts w:eastAsia="Times New Roman"/>
          <w:sz w:val="24"/>
          <w:szCs w:val="24"/>
        </w:rPr>
        <w:t>J.</w:t>
      </w:r>
      <w:r w:rsidRPr="00876745">
        <w:rPr>
          <w:rFonts w:eastAsia="Times New Roman"/>
          <w:sz w:val="24"/>
          <w:szCs w:val="24"/>
        </w:rPr>
        <w:t xml:space="preserve"> (2012). High-resolution ocean and atmosphere pCO2 time-series measurements from mooring Papa_145W_50N in the North Pacific Ocean (NCEI Accession 0100074). [</w:t>
      </w:r>
      <w:r>
        <w:rPr>
          <w:rFonts w:eastAsia="Times New Roman"/>
          <w:sz w:val="24"/>
          <w:szCs w:val="24"/>
        </w:rPr>
        <w:t>Jan 2013- Dec 2020</w:t>
      </w:r>
      <w:r w:rsidRPr="00876745">
        <w:rPr>
          <w:rFonts w:eastAsia="Times New Roman"/>
          <w:sz w:val="24"/>
          <w:szCs w:val="24"/>
        </w:rPr>
        <w:t xml:space="preserve">]. NOAA National Centers for Environmental Information. Dataset. https://doi.org/10.3334/cdiac/otg.tsm_papa_145w_50n. </w:t>
      </w:r>
      <w:r>
        <w:rPr>
          <w:rFonts w:eastAsia="Times New Roman"/>
          <w:sz w:val="24"/>
          <w:szCs w:val="24"/>
        </w:rPr>
        <w:t xml:space="preserve">Accessed June 2022. </w:t>
      </w:r>
    </w:p>
    <w:p w14:paraId="3217EB8E"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Sutton, A.J., Sabine, C.L., Feely, R.A., Cai, W.-J., Cronin, M.F., </w:t>
      </w:r>
      <w:proofErr w:type="spellStart"/>
      <w:r w:rsidRPr="00B2290F">
        <w:rPr>
          <w:rFonts w:eastAsia="Times New Roman"/>
          <w:sz w:val="24"/>
          <w:szCs w:val="24"/>
        </w:rPr>
        <w:t>McPhaden</w:t>
      </w:r>
      <w:proofErr w:type="spellEnd"/>
      <w:r w:rsidRPr="00B2290F">
        <w:rPr>
          <w:rFonts w:eastAsia="Times New Roman"/>
          <w:sz w:val="24"/>
          <w:szCs w:val="24"/>
        </w:rPr>
        <w:t xml:space="preserve">, M.J., Morell, J.M., Newton, J.A., Noh, J.-H., </w:t>
      </w:r>
      <w:proofErr w:type="spellStart"/>
      <w:r w:rsidRPr="00B2290F">
        <w:rPr>
          <w:rFonts w:eastAsia="Times New Roman"/>
          <w:sz w:val="24"/>
          <w:szCs w:val="24"/>
        </w:rPr>
        <w:t>Ólafsdóttir</w:t>
      </w:r>
      <w:proofErr w:type="spellEnd"/>
      <w:r w:rsidRPr="00B2290F">
        <w:rPr>
          <w:rFonts w:eastAsia="Times New Roman"/>
          <w:sz w:val="24"/>
          <w:szCs w:val="24"/>
        </w:rPr>
        <w:t xml:space="preserve">, S.R., Salisbury, J.E., Send, U., </w:t>
      </w:r>
      <w:proofErr w:type="spellStart"/>
      <w:r w:rsidRPr="00B2290F">
        <w:rPr>
          <w:rFonts w:eastAsia="Times New Roman"/>
          <w:sz w:val="24"/>
          <w:szCs w:val="24"/>
        </w:rPr>
        <w:t>Vandemark</w:t>
      </w:r>
      <w:proofErr w:type="spellEnd"/>
      <w:r w:rsidRPr="00B2290F">
        <w:rPr>
          <w:rFonts w:eastAsia="Times New Roman"/>
          <w:sz w:val="24"/>
          <w:szCs w:val="24"/>
        </w:rPr>
        <w:t xml:space="preserve">, D.C., &amp; Weller, R.A. (2016). Using present-day observations to detect when anthropogenic change forces surface ocean carbonate chemistry outside preindustrial bounds. </w:t>
      </w:r>
      <w:proofErr w:type="spellStart"/>
      <w:r w:rsidRPr="00B2290F">
        <w:rPr>
          <w:rFonts w:eastAsia="Times New Roman"/>
          <w:i/>
          <w:sz w:val="24"/>
          <w:szCs w:val="24"/>
        </w:rPr>
        <w:t>Biogeosciences</w:t>
      </w:r>
      <w:proofErr w:type="spellEnd"/>
      <w:r w:rsidRPr="00B2290F">
        <w:rPr>
          <w:rFonts w:eastAsia="Times New Roman"/>
          <w:sz w:val="24"/>
          <w:szCs w:val="24"/>
        </w:rPr>
        <w:t xml:space="preserve">, 13(17), 5065–5083. </w:t>
      </w:r>
      <w:r w:rsidRPr="00B2290F">
        <w:rPr>
          <w:rFonts w:eastAsia="Times New Roman"/>
          <w:color w:val="262626"/>
          <w:sz w:val="24"/>
          <w:szCs w:val="24"/>
          <w:highlight w:val="white"/>
        </w:rPr>
        <w:t>https://doi.org/</w:t>
      </w:r>
      <w:r w:rsidRPr="00B2290F">
        <w:rPr>
          <w:rFonts w:eastAsia="Times New Roman"/>
          <w:sz w:val="24"/>
          <w:szCs w:val="24"/>
        </w:rPr>
        <w:t>10.5194/bg-13-5065-2016</w:t>
      </w:r>
    </w:p>
    <w:p w14:paraId="5AB48059" w14:textId="77777777" w:rsidR="00100398" w:rsidRPr="00876745" w:rsidRDefault="00100398" w:rsidP="00100398">
      <w:pPr>
        <w:widowControl w:val="0"/>
        <w:ind w:left="360" w:hanging="360"/>
        <w:rPr>
          <w:rFonts w:eastAsia="Times New Roman"/>
          <w:sz w:val="24"/>
          <w:szCs w:val="24"/>
        </w:rPr>
      </w:pPr>
      <w:r w:rsidRPr="00B2290F">
        <w:rPr>
          <w:rFonts w:eastAsia="Times New Roman"/>
          <w:sz w:val="24"/>
          <w:szCs w:val="24"/>
        </w:rPr>
        <w:t xml:space="preserve">Sutton, A.J., Sabine, C.L., </w:t>
      </w:r>
      <w:proofErr w:type="spellStart"/>
      <w:r w:rsidRPr="00B2290F">
        <w:rPr>
          <w:rFonts w:eastAsia="Times New Roman"/>
          <w:sz w:val="24"/>
          <w:szCs w:val="24"/>
        </w:rPr>
        <w:t>Maenner</w:t>
      </w:r>
      <w:proofErr w:type="spellEnd"/>
      <w:r w:rsidRPr="00B2290F">
        <w:rPr>
          <w:rFonts w:eastAsia="Times New Roman"/>
          <w:sz w:val="24"/>
          <w:szCs w:val="24"/>
        </w:rPr>
        <w:t>-Jones, S., Lawrence-</w:t>
      </w:r>
      <w:proofErr w:type="spellStart"/>
      <w:r w:rsidRPr="00B2290F">
        <w:rPr>
          <w:rFonts w:eastAsia="Times New Roman"/>
          <w:sz w:val="24"/>
          <w:szCs w:val="24"/>
        </w:rPr>
        <w:t>Slavas</w:t>
      </w:r>
      <w:proofErr w:type="spellEnd"/>
      <w:r w:rsidRPr="00B2290F">
        <w:rPr>
          <w:rFonts w:eastAsia="Times New Roman"/>
          <w:sz w:val="24"/>
          <w:szCs w:val="24"/>
        </w:rPr>
        <w:t xml:space="preserve">, N., </w:t>
      </w:r>
      <w:proofErr w:type="spellStart"/>
      <w:r w:rsidRPr="00B2290F">
        <w:rPr>
          <w:rFonts w:eastAsia="Times New Roman"/>
          <w:sz w:val="24"/>
          <w:szCs w:val="24"/>
        </w:rPr>
        <w:t>Meinig</w:t>
      </w:r>
      <w:proofErr w:type="spellEnd"/>
      <w:r w:rsidRPr="00B2290F">
        <w:rPr>
          <w:rFonts w:eastAsia="Times New Roman"/>
          <w:sz w:val="24"/>
          <w:szCs w:val="24"/>
        </w:rPr>
        <w:t xml:space="preserve">, C., Feely, R.A., Mathis, J.T., </w:t>
      </w:r>
      <w:proofErr w:type="spellStart"/>
      <w:r w:rsidRPr="00B2290F">
        <w:rPr>
          <w:rFonts w:eastAsia="Times New Roman"/>
          <w:sz w:val="24"/>
          <w:szCs w:val="24"/>
        </w:rPr>
        <w:t>Musielewicz</w:t>
      </w:r>
      <w:proofErr w:type="spellEnd"/>
      <w:r w:rsidRPr="00B2290F">
        <w:rPr>
          <w:rFonts w:eastAsia="Times New Roman"/>
          <w:sz w:val="24"/>
          <w:szCs w:val="24"/>
        </w:rPr>
        <w:t xml:space="preserve">, S., Bott, R., McLain, P.D., Fought, H.J., &amp; </w:t>
      </w:r>
      <w:proofErr w:type="spellStart"/>
      <w:r w:rsidRPr="00B2290F">
        <w:rPr>
          <w:rFonts w:eastAsia="Times New Roman"/>
          <w:sz w:val="24"/>
          <w:szCs w:val="24"/>
        </w:rPr>
        <w:t>Kozyr</w:t>
      </w:r>
      <w:proofErr w:type="spellEnd"/>
      <w:r w:rsidRPr="00B2290F">
        <w:rPr>
          <w:rFonts w:eastAsia="Times New Roman"/>
          <w:sz w:val="24"/>
          <w:szCs w:val="24"/>
        </w:rPr>
        <w:t xml:space="preserve">, A. (2014). A </w:t>
      </w:r>
      <w:r w:rsidRPr="00876745">
        <w:rPr>
          <w:rFonts w:eastAsia="Times New Roman"/>
          <w:sz w:val="24"/>
          <w:szCs w:val="24"/>
        </w:rPr>
        <w:t xml:space="preserve">high-frequency atmospheric and seawater </w:t>
      </w:r>
      <w:r w:rsidRPr="00876745">
        <w:rPr>
          <w:rFonts w:eastAsia="Times New Roman"/>
          <w:i/>
          <w:sz w:val="24"/>
          <w:szCs w:val="24"/>
        </w:rPr>
        <w:t>p</w:t>
      </w:r>
      <w:r w:rsidRPr="00876745">
        <w:rPr>
          <w:rFonts w:eastAsia="Times New Roman"/>
          <w:sz w:val="24"/>
          <w:szCs w:val="24"/>
        </w:rPr>
        <w:t>CO</w:t>
      </w:r>
      <w:r w:rsidRPr="00876745">
        <w:rPr>
          <w:rFonts w:eastAsia="Times New Roman"/>
          <w:sz w:val="24"/>
          <w:szCs w:val="24"/>
          <w:vertAlign w:val="subscript"/>
        </w:rPr>
        <w:t>2</w:t>
      </w:r>
      <w:r w:rsidRPr="00876745">
        <w:rPr>
          <w:rFonts w:eastAsia="Times New Roman"/>
          <w:sz w:val="24"/>
          <w:szCs w:val="24"/>
        </w:rPr>
        <w:t xml:space="preserve"> data set from 14 open-ocean sites using a </w:t>
      </w:r>
      <w:r w:rsidRPr="00876745">
        <w:rPr>
          <w:rFonts w:eastAsia="Times New Roman"/>
          <w:sz w:val="24"/>
          <w:szCs w:val="24"/>
        </w:rPr>
        <w:lastRenderedPageBreak/>
        <w:t xml:space="preserve">moored autonomous system. </w:t>
      </w:r>
      <w:r w:rsidRPr="00876745">
        <w:rPr>
          <w:rFonts w:eastAsia="Times New Roman"/>
          <w:i/>
          <w:sz w:val="24"/>
          <w:szCs w:val="24"/>
        </w:rPr>
        <w:t>Earth System Science Data</w:t>
      </w:r>
      <w:r w:rsidRPr="00876745">
        <w:rPr>
          <w:rFonts w:eastAsia="Times New Roman"/>
          <w:sz w:val="24"/>
          <w:szCs w:val="24"/>
        </w:rPr>
        <w:t xml:space="preserve">, 6(2), 353–366. </w:t>
      </w:r>
      <w:r w:rsidRPr="00876745">
        <w:rPr>
          <w:rFonts w:eastAsia="Times New Roman"/>
          <w:color w:val="262626"/>
          <w:sz w:val="24"/>
          <w:szCs w:val="24"/>
        </w:rPr>
        <w:t>https://doi.org/</w:t>
      </w:r>
      <w:r w:rsidRPr="00876745">
        <w:rPr>
          <w:rFonts w:eastAsia="Times New Roman"/>
          <w:sz w:val="24"/>
          <w:szCs w:val="24"/>
        </w:rPr>
        <w:t>10.5194/essd-6-353-2014</w:t>
      </w:r>
    </w:p>
    <w:p w14:paraId="59ACC766" w14:textId="77777777" w:rsidR="00100398" w:rsidRPr="00876745" w:rsidRDefault="00100398" w:rsidP="00100398">
      <w:pPr>
        <w:widowControl w:val="0"/>
        <w:ind w:left="360" w:hanging="360"/>
        <w:rPr>
          <w:rFonts w:eastAsia="Times New Roman"/>
          <w:sz w:val="24"/>
          <w:szCs w:val="24"/>
        </w:rPr>
      </w:pPr>
      <w:r w:rsidRPr="00876745">
        <w:rPr>
          <w:rFonts w:eastAsia="Times New Roman"/>
          <w:sz w:val="24"/>
          <w:szCs w:val="24"/>
        </w:rPr>
        <w:t xml:space="preserve">Suzuki, T., Ishii, M., Aoyama, M., Christian, J., Enyo, K., Kawano, T., Key, R.M., </w:t>
      </w:r>
      <w:proofErr w:type="spellStart"/>
      <w:r w:rsidRPr="00876745">
        <w:rPr>
          <w:rFonts w:eastAsia="Times New Roman"/>
          <w:sz w:val="24"/>
          <w:szCs w:val="24"/>
        </w:rPr>
        <w:t>Kosugi</w:t>
      </w:r>
      <w:proofErr w:type="spellEnd"/>
      <w:r w:rsidRPr="00876745">
        <w:rPr>
          <w:rFonts w:eastAsia="Times New Roman"/>
          <w:sz w:val="24"/>
          <w:szCs w:val="24"/>
        </w:rPr>
        <w:t xml:space="preserve">, N., </w:t>
      </w:r>
      <w:proofErr w:type="spellStart"/>
      <w:r w:rsidRPr="00876745">
        <w:rPr>
          <w:rFonts w:eastAsia="Times New Roman"/>
          <w:sz w:val="24"/>
          <w:szCs w:val="24"/>
        </w:rPr>
        <w:t>Kozyr</w:t>
      </w:r>
      <w:proofErr w:type="spellEnd"/>
      <w:r w:rsidRPr="00876745">
        <w:rPr>
          <w:rFonts w:eastAsia="Times New Roman"/>
          <w:sz w:val="24"/>
          <w:szCs w:val="24"/>
        </w:rPr>
        <w:t xml:space="preserve">, A., Miller, L., Murata, A., Nakano, T., Ono, T., </w:t>
      </w:r>
      <w:proofErr w:type="spellStart"/>
      <w:r w:rsidRPr="00876745">
        <w:rPr>
          <w:rFonts w:eastAsia="Times New Roman"/>
          <w:sz w:val="24"/>
          <w:szCs w:val="24"/>
        </w:rPr>
        <w:t>Saino</w:t>
      </w:r>
      <w:proofErr w:type="spellEnd"/>
      <w:r w:rsidRPr="00876745">
        <w:rPr>
          <w:rFonts w:eastAsia="Times New Roman"/>
          <w:sz w:val="24"/>
          <w:szCs w:val="24"/>
        </w:rPr>
        <w:t xml:space="preserve">, T., Sasaki, K., </w:t>
      </w:r>
      <w:proofErr w:type="spellStart"/>
      <w:r w:rsidRPr="00876745">
        <w:rPr>
          <w:rFonts w:eastAsia="Times New Roman"/>
          <w:sz w:val="24"/>
          <w:szCs w:val="24"/>
        </w:rPr>
        <w:t>Sasano</w:t>
      </w:r>
      <w:proofErr w:type="spellEnd"/>
      <w:r w:rsidRPr="00876745">
        <w:rPr>
          <w:rFonts w:eastAsia="Times New Roman"/>
          <w:sz w:val="24"/>
          <w:szCs w:val="24"/>
        </w:rPr>
        <w:t xml:space="preserve">, D., </w:t>
      </w:r>
      <w:proofErr w:type="spellStart"/>
      <w:r w:rsidRPr="00876745">
        <w:rPr>
          <w:rFonts w:eastAsia="Times New Roman"/>
          <w:sz w:val="24"/>
          <w:szCs w:val="24"/>
        </w:rPr>
        <w:t>Takatani</w:t>
      </w:r>
      <w:proofErr w:type="spellEnd"/>
      <w:r w:rsidRPr="00876745">
        <w:rPr>
          <w:rFonts w:eastAsia="Times New Roman"/>
          <w:sz w:val="24"/>
          <w:szCs w:val="24"/>
        </w:rPr>
        <w:t xml:space="preserve">, Y., </w:t>
      </w:r>
      <w:proofErr w:type="spellStart"/>
      <w:r w:rsidRPr="00876745">
        <w:rPr>
          <w:rFonts w:eastAsia="Times New Roman"/>
          <w:sz w:val="24"/>
          <w:szCs w:val="24"/>
        </w:rPr>
        <w:t>Wakita</w:t>
      </w:r>
      <w:proofErr w:type="spellEnd"/>
      <w:r w:rsidRPr="00876745">
        <w:rPr>
          <w:rFonts w:eastAsia="Times New Roman"/>
          <w:sz w:val="24"/>
          <w:szCs w:val="24"/>
        </w:rPr>
        <w:t xml:space="preserve">, M., &amp; Sabine, C.L. (2013). The Pacific Ocean Interior Carbon (PACIFICA) Database (NCEI Accession 0110865). Nitrate, Nitrite, Sulfite, and Oxygen within 49-51°N &amp; 144-146°W. </w:t>
      </w:r>
      <w:r w:rsidRPr="00876745">
        <w:rPr>
          <w:rFonts w:eastAsia="Times New Roman"/>
          <w:i/>
          <w:sz w:val="24"/>
          <w:szCs w:val="24"/>
        </w:rPr>
        <w:t>NOAA National Centers for Environmental Information</w:t>
      </w:r>
      <w:r w:rsidRPr="00876745">
        <w:rPr>
          <w:rFonts w:eastAsia="Times New Roman"/>
          <w:sz w:val="24"/>
          <w:szCs w:val="24"/>
        </w:rPr>
        <w:t>. Dataset. https://doi.org/10.25921/n9nn-8324. Accessed Jun 2022.</w:t>
      </w:r>
    </w:p>
    <w:p w14:paraId="546A7190" w14:textId="77777777" w:rsidR="00100398" w:rsidRPr="00B2290F" w:rsidRDefault="00100398" w:rsidP="00100398">
      <w:pPr>
        <w:widowControl w:val="0"/>
        <w:ind w:left="360" w:hanging="360"/>
        <w:rPr>
          <w:rFonts w:eastAsia="Times New Roman"/>
          <w:sz w:val="24"/>
          <w:szCs w:val="24"/>
        </w:rPr>
      </w:pPr>
      <w:r w:rsidRPr="00876745">
        <w:rPr>
          <w:rFonts w:eastAsia="Times New Roman"/>
          <w:sz w:val="24"/>
          <w:szCs w:val="24"/>
        </w:rPr>
        <w:t xml:space="preserve">Thomson, J., </w:t>
      </w:r>
      <w:proofErr w:type="spellStart"/>
      <w:r w:rsidRPr="00876745">
        <w:rPr>
          <w:rFonts w:eastAsia="Times New Roman"/>
          <w:sz w:val="24"/>
          <w:szCs w:val="24"/>
        </w:rPr>
        <w:t>D’Asaro</w:t>
      </w:r>
      <w:proofErr w:type="spellEnd"/>
      <w:r w:rsidRPr="00876745">
        <w:rPr>
          <w:rFonts w:eastAsia="Times New Roman"/>
          <w:sz w:val="24"/>
          <w:szCs w:val="24"/>
        </w:rPr>
        <w:t>, E.A., Cronin, M.F., Rogers, W.E.,</w:t>
      </w:r>
      <w:r w:rsidRPr="00B2290F">
        <w:rPr>
          <w:rFonts w:eastAsia="Times New Roman"/>
          <w:sz w:val="24"/>
          <w:szCs w:val="24"/>
        </w:rPr>
        <w:t xml:space="preserve"> Harcourt, R.R., &amp; </w:t>
      </w:r>
      <w:proofErr w:type="spellStart"/>
      <w:r w:rsidRPr="00B2290F">
        <w:rPr>
          <w:rFonts w:eastAsia="Times New Roman"/>
          <w:sz w:val="24"/>
          <w:szCs w:val="24"/>
        </w:rPr>
        <w:t>Shcherbina</w:t>
      </w:r>
      <w:proofErr w:type="spellEnd"/>
      <w:r w:rsidRPr="00B2290F">
        <w:rPr>
          <w:rFonts w:eastAsia="Times New Roman"/>
          <w:sz w:val="24"/>
          <w:szCs w:val="24"/>
        </w:rPr>
        <w:t xml:space="preserve">, A. (2013). Waves and the equilibrium range at Ocean Weather Station P. </w:t>
      </w:r>
      <w:r w:rsidRPr="00B2290F">
        <w:rPr>
          <w:rFonts w:eastAsia="Times New Roman"/>
          <w:i/>
          <w:sz w:val="24"/>
          <w:szCs w:val="24"/>
        </w:rPr>
        <w:t>Journal of Geophysical Research: Oceans</w:t>
      </w:r>
      <w:r w:rsidRPr="00B2290F">
        <w:rPr>
          <w:rFonts w:eastAsia="Times New Roman"/>
          <w:sz w:val="24"/>
          <w:szCs w:val="24"/>
        </w:rPr>
        <w:t xml:space="preserve">, 118(11), 5951–5962. </w:t>
      </w:r>
      <w:r w:rsidRPr="00B2290F">
        <w:rPr>
          <w:rFonts w:eastAsia="Times New Roman"/>
          <w:color w:val="262626"/>
          <w:sz w:val="24"/>
          <w:szCs w:val="24"/>
          <w:highlight w:val="white"/>
        </w:rPr>
        <w:t>https://doi.org/</w:t>
      </w:r>
      <w:r w:rsidRPr="00B2290F">
        <w:rPr>
          <w:rFonts w:eastAsia="Times New Roman"/>
          <w:sz w:val="24"/>
          <w:szCs w:val="24"/>
        </w:rPr>
        <w:t>10.1002/2013jc008837</w:t>
      </w:r>
    </w:p>
    <w:p w14:paraId="12939588"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van </w:t>
      </w:r>
      <w:proofErr w:type="spellStart"/>
      <w:r w:rsidRPr="00B2290F">
        <w:rPr>
          <w:rFonts w:eastAsia="Times New Roman"/>
          <w:sz w:val="24"/>
          <w:szCs w:val="24"/>
        </w:rPr>
        <w:t>Heuven</w:t>
      </w:r>
      <w:proofErr w:type="spellEnd"/>
      <w:r w:rsidRPr="00B2290F">
        <w:rPr>
          <w:rFonts w:eastAsia="Times New Roman"/>
          <w:sz w:val="24"/>
          <w:szCs w:val="24"/>
        </w:rPr>
        <w:t xml:space="preserve">, S., Rae, J.W.B., Wallace, D.W.R., Lewis, E., &amp; Pierrot, D. (2011). MATLAB Program Developed for CO2 System Calculations. </w:t>
      </w:r>
      <w:r w:rsidRPr="00B2290F">
        <w:rPr>
          <w:rFonts w:eastAsia="Times New Roman"/>
          <w:i/>
          <w:sz w:val="24"/>
          <w:szCs w:val="24"/>
        </w:rPr>
        <w:t>Carbon Dioxide Information Analysis Center</w:t>
      </w:r>
      <w:r w:rsidRPr="00B2290F">
        <w:rPr>
          <w:rFonts w:eastAsia="Times New Roman"/>
          <w:sz w:val="24"/>
          <w:szCs w:val="24"/>
        </w:rPr>
        <w:t xml:space="preserve">, ORNL/CDIAC-105b. </w:t>
      </w:r>
      <w:r w:rsidRPr="00B2290F">
        <w:rPr>
          <w:rFonts w:eastAsia="Times New Roman"/>
          <w:color w:val="262626"/>
          <w:sz w:val="24"/>
          <w:szCs w:val="24"/>
        </w:rPr>
        <w:t>https://doi.org/</w:t>
      </w:r>
      <w:r w:rsidRPr="00B2290F">
        <w:rPr>
          <w:rFonts w:eastAsia="Times New Roman"/>
          <w:sz w:val="24"/>
          <w:szCs w:val="24"/>
        </w:rPr>
        <w:t>10.3334/cdiac/otg.co2sys_matlab_v1.1</w:t>
      </w:r>
    </w:p>
    <w:p w14:paraId="42DC2B51"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Whitney, F., Wong, C., &amp; Boyd, P. (1998). Interannual variability in nitrate supply to surface waters of the Northeast Pacific Ocean. </w:t>
      </w:r>
      <w:r w:rsidRPr="00B2290F">
        <w:rPr>
          <w:rFonts w:eastAsia="Times New Roman"/>
          <w:i/>
          <w:sz w:val="24"/>
          <w:szCs w:val="24"/>
        </w:rPr>
        <w:t>Marine Ecology Progress Series</w:t>
      </w:r>
      <w:r w:rsidRPr="00B2290F">
        <w:rPr>
          <w:rFonts w:eastAsia="Times New Roman"/>
          <w:sz w:val="24"/>
          <w:szCs w:val="24"/>
        </w:rPr>
        <w:t xml:space="preserve">, 170, 15–23. </w:t>
      </w:r>
      <w:r w:rsidRPr="00B2290F">
        <w:rPr>
          <w:rFonts w:eastAsia="Times New Roman"/>
          <w:color w:val="262626"/>
          <w:sz w:val="24"/>
          <w:szCs w:val="24"/>
          <w:highlight w:val="white"/>
        </w:rPr>
        <w:t>https://doi.org/</w:t>
      </w:r>
      <w:r w:rsidRPr="00B2290F">
        <w:rPr>
          <w:rFonts w:eastAsia="Times New Roman"/>
          <w:sz w:val="24"/>
          <w:szCs w:val="24"/>
        </w:rPr>
        <w:t>10.3354/meps170015</w:t>
      </w:r>
    </w:p>
    <w:p w14:paraId="1376A303"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Whitney, F.A., &amp; Freeland, H.J. (1999). Variability in upper-ocean water properties in the NE Pacific Ocean. </w:t>
      </w:r>
      <w:r w:rsidRPr="00B2290F">
        <w:rPr>
          <w:rFonts w:eastAsia="Times New Roman"/>
          <w:i/>
          <w:sz w:val="24"/>
          <w:szCs w:val="24"/>
        </w:rPr>
        <w:t>Deep Sea Research Part II: Topical Studies in Oceanography</w:t>
      </w:r>
      <w:r w:rsidRPr="00B2290F">
        <w:rPr>
          <w:rFonts w:eastAsia="Times New Roman"/>
          <w:sz w:val="24"/>
          <w:szCs w:val="24"/>
        </w:rPr>
        <w:t xml:space="preserve">, 46(11-12), 2351–2370. </w:t>
      </w:r>
      <w:r w:rsidRPr="00B2290F">
        <w:rPr>
          <w:rFonts w:eastAsia="Times New Roman"/>
          <w:color w:val="262626"/>
          <w:sz w:val="24"/>
          <w:szCs w:val="24"/>
          <w:highlight w:val="white"/>
        </w:rPr>
        <w:t>https://doi.org/</w:t>
      </w:r>
      <w:r w:rsidRPr="00B2290F">
        <w:rPr>
          <w:rFonts w:eastAsia="Times New Roman"/>
          <w:sz w:val="24"/>
          <w:szCs w:val="24"/>
        </w:rPr>
        <w:t>10.1016/s0967-0645(99)00067-3</w:t>
      </w:r>
    </w:p>
    <w:p w14:paraId="495862BC" w14:textId="77777777" w:rsidR="0010039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Wong, C.S., Whitney, F.A., </w:t>
      </w:r>
      <w:proofErr w:type="spellStart"/>
      <w:r w:rsidRPr="00B2290F">
        <w:rPr>
          <w:rFonts w:eastAsia="Times New Roman"/>
          <w:sz w:val="24"/>
          <w:szCs w:val="24"/>
        </w:rPr>
        <w:t>Matear</w:t>
      </w:r>
      <w:proofErr w:type="spellEnd"/>
      <w:r w:rsidRPr="00B2290F">
        <w:rPr>
          <w:rFonts w:eastAsia="Times New Roman"/>
          <w:sz w:val="24"/>
          <w:szCs w:val="24"/>
        </w:rPr>
        <w:t xml:space="preserve">, R.J., &amp; Iseki, K. (1998). Enhancement of new production in the northeast subarctic Pacific Ocean during negative North Pacific index events. </w:t>
      </w:r>
      <w:r w:rsidRPr="00B2290F">
        <w:rPr>
          <w:rFonts w:eastAsia="Times New Roman"/>
          <w:i/>
          <w:sz w:val="24"/>
          <w:szCs w:val="24"/>
        </w:rPr>
        <w:t>Limnology and Oceanography</w:t>
      </w:r>
      <w:r w:rsidRPr="00B2290F">
        <w:rPr>
          <w:rFonts w:eastAsia="Times New Roman"/>
          <w:sz w:val="24"/>
          <w:szCs w:val="24"/>
        </w:rPr>
        <w:t xml:space="preserve">, 43(7), 1418–1426. </w:t>
      </w:r>
      <w:r w:rsidRPr="00B2290F">
        <w:rPr>
          <w:rFonts w:eastAsia="Times New Roman"/>
          <w:color w:val="262626"/>
          <w:sz w:val="24"/>
          <w:szCs w:val="24"/>
          <w:highlight w:val="white"/>
        </w:rPr>
        <w:t>https://doi.org/</w:t>
      </w:r>
      <w:r w:rsidRPr="00B2290F">
        <w:rPr>
          <w:rFonts w:eastAsia="Times New Roman"/>
          <w:sz w:val="24"/>
          <w:szCs w:val="24"/>
        </w:rPr>
        <w:t>10.4319/lo.1998.43.7.1418</w:t>
      </w:r>
    </w:p>
    <w:p w14:paraId="2B7C9A8E" w14:textId="330C14B1" w:rsidR="00BF0028" w:rsidRPr="00B2290F" w:rsidRDefault="00100398" w:rsidP="00100398">
      <w:pPr>
        <w:widowControl w:val="0"/>
        <w:ind w:left="360" w:hanging="360"/>
        <w:rPr>
          <w:rFonts w:eastAsia="Times New Roman"/>
          <w:sz w:val="24"/>
          <w:szCs w:val="24"/>
        </w:rPr>
      </w:pPr>
      <w:r w:rsidRPr="00B2290F">
        <w:rPr>
          <w:rFonts w:eastAsia="Times New Roman"/>
          <w:sz w:val="24"/>
          <w:szCs w:val="24"/>
        </w:rPr>
        <w:t xml:space="preserve">Wyatt, A.M., </w:t>
      </w:r>
      <w:proofErr w:type="spellStart"/>
      <w:r w:rsidRPr="00B2290F">
        <w:rPr>
          <w:rFonts w:eastAsia="Times New Roman"/>
          <w:sz w:val="24"/>
          <w:szCs w:val="24"/>
        </w:rPr>
        <w:t>Resplandy</w:t>
      </w:r>
      <w:proofErr w:type="spellEnd"/>
      <w:r w:rsidRPr="00B2290F">
        <w:rPr>
          <w:rFonts w:eastAsia="Times New Roman"/>
          <w:sz w:val="24"/>
          <w:szCs w:val="24"/>
        </w:rPr>
        <w:t xml:space="preserve">, L., &amp; Marchetti, A. (2022). Ecosystem Impacts of Marine Heat Waves in the Northeast Pacific. </w:t>
      </w:r>
      <w:proofErr w:type="spellStart"/>
      <w:r w:rsidRPr="00B2290F">
        <w:rPr>
          <w:rFonts w:eastAsia="Times New Roman"/>
          <w:i/>
          <w:sz w:val="24"/>
          <w:szCs w:val="24"/>
        </w:rPr>
        <w:t>Biogeosciences</w:t>
      </w:r>
      <w:proofErr w:type="spellEnd"/>
      <w:r w:rsidRPr="00B2290F">
        <w:rPr>
          <w:rFonts w:eastAsia="Times New Roman"/>
          <w:sz w:val="24"/>
          <w:szCs w:val="24"/>
        </w:rPr>
        <w:t xml:space="preserve">, 19(24), 5689–5705. </w:t>
      </w:r>
      <w:r w:rsidRPr="00B2290F">
        <w:rPr>
          <w:rFonts w:eastAsia="Times New Roman"/>
          <w:color w:val="262626"/>
          <w:sz w:val="24"/>
          <w:szCs w:val="24"/>
          <w:highlight w:val="white"/>
        </w:rPr>
        <w:t>https://doi.org/</w:t>
      </w:r>
      <w:r w:rsidRPr="00B2290F">
        <w:rPr>
          <w:rFonts w:eastAsia="Times New Roman"/>
          <w:sz w:val="24"/>
          <w:szCs w:val="24"/>
        </w:rPr>
        <w:t>10.5194/bg-19-5689-2022</w:t>
      </w:r>
    </w:p>
    <w:sectPr w:rsidR="00BF0028" w:rsidRPr="00B2290F"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1CFEA7" w14:textId="77777777" w:rsidR="008140A3" w:rsidRDefault="008140A3" w:rsidP="000379AB">
      <w:r>
        <w:separator/>
      </w:r>
    </w:p>
  </w:endnote>
  <w:endnote w:type="continuationSeparator" w:id="0">
    <w:p w14:paraId="650A33C9" w14:textId="77777777" w:rsidR="008140A3" w:rsidRDefault="008140A3"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A0041" w14:textId="77777777" w:rsidR="008140A3" w:rsidRDefault="008140A3" w:rsidP="000379AB">
      <w:r>
        <w:separator/>
      </w:r>
    </w:p>
  </w:footnote>
  <w:footnote w:type="continuationSeparator" w:id="0">
    <w:p w14:paraId="17B55777" w14:textId="77777777" w:rsidR="008140A3" w:rsidRDefault="008140A3"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32493413" w:rsidR="00DD6745" w:rsidRDefault="00DD6745" w:rsidP="007778ED">
    <w:pPr>
      <w:pStyle w:val="Header"/>
      <w:jc w:val="center"/>
    </w:pPr>
    <w:r>
      <w:t xml:space="preserve">manuscript submitted to </w:t>
    </w:r>
    <w:r w:rsidR="00481C2B">
      <w:rPr>
        <w:i/>
      </w:rPr>
      <w:t>Journal of Geophysical Research: Oceans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773D223F"/>
    <w:multiLevelType w:val="multilevel"/>
    <w:tmpl w:val="18FCB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3"/>
  </w:num>
  <w:num w:numId="2" w16cid:durableId="906064874">
    <w:abstractNumId w:val="2"/>
  </w:num>
  <w:num w:numId="3" w16cid:durableId="124200908">
    <w:abstractNumId w:val="12"/>
  </w:num>
  <w:num w:numId="4" w16cid:durableId="983047291">
    <w:abstractNumId w:val="6"/>
  </w:num>
  <w:num w:numId="5" w16cid:durableId="1416437152">
    <w:abstractNumId w:val="7"/>
  </w:num>
  <w:num w:numId="6" w16cid:durableId="25494253">
    <w:abstractNumId w:val="9"/>
  </w:num>
  <w:num w:numId="7" w16cid:durableId="119541995">
    <w:abstractNumId w:val="10"/>
  </w:num>
  <w:num w:numId="8" w16cid:durableId="1958756824">
    <w:abstractNumId w:val="11"/>
  </w:num>
  <w:num w:numId="9" w16cid:durableId="928124450">
    <w:abstractNumId w:val="4"/>
  </w:num>
  <w:num w:numId="10" w16cid:durableId="1962152298">
    <w:abstractNumId w:val="8"/>
  </w:num>
  <w:num w:numId="11" w16cid:durableId="17976862">
    <w:abstractNumId w:val="5"/>
  </w:num>
  <w:num w:numId="12" w16cid:durableId="1237283164">
    <w:abstractNumId w:val="14"/>
  </w:num>
  <w:num w:numId="13" w16cid:durableId="439767255">
    <w:abstractNumId w:val="1"/>
  </w:num>
  <w:num w:numId="14" w16cid:durableId="398745560">
    <w:abstractNumId w:val="13"/>
  </w:num>
  <w:num w:numId="15" w16cid:durableId="12070611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279FA"/>
    <w:rsid w:val="00031829"/>
    <w:rsid w:val="000379AB"/>
    <w:rsid w:val="000511B4"/>
    <w:rsid w:val="00053B7F"/>
    <w:rsid w:val="0007414F"/>
    <w:rsid w:val="000859E9"/>
    <w:rsid w:val="000A0196"/>
    <w:rsid w:val="00100398"/>
    <w:rsid w:val="001C2B0D"/>
    <w:rsid w:val="001E33EF"/>
    <w:rsid w:val="001F768D"/>
    <w:rsid w:val="00205265"/>
    <w:rsid w:val="002058E0"/>
    <w:rsid w:val="002112B8"/>
    <w:rsid w:val="00211FB9"/>
    <w:rsid w:val="00214002"/>
    <w:rsid w:val="00236B7F"/>
    <w:rsid w:val="00240493"/>
    <w:rsid w:val="00272CE7"/>
    <w:rsid w:val="002B6F74"/>
    <w:rsid w:val="002C3263"/>
    <w:rsid w:val="002E7898"/>
    <w:rsid w:val="002F2289"/>
    <w:rsid w:val="002F3680"/>
    <w:rsid w:val="002F3B11"/>
    <w:rsid w:val="003137C3"/>
    <w:rsid w:val="00321596"/>
    <w:rsid w:val="00366917"/>
    <w:rsid w:val="0037466A"/>
    <w:rsid w:val="003A42F6"/>
    <w:rsid w:val="003C6DFD"/>
    <w:rsid w:val="003E5744"/>
    <w:rsid w:val="003E660A"/>
    <w:rsid w:val="003F199B"/>
    <w:rsid w:val="003F5D81"/>
    <w:rsid w:val="00400425"/>
    <w:rsid w:val="004009A6"/>
    <w:rsid w:val="0043369A"/>
    <w:rsid w:val="00436668"/>
    <w:rsid w:val="00440A22"/>
    <w:rsid w:val="00452A5A"/>
    <w:rsid w:val="0046739F"/>
    <w:rsid w:val="00481C2B"/>
    <w:rsid w:val="00514B45"/>
    <w:rsid w:val="005167EA"/>
    <w:rsid w:val="00533D41"/>
    <w:rsid w:val="005358D5"/>
    <w:rsid w:val="00545B6C"/>
    <w:rsid w:val="00562C9F"/>
    <w:rsid w:val="00562D64"/>
    <w:rsid w:val="0057441D"/>
    <w:rsid w:val="00575C0B"/>
    <w:rsid w:val="005E1517"/>
    <w:rsid w:val="005E1969"/>
    <w:rsid w:val="006842EE"/>
    <w:rsid w:val="006C4619"/>
    <w:rsid w:val="006D19B4"/>
    <w:rsid w:val="006D3BC7"/>
    <w:rsid w:val="006F0D4D"/>
    <w:rsid w:val="006F662E"/>
    <w:rsid w:val="007778ED"/>
    <w:rsid w:val="00796FB8"/>
    <w:rsid w:val="007B4B93"/>
    <w:rsid w:val="007E0E20"/>
    <w:rsid w:val="00813315"/>
    <w:rsid w:val="008140A3"/>
    <w:rsid w:val="00842606"/>
    <w:rsid w:val="00855B07"/>
    <w:rsid w:val="00876745"/>
    <w:rsid w:val="008A6077"/>
    <w:rsid w:val="008D3087"/>
    <w:rsid w:val="008E58E5"/>
    <w:rsid w:val="00925319"/>
    <w:rsid w:val="0095179B"/>
    <w:rsid w:val="0095222E"/>
    <w:rsid w:val="0097213C"/>
    <w:rsid w:val="00975D9D"/>
    <w:rsid w:val="00995CAA"/>
    <w:rsid w:val="009B68DA"/>
    <w:rsid w:val="009C63D9"/>
    <w:rsid w:val="009E2EE1"/>
    <w:rsid w:val="009E636E"/>
    <w:rsid w:val="00A072F7"/>
    <w:rsid w:val="00A1073D"/>
    <w:rsid w:val="00A44E37"/>
    <w:rsid w:val="00AA11F3"/>
    <w:rsid w:val="00AB46CF"/>
    <w:rsid w:val="00AD03B0"/>
    <w:rsid w:val="00AF33DA"/>
    <w:rsid w:val="00B120F3"/>
    <w:rsid w:val="00B2290F"/>
    <w:rsid w:val="00B719C8"/>
    <w:rsid w:val="00B81C79"/>
    <w:rsid w:val="00B82556"/>
    <w:rsid w:val="00B828C4"/>
    <w:rsid w:val="00B91517"/>
    <w:rsid w:val="00BD47BB"/>
    <w:rsid w:val="00BF0028"/>
    <w:rsid w:val="00C10568"/>
    <w:rsid w:val="00C3475A"/>
    <w:rsid w:val="00C81368"/>
    <w:rsid w:val="00C81692"/>
    <w:rsid w:val="00C94AA5"/>
    <w:rsid w:val="00CB7BED"/>
    <w:rsid w:val="00CC4CBE"/>
    <w:rsid w:val="00CF3DEE"/>
    <w:rsid w:val="00D204F9"/>
    <w:rsid w:val="00D31CF7"/>
    <w:rsid w:val="00D50A01"/>
    <w:rsid w:val="00D810E5"/>
    <w:rsid w:val="00D94839"/>
    <w:rsid w:val="00D9528F"/>
    <w:rsid w:val="00DC242E"/>
    <w:rsid w:val="00DD6745"/>
    <w:rsid w:val="00DE3F91"/>
    <w:rsid w:val="00E2597C"/>
    <w:rsid w:val="00E31404"/>
    <w:rsid w:val="00E31513"/>
    <w:rsid w:val="00E32EA2"/>
    <w:rsid w:val="00E45A00"/>
    <w:rsid w:val="00E664DF"/>
    <w:rsid w:val="00E67B96"/>
    <w:rsid w:val="00EE433D"/>
    <w:rsid w:val="00EF04CF"/>
    <w:rsid w:val="00F13598"/>
    <w:rsid w:val="00F21080"/>
    <w:rsid w:val="00F45E57"/>
    <w:rsid w:val="00F61ADD"/>
    <w:rsid w:val="00F71CD1"/>
    <w:rsid w:val="00F7548A"/>
    <w:rsid w:val="00FC3EAC"/>
    <w:rsid w:val="00FC49C6"/>
    <w:rsid w:val="00FE0C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95179B"/>
    <w:rPr>
      <w:rFonts w:ascii="Times New Roman" w:eastAsia="Calibri" w:hAnsi="Times New Roman" w:cs="Times New Roman"/>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4778109">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03416019">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hyperlink" Target="http://www.pac.dfo-mpo.gc.ca/science/oceans/data-donnees/line-p/index-eng.htm" TargetMode="External"/><Relationship Id="rId39" Type="http://schemas.openxmlformats.org/officeDocument/2006/relationships/hyperlink" Target="https://doi.org/10.1029/90jc01951" TargetMode="External"/><Relationship Id="rId21" Type="http://schemas.openxmlformats.org/officeDocument/2006/relationships/image" Target="media/image11.png"/><Relationship Id="rId34" Type="http://schemas.openxmlformats.org/officeDocument/2006/relationships/hyperlink" Target="https://doi.org/10.1016/j.pocean.2007.08.005" TargetMode="External"/><Relationship Id="rId42" Type="http://schemas.openxmlformats.org/officeDocument/2006/relationships/hyperlink" Target="https://doi.org/10.1111/j.1748-7692.1999.tb00889.x" TargetMode="Externa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psl.noaa.gov" TargetMode="External"/><Relationship Id="rId41" Type="http://schemas.openxmlformats.org/officeDocument/2006/relationships/hyperlink" Target="http://www.pmel.noaa.gov/pubs/PDF/mell2434/mell2434.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g"/><Relationship Id="rId24" Type="http://schemas.openxmlformats.org/officeDocument/2006/relationships/hyperlink" Target="https://dataexplorer.oceanobservatories.org/" TargetMode="External"/><Relationship Id="rId32" Type="http://schemas.openxmlformats.org/officeDocument/2006/relationships/hyperlink" Target="https://argo.ucsd.edu" TargetMode="External"/><Relationship Id="rId37" Type="http://schemas.openxmlformats.org/officeDocument/2006/relationships/hyperlink" Target="https://doi.org/10.1038/s43017-020-0068-4" TargetMode="External"/><Relationship Id="rId40" Type="http://schemas.openxmlformats.org/officeDocument/2006/relationships/hyperlink" Target="https://doi.org/10.1139/f92-101"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doi.org/10.3334/cdiac/otg.tsm_papa_145w_50n" TargetMode="External"/><Relationship Id="rId28" Type="http://schemas.openxmlformats.org/officeDocument/2006/relationships/hyperlink" Target="http://ooinet.oceanobservatories.org" TargetMode="External"/><Relationship Id="rId36" Type="http://schemas.openxmlformats.org/officeDocument/2006/relationships/hyperlink" Target="https://doi.org/10.1038/s43017-020-0068-4" TargetMode="External"/><Relationship Id="rId10" Type="http://schemas.openxmlformats.org/officeDocument/2006/relationships/hyperlink" Target="mailto:kohlman@uw.edu" TargetMode="External"/><Relationship Id="rId19" Type="http://schemas.openxmlformats.org/officeDocument/2006/relationships/image" Target="media/image9.png"/><Relationship Id="rId31" Type="http://schemas.openxmlformats.org/officeDocument/2006/relationships/hyperlink" Target="https://argo.ucsd.edu"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hyperlink" Target="https://www.pmel.noaa.gov/ocs/" TargetMode="External"/><Relationship Id="rId27" Type="http://schemas.openxmlformats.org/officeDocument/2006/relationships/hyperlink" Target="https://alfresco.oceanobservatories.org/alfresco/faces/jsp/browse/browse.jsp" TargetMode="External"/><Relationship Id="rId30" Type="http://schemas.openxmlformats.org/officeDocument/2006/relationships/hyperlink" Target="https://psl.noaa.gov" TargetMode="External"/><Relationship Id="rId35" Type="http://schemas.openxmlformats.org/officeDocument/2006/relationships/hyperlink" Target="https://doi.org/10.1016/j.pocean.2007.08.005" TargetMode="External"/><Relationship Id="rId43"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cdip.ucsd.edu/themes/cdip?pb=1&amp;u2=s:166:st:1&amp;d2=p70" TargetMode="External"/><Relationship Id="rId33" Type="http://schemas.openxmlformats.org/officeDocument/2006/relationships/hyperlink" Target="https://www.ocean-ops.org/board/?t=argo" TargetMode="External"/><Relationship Id="rId38" Type="http://schemas.openxmlformats.org/officeDocument/2006/relationships/hyperlink" Target="https://doi.org/10.1029/90jc0195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81</TotalTime>
  <Pages>24</Pages>
  <Words>9062</Words>
  <Characters>51660</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Katie Kohlman</cp:lastModifiedBy>
  <cp:revision>33</cp:revision>
  <dcterms:created xsi:type="dcterms:W3CDTF">2023-06-22T17:37:00Z</dcterms:created>
  <dcterms:modified xsi:type="dcterms:W3CDTF">2023-06-23T00:32:00Z</dcterms:modified>
</cp:coreProperties>
</file>