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CA11AD" w14:textId="6B6A6CBC" w:rsidR="00657BF5" w:rsidRPr="00991ACE" w:rsidRDefault="00657BF5" w:rsidP="00657BF5">
      <w:pPr>
        <w:spacing w:after="0" w:line="480" w:lineRule="auto"/>
        <w:contextualSpacing/>
        <w:jc w:val="center"/>
        <w:rPr>
          <w:rFonts w:eastAsia="Times New Roman" w:cstheme="minorHAnsi"/>
          <w:color w:val="000000"/>
          <w:sz w:val="28"/>
          <w:szCs w:val="28"/>
        </w:rPr>
      </w:pPr>
      <w:bookmarkStart w:id="0" w:name="_Hlk137504284"/>
      <w:bookmarkEnd w:id="0"/>
      <w:r w:rsidRPr="00991ACE">
        <w:rPr>
          <w:rFonts w:eastAsia="Times New Roman" w:cstheme="minorHAnsi"/>
          <w:color w:val="000000"/>
          <w:sz w:val="28"/>
          <w:szCs w:val="28"/>
        </w:rPr>
        <w:t>Tissue-specific expression of heterozygous Z-inversions in the zebra finch</w:t>
      </w:r>
    </w:p>
    <w:p w14:paraId="2514EEAB" w14:textId="77777777" w:rsidR="00657BF5" w:rsidRPr="00991ACE" w:rsidRDefault="00657BF5" w:rsidP="00657BF5">
      <w:pPr>
        <w:spacing w:after="0" w:line="480" w:lineRule="auto"/>
        <w:contextualSpacing/>
        <w:jc w:val="center"/>
        <w:rPr>
          <w:rFonts w:eastAsia="Times New Roman" w:cstheme="minorHAnsi"/>
          <w:color w:val="000000"/>
          <w:sz w:val="28"/>
          <w:szCs w:val="28"/>
        </w:rPr>
      </w:pPr>
    </w:p>
    <w:p w14:paraId="2F14E147" w14:textId="68BCB88E" w:rsidR="00657BF5" w:rsidRPr="00991ACE" w:rsidRDefault="00657BF5" w:rsidP="00657BF5">
      <w:pPr>
        <w:spacing w:after="0" w:line="480" w:lineRule="auto"/>
        <w:contextualSpacing/>
        <w:jc w:val="center"/>
        <w:rPr>
          <w:rFonts w:eastAsia="Times New Roman" w:cstheme="minorHAnsi"/>
          <w:sz w:val="24"/>
          <w:szCs w:val="24"/>
        </w:rPr>
      </w:pPr>
      <w:r w:rsidRPr="00991ACE">
        <w:rPr>
          <w:rFonts w:eastAsia="Times New Roman" w:cstheme="minorHAnsi"/>
          <w:color w:val="000000"/>
          <w:sz w:val="24"/>
          <w:szCs w:val="24"/>
        </w:rPr>
        <w:t xml:space="preserve">Heidi M. Viitaniemi </w:t>
      </w:r>
      <w:r w:rsidRPr="00991ACE">
        <w:rPr>
          <w:rFonts w:eastAsia="Times New Roman" w:cstheme="minorHAnsi"/>
          <w:color w:val="000000"/>
          <w:sz w:val="24"/>
          <w:szCs w:val="24"/>
          <w:vertAlign w:val="superscript"/>
        </w:rPr>
        <w:t>1,2</w:t>
      </w:r>
      <w:r w:rsidR="007D3960">
        <w:rPr>
          <w:rFonts w:eastAsia="Times New Roman" w:cstheme="minorHAnsi"/>
          <w:color w:val="000000"/>
          <w:sz w:val="24"/>
          <w:szCs w:val="24"/>
          <w:vertAlign w:val="superscript"/>
        </w:rPr>
        <w:t>*</w:t>
      </w:r>
      <w:r w:rsidRPr="00991ACE">
        <w:rPr>
          <w:rFonts w:eastAsia="Times New Roman" w:cstheme="minorHAnsi"/>
          <w:color w:val="000000"/>
          <w:sz w:val="24"/>
          <w:szCs w:val="24"/>
        </w:rPr>
        <w:t xml:space="preserve">, Erica H. </w:t>
      </w:r>
      <w:proofErr w:type="spellStart"/>
      <w:r w:rsidRPr="00991ACE">
        <w:rPr>
          <w:rFonts w:eastAsia="Times New Roman" w:cstheme="minorHAnsi"/>
          <w:color w:val="000000"/>
          <w:sz w:val="24"/>
          <w:szCs w:val="24"/>
        </w:rPr>
        <w:t>Leder</w:t>
      </w:r>
      <w:proofErr w:type="spellEnd"/>
      <w:r w:rsidRPr="00991ACE">
        <w:rPr>
          <w:rFonts w:eastAsia="Times New Roman" w:cstheme="minorHAnsi"/>
          <w:color w:val="000000"/>
          <w:sz w:val="24"/>
          <w:szCs w:val="24"/>
        </w:rPr>
        <w:t xml:space="preserve"> </w:t>
      </w:r>
      <w:r w:rsidR="00392AAB" w:rsidRPr="00A81BA9">
        <w:rPr>
          <w:rFonts w:eastAsia="Times New Roman" w:cstheme="minorHAnsi"/>
          <w:color w:val="000000"/>
          <w:sz w:val="24"/>
          <w:szCs w:val="24"/>
          <w:vertAlign w:val="superscript"/>
        </w:rPr>
        <w:t>2,</w:t>
      </w:r>
      <w:r w:rsidRPr="00991ACE">
        <w:rPr>
          <w:rFonts w:eastAsia="Times New Roman" w:cstheme="minorHAnsi"/>
          <w:color w:val="000000"/>
          <w:sz w:val="24"/>
          <w:szCs w:val="24"/>
          <w:vertAlign w:val="superscript"/>
        </w:rPr>
        <w:t>3,4</w:t>
      </w:r>
      <w:r w:rsidR="007D3960">
        <w:rPr>
          <w:rFonts w:eastAsia="Times New Roman" w:cstheme="minorHAnsi"/>
          <w:color w:val="000000"/>
          <w:sz w:val="24"/>
          <w:szCs w:val="24"/>
          <w:vertAlign w:val="superscript"/>
        </w:rPr>
        <w:t>*</w:t>
      </w:r>
      <w:r w:rsidRPr="00991ACE">
        <w:rPr>
          <w:rFonts w:eastAsia="Times New Roman" w:cstheme="minorHAnsi"/>
          <w:color w:val="000000"/>
          <w:sz w:val="24"/>
          <w:szCs w:val="24"/>
        </w:rPr>
        <w:t xml:space="preserve">, </w:t>
      </w:r>
      <w:proofErr w:type="spellStart"/>
      <w:r w:rsidR="007C497F" w:rsidRPr="00991ACE">
        <w:rPr>
          <w:rFonts w:eastAsia="Times New Roman" w:cstheme="minorHAnsi"/>
          <w:color w:val="000000"/>
          <w:sz w:val="24"/>
          <w:szCs w:val="24"/>
        </w:rPr>
        <w:t>Ondřej</w:t>
      </w:r>
      <w:proofErr w:type="spellEnd"/>
      <w:r w:rsidR="007C497F" w:rsidRPr="00991ACE">
        <w:rPr>
          <w:rFonts w:eastAsia="Times New Roman" w:cstheme="minorHAnsi"/>
          <w:color w:val="000000"/>
          <w:sz w:val="24"/>
          <w:szCs w:val="24"/>
        </w:rPr>
        <w:t xml:space="preserve"> Kauzál</w:t>
      </w:r>
      <w:r w:rsidR="007C497F" w:rsidRPr="00016B7B">
        <w:rPr>
          <w:rFonts w:eastAsia="Times New Roman" w:cstheme="minorHAnsi"/>
          <w:color w:val="000000"/>
          <w:sz w:val="24"/>
          <w:szCs w:val="24"/>
          <w:vertAlign w:val="superscript"/>
        </w:rPr>
        <w:t>1</w:t>
      </w:r>
      <w:r w:rsidR="007C497F" w:rsidRPr="00991ACE">
        <w:rPr>
          <w:rFonts w:eastAsia="Times New Roman" w:cstheme="minorHAnsi"/>
          <w:color w:val="000000"/>
          <w:sz w:val="24"/>
          <w:szCs w:val="24"/>
        </w:rPr>
        <w:t xml:space="preserve">, Romana </w:t>
      </w:r>
      <w:proofErr w:type="spellStart"/>
      <w:r w:rsidR="007C497F" w:rsidRPr="00991ACE">
        <w:rPr>
          <w:rFonts w:eastAsia="Times New Roman" w:cstheme="minorHAnsi"/>
          <w:color w:val="000000"/>
          <w:sz w:val="24"/>
          <w:szCs w:val="24"/>
        </w:rPr>
        <w:t>Stopková</w:t>
      </w:r>
      <w:proofErr w:type="spellEnd"/>
      <w:r w:rsidR="007C497F" w:rsidRPr="00991ACE">
        <w:rPr>
          <w:rFonts w:eastAsia="Times New Roman" w:cstheme="minorHAnsi"/>
          <w:color w:val="000000"/>
          <w:sz w:val="24"/>
          <w:szCs w:val="24"/>
        </w:rPr>
        <w:t xml:space="preserve"> </w:t>
      </w:r>
      <w:r w:rsidR="007C497F" w:rsidRPr="00016B7B">
        <w:rPr>
          <w:rFonts w:eastAsia="Times New Roman" w:cstheme="minorHAnsi"/>
          <w:color w:val="000000"/>
          <w:sz w:val="24"/>
          <w:szCs w:val="24"/>
          <w:vertAlign w:val="superscript"/>
        </w:rPr>
        <w:t>5</w:t>
      </w:r>
      <w:r w:rsidR="007C497F" w:rsidRPr="00991ACE">
        <w:rPr>
          <w:rFonts w:eastAsia="Times New Roman" w:cstheme="minorHAnsi"/>
          <w:color w:val="000000"/>
          <w:sz w:val="24"/>
          <w:szCs w:val="24"/>
        </w:rPr>
        <w:t xml:space="preserve">, Pavel </w:t>
      </w:r>
      <w:proofErr w:type="spellStart"/>
      <w:r w:rsidR="007C497F" w:rsidRPr="00991ACE">
        <w:rPr>
          <w:rFonts w:eastAsia="Times New Roman" w:cstheme="minorHAnsi"/>
          <w:color w:val="000000"/>
          <w:sz w:val="24"/>
          <w:szCs w:val="24"/>
        </w:rPr>
        <w:t>Stopka</w:t>
      </w:r>
      <w:proofErr w:type="spellEnd"/>
      <w:r w:rsidR="007C497F" w:rsidRPr="00991ACE">
        <w:rPr>
          <w:rFonts w:eastAsia="Times New Roman" w:cstheme="minorHAnsi"/>
          <w:color w:val="000000"/>
          <w:sz w:val="24"/>
          <w:szCs w:val="24"/>
        </w:rPr>
        <w:t xml:space="preserve"> </w:t>
      </w:r>
      <w:r w:rsidR="007C497F" w:rsidRPr="00016B7B">
        <w:rPr>
          <w:rFonts w:eastAsia="Times New Roman" w:cstheme="minorHAnsi"/>
          <w:color w:val="000000"/>
          <w:sz w:val="24"/>
          <w:szCs w:val="24"/>
          <w:vertAlign w:val="superscript"/>
        </w:rPr>
        <w:t>5</w:t>
      </w:r>
      <w:r w:rsidR="007C497F" w:rsidRPr="00991ACE">
        <w:rPr>
          <w:rFonts w:eastAsia="Times New Roman" w:cstheme="minorHAnsi"/>
          <w:color w:val="000000"/>
          <w:sz w:val="24"/>
          <w:szCs w:val="24"/>
        </w:rPr>
        <w:t xml:space="preserve">, Jan T. </w:t>
      </w:r>
      <w:proofErr w:type="spellStart"/>
      <w:r w:rsidR="007C497F" w:rsidRPr="00991ACE">
        <w:rPr>
          <w:rFonts w:eastAsia="Times New Roman" w:cstheme="minorHAnsi"/>
          <w:color w:val="000000"/>
          <w:sz w:val="24"/>
          <w:szCs w:val="24"/>
        </w:rPr>
        <w:t>Lifjeld</w:t>
      </w:r>
      <w:proofErr w:type="spellEnd"/>
      <w:r w:rsidR="007C497F" w:rsidRPr="00991ACE">
        <w:rPr>
          <w:rFonts w:eastAsia="Times New Roman" w:cstheme="minorHAnsi"/>
          <w:color w:val="000000"/>
          <w:sz w:val="24"/>
          <w:szCs w:val="24"/>
        </w:rPr>
        <w:t xml:space="preserve"> </w:t>
      </w:r>
      <w:r w:rsidR="007C497F" w:rsidRPr="00016B7B">
        <w:rPr>
          <w:rFonts w:eastAsia="Times New Roman" w:cstheme="minorHAnsi"/>
          <w:color w:val="000000"/>
          <w:sz w:val="24"/>
          <w:szCs w:val="24"/>
          <w:vertAlign w:val="superscript"/>
        </w:rPr>
        <w:t>4</w:t>
      </w:r>
      <w:r w:rsidR="007C497F" w:rsidRPr="00991ACE">
        <w:rPr>
          <w:rFonts w:eastAsia="Times New Roman" w:cstheme="minorHAnsi"/>
          <w:color w:val="000000"/>
          <w:sz w:val="24"/>
          <w:szCs w:val="24"/>
        </w:rPr>
        <w:t xml:space="preserve">, </w:t>
      </w:r>
      <w:proofErr w:type="spellStart"/>
      <w:proofErr w:type="gramStart"/>
      <w:r w:rsidR="007C497F" w:rsidRPr="00991ACE">
        <w:rPr>
          <w:rFonts w:eastAsia="Times New Roman" w:cstheme="minorHAnsi"/>
          <w:color w:val="000000"/>
          <w:sz w:val="24"/>
          <w:szCs w:val="24"/>
        </w:rPr>
        <w:t>Tomáš</w:t>
      </w:r>
      <w:proofErr w:type="spellEnd"/>
      <w:r w:rsidR="007C497F" w:rsidRPr="00991ACE">
        <w:rPr>
          <w:rFonts w:eastAsia="Times New Roman" w:cstheme="minorHAnsi"/>
          <w:color w:val="000000"/>
          <w:sz w:val="24"/>
          <w:szCs w:val="24"/>
        </w:rPr>
        <w:t xml:space="preserve">  Albrecht</w:t>
      </w:r>
      <w:proofErr w:type="gramEnd"/>
      <w:r w:rsidR="007C497F" w:rsidRPr="00991ACE">
        <w:rPr>
          <w:rFonts w:eastAsia="Times New Roman" w:cstheme="minorHAnsi"/>
          <w:color w:val="000000"/>
          <w:sz w:val="24"/>
          <w:szCs w:val="24"/>
        </w:rPr>
        <w:t xml:space="preserve"> </w:t>
      </w:r>
      <w:r w:rsidR="007C497F" w:rsidRPr="00016B7B">
        <w:rPr>
          <w:rFonts w:eastAsia="Times New Roman" w:cstheme="minorHAnsi"/>
          <w:color w:val="000000"/>
          <w:sz w:val="24"/>
          <w:szCs w:val="24"/>
          <w:vertAlign w:val="superscript"/>
        </w:rPr>
        <w:t>1,5</w:t>
      </w:r>
    </w:p>
    <w:p w14:paraId="79CBBD99" w14:textId="77777777" w:rsidR="008225AF" w:rsidRDefault="007C497F" w:rsidP="007C497F">
      <w:pPr>
        <w:spacing w:after="0" w:line="480" w:lineRule="auto"/>
        <w:contextualSpacing/>
        <w:rPr>
          <w:rFonts w:eastAsia="Times New Roman" w:cstheme="minorHAnsi"/>
          <w:sz w:val="24"/>
          <w:szCs w:val="24"/>
        </w:rPr>
      </w:pPr>
      <w:r w:rsidRPr="00991ACE">
        <w:rPr>
          <w:rFonts w:eastAsia="Times New Roman" w:cstheme="minorHAnsi"/>
          <w:sz w:val="24"/>
          <w:szCs w:val="24"/>
        </w:rPr>
        <w:t xml:space="preserve">1 </w:t>
      </w:r>
      <w:r w:rsidR="008225AF" w:rsidRPr="00F83EC5">
        <w:rPr>
          <w:rFonts w:eastAsia="Times New Roman" w:cstheme="minorHAnsi"/>
          <w:sz w:val="24"/>
          <w:szCs w:val="24"/>
        </w:rPr>
        <w:t>Institute of Vertebrate Biology, Czech Academy of Sciences, Brno, Czech Republic</w:t>
      </w:r>
      <w:r w:rsidR="008225AF" w:rsidRPr="00991ACE">
        <w:rPr>
          <w:rFonts w:eastAsia="Times New Roman" w:cstheme="minorHAnsi"/>
          <w:sz w:val="24"/>
          <w:szCs w:val="24"/>
        </w:rPr>
        <w:t xml:space="preserve"> </w:t>
      </w:r>
    </w:p>
    <w:p w14:paraId="0BD6EDC4" w14:textId="37D3AEC0" w:rsidR="007C497F" w:rsidRPr="00F83EC5" w:rsidRDefault="008225AF" w:rsidP="007C497F">
      <w:pPr>
        <w:spacing w:after="0" w:line="480" w:lineRule="auto"/>
        <w:contextualSpacing/>
        <w:rPr>
          <w:rFonts w:eastAsia="Times New Roman" w:cstheme="minorHAnsi"/>
          <w:sz w:val="24"/>
          <w:szCs w:val="24"/>
        </w:rPr>
      </w:pPr>
      <w:r>
        <w:rPr>
          <w:rFonts w:eastAsia="Times New Roman" w:cstheme="minorHAnsi"/>
          <w:sz w:val="24"/>
          <w:szCs w:val="24"/>
        </w:rPr>
        <w:t xml:space="preserve">2 </w:t>
      </w:r>
      <w:r w:rsidR="007C497F" w:rsidRPr="00991ACE">
        <w:rPr>
          <w:rFonts w:eastAsia="Times New Roman" w:cstheme="minorHAnsi"/>
          <w:sz w:val="24"/>
          <w:szCs w:val="24"/>
        </w:rPr>
        <w:t>Section of Ecology and Evolution, Department of Biology, University of Turku, Turku, Finland</w:t>
      </w:r>
    </w:p>
    <w:p w14:paraId="6662B3A9" w14:textId="065EF6D3" w:rsidR="00657BF5" w:rsidRPr="00F83EC5" w:rsidRDefault="00657BF5" w:rsidP="008225AF">
      <w:pPr>
        <w:tabs>
          <w:tab w:val="left" w:pos="2625"/>
        </w:tabs>
        <w:spacing w:after="0" w:line="480" w:lineRule="auto"/>
        <w:contextualSpacing/>
        <w:rPr>
          <w:rFonts w:eastAsia="Times New Roman" w:cstheme="minorHAnsi"/>
          <w:sz w:val="24"/>
          <w:szCs w:val="24"/>
        </w:rPr>
      </w:pPr>
      <w:r w:rsidRPr="00F83EC5">
        <w:rPr>
          <w:rFonts w:eastAsia="Times New Roman" w:cstheme="minorHAnsi"/>
          <w:sz w:val="24"/>
          <w:szCs w:val="24"/>
        </w:rPr>
        <w:t>3</w:t>
      </w:r>
      <w:r>
        <w:rPr>
          <w:rFonts w:eastAsia="Times New Roman" w:cstheme="minorHAnsi"/>
          <w:sz w:val="24"/>
          <w:szCs w:val="24"/>
        </w:rPr>
        <w:t xml:space="preserve"> </w:t>
      </w:r>
      <w:proofErr w:type="spellStart"/>
      <w:r w:rsidRPr="00F83EC5">
        <w:rPr>
          <w:rFonts w:eastAsia="Times New Roman" w:cstheme="minorHAnsi"/>
          <w:sz w:val="24"/>
          <w:szCs w:val="24"/>
        </w:rPr>
        <w:t>Tjärnö</w:t>
      </w:r>
      <w:proofErr w:type="spellEnd"/>
      <w:r w:rsidRPr="00F83EC5">
        <w:rPr>
          <w:rFonts w:eastAsia="Times New Roman" w:cstheme="minorHAnsi"/>
          <w:sz w:val="24"/>
          <w:szCs w:val="24"/>
        </w:rPr>
        <w:t xml:space="preserve"> Marine Laboratory, Linnaeus Centre for Marine Evolutionary Biology, University of </w:t>
      </w:r>
      <w:r>
        <w:rPr>
          <w:rFonts w:eastAsia="Times New Roman" w:cstheme="minorHAnsi"/>
          <w:sz w:val="24"/>
          <w:szCs w:val="24"/>
        </w:rPr>
        <w:t>G</w:t>
      </w:r>
      <w:r w:rsidRPr="00F83EC5">
        <w:rPr>
          <w:rFonts w:eastAsia="Times New Roman" w:cstheme="minorHAnsi"/>
          <w:sz w:val="24"/>
          <w:szCs w:val="24"/>
        </w:rPr>
        <w:t xml:space="preserve">othenburg, </w:t>
      </w:r>
      <w:proofErr w:type="spellStart"/>
      <w:r w:rsidRPr="00F83EC5">
        <w:rPr>
          <w:rFonts w:eastAsia="Times New Roman" w:cstheme="minorHAnsi"/>
          <w:sz w:val="24"/>
          <w:szCs w:val="24"/>
        </w:rPr>
        <w:t>Strömstad</w:t>
      </w:r>
      <w:proofErr w:type="spellEnd"/>
      <w:r w:rsidRPr="00F83EC5">
        <w:rPr>
          <w:rFonts w:eastAsia="Times New Roman" w:cstheme="minorHAnsi"/>
          <w:sz w:val="24"/>
          <w:szCs w:val="24"/>
        </w:rPr>
        <w:t>, Sweden</w:t>
      </w:r>
    </w:p>
    <w:p w14:paraId="73934C35" w14:textId="77777777" w:rsidR="00657BF5" w:rsidRPr="00F83EC5" w:rsidRDefault="00657BF5" w:rsidP="00657BF5">
      <w:pPr>
        <w:spacing w:after="0" w:line="480" w:lineRule="auto"/>
        <w:contextualSpacing/>
        <w:rPr>
          <w:rFonts w:eastAsia="Times New Roman" w:cstheme="minorHAnsi"/>
          <w:sz w:val="24"/>
          <w:szCs w:val="24"/>
        </w:rPr>
      </w:pPr>
      <w:r w:rsidRPr="00F83EC5">
        <w:rPr>
          <w:rFonts w:eastAsia="Times New Roman" w:cstheme="minorHAnsi"/>
          <w:sz w:val="24"/>
          <w:szCs w:val="24"/>
        </w:rPr>
        <w:t>4 Natural History Museum, University of Oslo, Oslo, Norway</w:t>
      </w:r>
    </w:p>
    <w:p w14:paraId="74DF8A15" w14:textId="77777777" w:rsidR="00657BF5" w:rsidRDefault="00657BF5" w:rsidP="00657BF5">
      <w:pPr>
        <w:spacing w:after="0" w:line="480" w:lineRule="auto"/>
        <w:contextualSpacing/>
        <w:rPr>
          <w:rFonts w:eastAsia="Times New Roman" w:cstheme="minorHAnsi"/>
          <w:sz w:val="24"/>
          <w:szCs w:val="24"/>
        </w:rPr>
      </w:pPr>
      <w:r w:rsidRPr="00F83EC5">
        <w:rPr>
          <w:rFonts w:eastAsia="Times New Roman" w:cstheme="minorHAnsi"/>
          <w:sz w:val="24"/>
          <w:szCs w:val="24"/>
        </w:rPr>
        <w:t xml:space="preserve">5 Department of </w:t>
      </w:r>
      <w:proofErr w:type="spellStart"/>
      <w:proofErr w:type="gramStart"/>
      <w:r w:rsidRPr="00F83EC5">
        <w:rPr>
          <w:rFonts w:eastAsia="Times New Roman" w:cstheme="minorHAnsi"/>
          <w:sz w:val="24"/>
          <w:szCs w:val="24"/>
        </w:rPr>
        <w:t>Zoology</w:t>
      </w:r>
      <w:r>
        <w:rPr>
          <w:rFonts w:eastAsia="Times New Roman" w:cstheme="minorHAnsi"/>
          <w:sz w:val="24"/>
          <w:szCs w:val="24"/>
        </w:rPr>
        <w:t>,</w:t>
      </w:r>
      <w:r w:rsidRPr="00F83EC5">
        <w:rPr>
          <w:rFonts w:eastAsia="Times New Roman" w:cstheme="minorHAnsi"/>
          <w:sz w:val="24"/>
          <w:szCs w:val="24"/>
        </w:rPr>
        <w:t>Faculty</w:t>
      </w:r>
      <w:proofErr w:type="spellEnd"/>
      <w:proofErr w:type="gramEnd"/>
      <w:r w:rsidRPr="00F83EC5">
        <w:rPr>
          <w:rFonts w:eastAsia="Times New Roman" w:cstheme="minorHAnsi"/>
          <w:sz w:val="24"/>
          <w:szCs w:val="24"/>
        </w:rPr>
        <w:t xml:space="preserve"> of Science, Charles University, Prague, Czech Republic</w:t>
      </w:r>
    </w:p>
    <w:p w14:paraId="065FA687" w14:textId="4BD80747" w:rsidR="007D3960" w:rsidRDefault="007D3960" w:rsidP="00657BF5">
      <w:pPr>
        <w:spacing w:after="0" w:line="480" w:lineRule="auto"/>
        <w:contextualSpacing/>
        <w:jc w:val="both"/>
        <w:rPr>
          <w:rFonts w:eastAsia="Times New Roman" w:cstheme="minorHAnsi"/>
          <w:sz w:val="24"/>
          <w:szCs w:val="24"/>
        </w:rPr>
      </w:pPr>
      <w:r>
        <w:rPr>
          <w:rFonts w:eastAsia="Times New Roman" w:cstheme="minorHAnsi"/>
          <w:sz w:val="24"/>
          <w:szCs w:val="24"/>
        </w:rPr>
        <w:t>*</w:t>
      </w:r>
      <w:r w:rsidR="00C04195">
        <w:rPr>
          <w:rFonts w:eastAsia="Times New Roman" w:cstheme="minorHAnsi"/>
          <w:sz w:val="24"/>
          <w:szCs w:val="24"/>
        </w:rPr>
        <w:t>Joint first authors</w:t>
      </w:r>
    </w:p>
    <w:p w14:paraId="65A0E52A" w14:textId="77777777" w:rsidR="008C3BF9" w:rsidRDefault="008C3BF9" w:rsidP="00657BF5">
      <w:pPr>
        <w:spacing w:after="0" w:line="480" w:lineRule="auto"/>
        <w:contextualSpacing/>
        <w:jc w:val="both"/>
        <w:rPr>
          <w:rFonts w:eastAsia="Times New Roman" w:cstheme="minorHAnsi"/>
          <w:sz w:val="24"/>
          <w:szCs w:val="24"/>
        </w:rPr>
      </w:pPr>
    </w:p>
    <w:p w14:paraId="15BA217A" w14:textId="79956928" w:rsidR="00657BF5" w:rsidRDefault="00657BF5" w:rsidP="00657BF5">
      <w:pPr>
        <w:spacing w:after="0" w:line="480" w:lineRule="auto"/>
        <w:contextualSpacing/>
        <w:jc w:val="both"/>
        <w:rPr>
          <w:rFonts w:eastAsia="Times New Roman" w:cstheme="minorHAnsi"/>
          <w:sz w:val="24"/>
          <w:szCs w:val="24"/>
        </w:rPr>
      </w:pPr>
      <w:r>
        <w:rPr>
          <w:rFonts w:eastAsia="Times New Roman" w:cstheme="minorHAnsi"/>
          <w:sz w:val="24"/>
          <w:szCs w:val="24"/>
        </w:rPr>
        <w:t xml:space="preserve">Corresponding author: Heidi M. Viitaniemi, </w:t>
      </w:r>
      <w:hyperlink r:id="rId7" w:history="1">
        <w:r w:rsidRPr="001B0B85">
          <w:rPr>
            <w:rStyle w:val="Hyperlinkki"/>
            <w:rFonts w:eastAsia="Times New Roman" w:cstheme="minorHAnsi"/>
            <w:sz w:val="24"/>
            <w:szCs w:val="24"/>
          </w:rPr>
          <w:t>hmviit@gmail.com</w:t>
        </w:r>
      </w:hyperlink>
    </w:p>
    <w:p w14:paraId="6DBE1B52" w14:textId="2AF8FD3A" w:rsidR="00B73028" w:rsidRDefault="00B73028">
      <w:pPr>
        <w:rPr>
          <w:rFonts w:eastAsia="Times New Roman" w:cstheme="minorHAnsi"/>
          <w:sz w:val="24"/>
          <w:szCs w:val="24"/>
        </w:rPr>
      </w:pPr>
      <w:r>
        <w:rPr>
          <w:rFonts w:eastAsia="Times New Roman" w:cstheme="minorHAnsi"/>
          <w:sz w:val="24"/>
          <w:szCs w:val="24"/>
        </w:rPr>
        <w:br w:type="page"/>
      </w:r>
    </w:p>
    <w:p w14:paraId="00A239C2" w14:textId="77777777" w:rsidR="00A665E4" w:rsidRDefault="00A665E4">
      <w:pPr>
        <w:rPr>
          <w:rFonts w:eastAsia="Times New Roman" w:cstheme="minorHAnsi"/>
          <w:b/>
          <w:bCs/>
          <w:sz w:val="24"/>
          <w:szCs w:val="24"/>
        </w:rPr>
      </w:pPr>
      <w:r w:rsidRPr="00A665E4">
        <w:rPr>
          <w:rFonts w:eastAsia="Times New Roman" w:cstheme="minorHAnsi"/>
          <w:b/>
          <w:bCs/>
          <w:sz w:val="24"/>
          <w:szCs w:val="24"/>
        </w:rPr>
        <w:lastRenderedPageBreak/>
        <w:t>Abstract</w:t>
      </w:r>
    </w:p>
    <w:p w14:paraId="3DDFF23D" w14:textId="5EC0142E" w:rsidR="00AC0D6C" w:rsidRPr="00AC0D6C" w:rsidRDefault="00AC0D6C" w:rsidP="00AC0D6C">
      <w:pPr>
        <w:spacing w:line="480" w:lineRule="auto"/>
        <w:rPr>
          <w:sz w:val="24"/>
          <w:szCs w:val="24"/>
        </w:rPr>
      </w:pPr>
      <w:r w:rsidRPr="00AC0D6C">
        <w:rPr>
          <w:sz w:val="24"/>
          <w:szCs w:val="24"/>
        </w:rPr>
        <w:t xml:space="preserve">Chromosomal inversions have been identified in many natural populations and can be responsible for novel traits and rapid adaptation. In zebra finch, an inversion in the Z chromosome has a pleiotropic effect on multiple traits but especially on sperm. Males heterokaryotypic for the inversion have sperm with a longer midpiece and higher velocity. They have higher fertility and siring success than </w:t>
      </w:r>
      <w:proofErr w:type="spellStart"/>
      <w:r w:rsidRPr="00AC0D6C">
        <w:rPr>
          <w:sz w:val="24"/>
          <w:szCs w:val="24"/>
        </w:rPr>
        <w:t>homokaryotypic</w:t>
      </w:r>
      <w:proofErr w:type="spellEnd"/>
      <w:r w:rsidRPr="00AC0D6C">
        <w:rPr>
          <w:sz w:val="24"/>
          <w:szCs w:val="24"/>
        </w:rPr>
        <w:t xml:space="preserve"> males. To understand the effect the Z inversion on these traits, we examined young males at different stages of testis development using two </w:t>
      </w:r>
      <w:proofErr w:type="spellStart"/>
      <w:r w:rsidRPr="00AC0D6C">
        <w:rPr>
          <w:sz w:val="24"/>
          <w:szCs w:val="24"/>
        </w:rPr>
        <w:t>homokaryotypic</w:t>
      </w:r>
      <w:proofErr w:type="spellEnd"/>
      <w:r w:rsidRPr="00AC0D6C">
        <w:rPr>
          <w:sz w:val="24"/>
          <w:szCs w:val="24"/>
        </w:rPr>
        <w:t xml:space="preserve"> lines and </w:t>
      </w:r>
      <w:proofErr w:type="spellStart"/>
      <w:r w:rsidRPr="00AC0D6C">
        <w:rPr>
          <w:sz w:val="24"/>
          <w:szCs w:val="24"/>
        </w:rPr>
        <w:t>heterokaryotypes</w:t>
      </w:r>
      <w:proofErr w:type="spellEnd"/>
      <w:r w:rsidRPr="00AC0D6C">
        <w:rPr>
          <w:sz w:val="24"/>
          <w:szCs w:val="24"/>
        </w:rPr>
        <w:t xml:space="preserve">. We sampled both testis and liver tissue to identify gene expression differences. In testis, 520 differentially expressed genes were found and most of them were located on chromosome Z. They were functionally enriched for sperm-related traits. In liver, </w:t>
      </w:r>
      <w:r w:rsidR="00EC72F8">
        <w:rPr>
          <w:sz w:val="24"/>
          <w:szCs w:val="24"/>
        </w:rPr>
        <w:t>there were some enriched functions and some</w:t>
      </w:r>
      <w:r w:rsidR="00EC72F8" w:rsidRPr="00EC72F8">
        <w:rPr>
          <w:sz w:val="24"/>
          <w:szCs w:val="24"/>
        </w:rPr>
        <w:t xml:space="preserve"> </w:t>
      </w:r>
      <w:r w:rsidR="00EC72F8" w:rsidRPr="00AC0D6C">
        <w:rPr>
          <w:sz w:val="24"/>
          <w:szCs w:val="24"/>
        </w:rPr>
        <w:t>overrepresentation on chromosome Z</w:t>
      </w:r>
      <w:r w:rsidR="00EC72F8">
        <w:rPr>
          <w:sz w:val="24"/>
          <w:szCs w:val="24"/>
        </w:rPr>
        <w:t>, but only when examining specific contrasts</w:t>
      </w:r>
      <w:r w:rsidR="00954783">
        <w:rPr>
          <w:sz w:val="24"/>
          <w:szCs w:val="24"/>
        </w:rPr>
        <w:t>.</w:t>
      </w:r>
      <w:r w:rsidRPr="00AC0D6C">
        <w:rPr>
          <w:sz w:val="24"/>
          <w:szCs w:val="24"/>
        </w:rPr>
        <w:t xml:space="preserve"> In both tissues, </w:t>
      </w:r>
      <w:r w:rsidR="00EC72F8">
        <w:rPr>
          <w:sz w:val="24"/>
          <w:szCs w:val="24"/>
        </w:rPr>
        <w:t xml:space="preserve">the </w:t>
      </w:r>
      <w:r w:rsidRPr="00AC0D6C">
        <w:rPr>
          <w:sz w:val="24"/>
          <w:szCs w:val="24"/>
        </w:rPr>
        <w:t xml:space="preserve">overrepresentation was located near the distal end of Z but also in the middle of the chromosome. For the heterokaryotype, we observed several genes with expression patterns more </w:t>
      </w:r>
      <w:proofErr w:type="gramStart"/>
      <w:r w:rsidRPr="00AC0D6C">
        <w:rPr>
          <w:sz w:val="24"/>
          <w:szCs w:val="24"/>
        </w:rPr>
        <w:t>similar to</w:t>
      </w:r>
      <w:proofErr w:type="gramEnd"/>
      <w:r w:rsidRPr="00AC0D6C">
        <w:rPr>
          <w:sz w:val="24"/>
          <w:szCs w:val="24"/>
        </w:rPr>
        <w:t xml:space="preserve"> one or the other karyotype, based on similarity to homokaryotype invidividuals. This was confirmed with SNPs for two genes, and interestingly one gene, </w:t>
      </w:r>
      <w:r w:rsidR="008A6A86">
        <w:rPr>
          <w:i/>
          <w:iCs/>
          <w:sz w:val="24"/>
          <w:szCs w:val="24"/>
        </w:rPr>
        <w:t>DMGDH</w:t>
      </w:r>
      <w:r w:rsidRPr="00AC0D6C">
        <w:rPr>
          <w:sz w:val="24"/>
          <w:szCs w:val="24"/>
        </w:rPr>
        <w:t>, had allele-specific expression originating from only one inversion-allele in the testis, yet both inversion alleles were expressed in the liver. This allele-specific difference in tissue-specific expression demonstrates a pleiotropic effect of the inversion and thus suggests a mechanism for divergent phenotypic effects resulting from an inversion.</w:t>
      </w:r>
    </w:p>
    <w:p w14:paraId="63259FBC" w14:textId="64EB2A11" w:rsidR="00AA4120" w:rsidRPr="00F31FD2" w:rsidRDefault="00AA4120" w:rsidP="00AA4120">
      <w:pPr>
        <w:spacing w:line="480" w:lineRule="auto"/>
        <w:rPr>
          <w:rFonts w:cstheme="minorHAnsi"/>
          <w:sz w:val="24"/>
          <w:szCs w:val="24"/>
        </w:rPr>
      </w:pPr>
    </w:p>
    <w:p w14:paraId="0E7903F6" w14:textId="77777777" w:rsidR="00195F9A" w:rsidRDefault="00195F9A">
      <w:pPr>
        <w:rPr>
          <w:rFonts w:cstheme="minorHAnsi"/>
          <w:sz w:val="24"/>
          <w:szCs w:val="24"/>
        </w:rPr>
      </w:pPr>
    </w:p>
    <w:p w14:paraId="731849B6" w14:textId="6FBEB13A" w:rsidR="00657BF5" w:rsidRPr="00A665E4" w:rsidRDefault="00657BF5">
      <w:pPr>
        <w:rPr>
          <w:rFonts w:eastAsia="Times New Roman" w:cstheme="minorHAnsi"/>
          <w:b/>
          <w:bCs/>
          <w:sz w:val="24"/>
          <w:szCs w:val="24"/>
        </w:rPr>
      </w:pPr>
      <w:r w:rsidRPr="00A665E4">
        <w:rPr>
          <w:rFonts w:eastAsia="Times New Roman" w:cstheme="minorHAnsi"/>
          <w:b/>
          <w:bCs/>
          <w:sz w:val="24"/>
          <w:szCs w:val="24"/>
        </w:rPr>
        <w:br w:type="page"/>
      </w:r>
    </w:p>
    <w:p w14:paraId="1F40B990" w14:textId="77777777" w:rsidR="00E4181F" w:rsidRPr="002356D5" w:rsidRDefault="00E4181F" w:rsidP="00E4181F">
      <w:pPr>
        <w:spacing w:after="0" w:line="480" w:lineRule="auto"/>
        <w:contextualSpacing/>
        <w:jc w:val="both"/>
        <w:rPr>
          <w:rFonts w:eastAsia="Times New Roman" w:cstheme="minorHAnsi"/>
          <w:sz w:val="24"/>
          <w:szCs w:val="24"/>
        </w:rPr>
      </w:pPr>
      <w:r w:rsidRPr="002356D5">
        <w:rPr>
          <w:rFonts w:eastAsia="Times New Roman" w:cstheme="minorHAnsi"/>
          <w:b/>
          <w:bCs/>
          <w:color w:val="000000"/>
          <w:sz w:val="24"/>
          <w:szCs w:val="24"/>
        </w:rPr>
        <w:lastRenderedPageBreak/>
        <w:t>Introduction</w:t>
      </w:r>
    </w:p>
    <w:p w14:paraId="111B955E" w14:textId="3982177B" w:rsidR="00E4181F" w:rsidRDefault="00E4181F" w:rsidP="00E4181F">
      <w:pPr>
        <w:spacing w:after="0" w:line="480" w:lineRule="auto"/>
        <w:jc w:val="both"/>
        <w:rPr>
          <w:sz w:val="24"/>
          <w:szCs w:val="24"/>
        </w:rPr>
      </w:pPr>
      <w:r w:rsidRPr="002356D5">
        <w:rPr>
          <w:sz w:val="24"/>
          <w:szCs w:val="24"/>
        </w:rPr>
        <w:t xml:space="preserve">Phenotypic polymorphism, where individuals of the same population fall into two or more distinct categories in terms of trait </w:t>
      </w:r>
      <w:r w:rsidR="00A81BA9" w:rsidRPr="002356D5">
        <w:rPr>
          <w:sz w:val="24"/>
          <w:szCs w:val="24"/>
        </w:rPr>
        <w:t xml:space="preserve">expression </w:t>
      </w:r>
      <w:r w:rsidR="00A81BA9" w:rsidRPr="002356D5">
        <w:rPr>
          <w:sz w:val="24"/>
          <w:szCs w:val="24"/>
        </w:rPr>
        <w:fldChar w:fldCharType="begin" w:fldLock="1"/>
      </w:r>
      <w:r w:rsidR="00282D38">
        <w:rPr>
          <w:sz w:val="24"/>
          <w:szCs w:val="24"/>
        </w:rPr>
        <w:instrText>ADDIN CSL_CITATION {"citationItems":[{"id":"ITEM-1","itemData":{"DOI":"10.1086/429566","ISSN":"0003-0147","PMID":"15937747","abstract":"A population is polymorphic when its members fall into two or more categories, referred to as alternative phenotypes. There are many kinds of phenotypic polymorphisms, with specialization in reproduction, feeding, dispersal, or protection from predators. An individual's phenotype might be randomly assigned during development, genetically determined, or set by environmental cues. These three possibilities correspond to a mixed strategy of development, a genetic polymorphism, and a conditional strategy. Using the perspective of adaptive dynamics, I develop a unifying evolutionary theory of systems of determination of alternative phenotypes, focusing on the relative possibilities for random versus genetic determination. The approach is an extension of the analysis of evolutionary branching in adaptive dynamics. It compares the possibility that there will be evolutionary branching, leading to genetic polymorphism, with the possibility that a mixed strategy evolves. The comparison is based on the strength of selection for the different outcomes. An interpretation of the resulting criterion is that genetic polymorphism is favored over random determination of the phenotype if an individual's heritable genotype is an adaptively advantageous cue for development. I argue that it can be helpful to regard genetic polymorphism as a special case of phenotypic plasticity. © 2005 by The University of Chicago.","author":[{"dropping-particle":"","family":"Leimar","given":"Olof","non-dropping-particle":"","parse-names":false,"suffix":""}],"container-title":"The American Naturalist","id":"ITEM-1","issue":"6","issued":{"date-parts":[["2005","6"]]},"page":"669-681","title":"The Evolution of Phenotypic Polymorphism: Randomized Strategies versus Evolutionary Branching","type":"article-journal","volume":"165"},"uris":["http://www.mendeley.com/documents/?uuid=20733efb-6411-45af-a303-e7c2cf14fd08","http://www.mendeley.com/documents/?uuid=bb0aa8f1-d18b-44d8-aaa8-7f506fc47b8f"]}],"mendeley":{"formattedCitation":"(Leimar, 2005)","plainTextFormattedCitation":"(Leimar, 2005)","previouslyFormattedCitation":"(Leimar, 2005)"},"properties":{"noteIndex":0},"schema":"https://github.com/citation-style-language/schema/raw/master/csl-citation.json"}</w:instrText>
      </w:r>
      <w:r w:rsidR="00A81BA9" w:rsidRPr="002356D5">
        <w:rPr>
          <w:sz w:val="24"/>
          <w:szCs w:val="24"/>
        </w:rPr>
        <w:fldChar w:fldCharType="separate"/>
      </w:r>
      <w:r w:rsidR="00A81BA9" w:rsidRPr="001E0464">
        <w:rPr>
          <w:noProof/>
          <w:sz w:val="24"/>
          <w:szCs w:val="24"/>
        </w:rPr>
        <w:t>(Leimar, 2005)</w:t>
      </w:r>
      <w:r w:rsidR="00A81BA9" w:rsidRPr="002356D5">
        <w:rPr>
          <w:sz w:val="24"/>
          <w:szCs w:val="24"/>
        </w:rPr>
        <w:fldChar w:fldCharType="end"/>
      </w:r>
      <w:r w:rsidR="00A81BA9" w:rsidRPr="002356D5">
        <w:rPr>
          <w:sz w:val="24"/>
          <w:szCs w:val="24"/>
        </w:rPr>
        <w:t xml:space="preserve">, has been identified in many taxa. </w:t>
      </w:r>
      <w:r w:rsidR="00A81BA9">
        <w:rPr>
          <w:sz w:val="24"/>
          <w:szCs w:val="24"/>
        </w:rPr>
        <w:t>I</w:t>
      </w:r>
      <w:r w:rsidR="00A81BA9" w:rsidRPr="002356D5">
        <w:rPr>
          <w:sz w:val="24"/>
          <w:szCs w:val="24"/>
        </w:rPr>
        <w:t xml:space="preserve">ntraspecific phenotypic polymorphism observed in nature </w:t>
      </w:r>
      <w:r w:rsidR="00A81BA9">
        <w:rPr>
          <w:sz w:val="24"/>
          <w:szCs w:val="24"/>
        </w:rPr>
        <w:t>has been</w:t>
      </w:r>
      <w:r w:rsidR="00A81BA9" w:rsidRPr="002356D5">
        <w:rPr>
          <w:sz w:val="24"/>
          <w:szCs w:val="24"/>
        </w:rPr>
        <w:t xml:space="preserve"> </w:t>
      </w:r>
      <w:r w:rsidR="00A81BA9">
        <w:rPr>
          <w:sz w:val="24"/>
          <w:szCs w:val="24"/>
        </w:rPr>
        <w:t>explained</w:t>
      </w:r>
      <w:r w:rsidR="00A81BA9" w:rsidRPr="002356D5">
        <w:rPr>
          <w:sz w:val="24"/>
          <w:szCs w:val="24"/>
        </w:rPr>
        <w:t xml:space="preserve"> by genetic polymorphism </w:t>
      </w:r>
      <w:r w:rsidR="009E0B8C">
        <w:rPr>
          <w:sz w:val="24"/>
          <w:szCs w:val="24"/>
        </w:rPr>
        <w:t>ranging in size from</w:t>
      </w:r>
      <w:r w:rsidR="00A81BA9" w:rsidRPr="00CB3FA5">
        <w:rPr>
          <w:sz w:val="24"/>
          <w:szCs w:val="24"/>
        </w:rPr>
        <w:t xml:space="preserve"> </w:t>
      </w:r>
      <w:r w:rsidR="009E0B8C" w:rsidRPr="00CB3FA5">
        <w:rPr>
          <w:sz w:val="24"/>
          <w:szCs w:val="24"/>
        </w:rPr>
        <w:t xml:space="preserve">single </w:t>
      </w:r>
      <w:r w:rsidR="0015449C">
        <w:rPr>
          <w:sz w:val="24"/>
          <w:szCs w:val="24"/>
        </w:rPr>
        <w:t xml:space="preserve">to short </w:t>
      </w:r>
      <w:r w:rsidR="00A81BA9" w:rsidRPr="00CB3FA5">
        <w:rPr>
          <w:sz w:val="24"/>
          <w:szCs w:val="24"/>
        </w:rPr>
        <w:t>nucleotide polymorphism</w:t>
      </w:r>
      <w:r w:rsidR="00A81BA9">
        <w:rPr>
          <w:sz w:val="24"/>
          <w:szCs w:val="24"/>
        </w:rPr>
        <w:t>s</w:t>
      </w:r>
      <w:r w:rsidR="00A81BA9" w:rsidRPr="00CB3FA5">
        <w:rPr>
          <w:sz w:val="24"/>
          <w:szCs w:val="24"/>
        </w:rPr>
        <w:t xml:space="preserve"> </w:t>
      </w:r>
      <w:r w:rsidR="0015449C">
        <w:rPr>
          <w:sz w:val="24"/>
          <w:szCs w:val="24"/>
        </w:rPr>
        <w:fldChar w:fldCharType="begin" w:fldLock="1"/>
      </w:r>
      <w:r w:rsidR="0057419F">
        <w:rPr>
          <w:sz w:val="24"/>
          <w:szCs w:val="24"/>
        </w:rPr>
        <w:instrText>ADDIN CSL_CITATION {"citationItems":[{"id":"ITEM-1","itemData":{"DOI":"10.1126/science.1182213","ISBN":"1095-9203 (Electronic)\\n0036-8075 (Linking)","ISSN":"0036-8075","PMID":"20007865","abstract":"The molecular mechanisms underlying major phenotypic changes that have evolved repeatedly in nature are generally unknown. Pelvic loss in different natural populations of threespine stickleback fish has occurred through regulatory mutations deleting a tissue-specific enhancer of the Pituitary homeobox transcription factor 1 (Pitx1) gene. The high prevalence of deletion mutations at Pitx1 may be influenced by inherent structural features of the locus. Although Pitx1 null mutations are lethal in laboratory animals, Pitx1 regulatory mutations show molecular signatures of positive selection in pelvic-reduced populations. These studies illustrate how major expression and morphological changes can arise from single mutational leaps in natural populations, producing new adaptive alleles via recurrent regulatory alterations in a key developmental control gene.","author":[{"dropping-particle":"","family":"Chan","given":"Y. F.","non-dropping-particle":"","parse-names":false,"suffix":""},{"dropping-particle":"","family":"Marks","given":"M. E.","non-dropping-particle":"","parse-names":false,"suffix":""},{"dropping-particle":"","family":"Jones","given":"F. C.","non-dropping-particle":"","parse-names":false,"suffix":""},{"dropping-particle":"","family":"Villarreal","given":"G.","non-dropping-particle":"","parse-names":false,"suffix":""},{"dropping-particle":"","family":"Shapiro","given":"M. D.","non-dropping-particle":"","parse-names":false,"suffix":""},{"dropping-particle":"","family":"Brady","given":"S. D.","non-dropping-particle":"","parse-names":false,"suffix":""},{"dropping-particle":"","family":"Southwick","given":"A. M.","non-dropping-particle":"","parse-names":false,"suffix":""},{"dropping-particle":"","family":"Absher","given":"D. M.","non-dropping-particle":"","parse-names":false,"suffix":""},{"dropping-particle":"","family":"Grimwood","given":"J.","non-dropping-particle":"","parse-names":false,"suffix":""},{"dropping-particle":"","family":"Schmutz","given":"J.","non-dropping-particle":"","parse-names":false,"suffix":""},{"dropping-particle":"","family":"Myers","given":"R. M.","non-dropping-particle":"","parse-names":false,"suffix":""},{"dropping-particle":"","family":"Petrov","given":"D.","non-dropping-particle":"","parse-names":false,"suffix":""},{"dropping-particle":"","family":"Jonsson","given":"B.","non-dropping-particle":"","parse-names":false,"suffix":""},{"dropping-particle":"","family":"Schluter","given":"D.","non-dropping-particle":"","parse-names":false,"suffix":""},{"dropping-particle":"","family":"Bell","given":"M. A.","non-dropping-particle":"","parse-names":false,"suffix":""},{"dropping-particle":"","family":"Kingsley","given":"D. M.","non-dropping-particle":"","parse-names":false,"suffix":""}],"container-title":"Science","id":"ITEM-1","issue":"5963","issued":{"date-parts":[["2010"]]},"page":"302-305","title":"Adaptive Evolution of Pelvic Reduction in Sticklebacks by Recurrent Deletion of a Pitx1 Enhancer","type":"article-journal","volume":"327"},"uris":["http://www.mendeley.com/documents/?uuid=1eadd51f-f46b-45d0-8fc1-9bb17088c6cf"]}],"mendeley":{"formattedCitation":"(Chan et al., 2010)","manualFormatting":"(e.g. Chan et al., 2010)","plainTextFormattedCitation":"(Chan et al., 2010)","previouslyFormattedCitation":"(Chan et al., 2010)"},"properties":{"noteIndex":0},"schema":"https://github.com/citation-style-language/schema/raw/master/csl-citation.json"}</w:instrText>
      </w:r>
      <w:r w:rsidR="0015449C">
        <w:rPr>
          <w:sz w:val="24"/>
          <w:szCs w:val="24"/>
        </w:rPr>
        <w:fldChar w:fldCharType="separate"/>
      </w:r>
      <w:r w:rsidR="0015449C" w:rsidRPr="0015449C">
        <w:rPr>
          <w:noProof/>
          <w:sz w:val="24"/>
          <w:szCs w:val="24"/>
        </w:rPr>
        <w:t>(</w:t>
      </w:r>
      <w:r w:rsidR="0015449C" w:rsidRPr="0015449C">
        <w:rPr>
          <w:i/>
          <w:iCs/>
          <w:noProof/>
          <w:sz w:val="24"/>
          <w:szCs w:val="24"/>
        </w:rPr>
        <w:t>e.g.</w:t>
      </w:r>
      <w:r w:rsidR="0015449C">
        <w:rPr>
          <w:noProof/>
          <w:sz w:val="24"/>
          <w:szCs w:val="24"/>
        </w:rPr>
        <w:t xml:space="preserve"> </w:t>
      </w:r>
      <w:r w:rsidR="0015449C" w:rsidRPr="0015449C">
        <w:rPr>
          <w:noProof/>
          <w:sz w:val="24"/>
          <w:szCs w:val="24"/>
        </w:rPr>
        <w:t>Chan et al., 2010)</w:t>
      </w:r>
      <w:r w:rsidR="0015449C">
        <w:rPr>
          <w:sz w:val="24"/>
          <w:szCs w:val="24"/>
        </w:rPr>
        <w:fldChar w:fldCharType="end"/>
      </w:r>
      <w:r w:rsidR="009E0B8C">
        <w:rPr>
          <w:sz w:val="24"/>
          <w:szCs w:val="24"/>
        </w:rPr>
        <w:t xml:space="preserve"> </w:t>
      </w:r>
      <w:r w:rsidR="00A81BA9" w:rsidRPr="00CB3FA5">
        <w:rPr>
          <w:sz w:val="24"/>
          <w:szCs w:val="24"/>
        </w:rPr>
        <w:t xml:space="preserve">to large chromosomal </w:t>
      </w:r>
      <w:r w:rsidR="00A81BA9" w:rsidRPr="00397528">
        <w:rPr>
          <w:sz w:val="24"/>
          <w:szCs w:val="24"/>
        </w:rPr>
        <w:t>rearrangements and inversions</w:t>
      </w:r>
      <w:r w:rsidR="009E0B8C">
        <w:rPr>
          <w:sz w:val="24"/>
          <w:szCs w:val="24"/>
        </w:rPr>
        <w:t xml:space="preserve"> </w:t>
      </w:r>
      <w:r w:rsidR="001500D7">
        <w:rPr>
          <w:sz w:val="24"/>
          <w:szCs w:val="24"/>
        </w:rPr>
        <w:fldChar w:fldCharType="begin" w:fldLock="1"/>
      </w:r>
      <w:r w:rsidR="0015449C">
        <w:rPr>
          <w:sz w:val="24"/>
          <w:szCs w:val="24"/>
        </w:rPr>
        <w:instrText>ADDIN CSL_CITATION {"citationItems":[{"id":"ITEM-1","itemData":{"DOI":"10.1002/evl3.227","ISSN":"20563744","abstract":"Chromosomal inversions have long been recognized for their role in local adaptation. By suppressing recombination in heterozygous individuals, they can maintain coadapted gene complexes and protect them from homogenizing effects of gene flow. However, to fully understand their importance for local adaptation we need to know their influence on phenotypes under divergent selection. For this, the marine snail Littorina saxatilis provides an ideal study system. Divergent ecotypes adapted to wave action and crab predation occur in close proximity on intertidal shores with gene flow between them. Here, we used F2 individuals obtained from crosses between the ecotypes to test for associations between genomic regions and traits distinguishing the Crab-/Wave-adapted ecotypes including size, shape, shell thickness, and behavior. We show that most of these traits are influenced by two previously detected inversion regions that are divergent between ecotypes. We thus gain a better understanding of one important underlying mechanism responsible for the rapid and repeated formation of ecotypes: divergent selection acting on inversions. We also found that some inversions contributed to more than one trait suggesting that they may contain several loci involved in adaptation, consistent with the hypothesis that suppression of recombination within inversions facilitates differentiation in the presence of gene flow.","author":[{"dropping-particle":"","family":"Koch","given":"Eva L","non-dropping-particle":"","parse-names":false,"suffix":""},{"dropping-particle":"","family":"Morales","given":"Hernán E","non-dropping-particle":"","parse-names":false,"suffix":""},{"dropping-particle":"","family":"Larsson","given":"Jenny","non-dropping-particle":"","parse-names":false,"suffix":""},{"dropping-particle":"","family":"Westram","given":"Anja M","non-dropping-particle":"","parse-names":false,"suffix":""},{"dropping-particle":"","family":"Faria","given":"Rui","non-dropping-particle":"","parse-names":false,"suffix":""},{"dropping-particle":"","family":"Lemmon","given":"Alan R.","non-dropping-particle":"","parse-names":false,"suffix":""},{"dropping-particle":"","family":"Lemmon","given":"E Moriarty","non-dropping-particle":"","parse-names":false,"suffix":""},{"dropping-particle":"","family":"Johannesson","given":"Kerstin","non-dropping-particle":"","parse-names":false,"suffix":""},{"dropping-particle":"","family":"Butlin","given":"Roger K","non-dropping-particle":"","parse-names":false,"suffix":""}],"container-title":"Evolution Letters","id":"ITEM-1","issue":"3","issued":{"date-parts":[["2021"]]},"page":"196-213","title":"Genetic variation for adaptive traits is associated with polymorphic inversions in Littorina saxatilis","type":"article","volume":"5"},"uris":["http://www.mendeley.com/documents/?uuid=19665c4c-b33c-3197-8bfd-1c79500b5caa"]}],"mendeley":{"formattedCitation":"(Koch et al., 2021)","manualFormatting":"(e.g. Koch et al., 2021)","plainTextFormattedCitation":"(Koch et al., 2021)","previouslyFormattedCitation":"(Koch et al., 2021)"},"properties":{"noteIndex":0},"schema":"https://github.com/citation-style-language/schema/raw/master/csl-citation.json"}</w:instrText>
      </w:r>
      <w:r w:rsidR="001500D7">
        <w:rPr>
          <w:sz w:val="24"/>
          <w:szCs w:val="24"/>
        </w:rPr>
        <w:fldChar w:fldCharType="separate"/>
      </w:r>
      <w:r w:rsidR="001500D7" w:rsidRPr="001500D7">
        <w:rPr>
          <w:noProof/>
          <w:sz w:val="24"/>
          <w:szCs w:val="24"/>
        </w:rPr>
        <w:t>(</w:t>
      </w:r>
      <w:r w:rsidR="001500D7" w:rsidRPr="0015449C">
        <w:rPr>
          <w:i/>
          <w:iCs/>
          <w:noProof/>
          <w:sz w:val="24"/>
          <w:szCs w:val="24"/>
        </w:rPr>
        <w:t>e.g.</w:t>
      </w:r>
      <w:r w:rsidR="001500D7">
        <w:rPr>
          <w:noProof/>
          <w:sz w:val="24"/>
          <w:szCs w:val="24"/>
        </w:rPr>
        <w:t xml:space="preserve"> </w:t>
      </w:r>
      <w:r w:rsidR="001500D7" w:rsidRPr="001500D7">
        <w:rPr>
          <w:noProof/>
          <w:sz w:val="24"/>
          <w:szCs w:val="24"/>
        </w:rPr>
        <w:t>Koch et al., 2021)</w:t>
      </w:r>
      <w:r w:rsidR="001500D7">
        <w:rPr>
          <w:sz w:val="24"/>
          <w:szCs w:val="24"/>
        </w:rPr>
        <w:fldChar w:fldCharType="end"/>
      </w:r>
      <w:r w:rsidR="00A81BA9" w:rsidRPr="002356D5">
        <w:rPr>
          <w:sz w:val="24"/>
          <w:szCs w:val="24"/>
        </w:rPr>
        <w:t xml:space="preserve">. </w:t>
      </w:r>
      <w:r w:rsidRPr="002356D5">
        <w:rPr>
          <w:sz w:val="24"/>
          <w:szCs w:val="24"/>
        </w:rPr>
        <w:t xml:space="preserve">Chromosomal inversions protect inverted sequences from recombination and typically link multiple genetic elements that control a suite of traits </w:t>
      </w:r>
      <w:r w:rsidRPr="002356D5">
        <w:rPr>
          <w:sz w:val="24"/>
          <w:szCs w:val="24"/>
        </w:rPr>
        <w:fldChar w:fldCharType="begin" w:fldLock="1"/>
      </w:r>
      <w:r w:rsidR="001500D7">
        <w:rPr>
          <w:sz w:val="24"/>
          <w:szCs w:val="24"/>
        </w:rPr>
        <w:instrText>ADDIN CSL_CITATION {"citationItems":[{"id":"ITEM-1","itemData":{"DOI":"10.1016/j.tree.2018.04.002","ISSN":"01695347","PMID":"29731154","abstract":"Chromosomal inversions have long fascinated evolutionary biologists due to their suppression of recombination, which can protect co-adapted alleles. Emerging research documents that inversions are commonly linked to spectacular phenotypes and have a pervasive role in eco-evolutionary processes, from mating systems, social organisation, environmental adaptation, and reproductive isolation to speciation. Studies also reveal that inversions are taxonomically widespread, with many being old and large, and that balancing selection is commonly facilitating their maintenance. This challenges the traditional view that the role of balancing selection in maintaining variation is relatively minor. The ubiquitous importance of inversions in ecological and evolutionary processes suggests that structural variation should be better acknowledged and integrated in studies pertaining to the molecular basis of adaptation and speciation.","author":[{"dropping-particle":"","family":"Wellenreuther","given":"Maren","non-dropping-particle":"","parse-names":false,"suffix":""},{"dropping-particle":"","family":"Bernatchez","given":"Louis","non-dropping-particle":"","parse-names":false,"suffix":""}],"container-title":"Trends in Ecology and Evolution","id":"ITEM-1","issue":"6","issued":{"date-parts":[["2018"]]},"page":"427-440","publisher":"Elsevier Ltd","title":"Eco-Evolutionary Genomics of Chromosomal Inversions","type":"article-journal","volume":"33"},"uris":["http://www.mendeley.com/documents/?uuid=741d545a-0803-4a7a-8fad-cf32cb888f6d"]},{"id":"ITEM-2","itemData":{"DOI":"10.1016/j.tree.2018.12.005","ISSN":"01695347","PMID":"30691998","abstract":"Empirical data suggest that inversions in many species contain genes important for intraspecific divergence and speciation, yet mechanisms of evolution remain unclear. While genes inside an inversion are tightly linked, inversions are not static but evolve separately from the rest of the genome by new mutations, recombination within arrangements, and gene flux between arrangements. Inversion polymorphisms are maintained by different processes, for example, divergent or balancing selection, or a mix of multiple processes. Moreover, the relative roles of selection, drift, mutation, and recombination will change over the lifetime of an inversion and within its area of distribution. We believe inversions are central to the evolution of many species, but we need many more data and new models to understand the complex mechanisms involved.","author":[{"dropping-particle":"","family":"Faria","given":"Rui","non-dropping-particle":"","parse-names":false,"suffix":""},{"dropping-particle":"","family":"Johannesson","given":"Kerstin","non-dropping-particle":"","parse-names":false,"suffix":""},{"dropping-particle":"","family":"Butlin","given":"Roger K.","non-dropping-particle":"","parse-names":false,"suffix":""},{"dropping-particle":"","family":"Westram","given":"Anja M.","non-dropping-particle":"","parse-names":false,"suffix":""}],"container-title":"Trends in Ecology and Evolution","id":"ITEM-2","issue":"3","issued":{"date-parts":[["2019"]]},"page":"239-248","publisher":"Elsevier Ltd","title":"Evolving Inversions","type":"article-journal","volume":"34"},"uris":["http://www.mendeley.com/documents/?uuid=c6050993-626f-4622-89a4-6a8149ef145c"]}],"mendeley":{"formattedCitation":"(Faria et al., 2019; Wellenreuther &amp; Bernatchez, 2018)","plainTextFormattedCitation":"(Faria et al., 2019; Wellenreuther &amp; Bernatchez, 2018)","previouslyFormattedCitation":"(Faria et al., 2019; Wellenreuther &amp; Bernatchez, 2018)"},"properties":{"noteIndex":0},"schema":"https://github.com/citation-style-language/schema/raw/master/csl-citation.json"}</w:instrText>
      </w:r>
      <w:r w:rsidRPr="002356D5">
        <w:rPr>
          <w:sz w:val="24"/>
          <w:szCs w:val="24"/>
        </w:rPr>
        <w:fldChar w:fldCharType="separate"/>
      </w:r>
      <w:r w:rsidR="00282D38" w:rsidRPr="00282D38">
        <w:rPr>
          <w:noProof/>
          <w:sz w:val="24"/>
          <w:szCs w:val="24"/>
        </w:rPr>
        <w:t>(Faria et al., 2019; Wellenreuther &amp; Bernatchez, 2018)</w:t>
      </w:r>
      <w:r w:rsidRPr="002356D5">
        <w:rPr>
          <w:sz w:val="24"/>
          <w:szCs w:val="24"/>
        </w:rPr>
        <w:fldChar w:fldCharType="end"/>
      </w:r>
      <w:r w:rsidRPr="002356D5">
        <w:rPr>
          <w:sz w:val="24"/>
          <w:szCs w:val="24"/>
        </w:rPr>
        <w:t xml:space="preserve">. </w:t>
      </w:r>
    </w:p>
    <w:p w14:paraId="6A3DF8A2" w14:textId="7693E55D" w:rsidR="00E4181F" w:rsidRDefault="00E4181F" w:rsidP="00E4181F">
      <w:pPr>
        <w:spacing w:after="0" w:line="480" w:lineRule="auto"/>
        <w:ind w:firstLine="720"/>
        <w:jc w:val="both"/>
        <w:rPr>
          <w:sz w:val="24"/>
          <w:szCs w:val="24"/>
        </w:rPr>
      </w:pPr>
      <w:r>
        <w:rPr>
          <w:sz w:val="24"/>
          <w:szCs w:val="24"/>
        </w:rPr>
        <w:t>Chromosomal inversions have been identified in many natural populations, and  their effects on phenotypes and adaptation have been studied in a variety of systems</w:t>
      </w:r>
      <w:r w:rsidR="00B97E72">
        <w:rPr>
          <w:sz w:val="24"/>
          <w:szCs w:val="24"/>
        </w:rPr>
        <w:t xml:space="preserve"> </w:t>
      </w:r>
      <w:r w:rsidR="00F90559">
        <w:rPr>
          <w:sz w:val="24"/>
          <w:szCs w:val="24"/>
        </w:rPr>
        <w:fldChar w:fldCharType="begin" w:fldLock="1"/>
      </w:r>
      <w:r w:rsidR="00896F62">
        <w:rPr>
          <w:sz w:val="24"/>
          <w:szCs w:val="24"/>
        </w:rPr>
        <w:instrText>ADDIN CSL_CITATION {"citationItems":[{"id":"ITEM-1","itemData":{"DOI":"10.1093/bfgp/elv020","ISSN":"20412657","PMID":"25998059","abstract":"Polymorphic inversions are a type of structural variants that are difficult to analyze owing to their balanced nature and the location of breakpoints within complex repeated regions. So far, only a handful of inversions have been studied in detail in humans and current knowledge about their possible functional effects is still limited. However, inversions have been related to phenotypic changes and adaptation in multiple species. In this review, we summarize the evidences of the functional impact of inversions in the human genome. First, given that inversions have been shown to inhibit recombination in heterokaryotes, chromosomes displaying different orientation are expected to evolve independently and this may lead to distinct gene-expression patterns. Second, inversions have a role as disease-causing mutations both by directly affecting gene structure or regulation in different ways, and by predisposing to other secondary arrangements in the offspring of inversion carriers. Finally, several inversions show signals of being selected during human evolution. These findings illustrate the potential of inversions to have phenotypic consequences also in humans and emphasize the importance of their inclusion in genome-wide association studies.","author":[{"dropping-particle":"","family":"Puig","given":"Marta","non-dropping-particle":"","parse-names":false,"suffix":""},{"dropping-particle":"","family":"Casillas","given":"Sònia","non-dropping-particle":"","parse-names":false,"suffix":""},{"dropping-particle":"","family":"Villatoro","given":"Sergi","non-dropping-particle":"","parse-names":false,"suffix":""},{"dropping-particle":"","family":"Cáceres","given":"Mario","non-dropping-particle":"","parse-names":false,"suffix":""}],"container-title":"Briefings in Functional Genomics","id":"ITEM-1","issue":"5","issued":{"date-parts":[["2015"]]},"page":"369-379","title":"Human inversions and their functional consequences","type":"article-journal","volume":"14"},"uris":["http://www.mendeley.com/documents/?uuid=91b073bb-e5f3-36a9-8532-cbcbf746645c"]},{"id":"ITEM-2","itemData":{"DOI":"10.1534/g3.117.1133","ISSN":"21601836","PMID":"28916647","abstract":"Chromosomal inversions are a ubiquitous feature of genetic variation. Theoretical models describe several mechanisms by which inversions can drive adaptation and be maintained as polymorphisms. While inversions have been shown previously to be under selection, or contain genetic variation under selection, the specific phenotypic consequences of inversions leading to their maintenance remain unclear. Here we use genomic sequence and expression data from the Drosophila Genetic Reference Panel (DGRP) to explore the effects of two cosmopolitan inversions, In(2L)t and In(3R)Mo, on patterns of transcriptional variation. We demonstrate that each inversion has a significant effect on transcript abundance for hundreds of genes across the genome. Inversion-affected loci (IAL) appear both within inversions as well as on unlinked chromosomes. Importantly, IAL do not appear to be influenced by the previously reported genome-wide expression correlation structure. We found that five genes involved with sterol uptake, four of which are Niemann-Pick Type 2 orthologs, are upregulated in flies with In(3R)Mo but do not have SNPs in linkage disequilibrium (LD) with the inversion. We speculate that this upregulation is driven by genetic variation in mod(mdg4) that is in LD with In(3R)Mo. We find that there is little evidence for a regional or position effect of inversions on gene expression at the chromosomal level, but do find evidence for the distal breakpoint of In(3R)Mo interrupting one gene and possibly disassociating the two flanking genes from regulatory elements.","author":[{"dropping-particle":"","family":"Lavington","given":"Erik","non-dropping-particle":"","parse-names":false,"suffix":""},{"dropping-particle":"","family":"Kern","given":"Andrew D","non-dropping-particle":"","parse-names":false,"suffix":""}],"container-title":"G3: Genes, Genomes, Genetics","id":"ITEM-2","issue":"11","issued":{"date-parts":[["2017"]]},"page":"3659-3668","title":"The effect of common inversion polymorphisms In(2L)t and In(3R)Mo on patterns of transcriptional variation in Drosophila melanogaster","type":"article-journal","volume":"7"},"uris":["http://www.mendeley.com/documents/?uuid=f4f5ad10-3f1d-4ded-b477-f8d17a36e115"]},{"id":"ITEM-3","itemData":{"DOI":"10.1371/journal.pgen.1009213","ISBN":"1111111111","ISSN":"15537404","PMID":"33270639","abstract":"Chromosomal inversions play an important role in local adaptation. Inversions can capture multiple locally adaptive functional variants in a linked block by repressing recombination. However, this recombination suppression makes it difficult to identify the genetic mechanisms underlying an inversion's role in adaptation. In this study, we used large-scale transcriptomic data to dissect the functional importance of a 13 Mb inversion locus (Inv4m) found almost exclusively in highland populations of maize (Zea mays ssp. mays). Inv4m was introgressed into highland maize from the wild relative Zea mays ssp. mexicana, also present in the highlands of Mexico, and is thought to be important for the adaptation of these populations to cultivation in highland environments. However, the specific genetic variants and traits that underlie this adaptation are not known. We created two families segregating for the standard and inverted haplotypes of Inv4m in a common genetic background and measured gene expression effects associated with the inversion across 9 tissues in two experimental conditions. With these data, we quantified both the global transcriptomic effects of the highland Inv4m haplotype, and the local cis-regulatory variation present within the locus. We found diverse physiological effects of Inv4m across the 9 tissues, including a strong effect on the expression of genes involved in photosynthesis and chloroplast physiology. Although we could not confidently identify the causal alleles within Inv4m, this research accelerates progress towards understanding this inversion and will guide future research on these important genomic features.","author":[{"dropping-particle":"","family":"Crow","given":"Taylor","non-dropping-particle":"","parse-names":false,"suffix":""},{"dropping-particle":"","family":"Ta","given":"James","non-dropping-particle":"","parse-names":false,"suffix":""},{"dropping-particle":"","family":"Nojoomi","given":"Saghi","non-dropping-particle":"","parse-names":false,"suffix":""},{"dropping-particle":"","family":"Aguilar-Rangel","given":"M. Rocío","non-dropping-particle":"","parse-names":false,"suffix":""},{"dropping-particle":"","family":"Rodríguez","given":"Jorge Vladimir Torres","non-dropping-particle":"","parse-names":false,"suffix":""},{"dropping-particle":"","family":"Gates","given":"Daniel","non-dropping-particle":"","parse-names":false,"suffix":""},{"dropping-particle":"","family":"Rellán-Álvarez","given":"Rubén","non-dropping-particle":"","parse-names":false,"suffix":""},{"dropping-particle":"","family":"Sawers","given":"Ruairidh","non-dropping-particle":"","parse-names":false,"suffix":""},{"dropping-particle":"","family":"Runcie","given":"Daniel","non-dropping-particle":"","parse-names":false,"suffix":""}],"container-title":"PLoS Genetics","id":"ITEM-3","issue":"12 December","issued":{"date-parts":[["2020"]]},"page":"1-28","title":"Gene regulatory effects of a large chromosomal inversion in highland maize","type":"article-journal","volume":"16"},"uris":["http://www.mendeley.com/documents/?uuid=ce3e901f-c29b-4e7d-a522-6e6b4039a8cf"]},{"id":"ITEM-4","itemData":{"DOI":"10.1002/evl3.260","ISSN":"2056-3744","abstract":"Inversions often underlie complex adaptive traits, but the genic targets inside them are largely unknown. Gene expression profiling provides a powerful way to link inversions with their phenotypic consequences. We examined the effects of the Cf-Inv(1) inversion in the seaweed fly Coelopa frigida on gene expression variation across sexes and life stages. Our analyses revealed that Cf-Inv(1) shapes global expression patterns, most likely via linked variation, but the extent of this effect is variable, with much stronger effects in adults than larvae. Furthermore, within adults, both common as well as sex-specific patterns were found. The vast majority of these differentially expressed genes mapped to Cf-Inv(1). However, genes that were differentially expressed in a single context (i.e., in males, females, or larvae) were more likely to be located outside of Cf-Inv(1). By combining our findings with genomic scans for environmentally associated SNPs, we were able to pinpoint candidate variants in the inversion that may underlie mechanistic pathways that determine phenotypes. Together the results of this study, combined with previous findings, support the notion that the polymorphic Cf-Inv(1) inversion in this species is a major factor shaping both coding and regulatory variation resulting in highly complex adaptive effects.","author":[{"dropping-particle":"","family":"Berdan","given":"Emma L.","non-dropping-particle":"","parse-names":false,"suffix":""},{"dropping-particle":"","family":"Mérot","given":"Claire","non-dropping-particle":"","parse-names":false,"suffix":""},{"dropping-particle":"","family":"Pavia","given":"Henrik","non-dropping-particle":"","parse-names":false,"suffix":""},{"dropping-particle":"","family":"Johannesson","given":"Kerstin","non-dropping-particle":"","parse-names":false,"suffix":""},{"dropping-particle":"","family":"Wellenreuther","given":"Maren","non-dropping-particle":"","parse-names":false,"suffix":""},{"dropping-particle":"","family":"Butlin","given":"Roger K.","non-dropping-particle":"","parse-names":false,"suffix":""}],"container-title":"Evolution Letters","id":"ITEM-4","issue":"6","issued":{"date-parts":[["2021","12","7"]]},"page":"607-624","title":"A large chromosomal inversion shapes gene expression in seaweed flies ( Coelopa frigida )","type":"article-journal","volume":"5"},"uris":["http://www.mendeley.com/documents/?uuid=c6e53446-e14f-47f0-b328-e9d5f994f91d"]},{"id":"ITEM-5","itemData":{"DOI":"10.1002/evl3.227","ISSN":"20563744","abstract":"Chromosomal inversions have long been recognized for their role in local adaptation. By suppressing recombination in heterozygous individuals, they can maintain coadapted gene complexes and protect them from homogenizing effects of gene flow. However, to fully understand their importance for local adaptation we need to know their influence on phenotypes under divergent selection. For this, the marine snail Littorina saxatilis provides an ideal study system. Divergent ecotypes adapted to wave action and crab predation occur in close proximity on intertidal shores with gene flow between them. Here, we used F2 individuals obtained from crosses between the ecotypes to test for associations between genomic regions and traits distinguishing the Crab-/Wave-adapted ecotypes including size, shape, shell thickness, and behavior. We show that most of these traits are influenced by two previously detected inversion regions that are divergent between ecotypes. We thus gain a better understanding of one important underlying mechanism responsible for the rapid and repeated formation of ecotypes: divergent selection acting on inversions. We also found that some inversions contributed to more than one trait suggesting that they may contain several loci involved in adaptation, consistent with the hypothesis that suppression of recombination within inversions facilitates differentiation in the presence of gene flow.","author":[{"dropping-particle":"","family":"Koch","given":"Eva L","non-dropping-particle":"","parse-names":false,"suffix":""},{"dropping-particle":"","family":"Morales","given":"Hernán E","non-dropping-particle":"","parse-names":false,"suffix":""},{"dropping-particle":"","family":"Larsson","given":"Jenny","non-dropping-particle":"","parse-names":false,"suffix":""},{"dropping-particle":"","family":"Westram","given":"Anja M","non-dropping-particle":"","parse-names":</w:instrText>
      </w:r>
      <w:r w:rsidR="00896F62" w:rsidRPr="0088185E">
        <w:rPr>
          <w:sz w:val="24"/>
          <w:szCs w:val="24"/>
          <w:lang w:val="nb-NO"/>
        </w:rPr>
        <w:instrText>false,"suffix":""},{"dropping-particle":"","family":"Faria","given":"Rui","non-dropping-particle":"","parse-names":false,"suffix":""},{"dropping-particle":"","family":"Lemmon","given":"Alan R.","non-dropping-particle":"","parse-names":false,"suffix":""},{"dropping-particle":"","family":"Lemmon","given":"E Moriarty","non-dropping-particle":"","parse-names":false,"suffix":""},{"dropping-particle":"","family":"Johannesson","given":"Kerstin","non-dropping-particle":"","parse-names":false,"suffix":""},{"dropping-particle":"","family":"Butlin","given":"Roger K","non-dropping-particle":"","parse-names":false,"suffix":""}],"container-title":"Evolution Letters","id":"ITEM-5","issue":"3","issued":{"date-parts":[["2021"]]},"page":"196-213","title":"Genetic variation for adaptive traits is associated with polymorphic inversions in Littorina saxatilis","type":"article","volume":"5"},"uris":["http://www.mendeley.com/documents/?uuid=19665c4c-b33c-3197-8bfd-1c79500b5caa"]}],"mendeley":{"formattedCitation":"(Berdan et al., 2021; Crow et al., 2020; Koch et al., 2021; Lavington &amp; Kern, 2017; Puig et al., 2015)","plainTextFormattedCitation":"(Berdan et al., 2021; Crow et al., 2020; Koch et al., 2021; Lavington &amp; Kern, 2017; Puig et al., 2015)","previouslyFormattedCitation":"(Berdan et al., 2021; Crow et al., 2020; Koch et al., 2021; Lavington &amp; Kern, 2017; Puig et al., 2015)"},"properties":{"noteIndex":0},"schema":"https://github.com/citation-style-language/schema/raw/master/csl-citation.json"}</w:instrText>
      </w:r>
      <w:r w:rsidR="00F90559">
        <w:rPr>
          <w:sz w:val="24"/>
          <w:szCs w:val="24"/>
        </w:rPr>
        <w:fldChar w:fldCharType="separate"/>
      </w:r>
      <w:r w:rsidR="001E0464" w:rsidRPr="001E0464">
        <w:rPr>
          <w:noProof/>
          <w:sz w:val="24"/>
          <w:szCs w:val="24"/>
          <w:lang w:val="nb-NO"/>
        </w:rPr>
        <w:t>(Berdan et al., 2021; Crow et al., 2020; Koch et al., 2021; Lavington &amp; Kern, 2017; Puig et al., 2015)</w:t>
      </w:r>
      <w:r w:rsidR="00F90559">
        <w:rPr>
          <w:sz w:val="24"/>
          <w:szCs w:val="24"/>
        </w:rPr>
        <w:fldChar w:fldCharType="end"/>
      </w:r>
      <w:r w:rsidRPr="00EA3A87">
        <w:rPr>
          <w:sz w:val="24"/>
          <w:szCs w:val="24"/>
          <w:lang w:val="nb-NO"/>
        </w:rPr>
        <w:t xml:space="preserve">. </w:t>
      </w:r>
      <w:r>
        <w:rPr>
          <w:sz w:val="24"/>
          <w:szCs w:val="24"/>
        </w:rPr>
        <w:t xml:space="preserve">Depending on the location and size of the inversion, it can either disrupt a gene sequence in the vicinity of breakpoints or distort gene regulation by affecting the regulatory element landscape up- or downstream from the gene </w:t>
      </w:r>
      <w:r>
        <w:rPr>
          <w:sz w:val="24"/>
          <w:szCs w:val="24"/>
        </w:rPr>
        <w:fldChar w:fldCharType="begin" w:fldLock="1"/>
      </w:r>
      <w:r w:rsidR="00896F62">
        <w:rPr>
          <w:sz w:val="24"/>
          <w:szCs w:val="24"/>
        </w:rPr>
        <w:instrText>ADDIN CSL_CITATION {"citationItems":[{"id":"ITEM-1","itemData":{"DOI":"10.1093/bfgp/elv020","ISSN":"20412657","PMID":"25998059","abstract":"Polymorphic inversions are a type of structural variants that are difficult to analyze owing to their balanced nature and the location of breakpoints within complex repeated regions. So far, only a handful of inversions have been studied in detail in humans and current knowledge about their possible functional effects is still limited. However, inversions have been related to phenotypic changes and adaptation in multiple species. In this review, we summarize the evidences of the functional impact of inversions in the human genome. First, given that inversions have been shown to inhibit recombination in heterokaryotes, chromosomes displaying different orientation are expected to evolve independently and this may lead to distinct gene-expression patterns. Second, inversions have a role as disease-causing mutations both by directly affecting gene structure or regulation in different ways, and by predisposing to other secondary arrangements in the offspring of inversion carriers. Finally, several inversions show signals of being selected during human evolution. These findings illustrate the potential of inversions to have phenotypic consequences also in humans and emphasize the importance of their inclusion in genome-wide association studies.","author":[{"dropping-particle":"","family":"Puig","given":"Marta","non-dropping-particle":"","parse-names":false,"suffix":""},{"dropping-particle":"","family":"Casillas","given":"Sònia","non-dropping-particle":"","parse-names":false,"suffix":""},{"dropping-particle":"","family":"Villatoro","given":"Sergi","non-dropping-particle":"","parse-names":false,"suffix":""},{"dropping-particle":"","family":"Cáceres","given":"Mario","non-dropping-particle":"","parse-names":false,"suffix":""}],"container-title":"Briefings in Functional Genomics","id":"ITEM-1","issue":"5","issued":{"date-parts":[["2015"]]},"page":"369-379","title":"Human inversions and their functional consequences","type":"article-journal","volume":"14"},"uris":["http://www.mendeley.com/documents/?uuid=91b073bb-e5f3-36a9-8532-cbcbf746645c"]}],"mendeley":{"formattedCitation":"(Puig et al., 2015)","plainTextFormattedCitation":"(Puig et al., 2015)","previouslyFormattedCitation":"(Puig et al., 2015)"},"properties":{"noteIndex":0},"schema":"https://github.com/citation-style-language/schema/raw/master/csl-citation.json"}</w:instrText>
      </w:r>
      <w:r>
        <w:rPr>
          <w:sz w:val="24"/>
          <w:szCs w:val="24"/>
        </w:rPr>
        <w:fldChar w:fldCharType="separate"/>
      </w:r>
      <w:r w:rsidR="001E0464" w:rsidRPr="001E0464">
        <w:rPr>
          <w:noProof/>
          <w:sz w:val="24"/>
          <w:szCs w:val="24"/>
        </w:rPr>
        <w:t>(Puig et al., 2015)</w:t>
      </w:r>
      <w:r>
        <w:rPr>
          <w:sz w:val="24"/>
          <w:szCs w:val="24"/>
        </w:rPr>
        <w:fldChar w:fldCharType="end"/>
      </w:r>
      <w:r>
        <w:rPr>
          <w:sz w:val="24"/>
          <w:szCs w:val="24"/>
        </w:rPr>
        <w:t xml:space="preserve">.  Regulation of transcription is affected by the genome architecture, chromatin landscape and cis-regulatory regions all of which result in tissue specific gene expression patterns </w:t>
      </w:r>
      <w:r>
        <w:rPr>
          <w:sz w:val="24"/>
          <w:szCs w:val="24"/>
        </w:rPr>
        <w:fldChar w:fldCharType="begin" w:fldLock="1"/>
      </w:r>
      <w:r w:rsidR="00896F62">
        <w:rPr>
          <w:sz w:val="24"/>
          <w:szCs w:val="24"/>
        </w:rPr>
        <w:instrText>ADDIN CSL_CITATION {"citationItems":[{"id":"ITEM-1","itemData":{"DOI":"10.1086/426833","ISBN":"0002-9297 (Print)\\r0002-9297 (Linking)","ISSN":"00029297","PMID":"15549674","abstract":"Transcriptional control is a major mechanism for regulating gene expression. The complex machinery required to effect this control is still emerging from functional and evolutionary analysis of genomic architecture. In addition to the promoter, many other regulatory elements are required for spatiotemporally and quantitatively correct gene expression. Enhancer and repressor elements may reside in introns or up- and downstream of the transcription unit. For some genes with highly complex expression patterns--often those that function as key developmental control genes--the cis-regulatory domain can extend long distances outside the transcription unit. Some of the earliest hints of this came from disease-associated chromosomal breaks positioned well outside the relevant gene. With the availability of wide-ranging genome sequence comparisons, strong conservation of many noncoding regions became obvious. Functional studies have shown many of these conserved sites to be transcriptional regulatory elements that sometimes reside inside unrelated neighboring genes. Such sequence-conserved elements generally harbor sites for tissue-specific DNA-binding proteins. Developmentally variable chromatin conformation can control protein access to these sites and can regulate transcription. Disruption of these finely tuned mechanisms can cause disease. Some regulatory element mutations will be associated with phenotypes distinct from any identified for coding-region mutations.","author":[{"dropping-particle":"","family":"Kleinjan","given":"Dirk A.","non-dropping-particle":"","parse-names":false,"suffix":""},{"dropping-particle":"","family":"Heyningen","given":"Veronica","non-dropping-particle":"van","parse-names":false,"suffix":""}],"container-title":"The American Journal of Human Genetics","id":"ITEM-1","issue":"1","issued":{"date-parts":[["2005"]]},"page":"8-32","title":"Long-Range Control of Gene Expression: Emerging Mechanisms and Disruption in Disease","type":"article-journal","volume":"76"},"uris":["http://www.mendeley.com/documents/?uuid=5bafbbc9-5f8a-4065-89a7-efcc3e81ffd0"]},{"id":"ITEM-2","itemData":{"DOI":"10.3390/genes10070492","ISSN":"20734425","abstract":"Research in various fields of evolutionary biology has shown that divergence in gene expression is a key driver for phenotypic evolution. An exceptional contribution of cis-regulatory divergence has been found to contribute to morphological diversification. In the light of these findings, the analysis of genome-wide expression data has become one of the central tools to link genotype and phenotype information on a more mechanistic level. However, in many studies, especially if general conclusions are drawn from such data, a key feature of gene regulation is often neglected. With our article, we want to raise awareness that gene regulation and thus gene expression is highly context dependent. Genes show tissue-and stage-specific expression. We argue that the regulatory context must be considered in comparative expression studies.","author":[{"dropping-particle":"","family":"Buchberger","given":"Elisa","non-dropping-particle":"","parse-names":false,"suffix":""},{"dropping-particle":"","family":"Reis","given":"Micael","non-dropping-particle":"","parse-names":false,"suffix":""},{"dropping-particle":"","family":"Lu","given":"Ting Hsuan","non-dropping-particle":"","parse-names":false,"suffix":""},{"dropping-particle":"","family":"Posnien","given":"Nico","non-dropping-particle":"","parse-names":false,"suffix":""}],"container-title":"Genes","id":"ITEM-2","issue":"7","issued":{"date-parts":[["2019"]]},"title":"Cloudy with a chance of insights: Context dependent gene regulation and implications for evolutionary studies","type":"article","volume":"10"},"uris":["http://www.mendeley.com/documents/?uuid=e07678a8-0b26-38d2-ba34-2fbdf09ab28c"]}],"mendeley":{"formattedCitation":"(Buchberger et al., 2019; Kleinjan &amp; van Heyningen, 2005)","plainTextFormattedCitation":"(Buchberger et al., 2019; Kleinjan &amp; van Heyningen, 2005)","previouslyFormattedCitation":"(Buchberger et al., 2019; Kleinjan &amp; van Heyningen, 2005)"},"properties":{"noteIndex":0},"schema":"https://github.com/citation-style-language/schema/raw/master/csl-citation.json"}</w:instrText>
      </w:r>
      <w:r>
        <w:rPr>
          <w:sz w:val="24"/>
          <w:szCs w:val="24"/>
        </w:rPr>
        <w:fldChar w:fldCharType="separate"/>
      </w:r>
      <w:r w:rsidR="001E0464" w:rsidRPr="001E0464">
        <w:rPr>
          <w:noProof/>
          <w:sz w:val="24"/>
          <w:szCs w:val="24"/>
        </w:rPr>
        <w:t>(Buchberger et al., 2019; Kleinjan &amp; van Heyningen, 2005)</w:t>
      </w:r>
      <w:r>
        <w:rPr>
          <w:sz w:val="24"/>
          <w:szCs w:val="24"/>
        </w:rPr>
        <w:fldChar w:fldCharType="end"/>
      </w:r>
      <w:r>
        <w:rPr>
          <w:sz w:val="24"/>
          <w:szCs w:val="24"/>
        </w:rPr>
        <w:t xml:space="preserve"> and can thus be impacted by an inversion in a tissue-specific manner. For example, an inversion may disrupt the 3D conformation involving one tissue-specific enhancer but not that of another tissue. Discerning how inversions contribute to evolutionary novelty thus requires an understanding of the regulatory machinery across varied tissues to investigate the pleiotropic effects of inversions.</w:t>
      </w:r>
    </w:p>
    <w:p w14:paraId="6678559C" w14:textId="25C6B7DB" w:rsidR="00E4181F" w:rsidRPr="006F0592" w:rsidRDefault="00E4181F" w:rsidP="00E4181F">
      <w:pPr>
        <w:spacing w:after="0" w:line="480" w:lineRule="auto"/>
        <w:ind w:firstLine="720"/>
        <w:jc w:val="both"/>
        <w:rPr>
          <w:sz w:val="24"/>
          <w:szCs w:val="24"/>
        </w:rPr>
      </w:pPr>
      <w:r>
        <w:rPr>
          <w:sz w:val="24"/>
          <w:szCs w:val="24"/>
        </w:rPr>
        <w:t>I</w:t>
      </w:r>
      <w:r w:rsidRPr="002356D5">
        <w:rPr>
          <w:sz w:val="24"/>
          <w:szCs w:val="24"/>
        </w:rPr>
        <w:t>n zebra finch (</w:t>
      </w:r>
      <w:r w:rsidRPr="002356D5">
        <w:rPr>
          <w:i/>
          <w:sz w:val="24"/>
          <w:szCs w:val="24"/>
        </w:rPr>
        <w:t>Taeniopygia guttata</w:t>
      </w:r>
      <w:r w:rsidRPr="004013A2">
        <w:rPr>
          <w:iCs/>
          <w:sz w:val="24"/>
          <w:szCs w:val="24"/>
        </w:rPr>
        <w:t>)</w:t>
      </w:r>
      <w:r w:rsidRPr="002356D5">
        <w:rPr>
          <w:sz w:val="24"/>
          <w:szCs w:val="24"/>
        </w:rPr>
        <w:t>, a</w:t>
      </w:r>
      <w:r>
        <w:rPr>
          <w:sz w:val="24"/>
          <w:szCs w:val="24"/>
        </w:rPr>
        <w:t>n Australian</w:t>
      </w:r>
      <w:r w:rsidRPr="002356D5">
        <w:rPr>
          <w:sz w:val="24"/>
          <w:szCs w:val="24"/>
        </w:rPr>
        <w:t xml:space="preserve"> grassfinch </w:t>
      </w:r>
      <w:r>
        <w:rPr>
          <w:sz w:val="24"/>
          <w:szCs w:val="24"/>
        </w:rPr>
        <w:t xml:space="preserve">in the </w:t>
      </w:r>
      <w:r w:rsidRPr="002356D5">
        <w:rPr>
          <w:sz w:val="24"/>
          <w:szCs w:val="24"/>
        </w:rPr>
        <w:t>family Estrildidae</w:t>
      </w:r>
      <w:r>
        <w:rPr>
          <w:sz w:val="24"/>
          <w:szCs w:val="24"/>
        </w:rPr>
        <w:t>,</w:t>
      </w:r>
      <w:r w:rsidRPr="002356D5">
        <w:rPr>
          <w:sz w:val="24"/>
          <w:szCs w:val="24"/>
        </w:rPr>
        <w:t xml:space="preserve"> </w:t>
      </w:r>
      <w:r>
        <w:rPr>
          <w:sz w:val="24"/>
          <w:szCs w:val="24"/>
        </w:rPr>
        <w:t>inversions on the Z chromosome seem to have</w:t>
      </w:r>
      <w:r w:rsidRPr="002356D5">
        <w:rPr>
          <w:sz w:val="24"/>
          <w:szCs w:val="24"/>
        </w:rPr>
        <w:t xml:space="preserve"> a pleiotropic effect on multiple traits. </w:t>
      </w:r>
      <w:r>
        <w:rPr>
          <w:sz w:val="24"/>
          <w:szCs w:val="24"/>
        </w:rPr>
        <w:t>Various inversions</w:t>
      </w:r>
      <w:r w:rsidRPr="002356D5">
        <w:rPr>
          <w:sz w:val="24"/>
          <w:szCs w:val="24"/>
        </w:rPr>
        <w:t xml:space="preserve"> explain as much as 90% of variance in sperm midpiece length in zebra finches as well as aspects of individual physiology, such as visible fat deposition rates, body mass, and beak length </w:t>
      </w:r>
      <w:r w:rsidRPr="002356D5">
        <w:rPr>
          <w:sz w:val="24"/>
          <w:szCs w:val="24"/>
        </w:rPr>
        <w:lastRenderedPageBreak/>
        <w:fldChar w:fldCharType="begin" w:fldLock="1"/>
      </w:r>
      <w:r w:rsidR="00896F62">
        <w:rPr>
          <w:sz w:val="24"/>
          <w:szCs w:val="24"/>
        </w:rPr>
        <w:instrText>ADDIN CSL_CITATION {"citationItems":[{"id":"ITEM-1","itemData":{"DOI":"10.1186/s13059-016-1056-3","ISBN":"1305901610563","ISSN":"1474-760X","abstract":"Background: Inversion polymorphisms constitute an evolutionary puzzle: they should increase embryo mortality in heterokaryotypic individuals but still they are widespread in some taxa. Some insect species have evolved mechanisms to reduce the cost of embryo mortality but humans have not. In birds, a detailed analysis is missing although intraspecific inversion polymorphisms are regarded as common. In Australian zebra finches (Taeniopygia guttata), two polymorphic inversions are known cytogenetically and we set out to detect these two and potentially additional inversions using genomic tools and study their effects on embryo mortality and other fitness-related and morphological traits. Results: Using whole-genome SNP data, we screened 948 wild zebra finches for polymorphic inversions and describe four large (12-63 Mb) intraspecific inversion polymorphisms with allele frequencies close to 50 %. Using additional data from 5229 birds and 9764 eggs from wild and three captive zebra finch populations, we show that only the largest inversions increase embryo mortality in heterokaryotypic males, with surprisingly small effect sizes. We test for a heterozygote advantage on other fitness components but find no evidence for heterosis for any of the inversions. Yet, we find strong additive effects on several morphological traits. Conclusions: The mechanism that has carried the derived inversion haplotypes to such high allele frequencies remains elusive. It appears that selection has effectively minimized the costs associated with inversions in zebra finches. The highly skewed distribution of recombination events towards the chromosome ends in zebra finches and other estrildid species may function to minimize crossovers in the inverted regions.","author":[{"dropping-particle":"","family":"Knief","given":"Ulrich","non-dropping-particle":"","parse-names":false,"suffix":""},{"dropping-particle":"","family":"Hemmrich-Stanisak","given":"Georg","non-dropping-particle":"","parse-names":false,"suffix":""},{"dropping-particle":"","family":"Wittig","given":"Michael","non-dropping-particle":"","parse-names":false,"suffix":""},{"dropping-particle":"","family":"Franke","given":"Andre","non-dropping-particle":"","parse-names":false,"suffix":""},{"dropping-particle":"","family":"Griffith","given":"Simon C","non-dropping-particle":"","parse-names":false,"suffix":""},{"dropping-particle":"","family":"Kempenaers","given":"Bart","non-dropping-particle":"","parse-names":false,"suffix":""},{"dropping-particle":"","family":"Forstmeier","given":"Wolfgang","non-dropping-particle":"","parse-names":false,"suffix":""}],"container-title":"Genome Biology","id":"ITEM-1","issue":"1","issued":{"date-parts":[["2016","12","29"]]},"page":"199","title":"Fitness consequences of polymorphic inversions in the zebra finch genome","type":"article-journal","volume":"17"},"uris":["http://www.mendeley.com/documents/?uuid=81012765-0717-3f6b-ab89-49a0d832a50c"]}],"mendeley":{"formattedCitation":"(Knief et al., 2016)","plainTextFormattedCitation":"(Knief et al., 2016)","previouslyFormattedCitation":"(Knief et al., 2016)"},"properties":{"noteIndex":0},"schema":"https://github.com/citation-style-language/schema/raw/master/csl-citation.json"}</w:instrText>
      </w:r>
      <w:r w:rsidRPr="002356D5">
        <w:rPr>
          <w:sz w:val="24"/>
          <w:szCs w:val="24"/>
        </w:rPr>
        <w:fldChar w:fldCharType="separate"/>
      </w:r>
      <w:r w:rsidR="001E0464" w:rsidRPr="001E0464">
        <w:rPr>
          <w:noProof/>
          <w:sz w:val="24"/>
          <w:szCs w:val="24"/>
        </w:rPr>
        <w:t>(Knief et al., 2016)</w:t>
      </w:r>
      <w:r w:rsidRPr="002356D5">
        <w:rPr>
          <w:sz w:val="24"/>
          <w:szCs w:val="24"/>
        </w:rPr>
        <w:fldChar w:fldCharType="end"/>
      </w:r>
      <w:r w:rsidRPr="002356D5">
        <w:rPr>
          <w:sz w:val="24"/>
          <w:szCs w:val="24"/>
        </w:rPr>
        <w:t xml:space="preserve">. </w:t>
      </w:r>
      <w:r w:rsidRPr="00A428BE">
        <w:rPr>
          <w:rFonts w:cstheme="minorHAnsi"/>
          <w:color w:val="000000"/>
          <w:sz w:val="24"/>
          <w:szCs w:val="24"/>
        </w:rPr>
        <w:t xml:space="preserve">Three </w:t>
      </w:r>
      <w:r>
        <w:rPr>
          <w:rFonts w:cstheme="minorHAnsi"/>
          <w:color w:val="000000"/>
          <w:sz w:val="24"/>
          <w:szCs w:val="24"/>
        </w:rPr>
        <w:t xml:space="preserve">common </w:t>
      </w:r>
      <w:r w:rsidRPr="00A428BE">
        <w:rPr>
          <w:rFonts w:cstheme="minorHAnsi"/>
          <w:color w:val="000000"/>
          <w:sz w:val="24"/>
          <w:szCs w:val="24"/>
        </w:rPr>
        <w:t>segregating inversion haplotypes have been characterized from wild zebra finch populations with A representing the ancestral form</w:t>
      </w:r>
      <w:r w:rsidR="00AC0D6C">
        <w:rPr>
          <w:rFonts w:cstheme="minorHAnsi"/>
          <w:color w:val="000000"/>
          <w:sz w:val="24"/>
          <w:szCs w:val="24"/>
        </w:rPr>
        <w:t>,</w:t>
      </w:r>
      <w:r w:rsidRPr="00A428BE">
        <w:rPr>
          <w:rFonts w:cstheme="minorHAnsi"/>
          <w:color w:val="000000"/>
          <w:sz w:val="24"/>
          <w:szCs w:val="24"/>
        </w:rPr>
        <w:t xml:space="preserve"> </w:t>
      </w:r>
      <w:r>
        <w:rPr>
          <w:rFonts w:cstheme="minorHAnsi"/>
          <w:color w:val="000000"/>
          <w:sz w:val="24"/>
          <w:szCs w:val="24"/>
        </w:rPr>
        <w:t>and</w:t>
      </w:r>
      <w:r w:rsidRPr="00A428BE">
        <w:rPr>
          <w:rFonts w:cstheme="minorHAnsi"/>
          <w:color w:val="000000"/>
          <w:sz w:val="24"/>
          <w:szCs w:val="24"/>
        </w:rPr>
        <w:t xml:space="preserve"> B and C </w:t>
      </w:r>
      <w:r w:rsidR="00AC0D6C">
        <w:rPr>
          <w:rFonts w:cstheme="minorHAnsi"/>
          <w:color w:val="000000"/>
          <w:sz w:val="24"/>
          <w:szCs w:val="24"/>
        </w:rPr>
        <w:t>representing</w:t>
      </w:r>
      <w:r w:rsidR="00AC0D6C" w:rsidRPr="00A428BE">
        <w:rPr>
          <w:rFonts w:cstheme="minorHAnsi"/>
          <w:color w:val="000000"/>
          <w:sz w:val="24"/>
          <w:szCs w:val="24"/>
        </w:rPr>
        <w:t xml:space="preserve"> </w:t>
      </w:r>
      <w:r w:rsidRPr="00A428BE">
        <w:rPr>
          <w:rFonts w:cstheme="minorHAnsi"/>
          <w:color w:val="000000"/>
          <w:sz w:val="24"/>
          <w:szCs w:val="24"/>
        </w:rPr>
        <w:t xml:space="preserve">the derived inversion haplotypes (Knief </w:t>
      </w:r>
      <w:r w:rsidRPr="00A428BE">
        <w:rPr>
          <w:rFonts w:cstheme="minorHAnsi"/>
          <w:i/>
          <w:iCs/>
          <w:color w:val="000000"/>
          <w:sz w:val="24"/>
          <w:szCs w:val="24"/>
        </w:rPr>
        <w:t>et al.</w:t>
      </w:r>
      <w:r w:rsidRPr="00A428BE">
        <w:rPr>
          <w:rFonts w:cstheme="minorHAnsi"/>
          <w:color w:val="000000"/>
          <w:sz w:val="24"/>
          <w:szCs w:val="24"/>
        </w:rPr>
        <w:t xml:space="preserve"> 2016). </w:t>
      </w:r>
      <w:r>
        <w:rPr>
          <w:rFonts w:cstheme="minorHAnsi"/>
          <w:color w:val="000000"/>
          <w:sz w:val="24"/>
          <w:szCs w:val="24"/>
        </w:rPr>
        <w:t xml:space="preserve">A fourth inversion, type D, also exists, but it is not as common as the other three </w:t>
      </w:r>
      <w:r>
        <w:rPr>
          <w:rFonts w:cstheme="minorHAnsi"/>
          <w:color w:val="000000"/>
          <w:sz w:val="24"/>
          <w:szCs w:val="24"/>
        </w:rPr>
        <w:fldChar w:fldCharType="begin" w:fldLock="1"/>
      </w:r>
      <w:r w:rsidR="00896F62">
        <w:rPr>
          <w:rFonts w:cstheme="minorHAnsi"/>
          <w:color w:val="000000"/>
          <w:sz w:val="24"/>
          <w:szCs w:val="24"/>
        </w:rPr>
        <w:instrText>ADDIN CSL_CITATION {"citationItems":[{"id":"ITEM-1","itemData":{"DOI":"10.1038/s41559-017-0236-1","ISSN":"2397-334X","PMID":"29046576","abstract":"Male reproductive success depends on the competitive ability of sperm to fertilize the ova, which should lead to strong selection on sperm characteristics. This raises the question of how heritable variation in sperm traits is maintained. Here we show that in zebra finches (Taeniopygia guttata) nearly half of the variance in sperm morphology is explained by an inversion on the Z chromosome with a 40% allele frequency in the wild. The sperm of males that are heterozygous for the inversion had the longest midpieces and the highest velocity. Furthermore, such males achieved the highest fertility and the highest siring success, both within-pair and extra-pair. Males homozygous for the derived allele show detrimental sperm characteristics and the lowest siring success. Our results suggest heterozygote advantage as the mechanism that maintains the inversion polymorphism and hence variance in sperm design and in fitness.","author":[{"dropping-particle":"","family":"Knief","given":"Ulrich","non-dropping-particle":"","parse-names":false,"suffix":""},{"dropping-particle":"","family":"Forstmeier","given":"Wolfgang","non-dropping-particle":"","parse-names":false,"suffix":""},{"dropping-particle":"","family":"Pei","given":"Yifan","non-dropping-particle":"","parse-names":false,"suffix":""},{"dropping-particle":"","family":"Ihle","given":"Malika","non-dropping-particle":"","parse-names":false,"suffix":""},{"dropping-particle":"","family":"Wang","given":"Daiping","non-dropping-particle":"","parse-names":false,"suffix":""},{"dropping-particle":"","family":"Martin","given":"Katrin","non-dropping-particle":"","parse-names":false,"suffix":""},{"dropping-particle":"","family":"Opatová","given":"Pavlína","non-dropping-particle":"","parse-names":false,"suffix":""},{"dropping-particle":"","family":"Albrechtová","given":"Jana","non-dropping-particle":"","parse-names":false,"suffix":""},{"dropping-particle":"","family":"Wittig","given":"Michael","non-dropping-particle":"","parse-names":false,"suffix":""},{"dropping-particle":"","family":"Franke","given":"Andre","non-dropping-particle":"","parse-names":false,"suffix":""},{"dropping-particle":"","family":"Albrecht","given":"Tomáš","non-dropping-particle":"","parse-names":false,"suffix":""},{"dropping-particle":"","family":"Kempenaers","given":"Bart","non-dropping-particle":"","parse-names":false,"suffix":""}],"container-title":"Nature Ecology &amp; Evolution","id":"ITEM-1","issue":"8","issued":{"date-parts":[["2017","7","17"]]},"page":"1177-1184","title":"A sex-chromosome inversion causes strong overdominance for sperm traits that affect siring success","type":"article-journal","volume":"1"},"uris":["http://www.mendeley.com/documents/?uuid=3efe8240-b58b-3012-b842-e07f5aec233d"]}],"mendeley":{"formattedCitation":"(Knief et al., 2017)","plainTextFormattedCitation":"(Knief et al., 2017)","previouslyFormattedCitation":"(Knief et al., 2017)"},"properties":{"noteIndex":0},"schema":"https://github.com/citation-style-language/schema/raw/master/csl-citation.json"}</w:instrText>
      </w:r>
      <w:r>
        <w:rPr>
          <w:rFonts w:cstheme="minorHAnsi"/>
          <w:color w:val="000000"/>
          <w:sz w:val="24"/>
          <w:szCs w:val="24"/>
        </w:rPr>
        <w:fldChar w:fldCharType="separate"/>
      </w:r>
      <w:r w:rsidR="001E0464" w:rsidRPr="001E0464">
        <w:rPr>
          <w:rFonts w:cstheme="minorHAnsi"/>
          <w:noProof/>
          <w:color w:val="000000"/>
          <w:sz w:val="24"/>
          <w:szCs w:val="24"/>
        </w:rPr>
        <w:t>(Knief et al., 2017)</w:t>
      </w:r>
      <w:r>
        <w:rPr>
          <w:rFonts w:cstheme="minorHAnsi"/>
          <w:color w:val="000000"/>
          <w:sz w:val="24"/>
          <w:szCs w:val="24"/>
        </w:rPr>
        <w:fldChar w:fldCharType="end"/>
      </w:r>
      <w:r>
        <w:rPr>
          <w:rFonts w:cstheme="minorHAnsi"/>
          <w:color w:val="000000"/>
          <w:sz w:val="24"/>
          <w:szCs w:val="24"/>
        </w:rPr>
        <w:t xml:space="preserve">. </w:t>
      </w:r>
      <w:r w:rsidRPr="00A428BE">
        <w:rPr>
          <w:rFonts w:cstheme="minorHAnsi"/>
          <w:color w:val="000000"/>
          <w:sz w:val="24"/>
          <w:szCs w:val="24"/>
        </w:rPr>
        <w:t xml:space="preserve">Sperm morphology is affected by the inversion such that males with AA karyotype have long flagellum and short midpiece while BB karyotype has short flagellum and long midpiece and </w:t>
      </w:r>
      <w:r>
        <w:rPr>
          <w:rFonts w:cstheme="minorHAnsi"/>
          <w:color w:val="000000"/>
          <w:sz w:val="24"/>
          <w:szCs w:val="24"/>
        </w:rPr>
        <w:t xml:space="preserve">heterokaryotypes </w:t>
      </w:r>
      <w:r w:rsidRPr="00A428BE">
        <w:rPr>
          <w:rFonts w:cstheme="minorHAnsi"/>
          <w:color w:val="000000"/>
          <w:sz w:val="24"/>
          <w:szCs w:val="24"/>
        </w:rPr>
        <w:t>AB</w:t>
      </w:r>
      <w:r>
        <w:rPr>
          <w:rFonts w:cstheme="minorHAnsi"/>
          <w:color w:val="000000"/>
          <w:sz w:val="24"/>
          <w:szCs w:val="24"/>
        </w:rPr>
        <w:t xml:space="preserve"> and AC</w:t>
      </w:r>
      <w:r w:rsidRPr="00A428BE">
        <w:rPr>
          <w:rFonts w:cstheme="minorHAnsi"/>
          <w:color w:val="000000"/>
          <w:sz w:val="24"/>
          <w:szCs w:val="24"/>
        </w:rPr>
        <w:t xml:space="preserve"> ha</w:t>
      </w:r>
      <w:r>
        <w:rPr>
          <w:rFonts w:cstheme="minorHAnsi"/>
          <w:color w:val="000000"/>
          <w:sz w:val="24"/>
          <w:szCs w:val="24"/>
        </w:rPr>
        <w:t>ve</w:t>
      </w:r>
      <w:r w:rsidRPr="00A428BE">
        <w:rPr>
          <w:rFonts w:cstheme="minorHAnsi"/>
          <w:color w:val="000000"/>
          <w:sz w:val="24"/>
          <w:szCs w:val="24"/>
        </w:rPr>
        <w:t xml:space="preserve"> intermediate flagellum and long midpiece </w:t>
      </w:r>
      <w:r>
        <w:rPr>
          <w:rFonts w:cstheme="minorHAnsi"/>
          <w:color w:val="000000"/>
          <w:sz w:val="24"/>
          <w:szCs w:val="24"/>
        </w:rPr>
        <w:fldChar w:fldCharType="begin" w:fldLock="1"/>
      </w:r>
      <w:r w:rsidR="00896F62">
        <w:rPr>
          <w:rFonts w:cstheme="minorHAnsi"/>
          <w:color w:val="000000"/>
          <w:sz w:val="24"/>
          <w:szCs w:val="24"/>
        </w:rPr>
        <w:instrText>ADDIN CSL_CITATION {"citationItems":[{"id":"ITEM-1","itemData":{"DOI":"10.1038/s41559-017-0236-1","ISSN":"2397-334X","PMID":"29046576","abstract":"Male reproductive success depends on the competitive ability of sperm to fertilize the ova, which should lead to strong selection on sperm characteristics. This raises the question of how heritable variation in sperm traits is maintained. Here we show that in zebra finches (Taeniopygia guttata) nearly half of the variance in sperm morphology is explained by an inversion on the Z chromosome with a 40% allele frequency in the wild. The sperm of males that are heterozygous for the inversion had the longest midpieces and the highest velocity. Furthermore, such males achieved the highest fertility and the highest siring success, both within-pair and extra-pair. Males homozygous for the derived allele show detrimental sperm characteristics and the lowest siring success. Our results suggest heterozygote advantage as the mechanism that maintains the inversion polymorphism and hence variance in sperm design and in fitness.","author":[{"dropping-particle":"","family":"Knief","given":"Ulrich","non-dropping-particle":"","parse-names":false,"suffix":""},{"dropping-particle":"","family":"Forstmeier","given":"Wolfgang","non-dropping-particle":"","parse-names":false,"suffix":""},{"dropping-particle":"","family":"Pei","given":"Yifan","non-dropping-particle":"","parse-names":false,"suffix":""},{"dropping-particle":"","family":"Ihle","given":"Malika","non-dropping-particle":"","parse-names":false,"suffix":""},{"dropping-particle":"","family":"Wang","given":"Daiping","non-dropping-particle":"","parse-names":false,"suffix":""},{"dropping-particle":"","family":"Martin","given":"Katrin","non-dropping-particle":"","parse-names":false,"suffix":""},{"dropping-particle":"","family":"Opatová","given":"Pavlína","non-dropping-particle":"","parse-names":false,"suffix":""},{"dropping-particle":"","family":"Albrechtová","given":"Jana","non-dropping-particle":"","parse-names":false,"suffix":""},{"dropping-particle":"","family":"Wittig","given":"Michael","non-dropping-particle":"","parse-names":false,"suffix":""},{"dropping-particle":"","family":"Franke","given":"Andre","non-dropping-particle":"","parse-names":false,"suffix":""},{"dropping-particle":"","family":"Albrecht","given":"Tomáš","non-dropping-particle":"","parse-names":false,"suffix":""},{"dropping-particle":"","family":"Kempenaers","given":"Bart","non-dropping-particle":"","parse-names":false,"suffix":""}],"container-title":"Nature Ecology &amp; Evolution","id":"ITEM-1","issue":"8","issued":{"date-parts":[["2017","7","17"]]},"page":"1177-1184","title":"A sex-chromosome inversion causes strong overdominance for sperm traits that affect siring success","type":"article-journal","volume":"1"},"uris":["http://www.mendeley.com/documents/?uuid=3efe8240-b58b-3012-b842-e07f5aec233d"]},{"id":"ITEM-2","itemData":{"DOI":"10.1038/s41559-017-0235-2","ISSN":"2397334X","PMID":"29046578","abstract":"Sperm competition is an important selective force in many organisms. As a result, sperm have evolved to be among the most diverse cells in the animal kingdom. However, the relationship between sperm morphology, sperm motility and fertilization success is only partially understood. The extent to which between-male variation is heritable is largely unknown, and remarkably few studies have investigated the genetic architecture of sperm traits, especially sperm morphology. Here we use high-density genotyping and gene expression profiling to explore the considerable sperm trait variation that exists in the zebra finch Taeniopygia guttata. We show that nearly all of the genetic variation in sperm morphology is caused by an inversion polymorphism on the Z chromosome acting as a 'supergene'. These results provide a striking example of two evolutionary genetic predictions. First, that in species where females are the heterogametic sex, genetic variation affecting sexually dimorphic traits will accumulate on the Z chromosome. Second, recombination suppression at the inversion allows beneficial dominant alleles to become fixed on whichever haplotype they first arise, without being exchanged onto other haplotypes. Finally, we show that the inversion polymorphism will be stably maintained by heterozygote advantage, because heterozygous males have the fastest and most successful sperm.","author":[{"dropping-particle":"","family":"Kim","given":"Kang - Wook","non-dropping-particle":"","parse-names":false,"suffix":""},{"dropping-particle":"","family":"Bennison","given":"Clair","non-dropping-particle":"","parse-names":false,"suffix":""},{"dropping-particle":"","family":"Hemmings","given":"Nicola","non-dropping-particle":"","parse-names":false,"suffix":""},{"dropping-particle":"","family":"Brookes","given":"Lola","non-dropping-particle":"","parse-names":false,"suffix":""},{"dropping-particle":"","family":"Hurley","given":"Laura L.","non-dropping-particle":"","parse-names":false,"suffix":""},{"dropping-particle":"","family":"Griffith","given":"Simon C.","non-dropping-particle":"","parse-names":false,"suffix":""},{"dropping-particle":"","family":"Burke","given":"Terry","non-dropping-particle":"","parse-names":false,"suffix":""},{"dropping-particle":"","family":"Birkhead","given":"Tim R.","non-dropping-particle":"","parse-names":false,"suffix":""},{"dropping-particle":"","family":"Slate","given":"Jon","non-dropping-particle":"","parse-names":false,"suffix":""}],"container-title":"Nature Ecology and Evolution","id":"ITEM-2","issue":"8","issued":{"date-parts":[["2017","8","17"]]},"page":"1168-1176","title":"A sex-linked supergene controls sperm morphology and swimming speed in a songbird","type":"article-journal","volume":"1"},"uris":["http://www.mendeley.com/documents/?uuid=6c697130-ac69-3614-af3f-e03480e4aa2c"]}],"mendeley":{"formattedCitation":"(Kim et al., 2017; Knief et al., 2017)","plainTextFormattedCitation":"(Kim et al., 2017; Knief et al., 2017)","previouslyFormattedCitation":"(Kim et al., 2017; Knief et al., 2017)"},"properties":{"noteIndex":0},"schema":"https://github.com/citation-style-language/schema/raw/master/csl-citation.json"}</w:instrText>
      </w:r>
      <w:r>
        <w:rPr>
          <w:rFonts w:cstheme="minorHAnsi"/>
          <w:color w:val="000000"/>
          <w:sz w:val="24"/>
          <w:szCs w:val="24"/>
        </w:rPr>
        <w:fldChar w:fldCharType="separate"/>
      </w:r>
      <w:r w:rsidR="001E0464" w:rsidRPr="001E0464">
        <w:rPr>
          <w:rFonts w:cstheme="minorHAnsi"/>
          <w:noProof/>
          <w:color w:val="000000"/>
          <w:sz w:val="24"/>
          <w:szCs w:val="24"/>
        </w:rPr>
        <w:t>(Kim et al., 2017; Knief et al., 2017)</w:t>
      </w:r>
      <w:r>
        <w:rPr>
          <w:rFonts w:cstheme="minorHAnsi"/>
          <w:color w:val="000000"/>
          <w:sz w:val="24"/>
          <w:szCs w:val="24"/>
        </w:rPr>
        <w:fldChar w:fldCharType="end"/>
      </w:r>
      <w:r w:rsidRPr="00A428BE">
        <w:rPr>
          <w:rFonts w:cstheme="minorHAnsi"/>
          <w:color w:val="000000"/>
          <w:sz w:val="24"/>
          <w:szCs w:val="24"/>
        </w:rPr>
        <w:t>.</w:t>
      </w:r>
      <w:r>
        <w:rPr>
          <w:rFonts w:cstheme="minorHAnsi"/>
          <w:color w:val="000000"/>
          <w:sz w:val="24"/>
          <w:szCs w:val="24"/>
        </w:rPr>
        <w:t xml:space="preserve"> Because of the phenotypic similarity of the sperm from B and C heterokaryotypes, they have also been referred to as </w:t>
      </w:r>
      <w:r w:rsidR="00B97E72">
        <w:rPr>
          <w:rFonts w:cstheme="minorHAnsi"/>
          <w:color w:val="000000"/>
          <w:sz w:val="24"/>
          <w:szCs w:val="24"/>
        </w:rPr>
        <w:t>A</w:t>
      </w:r>
      <w:r>
        <w:rPr>
          <w:rFonts w:cstheme="minorHAnsi"/>
          <w:color w:val="000000"/>
          <w:sz w:val="24"/>
          <w:szCs w:val="24"/>
        </w:rPr>
        <w:t xml:space="preserve">B* which represents either AB or AC heterokaryotypes </w:t>
      </w:r>
      <w:r>
        <w:rPr>
          <w:rFonts w:cstheme="minorHAnsi"/>
          <w:color w:val="000000"/>
          <w:sz w:val="24"/>
          <w:szCs w:val="24"/>
        </w:rPr>
        <w:fldChar w:fldCharType="begin" w:fldLock="1"/>
      </w:r>
      <w:r w:rsidR="00896F62">
        <w:rPr>
          <w:rFonts w:cstheme="minorHAnsi"/>
          <w:color w:val="000000"/>
          <w:sz w:val="24"/>
          <w:szCs w:val="24"/>
        </w:rPr>
        <w:instrText>ADDIN CSL_CITATION {"citationItems":[{"id":"ITEM-1","itemData":{"DOI":"10.1186/s13059-016-1056-3","ISBN":"1305901610563","ISSN":"1474-760X","abstract":"Background: Inversion polymorphisms constitute an evolutionary puzzle: they should increase embryo mortality in heterokaryotypic individuals but still they are widespread in some taxa. Some insect species have evolved mechanisms to reduce the cost of embryo mortality but humans have not. In birds, a detailed analysis is missing although intraspecific inversion polymorphisms are regarded as common. In Australian zebra finches (Taeniopygia guttata), two polymorphic inversions are known cytogenetically and we set out to detect these two and potentially additional inversions using genomic tools and study their effects on embryo mortality and other fitness-related and morphological traits. Results: Using whole-genome SNP data, we screened 948 wild zebra finches for polymorphic inversions and describe four large (12-63 Mb) intraspecific inversion polymorphisms with allele frequencies close to 50 %. Using additional data from 5229 birds and 9764 eggs from wild and three captive zebra finch populations, we show that only the largest inversions increase embryo mortality in heterokaryotypic males, with surprisingly small effect sizes. We test for a heterozygote advantage on other fitness components but find no evidence for heterosis for any of the inversions. Yet, we find strong additive effects on several morphological traits. Conclusions: The mechanism that has carried the derived inversion haplotypes to such high allele frequencies remains elusive. It appears that selection has effectively minimized the costs associated with inversions in zebra finches. The highly skewed distribution of recombination events towards the chromosome ends in zebra finches and other estrildid species may function to minimize crossovers in the inverted regions.","author":[{"dropping-particle":"","family":"Knief","given":"Ulrich","non-dropping-particle":"","parse-names":false,"suffix":""},{"dropping-particle":"","family":"Hemmrich-Stanisak","given":"Georg","non-dropping-particle":"","parse-names":false,"suffix":""},{"dropping-particle":"","family":"Wittig","given":"Michael","non-dropping-particle":"","parse-names":false,"suffix":""},{"dropping-particle":"","family":"Franke","given":"Andre","non-dropping-particle":"","parse-names":false,"suffix":""},{"dropping-particle":"","family":"Griffith","given":"Simon C","non-dropping-particle":"","parse-names":false,"suffix":""},{"dropping-particle":"","family":"Kempenaers","given":"Bart","non-dropping-particle":"","parse-names":false,"suffix":""},{"dropping-particle":"","family":"Forstmeier","given":"Wolfgang","non-dropping-particle":"","parse-names":false,"suffix":""}],"container-title":"Genome Biology","id":"ITEM-1","issue":"1","issued":{"date-parts":[["2016","12","29"]]},"page":"199","title":"Fitness consequences of polymorphic inversions in the zebra finch genome","type":"article-journal","volume":"17"},"uris":["http://www.mendeley.com/documents/?uuid=81012765-0717-3f6b-ab89-49a0d832a50c"]}],"mendeley":{"formattedCitation":"(Knief et al., 2016)","plainTextFormattedCitation":"(Knief et al., 2016)","previouslyFormattedCitation":"(Knief et al., 2016)"},"properties":{"noteIndex":0},"schema":"https://github.com/citation-style-language/schema/raw/master/csl-citation.json"}</w:instrText>
      </w:r>
      <w:r>
        <w:rPr>
          <w:rFonts w:cstheme="minorHAnsi"/>
          <w:color w:val="000000"/>
          <w:sz w:val="24"/>
          <w:szCs w:val="24"/>
        </w:rPr>
        <w:fldChar w:fldCharType="separate"/>
      </w:r>
      <w:r w:rsidR="001E0464" w:rsidRPr="001E0464">
        <w:rPr>
          <w:rFonts w:cstheme="minorHAnsi"/>
          <w:noProof/>
          <w:color w:val="000000"/>
          <w:sz w:val="24"/>
          <w:szCs w:val="24"/>
        </w:rPr>
        <w:t>(Knief et al., 2016)</w:t>
      </w:r>
      <w:r>
        <w:rPr>
          <w:rFonts w:cstheme="minorHAnsi"/>
          <w:color w:val="000000"/>
          <w:sz w:val="24"/>
          <w:szCs w:val="24"/>
        </w:rPr>
        <w:fldChar w:fldCharType="end"/>
      </w:r>
      <w:r>
        <w:rPr>
          <w:rFonts w:cstheme="minorHAnsi"/>
          <w:color w:val="000000"/>
          <w:sz w:val="24"/>
          <w:szCs w:val="24"/>
        </w:rPr>
        <w:t>.</w:t>
      </w:r>
    </w:p>
    <w:p w14:paraId="31793E0E" w14:textId="1AF52E35" w:rsidR="00E4181F" w:rsidRDefault="00E4181F" w:rsidP="00E4181F">
      <w:pPr>
        <w:spacing w:after="0" w:line="480" w:lineRule="auto"/>
        <w:ind w:firstLine="720"/>
        <w:jc w:val="both"/>
        <w:rPr>
          <w:sz w:val="24"/>
          <w:szCs w:val="24"/>
        </w:rPr>
      </w:pPr>
      <w:r>
        <w:rPr>
          <w:sz w:val="24"/>
          <w:szCs w:val="24"/>
        </w:rPr>
        <w:t xml:space="preserve">Due to the striking variation of sperm phenotypes due to the inversion karyotype, we </w:t>
      </w:r>
      <w:r w:rsidR="00C04E6C">
        <w:rPr>
          <w:sz w:val="24"/>
          <w:szCs w:val="24"/>
        </w:rPr>
        <w:t xml:space="preserve">wanted </w:t>
      </w:r>
      <w:r>
        <w:rPr>
          <w:sz w:val="24"/>
          <w:szCs w:val="24"/>
        </w:rPr>
        <w:t xml:space="preserve">to use this system for investigating genes involved in sperm morphology. </w:t>
      </w:r>
      <w:r w:rsidRPr="002356D5">
        <w:rPr>
          <w:sz w:val="24"/>
          <w:szCs w:val="24"/>
        </w:rPr>
        <w:t xml:space="preserve">Spermatozoa </w:t>
      </w:r>
      <w:r>
        <w:rPr>
          <w:sz w:val="24"/>
          <w:szCs w:val="24"/>
        </w:rPr>
        <w:t xml:space="preserve">have </w:t>
      </w:r>
      <w:r w:rsidRPr="002356D5">
        <w:rPr>
          <w:sz w:val="24"/>
          <w:szCs w:val="24"/>
        </w:rPr>
        <w:t xml:space="preserve">evolved to be one of the most diverse cell types in the animal kingdom </w:t>
      </w:r>
      <w:r w:rsidRPr="002356D5">
        <w:rPr>
          <w:sz w:val="24"/>
          <w:szCs w:val="24"/>
        </w:rPr>
        <w:fldChar w:fldCharType="begin" w:fldLock="1"/>
      </w:r>
      <w:r w:rsidR="00896F62">
        <w:rPr>
          <w:sz w:val="24"/>
          <w:szCs w:val="24"/>
        </w:rPr>
        <w:instrText>ADDIN CSL_CITATION {"citationItems":[{"id":"ITEM-1","itemData":{"ISBN":"9780123725684","author":[{"dropping-particle":"","family":"Pitnick","given":"Scott","non-dropping-particle":"","parse-names":false,"suffix":""},{"dropping-particle":"","family":"Hosken","given":"David J.","non-dropping-particle":"","parse-names":false,"suffix":""},{"dropping-particle":"","family":"Birkhead","given":"Tim R.","non-dropping-particle":"","parse-names":false,"suffix":""}],"container-title":"Sperm Biology: An Evolutionary Perspective","edition":"1","editor":[{"dropping-particle":"","family":"Birkhead","given":"Tim R.","non-dropping-particle":"","parse-names":false,"suffix":""},{"dropping-particle":"","family":"Hosken","given":"David J.","non-dropping-particle":"","parse-names":false,"suffix":""},{"dropping-particle":"","family":"Pitnick","given":"Scott","non-dropping-particle":"","parse-names":false,"suffix":""}],"id":"ITEM-1","issued":{"date-parts":[["2009"]]},"page":"69-149","publisher":"Elsevier","publisher-place":"Oxford","title":"Sperm morphological diversity","type":"chapter"},"uris":["http://www.mendeley.com/documents/?uuid=a7042a02-5a74-45a2-8194-30128dc49455"]}],"mendeley":{"formattedCitation":"(Pitnick et al., 2009)","plainTextFormattedCitation":"(Pitnick et al., 2009)","previouslyFormattedCitation":"(Pitnick et al., 2009)"},"properties":{"noteIndex":0},"schema":"https://github.com/citation-style-language/schema/raw/master/csl-citation.json"}</w:instrText>
      </w:r>
      <w:r w:rsidRPr="002356D5">
        <w:rPr>
          <w:sz w:val="24"/>
          <w:szCs w:val="24"/>
        </w:rPr>
        <w:fldChar w:fldCharType="separate"/>
      </w:r>
      <w:r w:rsidR="001E0464" w:rsidRPr="001E0464">
        <w:rPr>
          <w:noProof/>
          <w:sz w:val="24"/>
          <w:szCs w:val="24"/>
        </w:rPr>
        <w:t>(Pitnick et al., 2009)</w:t>
      </w:r>
      <w:r w:rsidRPr="002356D5">
        <w:rPr>
          <w:sz w:val="24"/>
          <w:szCs w:val="24"/>
        </w:rPr>
        <w:fldChar w:fldCharType="end"/>
      </w:r>
      <w:r>
        <w:rPr>
          <w:sz w:val="24"/>
          <w:szCs w:val="24"/>
        </w:rPr>
        <w:t xml:space="preserve">, and </w:t>
      </w:r>
      <w:r w:rsidRPr="002356D5">
        <w:rPr>
          <w:sz w:val="24"/>
          <w:szCs w:val="24"/>
        </w:rPr>
        <w:t xml:space="preserve"> </w:t>
      </w:r>
      <w:r>
        <w:rPr>
          <w:sz w:val="24"/>
          <w:szCs w:val="24"/>
        </w:rPr>
        <w:t>h</w:t>
      </w:r>
      <w:r w:rsidRPr="002356D5">
        <w:rPr>
          <w:sz w:val="24"/>
          <w:szCs w:val="24"/>
        </w:rPr>
        <w:t xml:space="preserve">igh variation in sperm size is often detected across species </w:t>
      </w:r>
      <w:r w:rsidRPr="002356D5">
        <w:rPr>
          <w:sz w:val="24"/>
          <w:szCs w:val="24"/>
        </w:rPr>
        <w:fldChar w:fldCharType="begin" w:fldLock="1"/>
      </w:r>
      <w:r w:rsidR="00896F62">
        <w:rPr>
          <w:sz w:val="24"/>
          <w:szCs w:val="24"/>
        </w:rPr>
        <w:instrText>ADDIN CSL_CITATION {"citationItems":[{"id":"ITEM-1","itemData":{"DOI":"10.1038/s41467-022-34609-7","ISSN":"20411723","PMID":"36357384","abstract":"Environmental change frequently drives morphological diversification, including at the cellular level. Transitions in the environment where fertilization occurs (i.e., fertilization mode) are hypothesized to be a driver of the extreme diversity in sperm morphology observed in animals. Yet how fertilization mode impacts the evolution of sperm components—head, midpiece, and flagellum—each with different functional roles that must act as an integrated unit remains unclear. Here, we test this hypothesis by examining the evolution of sperm component lengths across 1103 species of vertebrates varying in fertilization mode (external vs. internal fertilization). Sperm component length is explained in part by fertilization mode across vertebrates, but how fertilization mode influences sperm evolution varies among sperm components and vertebrate clades. We also identify evolutionary responses not influenced by fertilization mode: midpieces evolve rapidly in both external and internal fertilizers. Fertilization mode thus influences vertebrate sperm evolution through complex component- and clade-specific evolutionary responses.","author":[{"dropping-particle":"","family":"Kahrl","given":"Ariel F.","non-dropping-particle":"","parse-names":false,"suffix":""},{"dropping-particle":"","family":"Snook","given":"Rhonda R.","non-dropping-particle":"","parse-names":false,"suffix":""},{"dropping-particle":"","family":"Fitzpatrick","given":"John L.","non-dropping-particle":"","parse-names":false,"suffix":""}],"container-title":"Nature Communications","id":"ITEM-1","issue":"1","issued":{"date-parts":[["2022"]]},"publisher":"Springer US","title":"Fertilization mode differentially impacts the evolution of vertebrate sperm components","type":"article-journal","volume":"13"},"uris":["http://www.mendeley.com/documents/?uuid=de3aedf4-896f-4e21-ac12-4f7879e6e711","http://www.mendeley.com/documents/?uuid=1fe9e813-8800-4830-80fe-50e61b0304fd"]}],"mendeley":{"formattedCitation":"(Kahrl et al., 2022)","plainTextFormattedCitation":"(Kahrl et al., 2022)","previouslyFormattedCitation":"(Kahrl et al., 2022)"},"properties":{"noteIndex":0},"schema":"https://github.com/citation-style-language/schema/raw/master/csl-citation.json"}</w:instrText>
      </w:r>
      <w:r w:rsidRPr="002356D5">
        <w:rPr>
          <w:sz w:val="24"/>
          <w:szCs w:val="24"/>
        </w:rPr>
        <w:fldChar w:fldCharType="separate"/>
      </w:r>
      <w:r w:rsidR="001E0464" w:rsidRPr="001E0464">
        <w:rPr>
          <w:noProof/>
          <w:sz w:val="24"/>
          <w:szCs w:val="24"/>
        </w:rPr>
        <w:t>(Kahrl et al., 2022)</w:t>
      </w:r>
      <w:r w:rsidRPr="002356D5">
        <w:rPr>
          <w:sz w:val="24"/>
          <w:szCs w:val="24"/>
        </w:rPr>
        <w:fldChar w:fldCharType="end"/>
      </w:r>
      <w:r w:rsidRPr="002356D5">
        <w:rPr>
          <w:sz w:val="24"/>
          <w:szCs w:val="24"/>
        </w:rPr>
        <w:t xml:space="preserve">, but also within species </w:t>
      </w:r>
      <w:r w:rsidRPr="002356D5">
        <w:rPr>
          <w:sz w:val="24"/>
          <w:szCs w:val="24"/>
        </w:rPr>
        <w:fldChar w:fldCharType="begin" w:fldLock="1"/>
      </w:r>
      <w:r w:rsidR="00896F62">
        <w:rPr>
          <w:sz w:val="24"/>
          <w:szCs w:val="24"/>
        </w:rPr>
        <w:instrText>ADDIN CSL_CITATION {"citationItems":[{"id":"ITEM-1","itemData":{"DOI":"10.1007/s00265-012-1450-0","ISSN":"03405443","abstract":"Spermatozoa vary greatly in size and shape among species across the animal kingdom. Postcopulatory sexual selection is thought to be the major evolutionary force driving this diversity. In contrast, less is known about how sperm size varies among populations of the same species. Here, we investigate geographic variation in sperm size in barn swallows Hirundo rustica, a socially monogamous passerine with a wide Holarctic breeding distribution. We included samples from seven populations and three subspecies: five populations of ssp. rustica in Europe (Czech, Italy, Norway, Spain, and Ukraine), one population of ssp. transitiva in Israel, and one population of ssp. erythrogaster in Canada. All sperm traits (head length, midpiece length, tail length, and total length) varied significantly among populations. The variation among the European rustica populations was much lower than the differences among subspecies, indicating that sperm traits reflect phylogenetic distance. We also performed a test of the relationship between the coefficient of between-male variation in total sperm length and extrapair paternity levels across different populations within a species. Recent studies have found a strong negative relationship between sperm size variation and extrapair paternity among species. Here, we show a similar negative relationship among six barn swallow populations, which suggests that the variance in male sperm length in a population is shaped by the strength of stabilizing postcopulatory sexual selection. © 2012 Springer-Verlag Berlin Heidelberg.","author":[{"dropping-particle":"","family":"Laskemoen","given":"Terje","non-dropping-particle":"","parse-names":false,"suffix":""},{"dropping-particle":"","family":"Albrecht","given":"Tomas","non-dropping-particle":"","parse-names":false,"suffix":""},{"dropping-particle":"","family":"Bonisoli-Alquati","given":"Andrea","non-dropping-particle":"","parse-names":false,"suffix":""},{"dropping-particle":"","family":"Cepak","given":"Jaroslav","non-dropping-particle":"","parse-names":false,"suffix":""},{"dropping-particle":"","family":"Lope","given":"Florentino","non-dropping-particle":"de","parse-names":false,"suffix":""},{"dropping-particle":"","family":"Hermosell","given":"Ignacio G.","non-dropping-particle":"","parse-names":false,"suffix":""},{"dropping-particle":"","family":"Johannessen","given":"Lars Erik","non-dropping-particle":"","parse-names":false,"suffix":""},{"dropping-particle":"","family":"Kleven","given":"Oddmund","non-dropping-particle":"","parse-names":false,"suffix":""},{"dropping-particle":"","family":"Marzal","given":"Alfonso","non-dropping-particle":"","parse-names":false,"suffix":""},{"dropping-particle":"","family":"Mousseau","given":"Timothy A.","non-dropping-particle":"","parse-names":false,"suffix":""},{"dropping-particle":"","family":"Møller","given":"Anders P.","non-dropping-particle":"","parse-names":false,"suffix":""},{"dropping-particle":"","family":"Robertson","given":"Raleigh J.","non-dropping-particle":"","parse-names":false,"suffix":""},{"dropping-particle":"","family":"Rudolfsen","given":"Geir","non-dropping-particle":"","parse-names":false,"suffix":""},{"dropping-particle":"","family":"Saino","given":"Nicola","non-dropping-particle":"","parse-names":false,"suffix":""},{"dropping-particle":"","family":"Vortman","given":"Yoni","non-dropping-particle":"","parse-names":false,"suffix":""},{"dropping-particle":"","family":"Lifjeld","given":"Jan T.","non-dropping-particle":"","parse-names":false,"suffix":""}],"container-title":"Behavioral Ecology and Sociobiology","id":"ITEM-1","issue":"2","issued":{"date-parts":[["2013"]]},"page":"301-309","title":"Variation in sperm morphometry and sperm competition among barn swallow (Hirundo rustica) populations","type":"article-journal","volume":"67"},"uris":["http://www.mendeley.com/documents/?uuid=9ab2aa6f-c31a-3ab3-8169-7dfee81f28f1","http://www.mendeley.com/documents/?uuid=b51b410b-6321-4d01-a4ac-da76555fa870"]}],"mendeley":{"formattedCitation":"(Laskemoen et al., 2013)","plainTextFormattedCitation":"(Laskemoen et al., 2013)","previouslyFormattedCitation":"(Laskemoen et al., 2013)"},"properties":{"noteIndex":0},"schema":"https://github.com/citation-style-language/schema/raw/master/csl-citation.json"}</w:instrText>
      </w:r>
      <w:r w:rsidRPr="002356D5">
        <w:rPr>
          <w:sz w:val="24"/>
          <w:szCs w:val="24"/>
        </w:rPr>
        <w:fldChar w:fldCharType="separate"/>
      </w:r>
      <w:r w:rsidR="001E0464" w:rsidRPr="001E0464">
        <w:rPr>
          <w:noProof/>
          <w:sz w:val="24"/>
          <w:szCs w:val="24"/>
        </w:rPr>
        <w:t>(Laskemoen et al., 2013)</w:t>
      </w:r>
      <w:r w:rsidRPr="002356D5">
        <w:rPr>
          <w:sz w:val="24"/>
          <w:szCs w:val="24"/>
        </w:rPr>
        <w:fldChar w:fldCharType="end"/>
      </w:r>
      <w:r w:rsidRPr="002356D5">
        <w:rPr>
          <w:sz w:val="24"/>
          <w:szCs w:val="24"/>
        </w:rPr>
        <w:t xml:space="preserve"> or within populations of the same species </w:t>
      </w:r>
      <w:r w:rsidRPr="002356D5">
        <w:rPr>
          <w:sz w:val="24"/>
          <w:szCs w:val="24"/>
        </w:rPr>
        <w:fldChar w:fldCharType="begin" w:fldLock="1"/>
      </w:r>
      <w:r w:rsidR="00896F62">
        <w:rPr>
          <w:sz w:val="24"/>
          <w:szCs w:val="24"/>
        </w:rPr>
        <w:instrText>ADDIN CSL_CITATION {"citationItems":[{"id":"ITEM-1","itemData":{"DOI":"10.1371/journal.pone.0013456","ISSN":"19326203","PMID":"20976147","abstract":"Background: The rate of extrapair paternity is a commonly used index for the risk of sperm competition in birds, but paternity data exist for only a few percent of the approximately 10400 extant species. As paternity analyses require extensive field sampling and costly lab work, species coverage in this field will probably not improve much in the foreseeable future. Recent findings from passerine birds, which constitute the largest avian order (~5 900 species), suggest that sperm phenotypes carry a signature of sperm competition. Here we examine how well standardized measures of sperm length variation can predict the rate of extrapair paternity in passerine birds. Methodology/Principal Findings: We collected sperm samples from 55 passerine species in Canada and Europe for which extrapair paternity rates were already available from either the same (n = 24) or a different (n = 31) study population. We measured the total length of individual spermatozoa and found that both the coefficient of between-male variation (CVbm) and within-male variation (CVwm) in sperm length were strong predictors of the rate of extrapair paternity, explaining as much as 65% and 58%, respectively, of the variation in extrapair paternity among species. However, only the CVbm predictor was independent of phylogeny, which implies that it can readily be converted into a currency of extrapair paternity without the need for phylogenetic correction. Conclusion/Significance: We propose the CVbm index as an alternative measure to extrapair paternity for passerine birds. Given the ease of sperm extraction from male birds in breeding condition, and a modest number of sampled males required for a robust estimate, this new index holds a great potential for mapping the risk of sperm competition across a wide range of passerine birds. © 2010 Lifjeld et al.","author":[{"dropping-particle":"","family":"Lifjeld","given":"Jan T","non-dropping-particle":"","parse-names":false,"suffix":""},{"dropping-particle":"","family":"Laskemoen","given":"Terje","non-dropping-particle":"","parse-names":false,"suffix":""},{"dropping-particle":"","family":"Kleven","given":"Oddmund","non-dropping-particle":"","parse-names":false,"suffix":""},{"dropping-particle":"","family":"Albrecht","given":"Tomas","non-dropping-particle":"","parse-names":false,"suffix":""},{"dropping-particle":"","family":"Robertson","given":"Raleigh J","non-dropping-particle":"","parse-names":false,"suffix":""}],"container-title":"PLoS ONE","id":"ITEM-1","issue":"10","issued":{"date-parts":[["2010"]]},"title":"Sperm length variation as a predictor of extrapair paternity in passerine birds","type":"article-journal","volume":"5"},"uris":["http://www.mendeley.com/documents/?uuid=9fbc5e29-5c53-3a98-b53d-96aeb84b3eb4"]},{"id":"ITEM-2","itemData":{"DOI":"10.3389/fevo.2023.1105596","ISSN":"2296701X","abstract":"In many animal species, organismal performance declines with age in a process known as aging or senescence. Senescence typically leads to a deterioration of physiological functionality and can impact the development of primary sexual phenotypes. Sperm production is a complex and costly process that is sensitive to changes in individual physiological state, yet remarkably little is known about age-related changes in sperm performance and aging costs of sperm production. Here we use a non-linear generalized additive mixed models (GAMM) modelling to evaluate age-related changes in postcopulatory sexual traits in the European barn swallow (Hirundo rustica rustica), a relatively short lived sexually promiscuous passerine species, where male extra-pair fertilization success has been shown to increase with age. We confirmed a positive relationship between sperm midpiece length and sperm velocity in this species. Within-male changes in sperm morphology and sperm velocity were in general absent, with only sperm length decreasing linearly with increasing age, although this change was negligible compared to the overall variation in sperm size among males. In contrast, the cloacal protuberance (CP) size changed nonlinearly with age, with an initial increase between the first and third year of life followed by a plateau. The results further indicate the existence of a trade-off between investments in sperm production and survival as males with large CP tended to have a reduced lifespan. This seems consistent with the idea of expensive sperm production and survival aging costs associated with investments in post-copulatory traits in this sexually promiscuous species.","author":[{"dropping-particle":"","family":"Míčková","given":"Kristýna","non-dropping-particle":"","parse-names":false,"suffix":""},{"dropping-particle":"","family":"Tomášek","given":"Oldřich","non-dropping-particle":"","parse-names":false,"suffix":""},{"dropping-particle":"","family":"Jelínek","given":"Václav","non-dropping-particle":"","parse-names":false,"suffix":""},{"dropping-particle":"","family":"Šulc","given":"Michal","non-dropping-particle":"","parse-names":false,"suffix":""},{"dropping-particle":"","family":"Pazdera","given":"Lukáš","non-dropping-particle":"","parse-names":false,"suffix":""},{"dropping-particle":"","family":"Albrechtová","given":"Jana","non-dropping-particle":"","parse-names":false,"suffix":""},{"dropping-particle":"","family":"Albrecht","given":"Tomáš","non-dropping-particle":"","parse-names":false,"suffix":""}],"container-title":"Frontiers in Ecology and Evolution","id":"ITEM-2","issue":"February","issued":{"date-parts":[["2023"]]},"page":"1-9","title":"Age-related changes in sperm traits and evidence for aging costs of sperm production in a sexually promiscuous passerine","type":"article-journal","volume":"11"},"uris":["http://www.mendeley.com/documents/?uuid=96ba3d02-2fd2-4bf5-b6b2-5f133150e6df"]}],"mendeley":{"formattedCitation":"(Lifjeld et al., 2010; Míčková et al., 2023)","plainTextFormattedCitation":"(Lifjeld et al., 2010; Míčková et al., 2023)","previouslyFormattedCitation":"(Lifjeld et al., 2010; Míčková et al., 2023)"},"properties":{"noteIndex":0},"schema":"https://github.com/citation-style-language/schema/raw/master/csl-citation.json"}</w:instrText>
      </w:r>
      <w:r w:rsidRPr="002356D5">
        <w:rPr>
          <w:sz w:val="24"/>
          <w:szCs w:val="24"/>
        </w:rPr>
        <w:fldChar w:fldCharType="separate"/>
      </w:r>
      <w:r w:rsidR="001E0464" w:rsidRPr="001E0464">
        <w:rPr>
          <w:noProof/>
          <w:sz w:val="24"/>
          <w:szCs w:val="24"/>
        </w:rPr>
        <w:t>(Lifjeld et al., 2010; Míčková et al., 2023)</w:t>
      </w:r>
      <w:r w:rsidRPr="002356D5">
        <w:rPr>
          <w:sz w:val="24"/>
          <w:szCs w:val="24"/>
        </w:rPr>
        <w:fldChar w:fldCharType="end"/>
      </w:r>
      <w:r w:rsidRPr="00F07814">
        <w:rPr>
          <w:sz w:val="24"/>
          <w:szCs w:val="24"/>
        </w:rPr>
        <w:t>.</w:t>
      </w:r>
      <w:r w:rsidRPr="002356D5">
        <w:rPr>
          <w:sz w:val="24"/>
          <w:szCs w:val="24"/>
        </w:rPr>
        <w:t xml:space="preserve"> The inversion polymorphism on the Z chromosome </w:t>
      </w:r>
      <w:r w:rsidR="00B97E72">
        <w:rPr>
          <w:sz w:val="24"/>
          <w:szCs w:val="24"/>
        </w:rPr>
        <w:t xml:space="preserve">in zebra finch </w:t>
      </w:r>
      <w:r w:rsidRPr="002356D5">
        <w:rPr>
          <w:sz w:val="24"/>
          <w:szCs w:val="24"/>
        </w:rPr>
        <w:t xml:space="preserve">is likely maintained in the population by overdominance, with males heterozygous for the inversion producing “super sperm” </w:t>
      </w:r>
      <w:r w:rsidRPr="002356D5">
        <w:rPr>
          <w:sz w:val="24"/>
          <w:szCs w:val="24"/>
        </w:rPr>
        <w:fldChar w:fldCharType="begin" w:fldLock="1"/>
      </w:r>
      <w:r w:rsidR="00896F62">
        <w:rPr>
          <w:sz w:val="24"/>
          <w:szCs w:val="24"/>
        </w:rPr>
        <w:instrText>ADDIN CSL_CITATION {"citationItems":[{"id":"ITEM-1","itemData":{"DOI":"10.1038/s41559-017-0261-0","ISSN":"2397-334X","PMID":"29046580","author":[{"dropping-particle":"","family":"Fisher","given":"Heidi S","non-dropping-particle":"","parse-names":false,"suffix":""}],"container-title":"Nature Ecology &amp; Evolution","id":"ITEM-1","issue":"8","issued":{"date-parts":[["2017","7","17"]]},"page":"1064-1065","publisher":"Springer US","title":"Supergene yields super sperm","type":"article-journal","volume":"1"},"uris":["http://www.mendeley.com/documents/?uuid=c16515da-9dda-47d9-8c35-22e3c456a91c","http://www.mendeley.com/documents/?uuid=fed46722-ed7e-4541-bedc-890793a6e42d"]}],"mendeley":{"formattedCitation":"(Fisher, 2017)","plainTextFormattedCitation":"(Fisher, 2017)","previouslyFormattedCitation":"(Fisher, 2017)"},"properties":{"noteIndex":0},"schema":"https://github.com/citation-style-language/schema/raw/master/csl-citation.json"}</w:instrText>
      </w:r>
      <w:r w:rsidRPr="002356D5">
        <w:rPr>
          <w:sz w:val="24"/>
          <w:szCs w:val="24"/>
        </w:rPr>
        <w:fldChar w:fldCharType="separate"/>
      </w:r>
      <w:r w:rsidR="001E0464" w:rsidRPr="001E0464">
        <w:rPr>
          <w:noProof/>
          <w:sz w:val="24"/>
          <w:szCs w:val="24"/>
        </w:rPr>
        <w:t>(Fisher, 2017)</w:t>
      </w:r>
      <w:r w:rsidRPr="002356D5">
        <w:rPr>
          <w:sz w:val="24"/>
          <w:szCs w:val="24"/>
        </w:rPr>
        <w:fldChar w:fldCharType="end"/>
      </w:r>
      <w:r w:rsidRPr="002356D5">
        <w:rPr>
          <w:sz w:val="24"/>
          <w:szCs w:val="24"/>
        </w:rPr>
        <w:t xml:space="preserve"> with </w:t>
      </w:r>
      <w:r>
        <w:rPr>
          <w:sz w:val="24"/>
          <w:szCs w:val="24"/>
        </w:rPr>
        <w:t>a</w:t>
      </w:r>
      <w:r w:rsidRPr="002356D5">
        <w:rPr>
          <w:sz w:val="24"/>
          <w:szCs w:val="24"/>
        </w:rPr>
        <w:t xml:space="preserve"> proportionally large sperm mitochondrial part (midpiece) and increased mitochondrial </w:t>
      </w:r>
      <w:r>
        <w:rPr>
          <w:sz w:val="24"/>
          <w:szCs w:val="24"/>
        </w:rPr>
        <w:t>loading</w:t>
      </w:r>
      <w:r w:rsidRPr="002356D5">
        <w:rPr>
          <w:sz w:val="24"/>
          <w:szCs w:val="24"/>
        </w:rPr>
        <w:t xml:space="preserve"> </w:t>
      </w:r>
      <w:r w:rsidRPr="002356D5">
        <w:rPr>
          <w:sz w:val="24"/>
          <w:szCs w:val="24"/>
        </w:rPr>
        <w:fldChar w:fldCharType="begin" w:fldLock="1"/>
      </w:r>
      <w:r w:rsidR="00896F62">
        <w:rPr>
          <w:sz w:val="24"/>
          <w:szCs w:val="24"/>
        </w:rPr>
        <w:instrText>ADDIN CSL_CITATION {"citationItems":[{"id":"ITEM-1","itemData":{"DOI":"10.1038/s41559-017-0236-1","ISSN":"2397-334X","PMID":"29046576","abstract":"Male reproductive success depends on the competitive ability of sperm to fertilize the ova, which should lead to strong selection on sperm characteristics. This raises the question of how heritable variation in sperm traits is maintained. Here we show that in zebra finches (Taeniopygia guttata) nearly half of the variance in sperm morphology is explained by an inversion on the Z chromosome with a 40% allele frequency in the wild. The sperm of males that are heterozygous for the inversion had the longest midpieces and the highest velocity. Furthermore, such males achieved the highest fertility and the highest siring success, both within-pair and extra-pair. Males homozygous for the derived allele show detrimental sperm characteristics and the lowest siring success. Our results suggest heterozygote advantage as the mechanism that maintains the inversion polymorphism and hence variance in sperm design and in fitness.","author":[{"dropping-particle":"","family":"Knief","given":"Ulrich","non-dropping-particle":"","parse-names":false,"suffix":""},{"dropping-particle":"","family":"Forstmeier","given":"Wolfgang","non-dropping-particle":"","parse-names":false,"suffix":""},{"dropping-particle":"","family":"Pei","given":"Yifan","non-dropping-particle":"","parse-names":false,"suffix":""},{"dropping-particle":"","family":"Ihle","given":"Malika","non-dropping-particle":"","parse-names":false,"suffix":""},{"dropping-particle":"","family":"Wang","given":"Daiping","non-dropping-particle":"","parse-names":false,"suffix":""},{"dropping-particle":"","family":"Martin","given":"Katrin","non-dropping-particle":"","parse-names":false,"suffix":""},{"dropping-particle":"","family":"Opatová","given":"Pavlína","non-dropping-particle":"","parse-names":false,"suffix":""},{"dropping-particle":"","family":"Albrechtová","given":"Jana","non-dropping-particle":"","parse-names":false,"suffix":""},{"dropping-particle":"","family":"Wittig","given":"Michael","non-dropping-particle":"","parse-names":false,"suffix":""},{"dropping-particle":"","family":"Franke","given":"Andre","non-dropping-particle":"","parse-names":false,"suffix":""},{"dropping-particle":"","family":"Albrecht","given":"Tomáš","non-dropping-particle":"","parse-names":false,"suffix":""},{"dropping-particle":"","family":"Kempenaers","given":"Bart","non-dropping-particle":"","parse-names":false,"suffix":""}],"container-title":"Nature Ecology &amp; Evolution","id":"ITEM-1","issue":"8","issued":{"date-parts":[["2017","7","17"]]},"page":"1177-1184","title":"A sex-chromosome inversion causes strong overdominance for sperm traits that affect siring success","type":"article-journal","volume":"1"},"uris":["http://www.mendeley.com/documents/?uuid=3efe8240-b58b-3012-b842-e07f5aec233d"]},{"id":"ITEM-2","itemData":{"DOI":"10.1098/rsos.211025","ISBN":"3.1.1517.0823","ISSN":"2054-5703","abstract":"The propulsion of sperm cells via movement of the flagellum is of vital importance for successful fertilization. While the exact mechanism of energy production for this movement varies between species, in avian species energy is thought to come predominantly from the mitochondria located in the sperm midpiece. Larger midpieces may contain more mitochondria, which should enhance the energetic capacity and possibly promote mobility. Due to an inversion polymorphism on their sex chromosome TguZ , zebra finches ( Taeniopygia guttata castanotis ) exhibit large within-species variation in sperm midpiece length, and those sperm with the longest midpieces swim the fastest. Here, we test through quantitative real-time PCR in zebra finch ejaculates whether the inversion genotype has an effect on the copy number of mitochondrial DNA (mtDNA). We find that zebra finches carrying the derived allele (correlated with longer sperm midpieces) have more copies of the mtDNA in their ejaculates than those homozygous for the ancestral allele (shorter midpieces). We suggest downstream effects of mtDNA copy number variation on the rate of adenosine triphosphate production, which in turn may influence sperm swimming speed and fertilization success. Central components of gamete energy metabolism may thus be the proximate cause for a fitness-relevant genetic polymorphism, stabilizing a megabase-scale inversion at an intermediate allele frequency in the wild.","author":[{"dropping-particle":"","family":"Knief","given":"Ulrich","non-dropping-particle":"","parse-names":false,"suffix":""},{"dropping-particle":"","family":"Forstmeier","given":"Wolfgang","non-dropping-particle":"","parse-names":false,"suffix":""},{"dropping-particle":"","family":"Kempenaers","given":"Bart","non-dropping-particle":"","parse-names":false,"suffix":""},{"dropping-particle":"","family":"Wolf","given":"Jochen B. W.","non-dropping-particle":"","parse-names":false,"suffix":""}],"container-title":"Royal Society Open Science","id":"ITEM-2","issue":"9","issued":{"date-parts":[["2021","9"]]},"page":"211025","title":"A sex chromosome inversion is associated with copy number variation of mitochondrial DNA in zebra finch sperm","type":"article-journal","volume":"8"},"uris":["http://www.mendeley.com/documents/?uuid=0f960e62-0e41-31af-8fd6-53d9512536ca"]}],"mendeley":{"formattedCitation":"(Knief et al., 2017, 2021)","plainTextFormattedCitation":"(Knief et al., 2017, 2021)","previouslyFormattedCitation":"(Knief et al., 2017, 2021)"},"properties":{"noteIndex":0},"schema":"https://github.com/citation-style-language/schema/raw/master/csl-citation.json"}</w:instrText>
      </w:r>
      <w:r w:rsidRPr="002356D5">
        <w:rPr>
          <w:sz w:val="24"/>
          <w:szCs w:val="24"/>
        </w:rPr>
        <w:fldChar w:fldCharType="separate"/>
      </w:r>
      <w:r w:rsidR="001E0464" w:rsidRPr="00C66572">
        <w:rPr>
          <w:noProof/>
          <w:sz w:val="24"/>
          <w:szCs w:val="24"/>
        </w:rPr>
        <w:t>(Knief et al., 2017, 2021)</w:t>
      </w:r>
      <w:r w:rsidRPr="002356D5">
        <w:rPr>
          <w:sz w:val="24"/>
          <w:szCs w:val="24"/>
        </w:rPr>
        <w:fldChar w:fldCharType="end"/>
      </w:r>
      <w:r w:rsidRPr="00C66572">
        <w:rPr>
          <w:sz w:val="24"/>
          <w:szCs w:val="24"/>
        </w:rPr>
        <w:t xml:space="preserve">. </w:t>
      </w:r>
      <w:r w:rsidR="00AC0D6C">
        <w:rPr>
          <w:sz w:val="24"/>
          <w:szCs w:val="24"/>
        </w:rPr>
        <w:t>“</w:t>
      </w:r>
      <w:r w:rsidRPr="00C66572">
        <w:rPr>
          <w:sz w:val="24"/>
          <w:szCs w:val="24"/>
        </w:rPr>
        <w:t>Super sperm</w:t>
      </w:r>
      <w:r w:rsidR="00AC0D6C">
        <w:rPr>
          <w:sz w:val="24"/>
          <w:szCs w:val="24"/>
        </w:rPr>
        <w:t>”</w:t>
      </w:r>
      <w:r w:rsidRPr="00C66572">
        <w:rPr>
          <w:sz w:val="24"/>
          <w:szCs w:val="24"/>
        </w:rPr>
        <w:t xml:space="preserve"> exhibits the highest velocity compared to homokaryotypes of the inversion </w:t>
      </w:r>
      <w:r w:rsidRPr="002356D5">
        <w:rPr>
          <w:sz w:val="24"/>
          <w:szCs w:val="24"/>
        </w:rPr>
        <w:fldChar w:fldCharType="begin" w:fldLock="1"/>
      </w:r>
      <w:r w:rsidR="0090167B">
        <w:rPr>
          <w:sz w:val="24"/>
          <w:szCs w:val="24"/>
        </w:rPr>
        <w:instrText>ADDIN CSL_CITATION {"citationItems":[{"id":"ITEM-1","itemData":{"DOI":"10.1038/s41559-017-0235-2","ISSN":"2397334X","PMID":"29046578","abstract":"Sperm competition is an important selective force in many organisms. As a result, sperm have evolved to be among the most diverse cells in the animal kingdom. However, the relationship between sperm morphology, sperm motility and fertilization success is only partially understood. The extent to which between-male variation is heritable is largely unknown, and remarkably few studies have investigated the genetic architecture of sperm traits, especially sperm morphology. Here we use high-density genotyping and gene expression profiling to explore the considerable sperm trait variation that exists in the zebra finch Taeniopygia guttata. We show that nearly all of the genetic variation in sperm morphology is caused by an inversion polymorphism on the Z chromosome acting as a 'supergene'. These results provide a striking example of two evolutionary genetic predictions. First, that in species where females are the heterogametic sex, genetic variation affecting sexually dimorphic traits will accumulate on the Z chromosome. Second, recombination suppression at the inversion allows beneficial dominant alleles to become fixed on whichever haplotype they first arise, without being exchanged onto other haplotypes. Finally, we show that the inversion polymorphism will be stably maintained by heterozygote advantage, because heterozygous males have the fastest and most successful sperm.","author":[{"dropping-particle":"","family":"Kim","given":"Kang - Wook","non-dropping-particle":"","parse-names":false,"suffix":""},{"dropping-particle":"","family":"Bennison","given":"Clair","non-dropping-particle":"","parse-names":false,"suffix":""},{"dropping-particle":"","family":"Hemmings","given":"Nicola","non-dropping-particle":"","parse-names":false,"suffix":""},{"dropping-particle":"","family":"Brookes","given":"Lola","non-dropping-particle":"","parse-names":false,"suffix":""},{"dropping-particle":"","family":"Hurley","given":"Laura L.","non-dropping-particle":"","parse-names":false,"suffix":""},{"dropping-particle":"","family":"Griffith","given":"Simon C.","non-dropping-particle":"","parse-names":false,"suffix":""},{"dropping-particle":"","family":"Burke","given":"Terry","non-dropping-particle":"","parse-names":false,"suffix":""},{"dropping-particle":"","family":"Birkhead","given":"Tim R.","non-dropping-particle":"","parse-names":false,"suffix":""},{"dropping-particle":"","family":"Slate","given":"Jon","non-dropping-particle":"","parse-names":false,"suffix":""}],"container-title":"Nature Ecology and Evolution","id":"ITEM-1","issue":"8","issued":{"date-parts":[["2017","8","17"]]},"page":"1168-1176","title":"A sex-linked supergene controls sperm morphology and swimming speed in a songbird","type":"article-journal","volume":"1"},"uris":["http://www.mendeley.com/documents/?uuid=6c697130-ac69-3614-af3f-e03480e4aa2c"]},{"id":"ITEM-2","itemData":{"DOI":"10.1038/s41559-017-0236-1","ISSN":"2397-334X","PMID":"29046576","abstract":"Male reproductive success depends on the competitive ability of sperm to fertilize the ova, which should lead to strong selection on sperm characteristics. This raises the question of how heritable variation in sperm traits is maintained. Here we show that in zebra finches (Taeniopygia guttata) nearly half of the variance in sperm morphology is explained by an inversion on the Z chromosome with a 40% allele frequency in the wild. The sperm of males that are heterozygous for the inversion had the longest midpieces and the highest velocity. Furthermore, such males achieved the highest fertility and the highest siring success, both within-pair and extra-pair. Males homozygous for the derived allele show detrimental sperm characteristics and the lowest siring success. Our results suggest heterozygote advantage as the mechanism that maintains the inversion polymorphism and hence variance in sperm design and in fitness.","author":[{"dropping-particle":"","family":"Knief","given":"Ulrich","non-dropping-particle":"","parse-names":false,"suffix":""},{"dropping-particle":"","family":"Forstmeier","given":"Wolfgang","non-dropping-particle":"","parse-names":false,"suffix":""},{"dropping-particle":"","family":"Pei","given":"Yifan","non-dropping-particle":"","parse-names":false,"suffix":""},{"dropping-particle":"","family":"Ihle","given":"Malika","non-dropping-particle":"","parse-names":false,"suffix":""},{"dropping-particle":"","family":"Wang","given":"Daiping","non-dropping-particle":"","parse-names":false,"suffix":""},{"dropping-particle":"","family":"Martin","given":"Katrin","non-dropping-particle":"","parse-names":false,"suffix":""},{"dropping-particle":"","family":"Opatová","given":"Pavlína","non-dropping-particle":"","parse-names":false,"suffix":""},{"dropping-particle":"","family":"Albrechtová","given":"Jana","non-dropping-particle":"","parse-names":false,"suffix":""},{"dropping-particle":"","family":"Wittig","given":"Michael","non-dropping-particle":"","parse-names":false,"suffix":""},{"dropping-particle":"","family":"Franke","given":"Andre","non-dropping-particle":"","parse-names":false,"suffix":""},{"dropping-particle":"","family":"Albrecht","given":"Tomáš","non-dropping-particle":"","parse-names":false,"suffix":""},{"dropping-particle":"","family":"Kempenaers","given":"Bart","non-dropping-particle":"","parse-names":false,"suffix":""}],"container-title":"Nature Ecology &amp; Evolution","id":"ITEM-2","issue":"8","issued":{"date-parts":[["2017","7","17"]]},"page":"1177-1184","title":"A sex-chromosome inversion causes strong overdominance for sperm traits that affect siring success","type":"article-journal","volume":"1"},"uris":["http://www.mendeley.com/documents/?uuid=3efe8240-b58b-3012-b842-e07f5aec233d"]}],"mendeley":{"formattedCitation":"(Kim et al., 2017; Knief et al., 2017)","plainTextFormattedCitation":"(Kim et al., 2017; Knief et al., 2017)","previouslyFormattedCitation":"(Kim et al., 2017; Knief et al., 2017)"},"properties":{"noteIndex":0},"schema":"https://github.com/citation-style-language/schema/raw/master/csl-citation.json"}</w:instrText>
      </w:r>
      <w:r w:rsidRPr="002356D5">
        <w:rPr>
          <w:sz w:val="24"/>
          <w:szCs w:val="24"/>
        </w:rPr>
        <w:fldChar w:fldCharType="separate"/>
      </w:r>
      <w:r w:rsidR="00457DA6" w:rsidRPr="00457DA6">
        <w:rPr>
          <w:noProof/>
          <w:sz w:val="24"/>
          <w:szCs w:val="24"/>
        </w:rPr>
        <w:t>(Kim et al., 2017; Knief et al., 2017)</w:t>
      </w:r>
      <w:r w:rsidRPr="002356D5">
        <w:rPr>
          <w:sz w:val="24"/>
          <w:szCs w:val="24"/>
        </w:rPr>
        <w:fldChar w:fldCharType="end"/>
      </w:r>
      <w:r>
        <w:rPr>
          <w:sz w:val="24"/>
          <w:szCs w:val="24"/>
        </w:rPr>
        <w:t>,</w:t>
      </w:r>
      <w:r w:rsidRPr="002356D5">
        <w:rPr>
          <w:sz w:val="24"/>
          <w:szCs w:val="24"/>
        </w:rPr>
        <w:t xml:space="preserve"> and heterokaryotypic males achieve the highest fertility and the highest siring success, both within- and extra-pair</w:t>
      </w:r>
      <w:r w:rsidR="00AC0D6C">
        <w:rPr>
          <w:sz w:val="24"/>
          <w:szCs w:val="24"/>
        </w:rPr>
        <w:t xml:space="preserve"> matings</w:t>
      </w:r>
      <w:r w:rsidRPr="002356D5">
        <w:rPr>
          <w:sz w:val="24"/>
          <w:szCs w:val="24"/>
        </w:rPr>
        <w:t xml:space="preserve"> </w:t>
      </w:r>
      <w:r w:rsidRPr="002356D5">
        <w:rPr>
          <w:sz w:val="24"/>
          <w:szCs w:val="24"/>
        </w:rPr>
        <w:fldChar w:fldCharType="begin" w:fldLock="1"/>
      </w:r>
      <w:r w:rsidR="00896F62">
        <w:rPr>
          <w:sz w:val="24"/>
          <w:szCs w:val="24"/>
        </w:rPr>
        <w:instrText>ADDIN CSL_CITATION {"citationItems":[{"id":"ITEM-1","itemData":{"DOI":"10.1038/s41559-017-0236-1","ISSN":"2397-334X","PMID":"29046576","abstract":"Male reproductive success depends on the competitive ability of sperm to fertilize the ova, which should lead to strong selection on sperm characteristics. This raises the question of how heritable variation in sperm traits is maintained. Here we show that in zebra finches (Taeniopygia guttata) nearly half of the variance in sperm morphology is explained by an inversion on the Z chromosome with a 40% allele frequency in the wild. The sperm of males that are heterozygous for the inversion had the longest midpieces and the highest velocity. Furthermore, such males achieved the highest fertility and the highest siring success, both within-pair and extra-pair. Males homozygous for the derived allele show detrimental sperm characteristics and the lowest siring success. Our results suggest heterozygote advantage as the mechanism that maintains the inversion polymorphism and hence variance in sperm design and in fitness.","author":[{"dropping-particle":"","family":"Knief","given":"Ulrich","non-dropping-particle":"","parse-names":false,"suffix":""},{"dropping-particle":"","family":"Forstmeier","given":"Wolfgang","non-dropping-particle":"","parse-names":false,"suffix":""},{"dropping-particle":"","family":"Pei","given":"Yifan","non-dropping-particle":"","parse-names":false,"suffix":""},{"dropping-particle":"","family":"Ihle","given":"Malika","non-dropping-particle":"","parse-names":false,"suffix":""},{"dropping-particle":"","family":"Wang","given":"Daiping","non-dropping-particle":"","parse-names":false,"suffix":""},{"dropping-particle":"","family":"Martin","given":"Katrin","non-dropping-particle":"","parse-names":false,"suffix":""},{"dropping-particle":"","family":"Opatová","given":"Pavlína","non-dropping-particle":"","parse-names":false,"suffix":""},{"dropping-particle":"","family":"Albrechtová","given":"Jana","non-dropping-particle":"","parse-names":false,"suffix":""},{"dropping-particle":"","family":"Wittig","given":"Michael","non-dropping-particle":"","parse-names":false,"suffix":""},{"dropping-particle":"","family":"Franke","given":"Andre","non-dropping-particle":"","parse-names":false,"suffix":""},{"dropping-particle":"","family":"Albrecht","given":"Tomáš","non-dropping-particle":"","parse-names":false,"suffix":""},{"dropping-particle":"","family":"Kempenaers","given":"Bart","non-dropping-particle":"","parse-names":false,"suffix":""}],"container-title":"Nature Ecology &amp; Evolution","id":"ITEM-1","issue":"8","issued":{"date-parts":[["2017","7","17"]]},"page":"1177-1184","title":"A sex-chromosome inversion causes strong overdominance for sperm traits that affect siring success","type":"article-journal","volume":"1"},"uris":["http://www.mendeley.com/documents/?uuid=3efe8240-b58b-3012-b842-e07f5aec233d"]}],"mendeley":{"formattedCitation":"(Knief et al., 2017)","plainTextFormattedCitation":"(Knief et al., 2017)","previouslyFormattedCitation":"(Knief et al., 2017)"},"properties":{"noteIndex":0},"schema":"https://github.com/citation-style-language/schema/raw/master/csl-citation.json"}</w:instrText>
      </w:r>
      <w:r w:rsidRPr="002356D5">
        <w:rPr>
          <w:sz w:val="24"/>
          <w:szCs w:val="24"/>
        </w:rPr>
        <w:fldChar w:fldCharType="separate"/>
      </w:r>
      <w:r w:rsidR="001E0464" w:rsidRPr="001E0464">
        <w:rPr>
          <w:noProof/>
          <w:sz w:val="24"/>
          <w:szCs w:val="24"/>
        </w:rPr>
        <w:t>(Knief et al., 2017)</w:t>
      </w:r>
      <w:r w:rsidRPr="002356D5">
        <w:rPr>
          <w:sz w:val="24"/>
          <w:szCs w:val="24"/>
        </w:rPr>
        <w:fldChar w:fldCharType="end"/>
      </w:r>
      <w:r w:rsidRPr="002356D5">
        <w:rPr>
          <w:sz w:val="24"/>
          <w:szCs w:val="24"/>
        </w:rPr>
        <w:t>. Additionally, several SNPs with an important role in spermatogenesis from the inversion region</w:t>
      </w:r>
      <w:r>
        <w:rPr>
          <w:sz w:val="24"/>
          <w:szCs w:val="24"/>
        </w:rPr>
        <w:t xml:space="preserve"> were </w:t>
      </w:r>
      <w:r w:rsidR="00AC0D6C">
        <w:rPr>
          <w:sz w:val="24"/>
          <w:szCs w:val="24"/>
        </w:rPr>
        <w:t xml:space="preserve">previously </w:t>
      </w:r>
      <w:r>
        <w:rPr>
          <w:sz w:val="24"/>
          <w:szCs w:val="24"/>
        </w:rPr>
        <w:t>identified by GWAS and by examining gene expression</w:t>
      </w:r>
      <w:r w:rsidRPr="002356D5">
        <w:rPr>
          <w:sz w:val="24"/>
          <w:szCs w:val="24"/>
        </w:rPr>
        <w:t xml:space="preserve"> </w:t>
      </w:r>
      <w:r w:rsidRPr="002356D5">
        <w:rPr>
          <w:sz w:val="24"/>
          <w:szCs w:val="24"/>
        </w:rPr>
        <w:fldChar w:fldCharType="begin" w:fldLock="1"/>
      </w:r>
      <w:r w:rsidR="00896F62">
        <w:rPr>
          <w:sz w:val="24"/>
          <w:szCs w:val="24"/>
        </w:rPr>
        <w:instrText>ADDIN CSL_CITATION {"citationItems":[{"id":"ITEM-1","itemData":{"DOI":"10.1038/s41559-017-0235-2","ISSN":"2397334X","PMID":"29046578","abstract":"Sperm competition is an important selective force in many organisms. As a result, sperm have evolved to be among the most diverse cells in the animal kingdom. However, the relationship between sperm morphology, sperm motility and fertilization success is only partially understood. The extent to which between-male variation is heritable is largely unknown, and remarkably few studies have investigated the genetic architecture of sperm traits, especially sperm morphology. Here we use high-density genotyping and gene expression profiling to explore the considerable sperm trait variation that exists in the zebra finch Taeniopygia guttata. We show that nearly all of the genetic variation in sperm morphology is caused by an inversion polymorphism on the Z chromosome acting as a 'supergene'. These results provide a striking example of two evolutionary genetic predictions. First, that in species where females are the heterogametic sex, genetic variation affecting sexually dimorphic traits will accumulate on the Z chromosome. Second, recombination suppression at the inversion allows beneficial dominant alleles to become fixed on whichever haplotype they first arise, without being exchanged onto other haplotypes. Finally, we show that the inversion polymorphism will be stably maintained by heterozygote advantage, because heterozygous males have the fastest and most successful sperm.","author":[{"dropping-particle":"","family":"Kim","given":"Kang - Wook","non-dropping-particle":"","parse-names":false,"suffix":""},{"dropping-particle":"","family":"Bennison","given":"Clair","non-dropping-particle":"","parse-names":false,"suffix":""},{"dropping-particle":"","family":"Hemmings","given":"Nicola","non-dropping-particle":"","parse-names":false,"suffix":""},{"dropping-particle":"","family":"Brookes","given":"Lola","non-dropping-particle":"","parse-names":false,"suffix":""},{"dropping-particle":"","family":"Hurley","given":"Laura L.","non-dropping-particle":"","parse-names":false,"suffix":""},{"dropping-particle":"","family":"Griffith","given":"Simon C.","non-dropping-particle":"","parse-names":false,"suffix":""},{"dropping-particle":"","family":"Burke","given":"Terry","non-dropping-particle":"","parse-names":false,"suffix":""},{"dropping-particle":"","family":"Birkhead","given":"Tim R.","non-dropping-particle":"","parse-names":false,"suffix":""},{"dropping-particle":"","family":"Slate","given":"Jon","non-dropping-particle":"","parse-names":false,"suffix":""}],"container-title":"Nature Ecology and Evolution","id":"ITEM-1","issue":"8","issued":{"date-parts":[["2017","8","17"]]},"page":"1168-1176","title":"A sex-linked supergene controls sperm morphology and swimming speed in a songbird","type":"article-journal","volume":"1"},"uris":["http://www.mendeley.com/documents/?uuid=6c697130-ac69-3614-af3f-e03480e4aa2c"]}],"mendeley":{"formattedCitation":"(Kim et al., 2017)","plainTextFormattedCitation":"(Kim et al., 2017)","previouslyFormattedCitation":"(Kim et al., 2017)"},"properties":{"noteIndex":0},"schema":"https://github.com/citation-style-language/schema/raw/master/csl-citation.json"}</w:instrText>
      </w:r>
      <w:r w:rsidRPr="002356D5">
        <w:rPr>
          <w:sz w:val="24"/>
          <w:szCs w:val="24"/>
        </w:rPr>
        <w:fldChar w:fldCharType="separate"/>
      </w:r>
      <w:r w:rsidR="001E0464" w:rsidRPr="001E0464">
        <w:rPr>
          <w:noProof/>
          <w:sz w:val="24"/>
          <w:szCs w:val="24"/>
        </w:rPr>
        <w:t>(Kim et al., 2017)</w:t>
      </w:r>
      <w:r w:rsidRPr="002356D5">
        <w:rPr>
          <w:sz w:val="24"/>
          <w:szCs w:val="24"/>
        </w:rPr>
        <w:fldChar w:fldCharType="end"/>
      </w:r>
      <w:r w:rsidRPr="002068F3">
        <w:rPr>
          <w:sz w:val="24"/>
          <w:szCs w:val="24"/>
        </w:rPr>
        <w:t xml:space="preserve">. </w:t>
      </w:r>
    </w:p>
    <w:p w14:paraId="134E66A5" w14:textId="77ABAA4A" w:rsidR="00E4181F" w:rsidRPr="00B97E72" w:rsidRDefault="00E4181F" w:rsidP="00E4181F">
      <w:pPr>
        <w:spacing w:after="0" w:line="480" w:lineRule="auto"/>
        <w:ind w:firstLine="720"/>
        <w:jc w:val="both"/>
        <w:rPr>
          <w:rStyle w:val="fontstyle01"/>
          <w:rFonts w:asciiTheme="minorHAnsi" w:hAnsiTheme="minorHAnsi" w:cstheme="minorHAnsi"/>
          <w:sz w:val="24"/>
          <w:szCs w:val="24"/>
        </w:rPr>
      </w:pPr>
      <w:r w:rsidRPr="00B97E72">
        <w:rPr>
          <w:rFonts w:cstheme="minorHAnsi"/>
          <w:sz w:val="24"/>
          <w:szCs w:val="24"/>
        </w:rPr>
        <w:lastRenderedPageBreak/>
        <w:t>Although previous studies have focused on the description of the Z chromosome inversion and its effects on sperm performance, the exact molecular mechanisms responsible for phenotypic polymorphism in zebra finch sperm remain</w:t>
      </w:r>
      <w:r w:rsidR="00B97E72">
        <w:rPr>
          <w:rFonts w:cstheme="minorHAnsi"/>
          <w:sz w:val="24"/>
          <w:szCs w:val="24"/>
        </w:rPr>
        <w:t xml:space="preserve"> </w:t>
      </w:r>
      <w:r w:rsidRPr="00B97E72">
        <w:rPr>
          <w:rFonts w:cstheme="minorHAnsi"/>
          <w:sz w:val="24"/>
          <w:szCs w:val="24"/>
        </w:rPr>
        <w:t xml:space="preserve">unclear. </w:t>
      </w:r>
      <w:r w:rsidRPr="00B97E72">
        <w:rPr>
          <w:rStyle w:val="fontstyle01"/>
          <w:rFonts w:asciiTheme="minorHAnsi" w:hAnsiTheme="minorHAnsi" w:cstheme="minorHAnsi"/>
          <w:sz w:val="24"/>
          <w:szCs w:val="24"/>
        </w:rPr>
        <w:t xml:space="preserve">Once mature, individuals constantly synthesize new sperm cells, resulting in a mixture of differentially mature spermatozoa and an extremely complex transcriptomic profile </w:t>
      </w:r>
      <w:r w:rsidR="00B97E72">
        <w:rPr>
          <w:rStyle w:val="fontstyle01"/>
          <w:rFonts w:asciiTheme="minorHAnsi" w:hAnsiTheme="minorHAnsi" w:cstheme="minorHAnsi"/>
          <w:sz w:val="24"/>
          <w:szCs w:val="24"/>
        </w:rPr>
        <w:t>in</w:t>
      </w:r>
      <w:r w:rsidR="00B97E72" w:rsidRPr="00B97E72">
        <w:rPr>
          <w:rStyle w:val="fontstyle01"/>
          <w:rFonts w:asciiTheme="minorHAnsi" w:hAnsiTheme="minorHAnsi" w:cstheme="minorHAnsi"/>
          <w:sz w:val="24"/>
          <w:szCs w:val="24"/>
        </w:rPr>
        <w:t xml:space="preserve"> </w:t>
      </w:r>
      <w:r w:rsidRPr="00B97E72">
        <w:rPr>
          <w:rStyle w:val="fontstyle01"/>
          <w:rFonts w:asciiTheme="minorHAnsi" w:hAnsiTheme="minorHAnsi" w:cstheme="minorHAnsi"/>
          <w:sz w:val="24"/>
          <w:szCs w:val="24"/>
        </w:rPr>
        <w:t xml:space="preserve">testicular tissue. This complexity can be reduced by examining sperm cells and testes transcriptomes at a uniform stage, i.e., by examining the testes of males as they mature and synthesize sperm for the first time. Indeed, by sampling testes at different time points through the first wave of spermatogenesis, specific genes involved in the various phases of sperm </w:t>
      </w:r>
      <w:r w:rsidR="00AC0D6C">
        <w:rPr>
          <w:rStyle w:val="fontstyle01"/>
          <w:rFonts w:asciiTheme="minorHAnsi" w:hAnsiTheme="minorHAnsi" w:cstheme="minorHAnsi"/>
          <w:sz w:val="24"/>
          <w:szCs w:val="24"/>
        </w:rPr>
        <w:t>development</w:t>
      </w:r>
      <w:r w:rsidR="00AC0D6C" w:rsidRPr="00B97E72">
        <w:rPr>
          <w:rStyle w:val="fontstyle01"/>
          <w:rFonts w:asciiTheme="minorHAnsi" w:hAnsiTheme="minorHAnsi" w:cstheme="minorHAnsi"/>
          <w:sz w:val="24"/>
          <w:szCs w:val="24"/>
        </w:rPr>
        <w:t xml:space="preserve"> </w:t>
      </w:r>
      <w:r w:rsidRPr="00B97E72">
        <w:rPr>
          <w:rStyle w:val="fontstyle01"/>
          <w:rFonts w:asciiTheme="minorHAnsi" w:hAnsiTheme="minorHAnsi" w:cstheme="minorHAnsi"/>
          <w:sz w:val="24"/>
          <w:szCs w:val="24"/>
        </w:rPr>
        <w:t xml:space="preserve">were discovered in mice </w:t>
      </w:r>
      <w:r w:rsidRPr="00B97E72">
        <w:rPr>
          <w:rStyle w:val="fontstyle01"/>
          <w:rFonts w:asciiTheme="minorHAnsi" w:hAnsiTheme="minorHAnsi" w:cstheme="minorHAnsi"/>
          <w:sz w:val="24"/>
          <w:szCs w:val="24"/>
        </w:rPr>
        <w:fldChar w:fldCharType="begin" w:fldLock="1"/>
      </w:r>
      <w:r w:rsidR="00896F62">
        <w:rPr>
          <w:rStyle w:val="fontstyle01"/>
          <w:rFonts w:asciiTheme="minorHAnsi" w:hAnsiTheme="minorHAnsi" w:cstheme="minorHAnsi"/>
          <w:sz w:val="24"/>
          <w:szCs w:val="24"/>
        </w:rPr>
        <w:instrText>ADDIN CSL_CITATION {"citationItems":[{"id":"ITEM-1","itemData":{"DOI":"10.1371/journal.pone.0061558","ISSN":"19326203","PMID":"23613874","abstract":"Correct gene expression patterns form the basis for male germ cell differentiation and male fertility. Although previous studies have elucidated the importance of testis specific gene expression, the exact transcripts and comprehensive gene expression patterns remain unknown. Large scale sequencing techniques have enabled cost effective analysis of gene expression and isoform studies. Using the SOLiD 4 next-generation sequencing platform we have investigated the gene expression patterns at five different time points during the first wave on murine spermatogenesis. Our results highlight the upregulation of spermatogenesis related biological processes and associated cellular components. Elucidation of differential gene expression at important time points during the sperm development emphasizes the importance of correct timing of gene expression within biological processes. Differential gene level expression was analyzed with R/Bioconductor's Limma package and isoform analysis was conducted with the Cufflinks pipeline. At gene level total of 2494 differentially expressed genes were identified and Cufflinks characterized over 160 000 gene isoforms, of which 29% were novel transcripts assigned to known genes. Isoforms were detected for 57% of expressed genes and in a total over 26 000 genes were expressed in the testis. Differential promoter and transcription start site usage appears also to play a role in regulation of gene expression during spermatogenesis. Furthermore, we identified 947 upregulated long non-coding RNAs during the first wave of spermatogenesis. These RNAs appeared to be highly specific to different time points. Transcriptomic analysis of testis tissue samples is highly informative due to the large number of expressed genes and identified isoforms. Our study provides a very valuable basis for investigation of gene isoforms and regulation and factors contributing to male fertility. © 2013 Laiho et al.","author":[{"dropping-particle":"","family":"Laiho","given":"Asta","non-dropping-particle":"","parse-names":false,"suffix":""},{"dropping-particle":"","family":"Kotaja","given":"Noora","non-dropping-particle":"","parse-names":false,"suffix":""},{"dropping-particle":"","family":"Gyenesei","given":"Attila","non-dropping-particle":"","parse-names":false,"suffix":""},{"dropping-particle":"","family":"Sironen","given":"Anu","non-dropping-particle":"","parse-names":false,"suffix":""}],"container-title":"PLoS ONE","id":"ITEM-1","issue":"4","issued":{"date-parts":[["2013"]]},"title":"Transcriptome Profiling of the Murine Testis during the First Wave of Spermatogenesis","type":"article-journal","volume":"8"},"uris":["http://www.mendeley.com/documents/?uuid=3dfc2d20-8d0d-478d-b044-d315ad7dcd5e"]}],"mendeley":{"formattedCitation":"(Laiho et al., 2013)","plainTextFormattedCitation":"(Laiho et al., 2013)","previouslyFormattedCitation":"(Laiho et al., 2013)"},"properties":{"noteIndex":0},"schema":"https://github.com/citation-style-language/schema/raw/master/csl-citation.json"}</w:instrText>
      </w:r>
      <w:r w:rsidRPr="00B97E72">
        <w:rPr>
          <w:rStyle w:val="fontstyle01"/>
          <w:rFonts w:asciiTheme="minorHAnsi" w:hAnsiTheme="minorHAnsi" w:cstheme="minorHAnsi"/>
          <w:sz w:val="24"/>
          <w:szCs w:val="24"/>
        </w:rPr>
        <w:fldChar w:fldCharType="separate"/>
      </w:r>
      <w:r w:rsidR="001E0464" w:rsidRPr="001E0464">
        <w:rPr>
          <w:rStyle w:val="fontstyle01"/>
          <w:rFonts w:asciiTheme="minorHAnsi" w:hAnsiTheme="minorHAnsi" w:cstheme="minorHAnsi"/>
          <w:noProof/>
          <w:sz w:val="24"/>
          <w:szCs w:val="24"/>
        </w:rPr>
        <w:t>(Laiho et al., 2013)</w:t>
      </w:r>
      <w:r w:rsidRPr="00B97E72">
        <w:rPr>
          <w:rStyle w:val="fontstyle01"/>
          <w:rFonts w:asciiTheme="minorHAnsi" w:hAnsiTheme="minorHAnsi" w:cstheme="minorHAnsi"/>
          <w:sz w:val="24"/>
          <w:szCs w:val="24"/>
        </w:rPr>
        <w:fldChar w:fldCharType="end"/>
      </w:r>
      <w:r w:rsidRPr="00B97E72">
        <w:rPr>
          <w:rStyle w:val="fontstyle01"/>
          <w:rFonts w:asciiTheme="minorHAnsi" w:hAnsiTheme="minorHAnsi" w:cstheme="minorHAnsi"/>
          <w:sz w:val="24"/>
          <w:szCs w:val="24"/>
        </w:rPr>
        <w:t xml:space="preserve">. </w:t>
      </w:r>
    </w:p>
    <w:p w14:paraId="41C48D53" w14:textId="09A02826" w:rsidR="00E4181F" w:rsidRDefault="00E4181F" w:rsidP="00E4181F">
      <w:pPr>
        <w:spacing w:after="0" w:line="480" w:lineRule="auto"/>
        <w:ind w:firstLine="706"/>
        <w:jc w:val="both"/>
        <w:rPr>
          <w:sz w:val="24"/>
          <w:szCs w:val="24"/>
        </w:rPr>
      </w:pPr>
      <w:r w:rsidRPr="00F07814">
        <w:rPr>
          <w:rFonts w:cstheme="minorHAnsi"/>
          <w:sz w:val="24"/>
          <w:szCs w:val="24"/>
        </w:rPr>
        <w:t>I</w:t>
      </w:r>
      <w:r w:rsidRPr="00F07814">
        <w:rPr>
          <w:rFonts w:cstheme="minorHAnsi"/>
          <w:color w:val="000000"/>
          <w:sz w:val="24"/>
          <w:szCs w:val="24"/>
        </w:rPr>
        <w:t>n this study</w:t>
      </w:r>
      <w:r>
        <w:rPr>
          <w:rFonts w:cstheme="minorHAnsi"/>
          <w:color w:val="000000"/>
          <w:sz w:val="24"/>
          <w:szCs w:val="24"/>
        </w:rPr>
        <w:t>,</w:t>
      </w:r>
      <w:r w:rsidRPr="00F07814">
        <w:rPr>
          <w:rFonts w:cstheme="minorHAnsi"/>
          <w:color w:val="000000"/>
          <w:sz w:val="24"/>
          <w:szCs w:val="24"/>
        </w:rPr>
        <w:t xml:space="preserve"> we set out to identify genes that are differentially expressed as sperm cells are being </w:t>
      </w:r>
      <w:r w:rsidR="00AC0D6C">
        <w:rPr>
          <w:rFonts w:cstheme="minorHAnsi"/>
          <w:color w:val="000000"/>
          <w:sz w:val="24"/>
          <w:szCs w:val="24"/>
        </w:rPr>
        <w:t>generated</w:t>
      </w:r>
      <w:r w:rsidR="00AC0D6C" w:rsidRPr="00F07814">
        <w:rPr>
          <w:rFonts w:cstheme="minorHAnsi"/>
          <w:color w:val="000000"/>
          <w:sz w:val="24"/>
          <w:szCs w:val="24"/>
        </w:rPr>
        <w:t xml:space="preserve"> </w:t>
      </w:r>
      <w:r w:rsidRPr="00F07814">
        <w:rPr>
          <w:rFonts w:cstheme="minorHAnsi"/>
          <w:color w:val="000000"/>
          <w:sz w:val="24"/>
          <w:szCs w:val="24"/>
        </w:rPr>
        <w:t xml:space="preserve">in the zebra finch. Specifically, we characterized expression transcripts at </w:t>
      </w:r>
      <w:r w:rsidR="00C66572">
        <w:rPr>
          <w:rFonts w:cstheme="minorHAnsi"/>
          <w:color w:val="000000"/>
          <w:sz w:val="24"/>
          <w:szCs w:val="24"/>
        </w:rPr>
        <w:t>four different</w:t>
      </w:r>
      <w:r>
        <w:rPr>
          <w:rFonts w:cstheme="minorHAnsi"/>
          <w:color w:val="000000"/>
          <w:sz w:val="24"/>
          <w:szCs w:val="24"/>
        </w:rPr>
        <w:t>,</w:t>
      </w:r>
      <w:r w:rsidRPr="00F07814">
        <w:rPr>
          <w:rFonts w:cstheme="minorHAnsi"/>
          <w:color w:val="000000"/>
          <w:sz w:val="24"/>
          <w:szCs w:val="24"/>
        </w:rPr>
        <w:t xml:space="preserve"> histologically</w:t>
      </w:r>
      <w:r>
        <w:rPr>
          <w:rFonts w:cstheme="minorHAnsi"/>
          <w:color w:val="000000"/>
          <w:sz w:val="24"/>
          <w:szCs w:val="24"/>
        </w:rPr>
        <w:t>-</w:t>
      </w:r>
      <w:r w:rsidRPr="00F07814">
        <w:rPr>
          <w:rFonts w:cstheme="minorHAnsi"/>
          <w:color w:val="000000"/>
          <w:sz w:val="24"/>
          <w:szCs w:val="24"/>
        </w:rPr>
        <w:t xml:space="preserve">characterized </w:t>
      </w:r>
      <w:r>
        <w:rPr>
          <w:rFonts w:cstheme="minorHAnsi"/>
          <w:color w:val="000000"/>
          <w:sz w:val="24"/>
          <w:szCs w:val="24"/>
        </w:rPr>
        <w:t>timepoints</w:t>
      </w:r>
      <w:r w:rsidRPr="00F07814">
        <w:rPr>
          <w:rFonts w:cstheme="minorHAnsi"/>
          <w:color w:val="000000"/>
          <w:sz w:val="24"/>
          <w:szCs w:val="24"/>
        </w:rPr>
        <w:t xml:space="preserve"> of </w:t>
      </w:r>
      <w:r>
        <w:rPr>
          <w:rFonts w:cstheme="minorHAnsi"/>
          <w:color w:val="000000"/>
          <w:sz w:val="24"/>
          <w:szCs w:val="24"/>
        </w:rPr>
        <w:t xml:space="preserve">testis development, as a proxy for the first wave of </w:t>
      </w:r>
      <w:r w:rsidRPr="00F07814">
        <w:rPr>
          <w:rFonts w:cstheme="minorHAnsi"/>
          <w:color w:val="000000"/>
          <w:sz w:val="24"/>
          <w:szCs w:val="24"/>
        </w:rPr>
        <w:t>spermatogenesis</w:t>
      </w:r>
      <w:r>
        <w:rPr>
          <w:rFonts w:cstheme="minorHAnsi"/>
          <w:color w:val="000000"/>
          <w:sz w:val="24"/>
          <w:szCs w:val="24"/>
        </w:rPr>
        <w:t>,</w:t>
      </w:r>
      <w:r w:rsidRPr="00F07814">
        <w:rPr>
          <w:rFonts w:cstheme="minorHAnsi"/>
          <w:color w:val="000000"/>
          <w:sz w:val="24"/>
          <w:szCs w:val="24"/>
        </w:rPr>
        <w:t xml:space="preserve"> for three </w:t>
      </w:r>
      <w:r>
        <w:rPr>
          <w:rFonts w:cstheme="minorHAnsi"/>
          <w:color w:val="000000"/>
          <w:sz w:val="24"/>
          <w:szCs w:val="24"/>
        </w:rPr>
        <w:t>karyotypes</w:t>
      </w:r>
      <w:r w:rsidRPr="00F07814">
        <w:rPr>
          <w:rFonts w:cstheme="minorHAnsi"/>
          <w:color w:val="000000"/>
          <w:sz w:val="24"/>
          <w:szCs w:val="24"/>
        </w:rPr>
        <w:t xml:space="preserve"> (ancestral homozygous, heterozygous and derived homozygous; </w:t>
      </w:r>
      <w:r w:rsidRPr="00F07814">
        <w:rPr>
          <w:rFonts w:cstheme="minorHAnsi"/>
          <w:color w:val="000000"/>
          <w:sz w:val="24"/>
          <w:szCs w:val="24"/>
        </w:rPr>
        <w:fldChar w:fldCharType="begin" w:fldLock="1"/>
      </w:r>
      <w:r w:rsidR="00896F62">
        <w:rPr>
          <w:rFonts w:cstheme="minorHAnsi"/>
          <w:color w:val="000000"/>
          <w:sz w:val="24"/>
          <w:szCs w:val="24"/>
        </w:rPr>
        <w:instrText>ADDIN CSL_CITATION {"citationItems":[{"id":"ITEM-1","itemData":{"DOI":"10.1038/s41559-017-0236-1","ISSN":"2397-334X","PMID":"29046576","abstract":"Male reproductive success depends on the competitive ability of sperm to fertilize the ova, which should lead to strong selection on sperm characteristics. This raises the question of how heritable variation in sperm traits is maintained. Here we show that in zebra finches (Taeniopygia guttata) nearly half of the variance in sperm morphology is explained by an inversion on the Z chromosome with a 40% allele frequency in the wild. The sperm of males that are heterozygous for the inversion had the longest midpieces and the highest velocity. Furthermore, such males achieved the highest fertility and the highest siring success, both within-pair and extra-pair. Males homozygous for the derived allele show detrimental sperm characteristics and the lowest siring success. Our results suggest heterozygote advantage as the mechanism that maintains the inversion polymorphism and hence variance in sperm design and in fitness.","author":[{"dropping-particle":"","family":"Knief","given":"Ulrich","non-dropping-particle":"","parse-names":false,"suffix":""},{"dropping-particle":"","family":"Forstmeier","given":"Wolfgang","non-dropping-particle":"","parse-names":false,"suffix":""},{"dropping-particle":"","family":"Pei","given":"Yifan","non-dropping-particle":"","parse-names":false,"suffix":""},{"dropping-particle":"","family":"Ihle","given":"Malika","non-dropping-particle":"","parse-names":false,"suffix":""},{"dropping-particle":"","family":"Wang","given":"Daiping","non-dropping-particle":"","parse-names":false,"suffix":""},{"dropping-particle":"","family":"Martin","given":"Katrin","non-dropping-particle":"","parse-names":false,"suffix":""},{"dropping-particle":"","family":"Opatová","given":"Pavlína","non-dropping-particle":"","parse-names":false,"suffix":""},{"dropping-particle":"","family":"Albrechtová","given":"Jana","non-dropping-particle":"","parse-names":false,"suffix":""},{"dropping-particle":"","family":"Wittig","given":"Michael","non-dropping-particle":"","parse-names":false,"suffix":""},{"dropping-particle":"","family":"Franke","given":"Andre","non-dropping-particle":"","parse-names":false,"suffix":""},{"dropping-particle":"","family":"Albrecht","given":"Tomáš","non-dropping-particle":"","parse-names":false,"suffix":""},{"dropping-particle":"","family":"Kempenaers","given":"Bart","non-dropping-particle":"","parse-names":false,"suffix":""}],"container-title":"Nature Ecology &amp; Evolution","id":"ITEM-1","issue":"8","issued":{"date-parts":[["2017","7","17"]]},"page":"1177-1184","title":"A sex-chromosome inversion causes strong overdominance for sperm traits that affect siring success","type":"article-journal","volume":"1"},"uris":["http://www.mendeley.com/documents/?uuid=3efe8240-b58b-3012-b842-e07f5aec233d"]}],"mendeley":{"formattedCitation":"(Knief et al., 2017)","plainTextFormattedCitation":"(Knief et al., 2017)","previouslyFormattedCitation":"(Knief et al., 2017)"},"properties":{"noteIndex":0},"schema":"https://github.com/citation-style-language/schema/raw/master/csl-citation.json"}</w:instrText>
      </w:r>
      <w:r w:rsidRPr="00F07814">
        <w:rPr>
          <w:rFonts w:cstheme="minorHAnsi"/>
          <w:color w:val="000000"/>
          <w:sz w:val="24"/>
          <w:szCs w:val="24"/>
        </w:rPr>
        <w:fldChar w:fldCharType="separate"/>
      </w:r>
      <w:r w:rsidR="001E0464" w:rsidRPr="001E0464">
        <w:rPr>
          <w:rFonts w:cstheme="minorHAnsi"/>
          <w:noProof/>
          <w:color w:val="000000"/>
          <w:sz w:val="24"/>
          <w:szCs w:val="24"/>
        </w:rPr>
        <w:t>(Knief et al., 2017)</w:t>
      </w:r>
      <w:r w:rsidRPr="00F07814">
        <w:rPr>
          <w:rFonts w:cstheme="minorHAnsi"/>
          <w:color w:val="000000"/>
          <w:sz w:val="24"/>
          <w:szCs w:val="24"/>
        </w:rPr>
        <w:fldChar w:fldCharType="end"/>
      </w:r>
      <w:r w:rsidRPr="00F07814">
        <w:rPr>
          <w:rFonts w:cstheme="minorHAnsi"/>
          <w:color w:val="000000"/>
          <w:sz w:val="24"/>
          <w:szCs w:val="24"/>
        </w:rPr>
        <w:t xml:space="preserve">). Additionally, we </w:t>
      </w:r>
      <w:r>
        <w:rPr>
          <w:rFonts w:cstheme="minorHAnsi"/>
          <w:color w:val="000000"/>
          <w:sz w:val="24"/>
          <w:szCs w:val="24"/>
        </w:rPr>
        <w:t>analyzed gene expression in</w:t>
      </w:r>
      <w:r w:rsidRPr="00F07814">
        <w:rPr>
          <w:rFonts w:cstheme="minorHAnsi"/>
          <w:color w:val="000000"/>
          <w:sz w:val="24"/>
          <w:szCs w:val="24"/>
        </w:rPr>
        <w:t xml:space="preserve"> a somatic tissue, liver, to potentially </w:t>
      </w:r>
      <w:r>
        <w:rPr>
          <w:rFonts w:cstheme="minorHAnsi"/>
          <w:color w:val="000000"/>
          <w:sz w:val="24"/>
          <w:szCs w:val="24"/>
        </w:rPr>
        <w:t xml:space="preserve">identify differentially expressed genes involved in other processes as well as to examine allele-specific bias between the tissues. </w:t>
      </w:r>
      <w:r w:rsidRPr="00F07814">
        <w:rPr>
          <w:rFonts w:cstheme="minorHAnsi"/>
          <w:color w:val="000000"/>
          <w:sz w:val="24"/>
          <w:szCs w:val="24"/>
        </w:rPr>
        <w:t>O</w:t>
      </w:r>
      <w:r w:rsidRPr="00F07814">
        <w:rPr>
          <w:sz w:val="24"/>
          <w:szCs w:val="24"/>
        </w:rPr>
        <w:t xml:space="preserve">ur expectation was that the inversion </w:t>
      </w:r>
      <w:r>
        <w:rPr>
          <w:sz w:val="24"/>
          <w:szCs w:val="24"/>
        </w:rPr>
        <w:t>karyotypes</w:t>
      </w:r>
      <w:r w:rsidRPr="00F07814">
        <w:rPr>
          <w:sz w:val="24"/>
          <w:szCs w:val="24"/>
        </w:rPr>
        <w:t xml:space="preserve"> </w:t>
      </w:r>
      <w:r w:rsidR="00AC0D6C">
        <w:rPr>
          <w:sz w:val="24"/>
          <w:szCs w:val="24"/>
        </w:rPr>
        <w:t xml:space="preserve">would </w:t>
      </w:r>
      <w:r w:rsidRPr="00F07814">
        <w:rPr>
          <w:sz w:val="24"/>
          <w:szCs w:val="24"/>
        </w:rPr>
        <w:t>result</w:t>
      </w:r>
      <w:r>
        <w:rPr>
          <w:sz w:val="24"/>
          <w:szCs w:val="24"/>
        </w:rPr>
        <w:t xml:space="preserve"> in regulatory differences</w:t>
      </w:r>
      <w:r w:rsidR="0082786E">
        <w:rPr>
          <w:sz w:val="24"/>
          <w:szCs w:val="24"/>
        </w:rPr>
        <w:t xml:space="preserve"> </w:t>
      </w:r>
      <w:r w:rsidRPr="00F07814">
        <w:rPr>
          <w:sz w:val="24"/>
          <w:szCs w:val="24"/>
        </w:rPr>
        <w:t xml:space="preserve">and </w:t>
      </w:r>
      <w:r w:rsidR="00AC0D6C" w:rsidRPr="00F07814">
        <w:rPr>
          <w:sz w:val="24"/>
          <w:szCs w:val="24"/>
        </w:rPr>
        <w:t>w</w:t>
      </w:r>
      <w:r w:rsidR="00AC0D6C">
        <w:rPr>
          <w:sz w:val="24"/>
          <w:szCs w:val="24"/>
        </w:rPr>
        <w:t>ould</w:t>
      </w:r>
      <w:r w:rsidR="00AC0D6C" w:rsidRPr="00F07814">
        <w:rPr>
          <w:sz w:val="24"/>
          <w:szCs w:val="24"/>
        </w:rPr>
        <w:t xml:space="preserve"> </w:t>
      </w:r>
      <w:r w:rsidRPr="00F07814">
        <w:rPr>
          <w:sz w:val="24"/>
          <w:szCs w:val="24"/>
        </w:rPr>
        <w:t xml:space="preserve">thus be observed </w:t>
      </w:r>
      <w:r>
        <w:rPr>
          <w:sz w:val="24"/>
          <w:szCs w:val="24"/>
        </w:rPr>
        <w:t>as</w:t>
      </w:r>
      <w:r w:rsidRPr="00F07814">
        <w:rPr>
          <w:sz w:val="24"/>
          <w:szCs w:val="24"/>
        </w:rPr>
        <w:t xml:space="preserve"> differential expression between the inversion </w:t>
      </w:r>
      <w:r>
        <w:rPr>
          <w:sz w:val="24"/>
          <w:szCs w:val="24"/>
        </w:rPr>
        <w:t>karyotypes</w:t>
      </w:r>
      <w:r w:rsidRPr="00F07814">
        <w:rPr>
          <w:sz w:val="24"/>
          <w:szCs w:val="24"/>
        </w:rPr>
        <w:t xml:space="preserve"> across spermatogenesis. </w:t>
      </w:r>
      <w:r w:rsidRPr="00120150">
        <w:rPr>
          <w:sz w:val="24"/>
          <w:szCs w:val="24"/>
        </w:rPr>
        <w:t>We found that</w:t>
      </w:r>
      <w:r>
        <w:rPr>
          <w:sz w:val="24"/>
          <w:szCs w:val="24"/>
        </w:rPr>
        <w:t xml:space="preserve"> the</w:t>
      </w:r>
      <w:r w:rsidRPr="00120150">
        <w:rPr>
          <w:sz w:val="24"/>
          <w:szCs w:val="24"/>
        </w:rPr>
        <w:t xml:space="preserve"> inversion affects gene expression in </w:t>
      </w:r>
      <w:r w:rsidR="00C67845">
        <w:rPr>
          <w:sz w:val="24"/>
          <w:szCs w:val="24"/>
        </w:rPr>
        <w:t xml:space="preserve">both </w:t>
      </w:r>
      <w:r w:rsidRPr="00120150">
        <w:rPr>
          <w:sz w:val="24"/>
          <w:szCs w:val="24"/>
        </w:rPr>
        <w:t xml:space="preserve">testis </w:t>
      </w:r>
      <w:r w:rsidR="00C67845">
        <w:rPr>
          <w:sz w:val="24"/>
          <w:szCs w:val="24"/>
        </w:rPr>
        <w:t>and</w:t>
      </w:r>
      <w:r w:rsidRPr="00120150">
        <w:rPr>
          <w:sz w:val="24"/>
          <w:szCs w:val="24"/>
        </w:rPr>
        <w:t xml:space="preserve"> in liver, and </w:t>
      </w:r>
      <w:r>
        <w:rPr>
          <w:sz w:val="24"/>
          <w:szCs w:val="24"/>
        </w:rPr>
        <w:t xml:space="preserve">the </w:t>
      </w:r>
      <w:r w:rsidRPr="00120150">
        <w:rPr>
          <w:sz w:val="24"/>
          <w:szCs w:val="24"/>
        </w:rPr>
        <w:t xml:space="preserve">inversion </w:t>
      </w:r>
      <w:r>
        <w:rPr>
          <w:sz w:val="24"/>
          <w:szCs w:val="24"/>
        </w:rPr>
        <w:t xml:space="preserve">karyotype </w:t>
      </w:r>
      <w:r w:rsidRPr="00120150">
        <w:rPr>
          <w:sz w:val="24"/>
          <w:szCs w:val="24"/>
        </w:rPr>
        <w:t xml:space="preserve">also affects which allele is expressed in the heterokaryotype </w:t>
      </w:r>
      <w:r>
        <w:rPr>
          <w:sz w:val="24"/>
          <w:szCs w:val="24"/>
        </w:rPr>
        <w:t>in some genes within the testes, but not within the liver</w:t>
      </w:r>
      <w:r w:rsidRPr="00120150">
        <w:rPr>
          <w:sz w:val="24"/>
          <w:szCs w:val="24"/>
        </w:rPr>
        <w:t>. Our result</w:t>
      </w:r>
      <w:r w:rsidR="00B97E72">
        <w:rPr>
          <w:sz w:val="24"/>
          <w:szCs w:val="24"/>
        </w:rPr>
        <w:t>s</w:t>
      </w:r>
      <w:r>
        <w:rPr>
          <w:sz w:val="24"/>
          <w:szCs w:val="24"/>
        </w:rPr>
        <w:t xml:space="preserve"> demonstrate</w:t>
      </w:r>
      <w:r w:rsidR="00B97E72">
        <w:rPr>
          <w:sz w:val="24"/>
          <w:szCs w:val="24"/>
        </w:rPr>
        <w:t xml:space="preserve"> </w:t>
      </w:r>
      <w:r>
        <w:rPr>
          <w:sz w:val="24"/>
          <w:szCs w:val="24"/>
        </w:rPr>
        <w:t>a pleiotropic regulatory effect due to the inversion</w:t>
      </w:r>
      <w:r w:rsidRPr="00120150">
        <w:rPr>
          <w:sz w:val="24"/>
          <w:szCs w:val="24"/>
        </w:rPr>
        <w:t>.</w:t>
      </w:r>
    </w:p>
    <w:p w14:paraId="6E1F82C7" w14:textId="77777777" w:rsidR="00C12046" w:rsidRPr="00120150" w:rsidRDefault="00C12046" w:rsidP="00E4181F">
      <w:pPr>
        <w:spacing w:after="0" w:line="480" w:lineRule="auto"/>
        <w:ind w:firstLine="706"/>
        <w:jc w:val="both"/>
        <w:rPr>
          <w:sz w:val="24"/>
          <w:szCs w:val="24"/>
        </w:rPr>
      </w:pPr>
    </w:p>
    <w:p w14:paraId="42734A4D" w14:textId="6B88CB54" w:rsidR="00C41BFE" w:rsidRPr="002356D5" w:rsidRDefault="00C41BFE" w:rsidP="00C41BFE">
      <w:pPr>
        <w:spacing w:after="0" w:line="480" w:lineRule="auto"/>
        <w:contextualSpacing/>
        <w:jc w:val="both"/>
        <w:rPr>
          <w:rFonts w:eastAsia="Times New Roman" w:cstheme="minorHAnsi"/>
          <w:b/>
          <w:bCs/>
          <w:sz w:val="24"/>
          <w:szCs w:val="24"/>
        </w:rPr>
      </w:pPr>
      <w:r w:rsidRPr="002356D5">
        <w:rPr>
          <w:rFonts w:eastAsia="Times New Roman" w:cstheme="minorHAnsi"/>
          <w:b/>
          <w:bCs/>
          <w:color w:val="000000"/>
          <w:sz w:val="24"/>
          <w:szCs w:val="24"/>
        </w:rPr>
        <w:t>Material and Methods</w:t>
      </w:r>
    </w:p>
    <w:p w14:paraId="5BF64656" w14:textId="77777777" w:rsidR="00C41BFE" w:rsidRPr="002356D5" w:rsidRDefault="00C41BFE" w:rsidP="00C41BFE">
      <w:pPr>
        <w:spacing w:after="0" w:line="480" w:lineRule="auto"/>
        <w:contextualSpacing/>
        <w:jc w:val="both"/>
        <w:rPr>
          <w:rFonts w:eastAsia="Times New Roman" w:cstheme="minorHAnsi"/>
          <w:sz w:val="24"/>
          <w:szCs w:val="24"/>
        </w:rPr>
      </w:pPr>
      <w:r w:rsidRPr="002356D5">
        <w:rPr>
          <w:rFonts w:eastAsia="Times New Roman" w:cstheme="minorHAnsi"/>
          <w:i/>
          <w:iCs/>
          <w:color w:val="000000"/>
          <w:sz w:val="24"/>
          <w:szCs w:val="24"/>
        </w:rPr>
        <w:t>Bird husbandry and sampling</w:t>
      </w:r>
    </w:p>
    <w:p w14:paraId="11F52D55" w14:textId="75349727" w:rsidR="00C41BFE" w:rsidRPr="0057419F" w:rsidRDefault="003233EB" w:rsidP="00E4181F">
      <w:pPr>
        <w:spacing w:after="0" w:line="480" w:lineRule="auto"/>
        <w:ind w:firstLine="720"/>
        <w:contextualSpacing/>
        <w:jc w:val="both"/>
        <w:rPr>
          <w:rFonts w:cstheme="minorHAnsi"/>
          <w:sz w:val="24"/>
          <w:szCs w:val="24"/>
          <w:lang w:val="nb-NO"/>
        </w:rPr>
      </w:pPr>
      <w:r>
        <w:rPr>
          <w:rFonts w:cstheme="minorHAnsi"/>
          <w:sz w:val="24"/>
          <w:szCs w:val="24"/>
        </w:rPr>
        <w:lastRenderedPageBreak/>
        <w:t>Z</w:t>
      </w:r>
      <w:r w:rsidR="00C41BFE" w:rsidRPr="002356D5">
        <w:rPr>
          <w:rFonts w:cstheme="minorHAnsi"/>
          <w:sz w:val="24"/>
          <w:szCs w:val="24"/>
        </w:rPr>
        <w:t xml:space="preserve">ebra finch with different inversion </w:t>
      </w:r>
      <w:r>
        <w:rPr>
          <w:rFonts w:cstheme="minorHAnsi"/>
          <w:sz w:val="24"/>
          <w:szCs w:val="24"/>
        </w:rPr>
        <w:t>karyotypes</w:t>
      </w:r>
      <w:r w:rsidR="00C41BFE" w:rsidRPr="002356D5">
        <w:rPr>
          <w:rFonts w:cstheme="minorHAnsi"/>
          <w:sz w:val="24"/>
          <w:szCs w:val="24"/>
        </w:rPr>
        <w:t xml:space="preserve"> were reared at Institute of Vertebrate Biology (Studenec, Czechia). </w:t>
      </w:r>
      <w:r w:rsidR="00E71E62">
        <w:rPr>
          <w:rFonts w:cstheme="minorHAnsi"/>
          <w:sz w:val="24"/>
          <w:szCs w:val="24"/>
        </w:rPr>
        <w:t>T</w:t>
      </w:r>
      <w:r w:rsidR="00C41BFE">
        <w:rPr>
          <w:rFonts w:cstheme="minorHAnsi"/>
          <w:sz w:val="24"/>
          <w:szCs w:val="24"/>
        </w:rPr>
        <w:t>he</w:t>
      </w:r>
      <w:r w:rsidR="00C66572">
        <w:rPr>
          <w:rFonts w:cstheme="minorHAnsi"/>
          <w:sz w:val="24"/>
          <w:szCs w:val="24"/>
        </w:rPr>
        <w:t>se</w:t>
      </w:r>
      <w:r w:rsidR="00C41BFE">
        <w:rPr>
          <w:rFonts w:cstheme="minorHAnsi"/>
          <w:sz w:val="24"/>
          <w:szCs w:val="24"/>
        </w:rPr>
        <w:t xml:space="preserve"> birds originate from the domesticated </w:t>
      </w:r>
      <w:r w:rsidR="003B523C">
        <w:rPr>
          <w:rFonts w:cstheme="minorHAnsi"/>
          <w:sz w:val="24"/>
          <w:szCs w:val="24"/>
        </w:rPr>
        <w:t>‘</w:t>
      </w:r>
      <w:r w:rsidR="00F90559" w:rsidRPr="00F90559">
        <w:rPr>
          <w:rFonts w:cstheme="minorHAnsi"/>
          <w:sz w:val="24"/>
          <w:szCs w:val="24"/>
        </w:rPr>
        <w:t>Krakow</w:t>
      </w:r>
      <w:r w:rsidR="003B523C">
        <w:rPr>
          <w:rFonts w:cstheme="minorHAnsi"/>
          <w:sz w:val="24"/>
          <w:szCs w:val="24"/>
        </w:rPr>
        <w:t>’</w:t>
      </w:r>
      <w:r w:rsidR="00F90559">
        <w:rPr>
          <w:rFonts w:cstheme="minorHAnsi"/>
          <w:sz w:val="24"/>
          <w:szCs w:val="24"/>
        </w:rPr>
        <w:t xml:space="preserve"> population</w:t>
      </w:r>
      <w:r w:rsidR="00F90559" w:rsidRPr="00F90559">
        <w:rPr>
          <w:rFonts w:cstheme="minorHAnsi"/>
          <w:sz w:val="24"/>
          <w:szCs w:val="24"/>
        </w:rPr>
        <w:t xml:space="preserve"> that was generated by hybridizing between Krakow  and Seewiesen populations </w:t>
      </w:r>
      <w:r w:rsidR="003B523C" w:rsidRPr="00F90559">
        <w:rPr>
          <w:rFonts w:cstheme="minorHAnsi"/>
          <w:sz w:val="24"/>
          <w:szCs w:val="24"/>
        </w:rPr>
        <w:t>(population 11</w:t>
      </w:r>
      <w:r w:rsidR="003B523C">
        <w:rPr>
          <w:rFonts w:cstheme="minorHAnsi"/>
          <w:sz w:val="24"/>
          <w:szCs w:val="24"/>
        </w:rPr>
        <w:t xml:space="preserve"> and 8</w:t>
      </w:r>
      <w:r w:rsidR="003B523C" w:rsidRPr="00F90559">
        <w:rPr>
          <w:rFonts w:cstheme="minorHAnsi"/>
          <w:sz w:val="24"/>
          <w:szCs w:val="24"/>
        </w:rPr>
        <w:t xml:space="preserve"> in </w:t>
      </w:r>
      <w:r w:rsidR="003B523C">
        <w:rPr>
          <w:rFonts w:cstheme="minorHAnsi"/>
          <w:sz w:val="24"/>
          <w:szCs w:val="24"/>
        </w:rPr>
        <w:fldChar w:fldCharType="begin" w:fldLock="1"/>
      </w:r>
      <w:r w:rsidR="00896F62">
        <w:rPr>
          <w:rFonts w:cstheme="minorHAnsi"/>
          <w:sz w:val="24"/>
          <w:szCs w:val="24"/>
        </w:rPr>
        <w:instrText>ADDIN CSL_CITATION {"citationItems":[{"id":"ITEM-1","itemData":{"DOI":"10.1111/j.1365-294X.2007.03444.x","ISSN":"09621083","PMID":"17894758","abstract":"The zebra finch (Taeniopygia guttata) is a small Australian grassland songbird that has been domesticated over the past two centuries. Because it is easy to breed in captivity, it has become a widely used study organism, especially in behavioural research. Most work has been conducted on domesticated populations maintained at numerous laboratories in Europe and North America. However, little is known about the extent to which, during the process of domestication, captive populations have gone through bottlenecks in population size, leading to inbred and potentially genetically differentiated study populations. This is an important issue, because (i) behavioural studies on captive populations might suffer from artefacts arising from high levels of inbreeding or lack of genetic variation in such populations, and (ii) it may hamper the comparability of research findings. To address this issue, we genotyped 1000 zebra finches from 18 captive and two wild populations at 10 highly variable microsatellite loci. We found that all captive populations have lost some of the genetic variability present in the wild, but there is no evidence that they have gone through a severe bottleneck, as the average captive population still showed a mean of 11.7 alleles per locus, compared to a mean of 19.3 alleles/locus for wild zebra finches. We found significant differentiation between the captive populations (FST = 0.062). Patterns of genetic similarity closely match geographical relationships, so the most pronounced differences occur between the three continents: Australia, North America, and Europe. By providing a tree of the genetic similarity of the different captive populations, we hope to contribute to a better understanding of variation in research findings obtained by different laboratories. © 2007 The Authors.","author":[{"dropping-particle":"","family":"Forstmeier","given":"Wolfgang","non-dropping-particle":"","parse-names":false,"suffix":""},{"dropping-particle":"","family":"Segelbacher","given":"Gernot","non-dropping-particle":"","parse-names":false,"suffix":""},{"dropping-particle":"","family":"Mueller","given":"Jakob C.","non-dropping-particle":"","parse-names":false,"suffix":""},{"dropping-particle":"","family":"Kempenaers","given":"Bart","non-dropping-particle":"","parse-names":false,"suffix":""}],"container-title":"Molecular Ecology","id":"ITEM-1","issue":"19","issued":{"date-parts":[["2007"]]},"page":"4039-4050","title":"Genetic variation and differentiation in captive and wild zebra finches (Taeniopygia guttata)","type":"article-journal","volume":"16"},"uris":["http://www.mendeley.com/documents/?uuid=bd48073b-1e17-4c3f-ba86-85631acd8848"]}],"mendeley":{"formattedCitation":"(Forstmeier et al., 2007)","plainTextFormattedCitation":"(Forstmeier et al., 2007)","previouslyFormattedCitation":"(Forstmeier et al., 2007)"},"properties":{"noteIndex":0},"schema":"https://github.com/citation-style-language/schema/raw/master/csl-citation.json"}</w:instrText>
      </w:r>
      <w:r w:rsidR="003B523C">
        <w:rPr>
          <w:rFonts w:cstheme="minorHAnsi"/>
          <w:sz w:val="24"/>
          <w:szCs w:val="24"/>
        </w:rPr>
        <w:fldChar w:fldCharType="separate"/>
      </w:r>
      <w:r w:rsidR="003B523C" w:rsidRPr="001E0464">
        <w:rPr>
          <w:rFonts w:cstheme="minorHAnsi"/>
          <w:noProof/>
          <w:sz w:val="24"/>
          <w:szCs w:val="24"/>
        </w:rPr>
        <w:t>(Forstmeier et al., 2007)</w:t>
      </w:r>
      <w:r w:rsidR="003B523C">
        <w:rPr>
          <w:rFonts w:cstheme="minorHAnsi"/>
          <w:sz w:val="24"/>
          <w:szCs w:val="24"/>
        </w:rPr>
        <w:fldChar w:fldCharType="end"/>
      </w:r>
      <w:r w:rsidR="003B523C" w:rsidRPr="00F90559">
        <w:rPr>
          <w:rFonts w:cstheme="minorHAnsi"/>
          <w:sz w:val="24"/>
          <w:szCs w:val="24"/>
        </w:rPr>
        <w:t>)</w:t>
      </w:r>
      <w:r w:rsidR="00E71E62">
        <w:rPr>
          <w:rFonts w:cstheme="minorHAnsi"/>
          <w:sz w:val="24"/>
          <w:szCs w:val="24"/>
        </w:rPr>
        <w:t>. The lines contain</w:t>
      </w:r>
      <w:r w:rsidR="00C41BFE">
        <w:rPr>
          <w:rFonts w:cstheme="minorHAnsi"/>
          <w:sz w:val="24"/>
          <w:szCs w:val="24"/>
        </w:rPr>
        <w:t xml:space="preserve"> t</w:t>
      </w:r>
      <w:r w:rsidR="00C41BFE" w:rsidRPr="00DF4AA6">
        <w:rPr>
          <w:rFonts w:cstheme="minorHAnsi"/>
          <w:sz w:val="24"/>
          <w:szCs w:val="24"/>
        </w:rPr>
        <w:t>he homokaryotype line AA</w:t>
      </w:r>
      <w:r w:rsidR="00E71E62">
        <w:rPr>
          <w:rFonts w:cstheme="minorHAnsi"/>
          <w:sz w:val="24"/>
          <w:szCs w:val="24"/>
        </w:rPr>
        <w:t>,</w:t>
      </w:r>
      <w:r w:rsidR="00C41BFE" w:rsidRPr="00DF4AA6">
        <w:rPr>
          <w:rFonts w:cstheme="minorHAnsi"/>
          <w:sz w:val="24"/>
          <w:szCs w:val="24"/>
        </w:rPr>
        <w:t xml:space="preserve"> </w:t>
      </w:r>
      <w:r>
        <w:rPr>
          <w:rFonts w:cstheme="minorHAnsi"/>
          <w:sz w:val="24"/>
          <w:szCs w:val="24"/>
        </w:rPr>
        <w:t>the ancestral karyotype,</w:t>
      </w:r>
      <w:r w:rsidR="00C41BFE" w:rsidRPr="00DF4AA6">
        <w:rPr>
          <w:rFonts w:cstheme="minorHAnsi"/>
          <w:sz w:val="24"/>
          <w:szCs w:val="24"/>
        </w:rPr>
        <w:t xml:space="preserve"> and the derived inversion types B and C</w:t>
      </w:r>
      <w:r w:rsidR="00E71E62">
        <w:rPr>
          <w:rFonts w:cstheme="minorHAnsi"/>
          <w:sz w:val="24"/>
          <w:szCs w:val="24"/>
        </w:rPr>
        <w:t>, referred to as</w:t>
      </w:r>
      <w:r w:rsidR="00C41BFE" w:rsidRPr="00DF4AA6">
        <w:rPr>
          <w:rFonts w:cstheme="minorHAnsi"/>
          <w:sz w:val="24"/>
          <w:szCs w:val="24"/>
        </w:rPr>
        <w:t xml:space="preserve"> </w:t>
      </w:r>
      <w:r w:rsidR="00E71E62">
        <w:rPr>
          <w:rFonts w:cstheme="minorHAnsi"/>
          <w:sz w:val="24"/>
          <w:szCs w:val="24"/>
        </w:rPr>
        <w:t xml:space="preserve">the </w:t>
      </w:r>
      <w:r w:rsidR="00E71E62" w:rsidRPr="00DF4AA6">
        <w:rPr>
          <w:rFonts w:cstheme="minorHAnsi"/>
          <w:sz w:val="24"/>
          <w:szCs w:val="24"/>
        </w:rPr>
        <w:t xml:space="preserve">homokaryotype line B*B* </w:t>
      </w:r>
      <w:r w:rsidR="00C41BFE" w:rsidRPr="00DF4AA6">
        <w:rPr>
          <w:rFonts w:cstheme="minorHAnsi"/>
          <w:sz w:val="24"/>
          <w:szCs w:val="24"/>
        </w:rPr>
        <w:t>as</w:t>
      </w:r>
      <w:r w:rsidR="00C41BFE">
        <w:rPr>
          <w:rFonts w:cstheme="minorHAnsi"/>
          <w:sz w:val="24"/>
          <w:szCs w:val="24"/>
        </w:rPr>
        <w:t xml:space="preserve"> </w:t>
      </w:r>
      <w:r w:rsidR="00C41BFE" w:rsidRPr="00DF4AA6">
        <w:rPr>
          <w:rFonts w:cstheme="minorHAnsi"/>
          <w:sz w:val="24"/>
          <w:szCs w:val="24"/>
        </w:rPr>
        <w:t xml:space="preserve">described in </w:t>
      </w:r>
      <w:r w:rsidR="00C41BFE" w:rsidRPr="00DF4AA6">
        <w:rPr>
          <w:rFonts w:cstheme="minorHAnsi"/>
          <w:sz w:val="24"/>
          <w:szCs w:val="24"/>
        </w:rPr>
        <w:fldChar w:fldCharType="begin" w:fldLock="1"/>
      </w:r>
      <w:r w:rsidR="00896F62">
        <w:rPr>
          <w:rFonts w:cstheme="minorHAnsi"/>
          <w:sz w:val="24"/>
          <w:szCs w:val="24"/>
        </w:rPr>
        <w:instrText>ADDIN CSL_CITATION {"citationItems":[{"id":"ITEM-1","itemData":{"DOI":"10.1038/s41559-017-0236-1","ISSN":"2397-334X","PMID":"29046576","abstract":"Male reproductive success depends on the competitive ability of sperm to fertilize the ova, which should lead to strong selection on sperm characteristics. This raises the question of how heritable variation in sperm traits is maintained. Here we show that in zebra finches (Taeniopygia guttata) nearly half of the variance in sperm morphology is explained by an inversion on the Z chromosome with a 40% allele frequency in the wild. The sperm of males that are heterozygous for the inversion had the longest midpieces and the highest velocity. Furthermore, such males achieved the highest fertility and the highest siring success, both within-pair and extra-pair. Males homozygous for the derived allele show detrimental sperm characteristics and the lowest siring success. Our results suggest heterozygote advantage as the mechanism that maintains the inversion polymorphism and hence variance in sperm design and in fitness.","author":[{"dropping-particle":"","family":"Knief","given":"Ulrich","non-dropping-particle":"","parse-names":false,"suffix":""},{"dropping-particle":"","family":"Forstmeier","given":"Wolfgang","non-dropping-particle":"","parse-names":false,"suffix":""},{"dropping-particle":"","family":"Pei","given":"Yifan","non-dropping-particle":"","parse-names":false,"suffix":""},{"dropping-particle":"","family":"Ihle","given":"Malika","non-dropping-particle":"","parse-names":false,"suffix":""},{"dropping-particle":"","family":"Wang","given":"Daiping","non-dropping-particle":"","parse-names":false,"suffix":"</w:instrText>
      </w:r>
      <w:r w:rsidR="00896F62" w:rsidRPr="0057419F">
        <w:rPr>
          <w:rFonts w:cstheme="minorHAnsi"/>
          <w:sz w:val="24"/>
          <w:szCs w:val="24"/>
          <w:lang w:val="nb-NO"/>
        </w:rPr>
        <w:instrText>"},{"dropping-particle":"","family":"Martin","given":"Katrin","non-dropping-particle":"","parse-names":false,"suffix":""},{"dropping-particle":"","family":"Opatová","given":"Pavlína","non-dropping-particle":"","parse-names":false,"suffix":""},{"dropping-particle":"","family":"Albrechtová","given":"Jana","non-dropping-particle":"","parse-names":false,"suffix":""},{"dropping-particle":"","family":"Wittig","given":"Michael","non-dropping-particle":"","parse-names":false,"suffix":""},{"dropping-particle":"","family":"Franke","given":"Andre","non-dropping-particle":"","parse-names":false,"suffix":""},{"dropping-particle":"","family":"Albrecht","given":"Tomáš","non-dropping-particle":"","parse-names":false,"suffix":""},{"dropping-particle":"","family":"Kempenaers","given":"Bart","non-dropping-particle":"","parse-names":false,"suffix":""}],"container-title":"Nature Ecology &amp; Evolution","id":"ITEM-1","issue":"8","issued":{"date-parts":[["2017","7","17"]]},"page":"1177-1184","title":"A sex-chromosome inversion causes strong overdominance for sperm traits that affect siring success","type":"article-journal","volume":"1"},"uris":["http://www.mendeley.com/documents/?uuid=3efe8240-b58b-3012-b842-e07f5aec233d"]}],"mendeley":{"formattedCitation":"(Knief et al., 2017)","plainTextFormattedCitation":"(Knief et al., 2017)","previouslyFormattedCitation":"(Knief et al., 2017)"},"properties":{"noteIndex":0},"schema":"https://github.com/citation-style-language/schema/raw/master/csl-citation.json"}</w:instrText>
      </w:r>
      <w:r w:rsidR="00C41BFE" w:rsidRPr="00DF4AA6">
        <w:rPr>
          <w:rFonts w:cstheme="minorHAnsi"/>
          <w:sz w:val="24"/>
          <w:szCs w:val="24"/>
        </w:rPr>
        <w:fldChar w:fldCharType="separate"/>
      </w:r>
      <w:r w:rsidR="001E0464" w:rsidRPr="0057419F">
        <w:rPr>
          <w:rFonts w:cstheme="minorHAnsi"/>
          <w:noProof/>
          <w:sz w:val="24"/>
          <w:szCs w:val="24"/>
          <w:lang w:val="nb-NO"/>
        </w:rPr>
        <w:t>(Knief et al., 2017)</w:t>
      </w:r>
      <w:r w:rsidR="00C41BFE" w:rsidRPr="00DF4AA6">
        <w:rPr>
          <w:rFonts w:cstheme="minorHAnsi"/>
          <w:sz w:val="24"/>
          <w:szCs w:val="24"/>
        </w:rPr>
        <w:fldChar w:fldCharType="end"/>
      </w:r>
      <w:r w:rsidR="00C41BFE" w:rsidRPr="0057419F">
        <w:rPr>
          <w:rFonts w:cstheme="minorHAnsi"/>
          <w:sz w:val="24"/>
          <w:szCs w:val="24"/>
          <w:lang w:val="nb-NO"/>
        </w:rPr>
        <w:t xml:space="preserve">. </w:t>
      </w:r>
    </w:p>
    <w:p w14:paraId="6A0D4A14" w14:textId="64517DF4" w:rsidR="00C41BFE" w:rsidRPr="002356D5" w:rsidRDefault="00C41BFE" w:rsidP="00E4181F">
      <w:pPr>
        <w:spacing w:after="0" w:line="480" w:lineRule="auto"/>
        <w:ind w:firstLine="720"/>
        <w:contextualSpacing/>
        <w:jc w:val="both"/>
        <w:rPr>
          <w:rFonts w:cstheme="minorHAnsi"/>
          <w:sz w:val="24"/>
          <w:szCs w:val="24"/>
        </w:rPr>
      </w:pPr>
      <w:r w:rsidRPr="0057419F">
        <w:rPr>
          <w:rFonts w:cstheme="minorHAnsi"/>
          <w:sz w:val="24"/>
          <w:szCs w:val="24"/>
          <w:lang w:val="nb-NO"/>
        </w:rPr>
        <w:t xml:space="preserve">Crosses were made between </w:t>
      </w:r>
      <w:r w:rsidR="0082786E" w:rsidRPr="0057419F">
        <w:rPr>
          <w:rFonts w:cstheme="minorHAnsi"/>
          <w:sz w:val="24"/>
          <w:szCs w:val="24"/>
          <w:lang w:val="nb-NO"/>
        </w:rPr>
        <w:t>individuals in order to produce</w:t>
      </w:r>
      <w:r w:rsidRPr="0057419F">
        <w:rPr>
          <w:rFonts w:cstheme="minorHAnsi"/>
          <w:sz w:val="24"/>
          <w:szCs w:val="24"/>
          <w:lang w:val="nb-NO"/>
        </w:rPr>
        <w:t xml:space="preserve"> AA, AB* and B*B* </w:t>
      </w:r>
      <w:r w:rsidR="0082786E" w:rsidRPr="0057419F">
        <w:rPr>
          <w:rFonts w:cstheme="minorHAnsi"/>
          <w:sz w:val="24"/>
          <w:szCs w:val="24"/>
          <w:lang w:val="nb-NO"/>
        </w:rPr>
        <w:t xml:space="preserve">males and inversion genotyping for all samples was done </w:t>
      </w:r>
      <w:r w:rsidR="00C12046" w:rsidRPr="0057419F">
        <w:rPr>
          <w:rFonts w:cstheme="minorHAnsi"/>
          <w:sz w:val="24"/>
          <w:szCs w:val="24"/>
          <w:lang w:val="nb-NO"/>
        </w:rPr>
        <w:t>using 6 tag SNPs</w:t>
      </w:r>
      <w:r w:rsidR="0082786E" w:rsidRPr="0057419F">
        <w:rPr>
          <w:rFonts w:cstheme="minorHAnsi"/>
          <w:sz w:val="24"/>
          <w:szCs w:val="24"/>
          <w:lang w:val="nb-NO"/>
        </w:rPr>
        <w:t xml:space="preserve"> </w:t>
      </w:r>
      <w:r w:rsidR="0057419F">
        <w:rPr>
          <w:rFonts w:cstheme="minorHAnsi"/>
          <w:sz w:val="24"/>
          <w:szCs w:val="24"/>
          <w:lang w:val="nb-NO"/>
        </w:rPr>
        <w:fldChar w:fldCharType="begin" w:fldLock="1"/>
      </w:r>
      <w:r w:rsidR="0057419F">
        <w:rPr>
          <w:rFonts w:cstheme="minorHAnsi"/>
          <w:sz w:val="24"/>
          <w:szCs w:val="24"/>
          <w:lang w:val="nb-NO"/>
        </w:rPr>
        <w:instrText>ADDIN CSL_CITATION {"citationItems":[{"id":"ITEM-1","itemData":{"DOI":"10.1038/s41559-017-0236-1","ISSN":"2397-334X","PMID":"29046576","abstract":"Male reproductive success depends on the competitive ability of sperm to fertilize the ova, which should lead to strong selection on sperm characteristics. This raises the question of how heritable variation in sperm traits is maintained. Here we show that in zebra finches (Taeniopygia guttata) nearly half of the variance in sperm morphology is explained by an inversion on the Z chromosome with a 40% allele frequency in the wild. The sperm of males that are heterozygous for the inversion had the longest midpieces and the highest velocity. Furthermore, such males achieved the highest fertility and the highest siring success, both within-pair and extra-pair. Males homozygous for the derived allele show detrimental sperm characteristics and the lowest siring success. Our results suggest heterozygote advantage as the mechanism that maintains the inversion polymorphism and hence variance in sperm design and in fitness.","author":[{"dropping-particle":"","family":"Knief","given":"Ulrich","non-dropping-particle":"","parse-names":false,"suffix":""},{"dropping-particle":"","family":"Forstmeier","given":"Wolfgang","non-dropping-particle":"","parse-names":false,"suffix":""},{"dropping-particle":"","family":"Pei","given":"Yifan","non-dropping-particle":"","parse-names":false,"suffix":""},{"dropping-particle":"","family":"Ihle","given":"Malika","non-dropping-particle":"","parse-names":false,"suffix":""},{"dropping-particle":"","family":"Wang","given":"Daiping","non-dropping-particle":"","parse-names":false,"suffix":""},{"dropping-particle":"","family":"Martin","given":"Katrin","non-dropping-particle":"","parse-names":false,"suffix":""},{"dropping-particle":"","family":"Opatová","given":"Pavlína","non-dropping-particle":"","parse-names":false,"suffix":""},{"dropping-particle":"","family":"Albrechtová","given":"Jana","non-dropping-particle":"","parse-names":false,"suffix":""},{"dropping-particle":"","family":"Wittig","given":"Michael","non-dropping-particle":"","parse-names":false,"suffix":""},{"dropping-particle":"","family":"Franke","given":"Andre","non-dropping-particle":"","parse-names":false,"suffix":""},{"dropping-particle":"","family":"Albrecht","given":"Tomáš","non-dropping-particle":"","parse-names":false,"suffix":""},{"dropping-particle":"","family":"Kempenaers","given":"Bart","non-dropping-particle":"","parse-names":false,"suffix":""}],"container-title":"Nature Ecology &amp; Evolution","id":"ITEM-1","issue":"8","issued":{"date-parts":[["2017","7","17"]]},"page":"1177-1184","title":"A sex-chromosome inversion causes strong overdominance for sperm traits that affect siring success","type":"article-journal","volume":"1"},"uris":["http://www.mendeley.com/documents/?uuid=3efe8240-b58b-3012-b842-e07f5aec233d"]}],"mendeley":{"formattedCitation":"(Knief et al., 2017)","plainTextFormattedCitation":"(Knief et al., 2017)","previouslyFormattedCitation":"(Knief et al., 2017)"},"properties":{"noteIndex":0},"schema":"https://github.com/citation-style-language/schema/raw/master/csl-citation.json"}</w:instrText>
      </w:r>
      <w:r w:rsidR="0057419F">
        <w:rPr>
          <w:rFonts w:cstheme="minorHAnsi"/>
          <w:sz w:val="24"/>
          <w:szCs w:val="24"/>
          <w:lang w:val="nb-NO"/>
        </w:rPr>
        <w:fldChar w:fldCharType="separate"/>
      </w:r>
      <w:r w:rsidR="0057419F" w:rsidRPr="0057419F">
        <w:rPr>
          <w:rFonts w:cstheme="minorHAnsi"/>
          <w:noProof/>
          <w:sz w:val="24"/>
          <w:szCs w:val="24"/>
          <w:lang w:val="nb-NO"/>
        </w:rPr>
        <w:t>(Knief et al., 2017)</w:t>
      </w:r>
      <w:r w:rsidR="0057419F">
        <w:rPr>
          <w:rFonts w:cstheme="minorHAnsi"/>
          <w:sz w:val="24"/>
          <w:szCs w:val="24"/>
          <w:lang w:val="nb-NO"/>
        </w:rPr>
        <w:fldChar w:fldCharType="end"/>
      </w:r>
      <w:r w:rsidR="0057419F">
        <w:rPr>
          <w:rFonts w:cstheme="minorHAnsi"/>
          <w:sz w:val="24"/>
          <w:szCs w:val="24"/>
          <w:lang w:val="nb-NO"/>
        </w:rPr>
        <w:t xml:space="preserve">. </w:t>
      </w:r>
      <w:r w:rsidR="0082786E">
        <w:rPr>
          <w:rFonts w:cstheme="minorHAnsi"/>
          <w:sz w:val="24"/>
          <w:szCs w:val="24"/>
        </w:rPr>
        <w:t>M</w:t>
      </w:r>
      <w:r w:rsidRPr="002356D5">
        <w:rPr>
          <w:rFonts w:cstheme="minorHAnsi"/>
          <w:sz w:val="24"/>
          <w:szCs w:val="24"/>
        </w:rPr>
        <w:t xml:space="preserve">ale offspring </w:t>
      </w:r>
      <w:r>
        <w:rPr>
          <w:rFonts w:cstheme="minorHAnsi"/>
          <w:sz w:val="24"/>
          <w:szCs w:val="24"/>
        </w:rPr>
        <w:t xml:space="preserve">from the crosses </w:t>
      </w:r>
      <w:r w:rsidRPr="002356D5">
        <w:rPr>
          <w:rFonts w:cstheme="minorHAnsi"/>
          <w:sz w:val="24"/>
          <w:szCs w:val="24"/>
        </w:rPr>
        <w:t xml:space="preserve">were sampled between 49-69 days of age </w:t>
      </w:r>
      <w:r>
        <w:rPr>
          <w:rFonts w:cstheme="minorHAnsi"/>
          <w:sz w:val="24"/>
          <w:szCs w:val="24"/>
        </w:rPr>
        <w:t xml:space="preserve">to </w:t>
      </w:r>
      <w:r w:rsidRPr="002356D5">
        <w:rPr>
          <w:rFonts w:cstheme="minorHAnsi"/>
          <w:sz w:val="24"/>
          <w:szCs w:val="24"/>
        </w:rPr>
        <w:t>captur</w:t>
      </w:r>
      <w:r>
        <w:rPr>
          <w:rFonts w:cstheme="minorHAnsi"/>
          <w:sz w:val="24"/>
          <w:szCs w:val="24"/>
        </w:rPr>
        <w:t>e</w:t>
      </w:r>
      <w:r w:rsidRPr="002356D5">
        <w:rPr>
          <w:rFonts w:cstheme="minorHAnsi"/>
          <w:sz w:val="24"/>
          <w:szCs w:val="24"/>
        </w:rPr>
        <w:t xml:space="preserve"> different </w:t>
      </w:r>
      <w:r>
        <w:rPr>
          <w:rFonts w:cstheme="minorHAnsi"/>
          <w:sz w:val="24"/>
          <w:szCs w:val="24"/>
        </w:rPr>
        <w:t xml:space="preserve">timepoints of testis development </w:t>
      </w:r>
      <w:r w:rsidRPr="002356D5">
        <w:rPr>
          <w:rFonts w:cstheme="minorHAnsi"/>
          <w:sz w:val="24"/>
          <w:szCs w:val="24"/>
        </w:rPr>
        <w:t xml:space="preserve">from immature to fully mature. </w:t>
      </w:r>
      <w:r>
        <w:rPr>
          <w:rFonts w:cstheme="minorHAnsi"/>
          <w:sz w:val="24"/>
          <w:szCs w:val="24"/>
        </w:rPr>
        <w:t>B</w:t>
      </w:r>
      <w:r w:rsidRPr="002356D5">
        <w:rPr>
          <w:rFonts w:cstheme="minorHAnsi"/>
          <w:sz w:val="24"/>
          <w:szCs w:val="24"/>
        </w:rPr>
        <w:t>irds were euthanized</w:t>
      </w:r>
      <w:r w:rsidR="00575E7D">
        <w:rPr>
          <w:rFonts w:cstheme="minorHAnsi"/>
          <w:sz w:val="24"/>
          <w:szCs w:val="24"/>
        </w:rPr>
        <w:t xml:space="preserve"> by u</w:t>
      </w:r>
      <w:r w:rsidR="00575E7D" w:rsidRPr="00575E7D">
        <w:rPr>
          <w:rFonts w:cstheme="minorHAnsi"/>
          <w:sz w:val="24"/>
          <w:szCs w:val="24"/>
        </w:rPr>
        <w:t>sing cervical dislocation</w:t>
      </w:r>
      <w:r w:rsidR="00575E7D">
        <w:rPr>
          <w:rFonts w:cstheme="minorHAnsi"/>
          <w:sz w:val="24"/>
          <w:szCs w:val="24"/>
        </w:rPr>
        <w:t>,</w:t>
      </w:r>
      <w:r w:rsidRPr="002356D5">
        <w:rPr>
          <w:rFonts w:cstheme="minorHAnsi"/>
          <w:sz w:val="24"/>
          <w:szCs w:val="24"/>
        </w:rPr>
        <w:t xml:space="preserve"> and both right testis and liver tissue were frozen in liquid nitrogen and stored at -80</w:t>
      </w:r>
      <w:r w:rsidRPr="002356D5">
        <w:rPr>
          <w:rFonts w:cstheme="minorHAnsi"/>
          <w:sz w:val="24"/>
          <w:szCs w:val="24"/>
        </w:rPr>
        <w:sym w:font="Symbol" w:char="F0B0"/>
      </w:r>
      <w:r w:rsidRPr="002356D5">
        <w:rPr>
          <w:rFonts w:cstheme="minorHAnsi"/>
          <w:sz w:val="24"/>
          <w:szCs w:val="24"/>
        </w:rPr>
        <w:t>C until further analysis. Left testis was</w:t>
      </w:r>
      <w:r>
        <w:rPr>
          <w:rFonts w:cstheme="minorHAnsi"/>
          <w:sz w:val="24"/>
          <w:szCs w:val="24"/>
        </w:rPr>
        <w:t xml:space="preserve"> fixed in Davidson’s Fixative, and later</w:t>
      </w:r>
      <w:r w:rsidRPr="002356D5">
        <w:rPr>
          <w:rFonts w:cstheme="minorHAnsi"/>
          <w:sz w:val="24"/>
          <w:szCs w:val="24"/>
        </w:rPr>
        <w:t xml:space="preserve"> prepared for histological determination of </w:t>
      </w:r>
      <w:r>
        <w:rPr>
          <w:rFonts w:cstheme="minorHAnsi"/>
          <w:sz w:val="24"/>
          <w:szCs w:val="24"/>
        </w:rPr>
        <w:t xml:space="preserve">testis development. </w:t>
      </w:r>
      <w:r w:rsidRPr="002356D5">
        <w:rPr>
          <w:rFonts w:cstheme="minorHAnsi"/>
          <w:sz w:val="24"/>
          <w:szCs w:val="24"/>
        </w:rPr>
        <w:t xml:space="preserve"> </w:t>
      </w:r>
      <w:r>
        <w:rPr>
          <w:rFonts w:cstheme="minorHAnsi"/>
          <w:sz w:val="24"/>
          <w:szCs w:val="24"/>
        </w:rPr>
        <w:t>B</w:t>
      </w:r>
      <w:r w:rsidRPr="002356D5">
        <w:rPr>
          <w:rFonts w:cstheme="minorHAnsi"/>
          <w:sz w:val="24"/>
          <w:szCs w:val="24"/>
        </w:rPr>
        <w:t xml:space="preserve">ased on </w:t>
      </w:r>
      <w:r>
        <w:rPr>
          <w:rFonts w:cstheme="minorHAnsi"/>
          <w:sz w:val="24"/>
          <w:szCs w:val="24"/>
        </w:rPr>
        <w:t xml:space="preserve">histological sections of the testes, the </w:t>
      </w:r>
      <w:r w:rsidRPr="002356D5">
        <w:rPr>
          <w:rFonts w:cstheme="minorHAnsi"/>
          <w:sz w:val="24"/>
          <w:szCs w:val="24"/>
        </w:rPr>
        <w:t xml:space="preserve">presence of developing sperm </w:t>
      </w:r>
      <w:r>
        <w:rPr>
          <w:rFonts w:cstheme="minorHAnsi"/>
          <w:sz w:val="24"/>
          <w:szCs w:val="24"/>
        </w:rPr>
        <w:t xml:space="preserve">was checked, </w:t>
      </w:r>
      <w:r w:rsidRPr="002356D5">
        <w:rPr>
          <w:rFonts w:cstheme="minorHAnsi"/>
          <w:sz w:val="24"/>
          <w:szCs w:val="24"/>
        </w:rPr>
        <w:t xml:space="preserve">and </w:t>
      </w:r>
      <w:r w:rsidR="0081028B">
        <w:rPr>
          <w:rFonts w:cstheme="minorHAnsi"/>
          <w:sz w:val="24"/>
          <w:szCs w:val="24"/>
        </w:rPr>
        <w:t>developmental stage</w:t>
      </w:r>
      <w:r w:rsidRPr="002356D5">
        <w:rPr>
          <w:rFonts w:cstheme="minorHAnsi"/>
          <w:sz w:val="24"/>
          <w:szCs w:val="24"/>
        </w:rPr>
        <w:t xml:space="preserve"> </w:t>
      </w:r>
      <w:r>
        <w:rPr>
          <w:rFonts w:cstheme="minorHAnsi"/>
          <w:sz w:val="24"/>
          <w:szCs w:val="24"/>
        </w:rPr>
        <w:t xml:space="preserve">was determined </w:t>
      </w:r>
      <w:r w:rsidRPr="002356D5">
        <w:rPr>
          <w:rFonts w:cstheme="minorHAnsi"/>
          <w:sz w:val="24"/>
          <w:szCs w:val="24"/>
        </w:rPr>
        <w:t xml:space="preserve">as follows: </w:t>
      </w:r>
      <w:r w:rsidR="00575E7D">
        <w:rPr>
          <w:rFonts w:cstheme="minorHAnsi"/>
          <w:sz w:val="24"/>
          <w:szCs w:val="24"/>
        </w:rPr>
        <w:t xml:space="preserve">timepoint 1 = </w:t>
      </w:r>
      <w:r w:rsidRPr="002356D5">
        <w:rPr>
          <w:rFonts w:cstheme="minorHAnsi"/>
          <w:sz w:val="24"/>
          <w:szCs w:val="24"/>
        </w:rPr>
        <w:t xml:space="preserve">Inactive with no elongation, no sperm; </w:t>
      </w:r>
      <w:r w:rsidR="00575E7D">
        <w:rPr>
          <w:rFonts w:cstheme="minorHAnsi"/>
          <w:sz w:val="24"/>
          <w:szCs w:val="24"/>
        </w:rPr>
        <w:t xml:space="preserve">timepoint2 = </w:t>
      </w:r>
      <w:r w:rsidRPr="002356D5">
        <w:rPr>
          <w:rFonts w:cstheme="minorHAnsi"/>
          <w:sz w:val="24"/>
          <w:szCs w:val="24"/>
        </w:rPr>
        <w:t xml:space="preserve">Accelerating I with no elongation, no sperm; </w:t>
      </w:r>
      <w:r w:rsidR="00575E7D">
        <w:rPr>
          <w:rFonts w:cstheme="minorHAnsi"/>
          <w:sz w:val="24"/>
          <w:szCs w:val="24"/>
        </w:rPr>
        <w:t xml:space="preserve">timepoint 3 = </w:t>
      </w:r>
      <w:r w:rsidRPr="002356D5">
        <w:rPr>
          <w:rFonts w:cstheme="minorHAnsi"/>
          <w:sz w:val="24"/>
          <w:szCs w:val="24"/>
        </w:rPr>
        <w:t xml:space="preserve">Accelerating II with elongating spermatids visible and </w:t>
      </w:r>
      <w:r w:rsidRPr="00C12046">
        <w:rPr>
          <w:rFonts w:cstheme="minorHAnsi"/>
          <w:sz w:val="24"/>
          <w:szCs w:val="24"/>
        </w:rPr>
        <w:t>maturation index</w:t>
      </w:r>
      <w:r w:rsidRPr="002356D5">
        <w:rPr>
          <w:rFonts w:cstheme="minorHAnsi"/>
          <w:sz w:val="24"/>
          <w:szCs w:val="24"/>
        </w:rPr>
        <w:t xml:space="preserve"> -0.7 – 0.1;</w:t>
      </w:r>
      <w:r w:rsidR="00575E7D">
        <w:rPr>
          <w:rFonts w:cstheme="minorHAnsi"/>
          <w:sz w:val="24"/>
          <w:szCs w:val="24"/>
        </w:rPr>
        <w:t xml:space="preserve"> timepoint 4 = </w:t>
      </w:r>
      <w:r w:rsidRPr="002356D5">
        <w:rPr>
          <w:rFonts w:cstheme="minorHAnsi"/>
          <w:sz w:val="24"/>
          <w:szCs w:val="24"/>
        </w:rPr>
        <w:t xml:space="preserve">Active with elongating spermatids visible and maturation index 0.1 – 0.7. </w:t>
      </w:r>
      <w:r>
        <w:rPr>
          <w:rFonts w:cstheme="minorHAnsi"/>
          <w:sz w:val="24"/>
          <w:szCs w:val="24"/>
        </w:rPr>
        <w:t xml:space="preserve">The final dataset consisted of </w:t>
      </w:r>
      <w:r w:rsidRPr="002356D5">
        <w:rPr>
          <w:rFonts w:cstheme="minorHAnsi"/>
          <w:sz w:val="24"/>
          <w:szCs w:val="24"/>
        </w:rPr>
        <w:t xml:space="preserve">32 birds </w:t>
      </w:r>
      <w:r>
        <w:rPr>
          <w:rFonts w:cstheme="minorHAnsi"/>
          <w:sz w:val="24"/>
          <w:szCs w:val="24"/>
        </w:rPr>
        <w:t xml:space="preserve">which spanned across the </w:t>
      </w:r>
      <w:r w:rsidR="003233EB">
        <w:rPr>
          <w:rFonts w:cstheme="minorHAnsi"/>
          <w:sz w:val="24"/>
          <w:szCs w:val="24"/>
        </w:rPr>
        <w:t>testis development stage</w:t>
      </w:r>
      <w:r>
        <w:rPr>
          <w:rFonts w:cstheme="minorHAnsi"/>
          <w:sz w:val="24"/>
          <w:szCs w:val="24"/>
        </w:rPr>
        <w:t xml:space="preserve"> </w:t>
      </w:r>
      <w:r w:rsidRPr="002356D5">
        <w:rPr>
          <w:rFonts w:cstheme="minorHAnsi"/>
          <w:sz w:val="24"/>
          <w:szCs w:val="24"/>
        </w:rPr>
        <w:t xml:space="preserve">in each of the </w:t>
      </w:r>
      <w:r>
        <w:rPr>
          <w:rFonts w:cstheme="minorHAnsi"/>
          <w:sz w:val="24"/>
          <w:szCs w:val="24"/>
        </w:rPr>
        <w:t xml:space="preserve">inversion karyotypes as described in </w:t>
      </w:r>
      <w:r w:rsidRPr="002356D5">
        <w:rPr>
          <w:rFonts w:cstheme="minorHAnsi"/>
          <w:sz w:val="24"/>
          <w:szCs w:val="24"/>
        </w:rPr>
        <w:t>table 1.</w:t>
      </w:r>
    </w:p>
    <w:p w14:paraId="1ADFE119" w14:textId="77777777" w:rsidR="00C41BFE" w:rsidRPr="002356D5" w:rsidRDefault="00C41BFE" w:rsidP="00C41BFE">
      <w:pPr>
        <w:spacing w:after="0" w:line="480" w:lineRule="auto"/>
        <w:contextualSpacing/>
        <w:jc w:val="both"/>
        <w:rPr>
          <w:rFonts w:cstheme="minorHAnsi"/>
          <w:sz w:val="24"/>
          <w:szCs w:val="24"/>
        </w:rPr>
      </w:pPr>
    </w:p>
    <w:p w14:paraId="19CB2AEA" w14:textId="74695A76" w:rsidR="00C41BFE" w:rsidRPr="002356D5" w:rsidRDefault="00C41BFE" w:rsidP="00C41BFE">
      <w:pPr>
        <w:spacing w:after="0" w:line="480" w:lineRule="auto"/>
        <w:contextualSpacing/>
        <w:jc w:val="both"/>
        <w:rPr>
          <w:rFonts w:cstheme="minorHAnsi"/>
          <w:i/>
          <w:iCs/>
          <w:sz w:val="24"/>
          <w:szCs w:val="24"/>
        </w:rPr>
      </w:pPr>
      <w:r w:rsidRPr="002356D5">
        <w:rPr>
          <w:rFonts w:cstheme="minorHAnsi"/>
          <w:i/>
          <w:iCs/>
          <w:sz w:val="24"/>
          <w:szCs w:val="24"/>
        </w:rPr>
        <w:t>Table 1. Final dataset</w:t>
      </w:r>
      <w:r w:rsidR="00E4181F">
        <w:rPr>
          <w:rFonts w:cstheme="minorHAnsi"/>
          <w:i/>
          <w:iCs/>
          <w:sz w:val="24"/>
          <w:szCs w:val="24"/>
        </w:rPr>
        <w:t>,</w:t>
      </w:r>
      <w:r w:rsidRPr="002356D5">
        <w:rPr>
          <w:rFonts w:cstheme="minorHAnsi"/>
          <w:i/>
          <w:iCs/>
          <w:sz w:val="24"/>
          <w:szCs w:val="24"/>
        </w:rPr>
        <w:t xml:space="preserve"> across genotypes and </w:t>
      </w:r>
      <w:r w:rsidR="00E4181F">
        <w:rPr>
          <w:rFonts w:cstheme="minorHAnsi"/>
          <w:i/>
          <w:iCs/>
          <w:sz w:val="24"/>
          <w:szCs w:val="24"/>
        </w:rPr>
        <w:t xml:space="preserve">testis </w:t>
      </w:r>
      <w:r w:rsidR="003233EB">
        <w:rPr>
          <w:rFonts w:cstheme="minorHAnsi"/>
          <w:i/>
          <w:iCs/>
          <w:sz w:val="24"/>
          <w:szCs w:val="24"/>
        </w:rPr>
        <w:t xml:space="preserve">development </w:t>
      </w:r>
      <w:r w:rsidR="00E4181F">
        <w:rPr>
          <w:rFonts w:cstheme="minorHAnsi"/>
          <w:i/>
          <w:iCs/>
          <w:sz w:val="24"/>
          <w:szCs w:val="24"/>
        </w:rPr>
        <w:t>stage,</w:t>
      </w:r>
      <w:r w:rsidRPr="002356D5">
        <w:rPr>
          <w:rFonts w:cstheme="minorHAnsi"/>
          <w:i/>
          <w:iCs/>
          <w:sz w:val="24"/>
          <w:szCs w:val="24"/>
        </w:rPr>
        <w:t xml:space="preserve"> consisted of 32 birds</w:t>
      </w:r>
      <w:r w:rsidR="00E4181F">
        <w:rPr>
          <w:rFonts w:cstheme="minorHAnsi"/>
          <w:i/>
          <w:iCs/>
          <w:sz w:val="24"/>
          <w:szCs w:val="24"/>
        </w:rPr>
        <w:t xml:space="preserve">. </w:t>
      </w:r>
      <w:r w:rsidRPr="002356D5">
        <w:rPr>
          <w:rFonts w:cstheme="minorHAnsi"/>
          <w:i/>
          <w:iCs/>
          <w:sz w:val="24"/>
          <w:szCs w:val="24"/>
        </w:rPr>
        <w:t xml:space="preserve"> </w:t>
      </w:r>
      <w:r>
        <w:rPr>
          <w:rFonts w:cstheme="minorHAnsi"/>
          <w:i/>
          <w:iCs/>
          <w:sz w:val="24"/>
          <w:szCs w:val="24"/>
        </w:rPr>
        <w:t>B* indicates the number of derived chromosome Z inversions an individual carries. B* can be B or C inversion type.</w:t>
      </w:r>
    </w:p>
    <w:tbl>
      <w:tblPr>
        <w:tblW w:w="8212" w:type="dxa"/>
        <w:tblCellMar>
          <w:left w:w="0" w:type="dxa"/>
          <w:right w:w="0" w:type="dxa"/>
        </w:tblCellMar>
        <w:tblLook w:val="0600" w:firstRow="0" w:lastRow="0" w:firstColumn="0" w:lastColumn="0" w:noHBand="1" w:noVBand="1"/>
      </w:tblPr>
      <w:tblGrid>
        <w:gridCol w:w="1408"/>
        <w:gridCol w:w="1701"/>
        <w:gridCol w:w="1559"/>
        <w:gridCol w:w="1843"/>
        <w:gridCol w:w="1701"/>
      </w:tblGrid>
      <w:tr w:rsidR="00C41BFE" w:rsidRPr="00DF5356" w14:paraId="219353A3" w14:textId="77777777" w:rsidTr="001E6F60">
        <w:trPr>
          <w:trHeight w:val="593"/>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hideMark/>
          </w:tcPr>
          <w:p w14:paraId="223A1AA4" w14:textId="77777777" w:rsidR="00C41BFE" w:rsidRPr="002356D5" w:rsidRDefault="00C41BFE" w:rsidP="00E4181F">
            <w:pPr>
              <w:spacing w:after="0" w:line="480" w:lineRule="auto"/>
              <w:contextualSpacing/>
              <w:jc w:val="center"/>
              <w:rPr>
                <w:rFonts w:cstheme="minorHAnsi"/>
                <w:sz w:val="24"/>
                <w:szCs w:val="24"/>
              </w:rPr>
            </w:pPr>
            <w:r>
              <w:rPr>
                <w:rFonts w:cstheme="minorHAnsi"/>
                <w:sz w:val="24"/>
                <w:szCs w:val="24"/>
              </w:rPr>
              <w:lastRenderedPageBreak/>
              <w:t>Karyotype</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2A1CD1EF" w14:textId="64B35286" w:rsidR="00C41BFE" w:rsidRPr="002356D5" w:rsidRDefault="001E6F60" w:rsidP="00E4181F">
            <w:pPr>
              <w:spacing w:after="0" w:line="480" w:lineRule="auto"/>
              <w:contextualSpacing/>
              <w:jc w:val="center"/>
              <w:rPr>
                <w:rFonts w:cstheme="minorHAnsi"/>
                <w:sz w:val="24"/>
                <w:szCs w:val="24"/>
              </w:rPr>
            </w:pPr>
            <w:r>
              <w:rPr>
                <w:rFonts w:cstheme="minorHAnsi"/>
                <w:sz w:val="24"/>
                <w:szCs w:val="24"/>
              </w:rPr>
              <w:t>Timepoint</w:t>
            </w:r>
            <w:r w:rsidRPr="00E97A23">
              <w:rPr>
                <w:rFonts w:cstheme="minorHAnsi"/>
                <w:sz w:val="24"/>
                <w:szCs w:val="24"/>
              </w:rPr>
              <w:t xml:space="preserve"> </w:t>
            </w:r>
            <w:r w:rsidR="00C41BFE" w:rsidRPr="00E97A23">
              <w:rPr>
                <w:rFonts w:cstheme="minorHAnsi"/>
                <w:sz w:val="24"/>
                <w:szCs w:val="24"/>
              </w:rPr>
              <w:t>1:</w:t>
            </w:r>
            <w:r w:rsidR="00C41BFE" w:rsidRPr="00E97A23">
              <w:rPr>
                <w:rFonts w:cstheme="minorHAnsi"/>
                <w:sz w:val="24"/>
                <w:szCs w:val="24"/>
              </w:rPr>
              <w:br/>
              <w:t>Inactive</w:t>
            </w:r>
          </w:p>
        </w:tc>
        <w:tc>
          <w:tcPr>
            <w:tcW w:w="155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2EAE74D3" w14:textId="000206FA" w:rsidR="00C41BFE" w:rsidRPr="002356D5" w:rsidRDefault="001E6F60" w:rsidP="00E4181F">
            <w:pPr>
              <w:spacing w:after="0" w:line="480" w:lineRule="auto"/>
              <w:contextualSpacing/>
              <w:jc w:val="center"/>
              <w:rPr>
                <w:rFonts w:cstheme="minorHAnsi"/>
                <w:sz w:val="24"/>
                <w:szCs w:val="24"/>
              </w:rPr>
            </w:pPr>
            <w:r>
              <w:rPr>
                <w:rFonts w:cstheme="minorHAnsi"/>
                <w:sz w:val="24"/>
                <w:szCs w:val="24"/>
              </w:rPr>
              <w:t xml:space="preserve">Timepoint </w:t>
            </w:r>
            <w:r w:rsidR="00C41BFE" w:rsidRPr="00E97A23">
              <w:rPr>
                <w:rFonts w:cstheme="minorHAnsi"/>
                <w:sz w:val="24"/>
                <w:szCs w:val="24"/>
              </w:rPr>
              <w:t>2:</w:t>
            </w:r>
            <w:r w:rsidR="00C41BFE" w:rsidRPr="00E97A23">
              <w:rPr>
                <w:rFonts w:cstheme="minorHAnsi"/>
                <w:sz w:val="24"/>
                <w:szCs w:val="24"/>
              </w:rPr>
              <w:br/>
              <w:t>Accelerating I</w:t>
            </w:r>
          </w:p>
        </w:tc>
        <w:tc>
          <w:tcPr>
            <w:tcW w:w="184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75C48290" w14:textId="68D262DC" w:rsidR="00C41BFE" w:rsidRPr="002356D5" w:rsidRDefault="001E6F60" w:rsidP="00E4181F">
            <w:pPr>
              <w:spacing w:after="0" w:line="480" w:lineRule="auto"/>
              <w:contextualSpacing/>
              <w:jc w:val="center"/>
              <w:rPr>
                <w:rFonts w:cstheme="minorHAnsi"/>
                <w:sz w:val="24"/>
                <w:szCs w:val="24"/>
              </w:rPr>
            </w:pPr>
            <w:r>
              <w:rPr>
                <w:rFonts w:cstheme="minorHAnsi"/>
                <w:sz w:val="24"/>
                <w:szCs w:val="24"/>
              </w:rPr>
              <w:t>Timepoint</w:t>
            </w:r>
            <w:r w:rsidRPr="00E97A23">
              <w:rPr>
                <w:rFonts w:cstheme="minorHAnsi"/>
                <w:sz w:val="24"/>
                <w:szCs w:val="24"/>
              </w:rPr>
              <w:t xml:space="preserve"> </w:t>
            </w:r>
            <w:r w:rsidR="00C41BFE" w:rsidRPr="00E97A23">
              <w:rPr>
                <w:rFonts w:cstheme="minorHAnsi"/>
                <w:sz w:val="24"/>
                <w:szCs w:val="24"/>
              </w:rPr>
              <w:t>3:</w:t>
            </w:r>
            <w:r w:rsidR="00C41BFE" w:rsidRPr="00E97A23">
              <w:rPr>
                <w:rFonts w:cstheme="minorHAnsi"/>
                <w:sz w:val="24"/>
                <w:szCs w:val="24"/>
              </w:rPr>
              <w:br/>
              <w:t>Accelerating II</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0ED1CC32" w14:textId="6A277B0C" w:rsidR="00C41BFE" w:rsidRPr="002356D5" w:rsidRDefault="001E6F60" w:rsidP="00E4181F">
            <w:pPr>
              <w:spacing w:after="0" w:line="480" w:lineRule="auto"/>
              <w:contextualSpacing/>
              <w:jc w:val="center"/>
              <w:rPr>
                <w:rFonts w:cstheme="minorHAnsi"/>
                <w:sz w:val="24"/>
                <w:szCs w:val="24"/>
              </w:rPr>
            </w:pPr>
            <w:r>
              <w:rPr>
                <w:rFonts w:cstheme="minorHAnsi"/>
                <w:sz w:val="24"/>
                <w:szCs w:val="24"/>
              </w:rPr>
              <w:t>Timepoint</w:t>
            </w:r>
            <w:r w:rsidRPr="00E97A23">
              <w:rPr>
                <w:rFonts w:cstheme="minorHAnsi"/>
                <w:sz w:val="24"/>
                <w:szCs w:val="24"/>
              </w:rPr>
              <w:t xml:space="preserve"> </w:t>
            </w:r>
            <w:r w:rsidR="00C41BFE" w:rsidRPr="00E97A23">
              <w:rPr>
                <w:rFonts w:cstheme="minorHAnsi"/>
                <w:sz w:val="24"/>
                <w:szCs w:val="24"/>
              </w:rPr>
              <w:t>4:</w:t>
            </w:r>
            <w:r w:rsidR="00C41BFE" w:rsidRPr="00E97A23">
              <w:rPr>
                <w:rFonts w:cstheme="minorHAnsi"/>
                <w:sz w:val="24"/>
                <w:szCs w:val="24"/>
              </w:rPr>
              <w:br/>
              <w:t>Active</w:t>
            </w:r>
          </w:p>
        </w:tc>
      </w:tr>
      <w:tr w:rsidR="00C41BFE" w:rsidRPr="00DF5356" w14:paraId="1EFAE99F" w14:textId="77777777" w:rsidTr="001E6F60">
        <w:trPr>
          <w:trHeight w:val="186"/>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2BFC53E8" w14:textId="77777777" w:rsidR="00C41BFE" w:rsidRPr="002356D5" w:rsidRDefault="00C41BFE" w:rsidP="00E4181F">
            <w:pPr>
              <w:spacing w:after="0" w:line="480" w:lineRule="auto"/>
              <w:contextualSpacing/>
              <w:jc w:val="center"/>
              <w:rPr>
                <w:rFonts w:cstheme="minorHAnsi"/>
                <w:sz w:val="24"/>
                <w:szCs w:val="24"/>
              </w:rPr>
            </w:pPr>
            <w:r w:rsidRPr="00E97A23">
              <w:rPr>
                <w:rFonts w:cstheme="minorHAnsi"/>
                <w:sz w:val="24"/>
                <w:szCs w:val="24"/>
              </w:rPr>
              <w:t>AA</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0A2BADE5" w14:textId="77777777" w:rsidR="00C41BFE" w:rsidRPr="002356D5" w:rsidRDefault="00C41BFE" w:rsidP="00E4181F">
            <w:pPr>
              <w:spacing w:after="0" w:line="480" w:lineRule="auto"/>
              <w:contextualSpacing/>
              <w:jc w:val="center"/>
              <w:rPr>
                <w:rFonts w:cstheme="minorHAnsi"/>
                <w:sz w:val="24"/>
                <w:szCs w:val="24"/>
              </w:rPr>
            </w:pPr>
            <w:r w:rsidRPr="00E97A23">
              <w:rPr>
                <w:rFonts w:cstheme="minorHAnsi"/>
                <w:sz w:val="24"/>
                <w:szCs w:val="24"/>
              </w:rPr>
              <w:t>3</w:t>
            </w:r>
          </w:p>
        </w:tc>
        <w:tc>
          <w:tcPr>
            <w:tcW w:w="155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48BAF006" w14:textId="77777777" w:rsidR="00C41BFE" w:rsidRPr="002356D5" w:rsidRDefault="00C41BFE" w:rsidP="00E4181F">
            <w:pPr>
              <w:spacing w:after="0" w:line="480" w:lineRule="auto"/>
              <w:contextualSpacing/>
              <w:jc w:val="center"/>
              <w:rPr>
                <w:rFonts w:cstheme="minorHAnsi"/>
                <w:sz w:val="24"/>
                <w:szCs w:val="24"/>
              </w:rPr>
            </w:pPr>
            <w:r w:rsidRPr="00E97A23">
              <w:rPr>
                <w:rFonts w:cstheme="minorHAnsi"/>
                <w:sz w:val="24"/>
                <w:szCs w:val="24"/>
              </w:rPr>
              <w:t>3</w:t>
            </w:r>
          </w:p>
        </w:tc>
        <w:tc>
          <w:tcPr>
            <w:tcW w:w="184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4696FB1C" w14:textId="77777777" w:rsidR="00C41BFE" w:rsidRPr="002356D5" w:rsidRDefault="00C41BFE" w:rsidP="00E4181F">
            <w:pPr>
              <w:spacing w:after="0" w:line="480" w:lineRule="auto"/>
              <w:contextualSpacing/>
              <w:jc w:val="center"/>
              <w:rPr>
                <w:rFonts w:cstheme="minorHAnsi"/>
                <w:sz w:val="24"/>
                <w:szCs w:val="24"/>
              </w:rPr>
            </w:pPr>
            <w:r w:rsidRPr="00E97A23">
              <w:rPr>
                <w:rFonts w:cstheme="minorHAnsi"/>
                <w:sz w:val="24"/>
                <w:szCs w:val="24"/>
              </w:rPr>
              <w:t>3</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292C2E5A" w14:textId="77777777" w:rsidR="00C41BFE" w:rsidRPr="002356D5" w:rsidRDefault="00C41BFE" w:rsidP="00E4181F">
            <w:pPr>
              <w:spacing w:after="0" w:line="480" w:lineRule="auto"/>
              <w:contextualSpacing/>
              <w:jc w:val="center"/>
              <w:rPr>
                <w:rFonts w:cstheme="minorHAnsi"/>
                <w:sz w:val="24"/>
                <w:szCs w:val="24"/>
              </w:rPr>
            </w:pPr>
            <w:r w:rsidRPr="00E97A23">
              <w:rPr>
                <w:rFonts w:cstheme="minorHAnsi"/>
                <w:sz w:val="24"/>
                <w:szCs w:val="24"/>
              </w:rPr>
              <w:t>3</w:t>
            </w:r>
          </w:p>
        </w:tc>
      </w:tr>
      <w:tr w:rsidR="00C41BFE" w:rsidRPr="00DF5356" w14:paraId="4FEDC9A6" w14:textId="77777777" w:rsidTr="001E6F60">
        <w:trPr>
          <w:trHeight w:val="249"/>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1AE131B6" w14:textId="77777777" w:rsidR="00C41BFE" w:rsidRPr="002356D5" w:rsidRDefault="00C41BFE" w:rsidP="00E4181F">
            <w:pPr>
              <w:spacing w:after="0" w:line="480" w:lineRule="auto"/>
              <w:contextualSpacing/>
              <w:jc w:val="center"/>
              <w:rPr>
                <w:rFonts w:cstheme="minorHAnsi"/>
                <w:sz w:val="24"/>
                <w:szCs w:val="24"/>
              </w:rPr>
            </w:pPr>
            <w:r w:rsidRPr="00E97A23">
              <w:rPr>
                <w:rFonts w:cstheme="minorHAnsi"/>
                <w:sz w:val="24"/>
                <w:szCs w:val="24"/>
              </w:rPr>
              <w:t>AB*</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4C3CC864" w14:textId="77777777" w:rsidR="00C41BFE" w:rsidRPr="002356D5" w:rsidRDefault="00C41BFE" w:rsidP="00E4181F">
            <w:pPr>
              <w:spacing w:after="0" w:line="480" w:lineRule="auto"/>
              <w:contextualSpacing/>
              <w:jc w:val="center"/>
              <w:rPr>
                <w:rFonts w:cstheme="minorHAnsi"/>
                <w:sz w:val="24"/>
                <w:szCs w:val="24"/>
              </w:rPr>
            </w:pPr>
            <w:r w:rsidRPr="00E97A23">
              <w:rPr>
                <w:rFonts w:cstheme="minorHAnsi"/>
                <w:sz w:val="24"/>
                <w:szCs w:val="24"/>
              </w:rPr>
              <w:t>2</w:t>
            </w:r>
          </w:p>
        </w:tc>
        <w:tc>
          <w:tcPr>
            <w:tcW w:w="155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52E083C9" w14:textId="77777777" w:rsidR="00C41BFE" w:rsidRPr="002356D5" w:rsidRDefault="00C41BFE" w:rsidP="00E4181F">
            <w:pPr>
              <w:spacing w:after="0" w:line="480" w:lineRule="auto"/>
              <w:contextualSpacing/>
              <w:jc w:val="center"/>
              <w:rPr>
                <w:rFonts w:cstheme="minorHAnsi"/>
                <w:sz w:val="24"/>
                <w:szCs w:val="24"/>
              </w:rPr>
            </w:pPr>
            <w:r w:rsidRPr="00E97A23">
              <w:rPr>
                <w:rFonts w:cstheme="minorHAnsi"/>
                <w:sz w:val="24"/>
                <w:szCs w:val="24"/>
              </w:rPr>
              <w:t>3</w:t>
            </w:r>
          </w:p>
        </w:tc>
        <w:tc>
          <w:tcPr>
            <w:tcW w:w="184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0A2C9F99" w14:textId="77777777" w:rsidR="00C41BFE" w:rsidRPr="002356D5" w:rsidRDefault="00C41BFE" w:rsidP="00E4181F">
            <w:pPr>
              <w:spacing w:after="0" w:line="480" w:lineRule="auto"/>
              <w:contextualSpacing/>
              <w:jc w:val="center"/>
              <w:rPr>
                <w:rFonts w:cstheme="minorHAnsi"/>
                <w:sz w:val="24"/>
                <w:szCs w:val="24"/>
              </w:rPr>
            </w:pPr>
            <w:r w:rsidRPr="00E97A23">
              <w:rPr>
                <w:rFonts w:cstheme="minorHAnsi"/>
                <w:sz w:val="24"/>
                <w:szCs w:val="24"/>
              </w:rPr>
              <w:t>2</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6CF3616F" w14:textId="77777777" w:rsidR="00C41BFE" w:rsidRPr="002356D5" w:rsidRDefault="00C41BFE" w:rsidP="00E4181F">
            <w:pPr>
              <w:spacing w:after="0" w:line="480" w:lineRule="auto"/>
              <w:contextualSpacing/>
              <w:jc w:val="center"/>
              <w:rPr>
                <w:rFonts w:cstheme="minorHAnsi"/>
                <w:sz w:val="24"/>
                <w:szCs w:val="24"/>
              </w:rPr>
            </w:pPr>
            <w:r w:rsidRPr="00E97A23">
              <w:rPr>
                <w:rFonts w:cstheme="minorHAnsi"/>
                <w:sz w:val="24"/>
                <w:szCs w:val="24"/>
              </w:rPr>
              <w:t>3</w:t>
            </w:r>
          </w:p>
        </w:tc>
      </w:tr>
      <w:tr w:rsidR="00C41BFE" w:rsidRPr="00DF5356" w14:paraId="60280261" w14:textId="77777777" w:rsidTr="001E6F60">
        <w:trPr>
          <w:trHeight w:val="208"/>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705DB58D" w14:textId="77777777" w:rsidR="00C41BFE" w:rsidRPr="002356D5" w:rsidRDefault="00C41BFE" w:rsidP="00E4181F">
            <w:pPr>
              <w:spacing w:after="0" w:line="480" w:lineRule="auto"/>
              <w:contextualSpacing/>
              <w:jc w:val="center"/>
              <w:rPr>
                <w:rFonts w:cstheme="minorHAnsi"/>
                <w:sz w:val="24"/>
                <w:szCs w:val="24"/>
              </w:rPr>
            </w:pPr>
            <w:r w:rsidRPr="00E97A23">
              <w:rPr>
                <w:rFonts w:cstheme="minorHAnsi"/>
                <w:sz w:val="24"/>
                <w:szCs w:val="24"/>
              </w:rPr>
              <w:t>B*B*</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560AD0AA" w14:textId="77777777" w:rsidR="00C41BFE" w:rsidRPr="002356D5" w:rsidRDefault="00C41BFE" w:rsidP="00E4181F">
            <w:pPr>
              <w:spacing w:after="0" w:line="480" w:lineRule="auto"/>
              <w:contextualSpacing/>
              <w:jc w:val="center"/>
              <w:rPr>
                <w:rFonts w:cstheme="minorHAnsi"/>
                <w:sz w:val="24"/>
                <w:szCs w:val="24"/>
              </w:rPr>
            </w:pPr>
            <w:r w:rsidRPr="00E97A23">
              <w:rPr>
                <w:rFonts w:cstheme="minorHAnsi"/>
                <w:sz w:val="24"/>
                <w:szCs w:val="24"/>
              </w:rPr>
              <w:t>2</w:t>
            </w:r>
          </w:p>
        </w:tc>
        <w:tc>
          <w:tcPr>
            <w:tcW w:w="155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77F40011" w14:textId="77777777" w:rsidR="00C41BFE" w:rsidRPr="002356D5" w:rsidRDefault="00C41BFE" w:rsidP="00E4181F">
            <w:pPr>
              <w:spacing w:after="0" w:line="480" w:lineRule="auto"/>
              <w:contextualSpacing/>
              <w:jc w:val="center"/>
              <w:rPr>
                <w:rFonts w:cstheme="minorHAnsi"/>
                <w:sz w:val="24"/>
                <w:szCs w:val="24"/>
              </w:rPr>
            </w:pPr>
            <w:r w:rsidRPr="00E97A23">
              <w:rPr>
                <w:rFonts w:cstheme="minorHAnsi"/>
                <w:sz w:val="24"/>
                <w:szCs w:val="24"/>
              </w:rPr>
              <w:t>2</w:t>
            </w:r>
          </w:p>
        </w:tc>
        <w:tc>
          <w:tcPr>
            <w:tcW w:w="184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66B3851C" w14:textId="77777777" w:rsidR="00C41BFE" w:rsidRPr="002356D5" w:rsidRDefault="00C41BFE" w:rsidP="00E4181F">
            <w:pPr>
              <w:spacing w:after="0" w:line="480" w:lineRule="auto"/>
              <w:contextualSpacing/>
              <w:jc w:val="center"/>
              <w:rPr>
                <w:rFonts w:cstheme="minorHAnsi"/>
                <w:sz w:val="24"/>
                <w:szCs w:val="24"/>
              </w:rPr>
            </w:pPr>
            <w:r w:rsidRPr="00E97A23">
              <w:rPr>
                <w:rFonts w:cstheme="minorHAnsi"/>
                <w:sz w:val="24"/>
                <w:szCs w:val="24"/>
              </w:rPr>
              <w:t>3</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1006639C" w14:textId="77777777" w:rsidR="00C41BFE" w:rsidRPr="002356D5" w:rsidRDefault="00C41BFE" w:rsidP="00E4181F">
            <w:pPr>
              <w:spacing w:after="0" w:line="480" w:lineRule="auto"/>
              <w:contextualSpacing/>
              <w:jc w:val="center"/>
              <w:rPr>
                <w:rFonts w:cstheme="minorHAnsi"/>
                <w:sz w:val="24"/>
                <w:szCs w:val="24"/>
              </w:rPr>
            </w:pPr>
            <w:r w:rsidRPr="00E97A23">
              <w:rPr>
                <w:rFonts w:cstheme="minorHAnsi"/>
                <w:sz w:val="24"/>
                <w:szCs w:val="24"/>
              </w:rPr>
              <w:t>3</w:t>
            </w:r>
          </w:p>
        </w:tc>
      </w:tr>
    </w:tbl>
    <w:p w14:paraId="79F0319B" w14:textId="77777777" w:rsidR="00C41BFE" w:rsidRPr="002356D5" w:rsidRDefault="00C41BFE" w:rsidP="00C41BFE">
      <w:pPr>
        <w:spacing w:after="0" w:line="480" w:lineRule="auto"/>
        <w:contextualSpacing/>
        <w:jc w:val="both"/>
        <w:rPr>
          <w:rFonts w:cstheme="minorHAnsi"/>
          <w:sz w:val="24"/>
          <w:szCs w:val="24"/>
        </w:rPr>
      </w:pPr>
    </w:p>
    <w:p w14:paraId="0EABF681" w14:textId="77777777" w:rsidR="00C41BFE" w:rsidRPr="002356D5" w:rsidRDefault="00C41BFE" w:rsidP="00C41BFE">
      <w:pPr>
        <w:spacing w:after="0" w:line="480" w:lineRule="auto"/>
        <w:contextualSpacing/>
        <w:jc w:val="both"/>
        <w:rPr>
          <w:rFonts w:eastAsia="Times New Roman" w:cstheme="minorHAnsi"/>
          <w:sz w:val="24"/>
          <w:szCs w:val="24"/>
        </w:rPr>
      </w:pPr>
      <w:r w:rsidRPr="002356D5">
        <w:rPr>
          <w:rFonts w:eastAsia="Times New Roman" w:cstheme="minorHAnsi"/>
          <w:i/>
          <w:iCs/>
          <w:color w:val="000000"/>
          <w:sz w:val="24"/>
          <w:szCs w:val="24"/>
        </w:rPr>
        <w:t>RNA extraction and sequencing</w:t>
      </w:r>
    </w:p>
    <w:p w14:paraId="761C7B9E" w14:textId="5427546C" w:rsidR="00C41BFE" w:rsidRPr="002356D5" w:rsidRDefault="00C41BFE" w:rsidP="00E4181F">
      <w:pPr>
        <w:spacing w:line="480" w:lineRule="auto"/>
        <w:ind w:firstLine="720"/>
        <w:contextualSpacing/>
        <w:jc w:val="both"/>
        <w:rPr>
          <w:rFonts w:cstheme="minorHAnsi"/>
          <w:sz w:val="24"/>
          <w:szCs w:val="24"/>
        </w:rPr>
      </w:pPr>
      <w:bookmarkStart w:id="1" w:name="_Hlk113961010"/>
      <w:r w:rsidRPr="002356D5">
        <w:rPr>
          <w:rFonts w:cstheme="minorHAnsi"/>
          <w:sz w:val="24"/>
          <w:szCs w:val="24"/>
        </w:rPr>
        <w:t xml:space="preserve">RNA from testis (right) and liver tissue was extracted with </w:t>
      </w:r>
      <w:r>
        <w:rPr>
          <w:rFonts w:cstheme="minorHAnsi"/>
          <w:sz w:val="24"/>
          <w:szCs w:val="24"/>
        </w:rPr>
        <w:t xml:space="preserve">a </w:t>
      </w:r>
      <w:r w:rsidRPr="002356D5">
        <w:rPr>
          <w:rFonts w:cstheme="minorHAnsi"/>
          <w:sz w:val="24"/>
          <w:szCs w:val="24"/>
        </w:rPr>
        <w:t>phenol</w:t>
      </w:r>
      <w:r>
        <w:rPr>
          <w:rFonts w:cstheme="minorHAnsi"/>
          <w:sz w:val="24"/>
          <w:szCs w:val="24"/>
        </w:rPr>
        <w:t>-</w:t>
      </w:r>
      <w:r w:rsidRPr="002356D5">
        <w:rPr>
          <w:rFonts w:cstheme="minorHAnsi"/>
          <w:sz w:val="24"/>
          <w:szCs w:val="24"/>
        </w:rPr>
        <w:t xml:space="preserve"> based phase separation</w:t>
      </w:r>
      <w:r>
        <w:rPr>
          <w:rFonts w:cstheme="minorHAnsi"/>
          <w:sz w:val="24"/>
          <w:szCs w:val="24"/>
        </w:rPr>
        <w:t xml:space="preserve"> </w:t>
      </w:r>
      <w:r w:rsidRPr="002356D5">
        <w:rPr>
          <w:rFonts w:cstheme="minorHAnsi"/>
          <w:sz w:val="24"/>
          <w:szCs w:val="24"/>
        </w:rPr>
        <w:t>(Tri-reagent, Ambion) following</w:t>
      </w:r>
      <w:r w:rsidR="003E32F0">
        <w:rPr>
          <w:rFonts w:cstheme="minorHAnsi"/>
          <w:sz w:val="24"/>
          <w:szCs w:val="24"/>
        </w:rPr>
        <w:t xml:space="preserve"> the</w:t>
      </w:r>
      <w:r w:rsidRPr="002356D5">
        <w:rPr>
          <w:rFonts w:cstheme="minorHAnsi"/>
          <w:sz w:val="24"/>
          <w:szCs w:val="24"/>
        </w:rPr>
        <w:t xml:space="preserve"> Trizol-protocol from SIGMA with minor modifications as follows: approximately 100 mg piece of liver/whole testis was taken and 1ml of Tri was added on the frozen tissue along with a metal bead. Tissue was homogenized </w:t>
      </w:r>
      <w:r>
        <w:rPr>
          <w:rFonts w:cstheme="minorHAnsi"/>
          <w:sz w:val="24"/>
          <w:szCs w:val="24"/>
        </w:rPr>
        <w:t>using a</w:t>
      </w:r>
      <w:r w:rsidRPr="002356D5">
        <w:rPr>
          <w:rFonts w:cstheme="minorHAnsi"/>
          <w:sz w:val="24"/>
          <w:szCs w:val="24"/>
        </w:rPr>
        <w:t xml:space="preserve"> TissueLyzer (Qiagen) for 30 s with frequency 30/s </w:t>
      </w:r>
      <w:r w:rsidR="00E4181F" w:rsidRPr="002356D5">
        <w:rPr>
          <w:rFonts w:cstheme="minorHAnsi"/>
          <w:sz w:val="24"/>
          <w:szCs w:val="24"/>
        </w:rPr>
        <w:t xml:space="preserve">three times </w:t>
      </w:r>
      <w:r w:rsidRPr="002356D5">
        <w:rPr>
          <w:rFonts w:cstheme="minorHAnsi"/>
          <w:sz w:val="24"/>
          <w:szCs w:val="24"/>
        </w:rPr>
        <w:t xml:space="preserve">for the liver and one times for 30 s with frequency 30/s for testis. </w:t>
      </w:r>
      <w:r w:rsidR="00E4181F">
        <w:rPr>
          <w:rFonts w:cstheme="minorHAnsi"/>
          <w:sz w:val="24"/>
          <w:szCs w:val="24"/>
        </w:rPr>
        <w:t>The b</w:t>
      </w:r>
      <w:r w:rsidRPr="002356D5">
        <w:rPr>
          <w:rFonts w:cstheme="minorHAnsi"/>
          <w:sz w:val="24"/>
          <w:szCs w:val="24"/>
        </w:rPr>
        <w:t xml:space="preserve">ead was </w:t>
      </w:r>
      <w:r>
        <w:rPr>
          <w:rFonts w:cstheme="minorHAnsi"/>
          <w:sz w:val="24"/>
          <w:szCs w:val="24"/>
        </w:rPr>
        <w:t>removed,</w:t>
      </w:r>
      <w:r w:rsidRPr="002356D5">
        <w:rPr>
          <w:rFonts w:cstheme="minorHAnsi"/>
          <w:sz w:val="24"/>
          <w:szCs w:val="24"/>
        </w:rPr>
        <w:t xml:space="preserve"> and 100 µl of 1-bromo-3 chloropropane (SIGMA) was added to the sample. </w:t>
      </w:r>
      <w:r>
        <w:rPr>
          <w:rFonts w:cstheme="minorHAnsi"/>
          <w:sz w:val="24"/>
          <w:szCs w:val="24"/>
        </w:rPr>
        <w:t>The s</w:t>
      </w:r>
      <w:r w:rsidRPr="002356D5">
        <w:rPr>
          <w:rFonts w:cstheme="minorHAnsi"/>
          <w:sz w:val="24"/>
          <w:szCs w:val="24"/>
        </w:rPr>
        <w:t xml:space="preserve">ample was then shaken vigorously for 15 seconds and incubated at room </w:t>
      </w:r>
      <w:r w:rsidR="00E4181F">
        <w:rPr>
          <w:rFonts w:cstheme="minorHAnsi"/>
          <w:sz w:val="24"/>
          <w:szCs w:val="24"/>
        </w:rPr>
        <w:t>temperature (</w:t>
      </w:r>
      <w:r w:rsidRPr="002356D5">
        <w:rPr>
          <w:rFonts w:cstheme="minorHAnsi"/>
          <w:sz w:val="24"/>
          <w:szCs w:val="24"/>
        </w:rPr>
        <w:t>RT</w:t>
      </w:r>
      <w:r w:rsidR="00E4181F">
        <w:rPr>
          <w:rFonts w:cstheme="minorHAnsi"/>
          <w:sz w:val="24"/>
          <w:szCs w:val="24"/>
        </w:rPr>
        <w:t>)</w:t>
      </w:r>
      <w:r w:rsidRPr="002356D5">
        <w:rPr>
          <w:rFonts w:cstheme="minorHAnsi"/>
          <w:sz w:val="24"/>
          <w:szCs w:val="24"/>
        </w:rPr>
        <w:t xml:space="preserve"> for 10 minutes and centrifuged at 4° C for 15 minutes at 12 000 g. The </w:t>
      </w:r>
      <w:r>
        <w:rPr>
          <w:rFonts w:cstheme="minorHAnsi"/>
          <w:sz w:val="24"/>
          <w:szCs w:val="24"/>
        </w:rPr>
        <w:t>aqueous layer</w:t>
      </w:r>
      <w:r w:rsidRPr="002356D5">
        <w:rPr>
          <w:rFonts w:cstheme="minorHAnsi"/>
          <w:sz w:val="24"/>
          <w:szCs w:val="24"/>
        </w:rPr>
        <w:t xml:space="preserve"> was carefully pipetted out to a clean tube and 500 µl of isopropanol (SIGMA) was added. Tubes were inverted a few times to allow sufficient mixing. After 10 minutes incubation at RT</w:t>
      </w:r>
      <w:r w:rsidR="00E4181F">
        <w:rPr>
          <w:rFonts w:cstheme="minorHAnsi"/>
          <w:sz w:val="24"/>
          <w:szCs w:val="24"/>
        </w:rPr>
        <w:t>,</w:t>
      </w:r>
      <w:r w:rsidRPr="002356D5">
        <w:rPr>
          <w:rFonts w:cstheme="minorHAnsi"/>
          <w:sz w:val="24"/>
          <w:szCs w:val="24"/>
        </w:rPr>
        <w:t xml:space="preserve"> tubes were centrifuged at 4° C for 10 minutes at 12 000 g to pellet the RNA. To clean the pellet, 1.5 ml of 75% EtOH was added, and the sample was left overnight at 4° C. </w:t>
      </w:r>
    </w:p>
    <w:p w14:paraId="6DB59B47" w14:textId="77777777" w:rsidR="00C41BFE" w:rsidRPr="002356D5" w:rsidRDefault="00C41BFE" w:rsidP="00E4181F">
      <w:pPr>
        <w:spacing w:line="480" w:lineRule="auto"/>
        <w:ind w:firstLine="720"/>
        <w:contextualSpacing/>
        <w:jc w:val="both"/>
        <w:rPr>
          <w:rFonts w:cstheme="minorHAnsi"/>
          <w:sz w:val="24"/>
          <w:szCs w:val="24"/>
        </w:rPr>
      </w:pPr>
      <w:r w:rsidRPr="002356D5">
        <w:rPr>
          <w:rFonts w:cstheme="minorHAnsi"/>
          <w:sz w:val="24"/>
          <w:szCs w:val="24"/>
        </w:rPr>
        <w:t>To ensure no traces of DNA were left in the extracted RNA, all samples were treated with DNAse (RQ1, Promega) as follows: EtOH was removed from samples after centrifuging at 4° C for 5 minutes at 7 500 g. Samples were left to dry for 5-10 minutes in RT after which 25 µl of nuclease free H</w:t>
      </w:r>
      <w:r w:rsidRPr="00C12046">
        <w:rPr>
          <w:rFonts w:cstheme="minorHAnsi"/>
          <w:sz w:val="24"/>
          <w:szCs w:val="24"/>
          <w:vertAlign w:val="subscript"/>
        </w:rPr>
        <w:t>2</w:t>
      </w:r>
      <w:r w:rsidRPr="002356D5">
        <w:rPr>
          <w:rFonts w:cstheme="minorHAnsi"/>
          <w:sz w:val="24"/>
          <w:szCs w:val="24"/>
        </w:rPr>
        <w:t xml:space="preserve">O (Ambion) was added along with 3 µl RQ1 buffer and 2.5 µl of RQ1 DNAse. Samples were mixed gently and incubated 37° C for 45 minutes after which the samples were cooled on ice. To </w:t>
      </w:r>
      <w:r w:rsidRPr="002356D5">
        <w:rPr>
          <w:rFonts w:cstheme="minorHAnsi"/>
          <w:sz w:val="24"/>
          <w:szCs w:val="24"/>
        </w:rPr>
        <w:lastRenderedPageBreak/>
        <w:t>remove traces of the enzyme and DNA, all samples were extracted a second time following the previous protocol but scaling all the reagent volumes down to 400 µl of Tri</w:t>
      </w:r>
      <w:r>
        <w:rPr>
          <w:rFonts w:cstheme="minorHAnsi"/>
          <w:sz w:val="24"/>
          <w:szCs w:val="24"/>
        </w:rPr>
        <w:t>-Reagent</w:t>
      </w:r>
      <w:r w:rsidRPr="002356D5">
        <w:rPr>
          <w:rFonts w:cstheme="minorHAnsi"/>
          <w:sz w:val="24"/>
          <w:szCs w:val="24"/>
        </w:rPr>
        <w:t>. RNA samples were stored in 75% EtoH at -20° C until prepared for analyses by dissolving into 17 µl of nuclease free H2O.</w:t>
      </w:r>
    </w:p>
    <w:p w14:paraId="500C9D73" w14:textId="77777777" w:rsidR="00C41BFE" w:rsidRPr="002356D5" w:rsidRDefault="00C41BFE" w:rsidP="00E4181F">
      <w:pPr>
        <w:spacing w:line="480" w:lineRule="auto"/>
        <w:ind w:firstLine="720"/>
        <w:contextualSpacing/>
        <w:jc w:val="both"/>
        <w:rPr>
          <w:rFonts w:cstheme="minorHAnsi"/>
          <w:sz w:val="24"/>
          <w:szCs w:val="24"/>
        </w:rPr>
      </w:pPr>
      <w:r w:rsidRPr="002356D5">
        <w:rPr>
          <w:rFonts w:cstheme="minorHAnsi"/>
          <w:sz w:val="24"/>
          <w:szCs w:val="24"/>
        </w:rPr>
        <w:t>The RNA samples were quantified with Nanodrop and qualified with Bioanalyzer 2100 (Agilent). In total</w:t>
      </w:r>
      <w:r>
        <w:rPr>
          <w:rFonts w:cstheme="minorHAnsi"/>
          <w:sz w:val="24"/>
          <w:szCs w:val="24"/>
        </w:rPr>
        <w:t>,</w:t>
      </w:r>
      <w:r w:rsidRPr="002356D5">
        <w:rPr>
          <w:rFonts w:cstheme="minorHAnsi"/>
          <w:sz w:val="24"/>
          <w:szCs w:val="24"/>
        </w:rPr>
        <w:t xml:space="preserve"> </w:t>
      </w:r>
      <w:r w:rsidRPr="002356D5">
        <w:rPr>
          <w:rFonts w:cstheme="minorHAnsi"/>
          <w:bCs/>
          <w:sz w:val="24"/>
          <w:szCs w:val="24"/>
        </w:rPr>
        <w:t>200 ng of RNA</w:t>
      </w:r>
      <w:r w:rsidRPr="002356D5">
        <w:rPr>
          <w:rFonts w:cstheme="minorHAnsi"/>
          <w:sz w:val="24"/>
          <w:szCs w:val="24"/>
        </w:rPr>
        <w:t xml:space="preserve"> was used for TruSeq® Stranded mRNA (Illumina) library preparation and sequenced 100PE with two lanes of NovaSeq 6000 S1 (Illumina). Library preparation and sequencing were </w:t>
      </w:r>
      <w:r>
        <w:rPr>
          <w:rFonts w:cstheme="minorHAnsi"/>
          <w:sz w:val="24"/>
          <w:szCs w:val="24"/>
        </w:rPr>
        <w:t>performed</w:t>
      </w:r>
      <w:r w:rsidRPr="002356D5">
        <w:rPr>
          <w:rFonts w:cstheme="minorHAnsi"/>
          <w:sz w:val="24"/>
          <w:szCs w:val="24"/>
        </w:rPr>
        <w:t xml:space="preserve"> at </w:t>
      </w:r>
      <w:r>
        <w:rPr>
          <w:rFonts w:cstheme="minorHAnsi"/>
          <w:sz w:val="24"/>
          <w:szCs w:val="24"/>
        </w:rPr>
        <w:t xml:space="preserve">the </w:t>
      </w:r>
      <w:r w:rsidRPr="002356D5">
        <w:rPr>
          <w:rFonts w:cstheme="minorHAnsi"/>
          <w:sz w:val="24"/>
          <w:szCs w:val="24"/>
        </w:rPr>
        <w:t>Finnish Functional Genomics Centre (Turku, Finland).</w:t>
      </w:r>
    </w:p>
    <w:p w14:paraId="3BC944FF" w14:textId="340DB6C5" w:rsidR="00C41BFE" w:rsidRPr="002356D5" w:rsidRDefault="00C41BFE" w:rsidP="00E4181F">
      <w:pPr>
        <w:spacing w:line="480" w:lineRule="auto"/>
        <w:ind w:firstLine="720"/>
        <w:contextualSpacing/>
        <w:jc w:val="both"/>
        <w:rPr>
          <w:rFonts w:cstheme="minorHAnsi"/>
          <w:sz w:val="24"/>
          <w:szCs w:val="24"/>
        </w:rPr>
      </w:pPr>
      <w:r w:rsidRPr="002356D5">
        <w:rPr>
          <w:rFonts w:cstheme="minorHAnsi"/>
          <w:sz w:val="24"/>
          <w:szCs w:val="24"/>
        </w:rPr>
        <w:t>Reads were trimmed with cutadapt v</w:t>
      </w:r>
      <w:r w:rsidRPr="00225CC8">
        <w:rPr>
          <w:rFonts w:cstheme="minorHAnsi"/>
          <w:color w:val="000000"/>
          <w:sz w:val="24"/>
          <w:szCs w:val="24"/>
        </w:rPr>
        <w:t>2</w:t>
      </w:r>
      <w:r w:rsidRPr="002356D5">
        <w:rPr>
          <w:rFonts w:cstheme="minorHAnsi"/>
          <w:sz w:val="24"/>
          <w:szCs w:val="24"/>
        </w:rPr>
        <w:t xml:space="preserve">.7 </w:t>
      </w:r>
      <w:r w:rsidRPr="002356D5">
        <w:rPr>
          <w:rFonts w:cstheme="minorHAnsi"/>
          <w:sz w:val="24"/>
          <w:szCs w:val="24"/>
        </w:rPr>
        <w:fldChar w:fldCharType="begin" w:fldLock="1"/>
      </w:r>
      <w:r w:rsidR="00896F62">
        <w:rPr>
          <w:rFonts w:cstheme="minorHAnsi"/>
          <w:sz w:val="24"/>
          <w:szCs w:val="24"/>
        </w:rPr>
        <w:instrText>ADDIN CSL_CITATION {"citationItems":[{"id":"ITEM-1","itemData":{"DOI":"10.14806/ej.17.1.200","ISSN":"2226-6089","abstract":"In the present research it is investigated the relationship between organizational culture and knowledge management as well their simultaneous effects on performing customer relation management. The picked procedure is descriptive one. The findings show that there is a significant relation between organizational culture and knowledge management, besides every change in each of them can affect justly the successful management in communication with customer. Therefore having a correct understanding of CRM concept as one of up-to-date and effective technology indexes, flexible and entrepreneur cultures as well their simultaneous influence would bring more succeeded CRM performance in an organization also rising values for customer and organization. © 2013 AENSI Publisher All rights reserved.","author":[{"dropping-particle":"","family":"Martin","given":"Marcel","non-dropping-particle":"","parse-names":false,"suffix":""}],"container-title":"EMBnet.journal","id":"ITEM-1","issue":"1","issued":{"date-parts":[["2011","5","2"]]},"page":"10","title":"Cutadapt removes adapter sequences from high-throughput sequencing reads","type":"article-journal","volume":"17"},"uris":["http://www.mendeley.com/documents/?uuid=ed1f78aa-5ec4-4d93-a859-efe89f3e8d0c","http://www.mendeley.com/documents/?uuid=b2df233e-6062-466e-b60c-8ebe4bcf5aad"]}],"mendeley":{"formattedCitation":"(Martin, 2011)","plainTextFormattedCitation":"(Martin, 2011)","previouslyFormattedCitation":"(Martin, 2011)"},"properties":{"noteIndex":0},"schema":"https://github.com/citation-style-language/schema/raw/master/csl-citation.json"}</w:instrText>
      </w:r>
      <w:r w:rsidRPr="002356D5">
        <w:rPr>
          <w:rFonts w:cstheme="minorHAnsi"/>
          <w:sz w:val="24"/>
          <w:szCs w:val="24"/>
        </w:rPr>
        <w:fldChar w:fldCharType="separate"/>
      </w:r>
      <w:r w:rsidR="001E0464" w:rsidRPr="001E0464">
        <w:rPr>
          <w:rFonts w:cstheme="minorHAnsi"/>
          <w:noProof/>
          <w:sz w:val="24"/>
          <w:szCs w:val="24"/>
        </w:rPr>
        <w:t>(Martin, 2011)</w:t>
      </w:r>
      <w:r w:rsidRPr="002356D5">
        <w:rPr>
          <w:rFonts w:cstheme="minorHAnsi"/>
          <w:sz w:val="24"/>
          <w:szCs w:val="24"/>
        </w:rPr>
        <w:fldChar w:fldCharType="end"/>
      </w:r>
      <w:r w:rsidRPr="002356D5">
        <w:rPr>
          <w:rFonts w:cstheme="minorHAnsi"/>
          <w:sz w:val="24"/>
          <w:szCs w:val="24"/>
        </w:rPr>
        <w:t xml:space="preserve"> prior to alignment against </w:t>
      </w:r>
      <w:r>
        <w:rPr>
          <w:rFonts w:cstheme="minorHAnsi"/>
          <w:sz w:val="24"/>
          <w:szCs w:val="24"/>
        </w:rPr>
        <w:t xml:space="preserve">the </w:t>
      </w:r>
      <w:r w:rsidRPr="002356D5">
        <w:rPr>
          <w:rFonts w:cstheme="minorHAnsi"/>
          <w:sz w:val="24"/>
          <w:szCs w:val="24"/>
        </w:rPr>
        <w:t>zebra</w:t>
      </w:r>
      <w:r>
        <w:rPr>
          <w:rFonts w:cstheme="minorHAnsi"/>
          <w:sz w:val="24"/>
          <w:szCs w:val="24"/>
        </w:rPr>
        <w:t xml:space="preserve"> </w:t>
      </w:r>
      <w:r w:rsidRPr="002356D5">
        <w:rPr>
          <w:rFonts w:cstheme="minorHAnsi"/>
          <w:sz w:val="24"/>
          <w:szCs w:val="24"/>
        </w:rPr>
        <w:t>finch genome (Ensembl bTaeGut1_v1.p</w:t>
      </w:r>
      <w:r>
        <w:rPr>
          <w:rFonts w:cstheme="minorHAnsi"/>
          <w:sz w:val="24"/>
          <w:szCs w:val="24"/>
        </w:rPr>
        <w:t xml:space="preserve">, assembly </w:t>
      </w:r>
      <w:r w:rsidRPr="00701973">
        <w:rPr>
          <w:rFonts w:cstheme="minorHAnsi"/>
          <w:sz w:val="24"/>
          <w:szCs w:val="24"/>
        </w:rPr>
        <w:t>GCA_003957565.2</w:t>
      </w:r>
      <w:r w:rsidRPr="002356D5">
        <w:rPr>
          <w:rFonts w:cstheme="minorHAnsi"/>
          <w:sz w:val="24"/>
          <w:szCs w:val="24"/>
        </w:rPr>
        <w:t xml:space="preserve">). Alignment was performed with STAR </w:t>
      </w:r>
      <w:r>
        <w:rPr>
          <w:rFonts w:cstheme="minorHAnsi"/>
          <w:sz w:val="24"/>
          <w:szCs w:val="24"/>
        </w:rPr>
        <w:t>v</w:t>
      </w:r>
      <w:r w:rsidRPr="002356D5">
        <w:rPr>
          <w:rFonts w:cstheme="minorHAnsi"/>
          <w:sz w:val="24"/>
          <w:szCs w:val="24"/>
        </w:rPr>
        <w:t xml:space="preserve">2.7.2 </w:t>
      </w:r>
      <w:r w:rsidRPr="002356D5">
        <w:rPr>
          <w:rFonts w:cstheme="minorHAnsi"/>
          <w:sz w:val="24"/>
          <w:szCs w:val="24"/>
        </w:rPr>
        <w:fldChar w:fldCharType="begin" w:fldLock="1"/>
      </w:r>
      <w:r w:rsidR="00896F62">
        <w:rPr>
          <w:rFonts w:cstheme="minorHAnsi"/>
          <w:sz w:val="24"/>
          <w:szCs w:val="24"/>
        </w:rPr>
        <w:instrText>ADDIN CSL_CITATION {"citationItems":[{"id":"ITEM-1","itemData":{"DOI":"10.1093/bioinformatics/bts635","ISSN":"13674803","PMID":"23104886","abstract":"Motivation: Accurate alignment of high-throughput RNA-seq data is a challenging and yet unsolved problem because of the non-contiguous transcript structure, relatively short read lengths and constantly increasing throughput of the sequencing technologies. Currently available RNA-seq aligners suffer from high mapping error rates, low mapping speed, read length limitation and mapping biases.Results: To align our large (&gt;80 billon reads) ENCODE Transcriptome RNA-seq dataset, we developed the Spliced Transcripts Alignment to a Reference (STAR) software based on a previously undescribed RNA-seq alignment algorithm that uses sequential maximum mappable seed search in uncompressed suffix arrays followed by seed clustering and stitching procedure. STAR outperforms other aligners by a factor of &gt;50 in mapping speed, aligning to the human genome 550 million 2 × 76 bp paired-end reads per hour on a modest 12-core server, while at the same time improving alignment sensitivity and precision. In addition to unbiased de novo detection of canonical junctions, STAR can discover non-canonical splices and chimeric (fusion) transcripts, and is also capable of mapping full-length RNA sequences. Using Roche 454 sequencing of reverse transcription polymerase chain reaction amplicons, we experimentally validated 1960 novel intergenic splice junctions with an 80-90% success rate, corroborating the high precision of the STAR mapping strategy. © The Author(s) 2012. Published by Oxford University Press.","author":[{"dropping-particle":"","family":"Dobin","given":"Alexander","non-dropping-particle":"","parse-names":false,"suffix":""},{"dropping-particle":"","family":"Davis","given":"Carrie A.","non-dropping-particle":"","parse-names":false,"suffix":""},{"dropping-particle":"","family":"Schlesinger","given":"Felix","non-dropping-particle":"","parse-names":false,"suffix":""},{"dropping-particle":"","family":"Drenkow","given":"Jorg","non-dropping-particle":"","parse-names":false,"suffix":""},{"dropping-particle":"","family":"Zaleski","given":"Chris","non-dropping-particle":"","parse-names":false,"suffix":""},{"dropping-particle":"","family":"Jha","given":"Sonali","non-dropping-particle":"","parse-names":false,"suffix":""},{"dropping-particle":"","family":"Batut","given":"Philippe","non-dropping-particle":"","parse-names":false,"suffix":""},{"dropping-particle":"","family":"Chaisson","given":"Mark","non-dropping-particle":"","parse-names":false,"suffix":""},{"dropping-particle":"","family":"Gingeras","given":"Thomas R.","non-dropping-particle":"","parse-names":false,"suffix":""}],"container-title":"Bioinformatics","id":"ITEM-1","issue":"1","issued":{"date-parts":[["2013"]]},"page":"15-21","title":"STAR: Ultrafast universal RNA-seq aligner","type":"article-journal","volume":"29"},"uris":["http://www.mendeley.com/documents/?uuid=acaa3a6f-5037-447d-8211-99c9e4dca3c8","http://www.mendeley.com/documents/?uuid=1d7cf7df-0826-4a59-ba66-6243be40d6dd"]}],"mendeley":{"formattedCitation":"(Dobin et al., 2013)","plainTextFormattedCitation":"(Dobin et al., 2013)","previouslyFormattedCitation":"(Dobin et al., 2013)"},"properties":{"noteIndex":0},"schema":"https://github.com/citation-style-language/schema/raw/master/csl-citation.json"}</w:instrText>
      </w:r>
      <w:r w:rsidRPr="002356D5">
        <w:rPr>
          <w:rFonts w:cstheme="minorHAnsi"/>
          <w:sz w:val="24"/>
          <w:szCs w:val="24"/>
        </w:rPr>
        <w:fldChar w:fldCharType="separate"/>
      </w:r>
      <w:r w:rsidR="001E0464" w:rsidRPr="001E0464">
        <w:rPr>
          <w:rFonts w:cstheme="minorHAnsi"/>
          <w:noProof/>
          <w:sz w:val="24"/>
          <w:szCs w:val="24"/>
        </w:rPr>
        <w:t>(Dobin et al., 2013)</w:t>
      </w:r>
      <w:r w:rsidRPr="002356D5">
        <w:rPr>
          <w:rFonts w:cstheme="minorHAnsi"/>
          <w:sz w:val="24"/>
          <w:szCs w:val="24"/>
        </w:rPr>
        <w:fldChar w:fldCharType="end"/>
      </w:r>
      <w:r w:rsidRPr="002356D5">
        <w:rPr>
          <w:rFonts w:cstheme="minorHAnsi"/>
          <w:sz w:val="24"/>
          <w:szCs w:val="24"/>
        </w:rPr>
        <w:t xml:space="preserve"> using the primary assembly and the corresponding gtf annotation file (Ens</w:t>
      </w:r>
      <w:r>
        <w:rPr>
          <w:rFonts w:cstheme="minorHAnsi"/>
          <w:sz w:val="24"/>
          <w:szCs w:val="24"/>
        </w:rPr>
        <w:t>embl</w:t>
      </w:r>
      <w:r w:rsidRPr="002356D5">
        <w:rPr>
          <w:rFonts w:cstheme="minorHAnsi"/>
          <w:sz w:val="24"/>
          <w:szCs w:val="24"/>
        </w:rPr>
        <w:t xml:space="preserve"> release 100 bTaeGut1_v1.p). </w:t>
      </w:r>
      <w:r>
        <w:rPr>
          <w:rFonts w:cstheme="minorHAnsi"/>
          <w:sz w:val="24"/>
          <w:szCs w:val="24"/>
        </w:rPr>
        <w:t>R</w:t>
      </w:r>
      <w:r w:rsidRPr="002356D5">
        <w:rPr>
          <w:rFonts w:cstheme="minorHAnsi"/>
          <w:sz w:val="24"/>
          <w:szCs w:val="24"/>
        </w:rPr>
        <w:t xml:space="preserve">ead counts per gene were calculated with </w:t>
      </w:r>
      <w:r w:rsidRPr="002356D5">
        <w:rPr>
          <w:rFonts w:cstheme="minorHAnsi"/>
          <w:i/>
          <w:iCs/>
          <w:sz w:val="24"/>
          <w:szCs w:val="24"/>
        </w:rPr>
        <w:t xml:space="preserve">quantMode </w:t>
      </w:r>
      <w:r w:rsidRPr="002356D5">
        <w:rPr>
          <w:rFonts w:cstheme="minorHAnsi"/>
          <w:sz w:val="24"/>
          <w:szCs w:val="24"/>
        </w:rPr>
        <w:t xml:space="preserve">option provided in STAR. </w:t>
      </w:r>
    </w:p>
    <w:bookmarkEnd w:id="1"/>
    <w:p w14:paraId="3368D1D0" w14:textId="77777777" w:rsidR="00C41BFE" w:rsidRPr="002356D5" w:rsidRDefault="00C41BFE" w:rsidP="00C41BFE">
      <w:pPr>
        <w:spacing w:after="0" w:line="480" w:lineRule="auto"/>
        <w:contextualSpacing/>
        <w:jc w:val="both"/>
        <w:rPr>
          <w:rFonts w:eastAsia="Times New Roman" w:cstheme="minorHAnsi"/>
          <w:sz w:val="24"/>
          <w:szCs w:val="24"/>
        </w:rPr>
      </w:pPr>
    </w:p>
    <w:p w14:paraId="5745F6F9" w14:textId="77777777" w:rsidR="00C41BFE" w:rsidRPr="002356D5" w:rsidRDefault="00C41BFE" w:rsidP="00C41BFE">
      <w:pPr>
        <w:spacing w:after="0" w:line="480" w:lineRule="auto"/>
        <w:contextualSpacing/>
        <w:jc w:val="both"/>
        <w:rPr>
          <w:rFonts w:eastAsia="Times New Roman" w:cstheme="minorHAnsi"/>
          <w:sz w:val="24"/>
          <w:szCs w:val="24"/>
        </w:rPr>
      </w:pPr>
      <w:r w:rsidRPr="002356D5">
        <w:rPr>
          <w:rFonts w:eastAsia="Times New Roman" w:cstheme="minorHAnsi"/>
          <w:i/>
          <w:iCs/>
          <w:color w:val="000000"/>
          <w:sz w:val="24"/>
          <w:szCs w:val="24"/>
        </w:rPr>
        <w:t>Differential expression analysis</w:t>
      </w:r>
    </w:p>
    <w:p w14:paraId="32208334" w14:textId="7D929C12" w:rsidR="00C41BFE" w:rsidRPr="002356D5" w:rsidRDefault="00C41BFE" w:rsidP="00FF187D">
      <w:pPr>
        <w:spacing w:after="0" w:line="480" w:lineRule="auto"/>
        <w:ind w:firstLine="720"/>
        <w:contextualSpacing/>
        <w:jc w:val="both"/>
        <w:rPr>
          <w:rFonts w:eastAsia="Times New Roman" w:cstheme="minorHAnsi"/>
          <w:color w:val="000000"/>
          <w:sz w:val="24"/>
          <w:szCs w:val="24"/>
        </w:rPr>
      </w:pPr>
      <w:r w:rsidRPr="002356D5">
        <w:rPr>
          <w:rFonts w:eastAsia="Times New Roman" w:cstheme="minorHAnsi"/>
          <w:color w:val="000000"/>
          <w:sz w:val="24"/>
          <w:szCs w:val="24"/>
        </w:rPr>
        <w:t>Prior to normalization and differential expression analysis, the count data was prefiltered to account for individual variation in read depths within a gene and to focus on genes where the coverage is high. In each sample all values below 10 in the count data were transformed into 0 after which edgeR</w:t>
      </w:r>
      <w:r>
        <w:rPr>
          <w:rFonts w:eastAsia="Times New Roman" w:cstheme="minorHAnsi"/>
          <w:color w:val="000000"/>
          <w:sz w:val="24"/>
          <w:szCs w:val="24"/>
        </w:rPr>
        <w:t xml:space="preserve"> v3.40.2</w:t>
      </w:r>
      <w:r w:rsidRPr="002356D5">
        <w:rPr>
          <w:rFonts w:eastAsia="Times New Roman" w:cstheme="minorHAnsi"/>
          <w:color w:val="000000"/>
          <w:sz w:val="24"/>
          <w:szCs w:val="24"/>
        </w:rPr>
        <w:t xml:space="preserve"> </w:t>
      </w:r>
      <w:r w:rsidRPr="002356D5">
        <w:rPr>
          <w:rFonts w:eastAsia="Times New Roman" w:cstheme="minorHAnsi"/>
          <w:color w:val="000000"/>
          <w:sz w:val="24"/>
          <w:szCs w:val="24"/>
        </w:rPr>
        <w:fldChar w:fldCharType="begin" w:fldLock="1"/>
      </w:r>
      <w:r w:rsidR="00896F62">
        <w:rPr>
          <w:rFonts w:eastAsia="Times New Roman" w:cstheme="minorHAnsi"/>
          <w:color w:val="000000"/>
          <w:sz w:val="24"/>
          <w:szCs w:val="24"/>
        </w:rPr>
        <w:instrText>ADDIN CSL_CITATION {"citationItems":[{"id":"ITEM-1","itemData":{"DOI":"10.1093/bioinformatics/btp616","ISSN":"14602059","PMID":"19910308","abstract":"It is expected that emerging digital gene expression (DGE) technologies will overtake microarray technologies in the near future for many functional genomics applications. One of the fundamental data analysis tasks, especially for gene expression studies, involves determining whether there is evidence that counts for a transcript or exon are significantly different across experimental conditions. edgeR is a Bioconductor software package for examining differential expression of replicated count data. An overdispersed Poisson model is used to account for both biological and technical variability. Empirical Bayes methods are used to moderate the degree of overdispersion across transcripts, improving the reliability of inference. The methodology can be used even with the most minimal levels of replication, provided at least one phenotype or experimental condition is replicated. The software may have other applications beyond sequencing data, such as proteome peptide count data. © The Author(s) 2009. Published by Oxford University Press.","author":[{"dropping-particle":"","family":"Robinson","given":"Mark D.","non-dropping-particle":"","parse-names":false,"suffix":""},{"dropping-particle":"","family":"McCarthy","given":"Davis J.","non-dropping-particle":"","parse-names":false,"suffix":""},{"dropping-particle":"","family":"Smyth","given":"Gordon K.","non-dropping-particle":"","parse-names":false,"suffix":""}],"container-title":"Bioinformatics","id":"ITEM-1","issue":"1","issued":{"date-parts":[["2009","11","11"]]},"page":"139-140","publisher":"Oxford University Press","title":"edgeR: A Bioconductor package for differential expression analysis of digital gene expression data","type":"article-journal","volume":"26"},"uris":["http://www.mendeley.com/documents/?uuid=129db6a1-bb61-3866-b0dc-5f2d8071e85d","http://www.mendeley.com/documents/?uuid=63aafc52-8cc7-42a8-82e4-8f7683e158a1"]}],"mendeley":{"formattedCitation":"(Robinson et al., 2009)","plainTextFormattedCitation":"(Robinson et al., 2009)","previouslyFormattedCitation":"(Robinson et al., 2009)"},"properties":{"noteIndex":0},"schema":"https://github.com/citation-style-language/schema/raw/master/csl-citation.json"}</w:instrText>
      </w:r>
      <w:r w:rsidRPr="002356D5">
        <w:rPr>
          <w:rFonts w:eastAsia="Times New Roman" w:cstheme="minorHAnsi"/>
          <w:color w:val="000000"/>
          <w:sz w:val="24"/>
          <w:szCs w:val="24"/>
        </w:rPr>
        <w:fldChar w:fldCharType="separate"/>
      </w:r>
      <w:r w:rsidR="001E0464" w:rsidRPr="001E0464">
        <w:rPr>
          <w:rFonts w:eastAsia="Times New Roman" w:cstheme="minorHAnsi"/>
          <w:noProof/>
          <w:color w:val="000000"/>
          <w:sz w:val="24"/>
          <w:szCs w:val="24"/>
        </w:rPr>
        <w:t>(Robinson et al., 2009)</w:t>
      </w:r>
      <w:r w:rsidRPr="002356D5">
        <w:rPr>
          <w:rFonts w:eastAsia="Times New Roman" w:cstheme="minorHAnsi"/>
          <w:color w:val="000000"/>
          <w:sz w:val="24"/>
          <w:szCs w:val="24"/>
        </w:rPr>
        <w:fldChar w:fldCharType="end"/>
      </w:r>
      <w:r w:rsidRPr="002356D5">
        <w:rPr>
          <w:rFonts w:eastAsia="Times New Roman" w:cstheme="minorHAnsi"/>
          <w:color w:val="000000"/>
          <w:sz w:val="24"/>
          <w:szCs w:val="24"/>
        </w:rPr>
        <w:t xml:space="preserve"> </w:t>
      </w:r>
      <w:r w:rsidRPr="002356D5">
        <w:rPr>
          <w:rFonts w:eastAsia="Times New Roman" w:cstheme="minorHAnsi"/>
          <w:i/>
          <w:iCs/>
          <w:color w:val="000000"/>
          <w:sz w:val="24"/>
          <w:szCs w:val="24"/>
        </w:rPr>
        <w:t>filterByExpr</w:t>
      </w:r>
      <w:r w:rsidRPr="002356D5">
        <w:rPr>
          <w:rFonts w:eastAsia="Times New Roman" w:cstheme="minorHAnsi"/>
          <w:color w:val="000000"/>
          <w:sz w:val="24"/>
          <w:szCs w:val="24"/>
        </w:rPr>
        <w:t xml:space="preserve"> was run with minimum count of 10 and total count of 320 to obtain a gene list for downstream analysis. This prefiltered gene list was then used to select genes to retain for differential expression analysis but using the original counts data (</w:t>
      </w:r>
      <w:r w:rsidRPr="00D753D6">
        <w:rPr>
          <w:rFonts w:eastAsia="Times New Roman" w:cstheme="minorHAnsi"/>
          <w:i/>
          <w:iCs/>
          <w:color w:val="000000"/>
          <w:sz w:val="24"/>
          <w:szCs w:val="24"/>
        </w:rPr>
        <w:t>i.e</w:t>
      </w:r>
      <w:r w:rsidRPr="002356D5">
        <w:rPr>
          <w:rFonts w:eastAsia="Times New Roman" w:cstheme="minorHAnsi"/>
          <w:color w:val="000000"/>
          <w:sz w:val="24"/>
          <w:szCs w:val="24"/>
        </w:rPr>
        <w:t>., not prefiltered). Genes retained in the analysis were normalized using TMM method</w:t>
      </w:r>
      <w:r>
        <w:rPr>
          <w:rFonts w:eastAsia="Times New Roman" w:cstheme="minorHAnsi"/>
          <w:color w:val="000000"/>
          <w:sz w:val="24"/>
          <w:szCs w:val="24"/>
        </w:rPr>
        <w:t>,</w:t>
      </w:r>
      <w:r w:rsidRPr="002356D5">
        <w:rPr>
          <w:rFonts w:eastAsia="Times New Roman" w:cstheme="minorHAnsi"/>
          <w:color w:val="000000"/>
          <w:sz w:val="24"/>
          <w:szCs w:val="24"/>
        </w:rPr>
        <w:t xml:space="preserve"> and then voom </w:t>
      </w:r>
      <w:r w:rsidRPr="002356D5">
        <w:rPr>
          <w:rFonts w:eastAsia="Times New Roman" w:cstheme="minorHAnsi"/>
          <w:color w:val="000000"/>
          <w:sz w:val="24"/>
          <w:szCs w:val="24"/>
        </w:rPr>
        <w:fldChar w:fldCharType="begin" w:fldLock="1"/>
      </w:r>
      <w:r w:rsidR="00896F62">
        <w:rPr>
          <w:rFonts w:eastAsia="Times New Roman" w:cstheme="minorHAnsi"/>
          <w:color w:val="000000"/>
          <w:sz w:val="24"/>
          <w:szCs w:val="24"/>
        </w:rPr>
        <w:instrText>ADDIN CSL_CITATION {"citationItems":[{"id":"ITEM-1","itemData":{"DOI":"10.1186/gb-2014-15-2-r29","ISSN":"1474760X","PMID":"24485249","abstract":"New normal linear modeling strategies are presented for analyzing read counts from RNA-seq experiments. The voom method estimates the mean-variance relationship of the log-counts, generates a precision weight for each observation and enters these into the limma empirical Bayes analysis pipeline. This opens access for RNA-seq analysts to a large body of methodology developed for microarrays. Simulation studies show that voom performs as well or better than count-based RNA-seq methods even when the data are generated according to the assumptions of the earlier methods. Two case studies illustrate the use of linear modeling and gene set testing methods. © 2014 Law et al.; licensee BioMed Central Ltd.","author":[{"dropping-particle":"","family":"Law","given":"Charity W.","non-dropping-particle":"","parse-names":false,"suffix":""},{"dropping-particle":"","family":"Chen","given":"Yunshun","non-dropping-particle":"","parse-names":false,"suffix":""},{"dropping-particle":"","family":"Shi","given":"Wei","non-dropping-particle":"","parse-names":false,"suffix":""},{"dropping-particle":"","family":"Smyth","given":"Gordon K.","non-dropping-particle":"","parse-names":false,"suffix":""}],"container-title":"Genome Biology","id":"ITEM-1","issue":"2","issued":{"date-parts":[["2014","2","3"]]},"page":"R29","publisher":"BioMed Central","title":"Voom: Precision weights unlock linear model analysis tools for RNA-seq read counts","type":"article-journal","volume":"15"},"uris":["http://www.mendeley.com/documents/?uuid=1324c675-1e4d-38ec-83b7-e8a2f9e58ad0","http://www.mendeley.com/documents/?uuid=6b55fbd8-61fb-4e41-8e97-5359dce5cfc7"]}],"mendeley":{"formattedCitation":"(Law et al., 2014)","plainTextFormattedCitation":"(Law et al., 2014)","previouslyFormattedCitation":"(Law et al., 2014)"},"properties":{"noteIndex":0},"schema":"https://github.com/citation-style-language/schema/raw/master/csl-citation.json"}</w:instrText>
      </w:r>
      <w:r w:rsidRPr="002356D5">
        <w:rPr>
          <w:rFonts w:eastAsia="Times New Roman" w:cstheme="minorHAnsi"/>
          <w:color w:val="000000"/>
          <w:sz w:val="24"/>
          <w:szCs w:val="24"/>
        </w:rPr>
        <w:fldChar w:fldCharType="separate"/>
      </w:r>
      <w:r w:rsidR="001E0464" w:rsidRPr="001E0464">
        <w:rPr>
          <w:rFonts w:eastAsia="Times New Roman" w:cstheme="minorHAnsi"/>
          <w:noProof/>
          <w:color w:val="000000"/>
          <w:sz w:val="24"/>
          <w:szCs w:val="24"/>
        </w:rPr>
        <w:t>(Law et al., 2014)</w:t>
      </w:r>
      <w:r w:rsidRPr="002356D5">
        <w:rPr>
          <w:rFonts w:eastAsia="Times New Roman" w:cstheme="minorHAnsi"/>
          <w:color w:val="000000"/>
          <w:sz w:val="24"/>
          <w:szCs w:val="24"/>
        </w:rPr>
        <w:fldChar w:fldCharType="end"/>
      </w:r>
      <w:r w:rsidRPr="002356D5">
        <w:rPr>
          <w:rFonts w:eastAsia="Times New Roman" w:cstheme="minorHAnsi"/>
          <w:color w:val="000000"/>
          <w:sz w:val="24"/>
          <w:szCs w:val="24"/>
        </w:rPr>
        <w:t xml:space="preserve"> was run to obtain mean-variance trend to add that to the differential analysis to account for additional variance in genes. Normalization was visually inspected by plotting </w:t>
      </w:r>
      <w:r w:rsidRPr="002356D5">
        <w:rPr>
          <w:rFonts w:eastAsia="Times New Roman" w:cstheme="minorHAnsi"/>
          <w:color w:val="000000"/>
          <w:sz w:val="24"/>
          <w:szCs w:val="24"/>
        </w:rPr>
        <w:lastRenderedPageBreak/>
        <w:t>the raw and normalized count data for testis and liver</w:t>
      </w:r>
      <w:r>
        <w:rPr>
          <w:rFonts w:eastAsia="Times New Roman" w:cstheme="minorHAnsi"/>
          <w:color w:val="000000"/>
          <w:sz w:val="24"/>
          <w:szCs w:val="24"/>
        </w:rPr>
        <w:t xml:space="preserve"> (</w:t>
      </w:r>
      <w:r w:rsidR="00991ACE">
        <w:rPr>
          <w:rFonts w:eastAsia="Times New Roman" w:cstheme="minorHAnsi"/>
          <w:color w:val="000000"/>
          <w:sz w:val="24"/>
          <w:szCs w:val="24"/>
        </w:rPr>
        <w:t>Figure S1</w:t>
      </w:r>
      <w:r>
        <w:rPr>
          <w:rFonts w:eastAsia="Times New Roman" w:cstheme="minorHAnsi"/>
          <w:color w:val="000000"/>
          <w:sz w:val="24"/>
          <w:szCs w:val="24"/>
        </w:rPr>
        <w:t xml:space="preserve"> and </w:t>
      </w:r>
      <w:r w:rsidR="00991ACE">
        <w:rPr>
          <w:rFonts w:eastAsia="Times New Roman" w:cstheme="minorHAnsi"/>
          <w:color w:val="000000"/>
          <w:sz w:val="24"/>
          <w:szCs w:val="24"/>
        </w:rPr>
        <w:t>Figure S2</w:t>
      </w:r>
      <w:r>
        <w:rPr>
          <w:rFonts w:eastAsia="Times New Roman" w:cstheme="minorHAnsi"/>
          <w:color w:val="000000"/>
          <w:sz w:val="24"/>
          <w:szCs w:val="24"/>
        </w:rPr>
        <w:t>). All analysis were performed</w:t>
      </w:r>
      <w:r w:rsidRPr="002356D5">
        <w:rPr>
          <w:rFonts w:eastAsia="Times New Roman" w:cstheme="minorHAnsi"/>
          <w:color w:val="000000"/>
          <w:sz w:val="24"/>
          <w:szCs w:val="24"/>
        </w:rPr>
        <w:t xml:space="preserve"> in R</w:t>
      </w:r>
      <w:r>
        <w:rPr>
          <w:rFonts w:eastAsia="Times New Roman" w:cstheme="minorHAnsi"/>
          <w:color w:val="000000"/>
          <w:sz w:val="24"/>
          <w:szCs w:val="24"/>
        </w:rPr>
        <w:t xml:space="preserve"> 4.2.2</w:t>
      </w:r>
      <w:r w:rsidRPr="002356D5">
        <w:rPr>
          <w:rFonts w:eastAsia="Times New Roman" w:cstheme="minorHAnsi"/>
          <w:color w:val="000000"/>
          <w:sz w:val="24"/>
          <w:szCs w:val="24"/>
        </w:rPr>
        <w:t xml:space="preserve"> </w:t>
      </w:r>
      <w:r>
        <w:rPr>
          <w:rFonts w:eastAsia="Times New Roman" w:cstheme="minorHAnsi"/>
          <w:color w:val="000000"/>
          <w:sz w:val="24"/>
          <w:szCs w:val="24"/>
        </w:rPr>
        <w:fldChar w:fldCharType="begin" w:fldLock="1"/>
      </w:r>
      <w:r w:rsidR="00896F62">
        <w:rPr>
          <w:rFonts w:eastAsia="Times New Roman" w:cstheme="minorHAnsi"/>
          <w:color w:val="000000"/>
          <w:sz w:val="24"/>
          <w:szCs w:val="24"/>
        </w:rPr>
        <w:instrText>ADDIN CSL_CITATION {"citationItems":[{"id":"ITEM-1","itemData":{"author":[{"dropping-particle":"","family":"R Core Team","given":"","non-dropping-particle":"","parse-names":false,"suffix":""}],"id":"ITEM-1","issued":{"date-parts":[["2022"]]},"publisher":"R Foundation for Statistical Computing","publisher-place":"Vienna, Austria","title":"R: A language and environment for statistical computing","type":"article"},"uris":["http://www.mendeley.com/documents/?uuid=4e08bf8a-4554-4153-986d-f989409bc1d9"]}],"mendeley":{"formattedCitation":"(R Core Team, 2022)","plainTextFormattedCitation":"(R Core Team, 2022)","previouslyFormattedCitation":"(R Core Team, 2022)"},"properties":{"noteIndex":0},"schema":"https://github.com/citation-style-language/schema/raw/master/csl-citation.json"}</w:instrText>
      </w:r>
      <w:r>
        <w:rPr>
          <w:rFonts w:eastAsia="Times New Roman" w:cstheme="minorHAnsi"/>
          <w:color w:val="000000"/>
          <w:sz w:val="24"/>
          <w:szCs w:val="24"/>
        </w:rPr>
        <w:fldChar w:fldCharType="separate"/>
      </w:r>
      <w:r w:rsidR="001E0464" w:rsidRPr="001E0464">
        <w:rPr>
          <w:rFonts w:eastAsia="Times New Roman" w:cstheme="minorHAnsi"/>
          <w:noProof/>
          <w:color w:val="000000"/>
          <w:sz w:val="24"/>
          <w:szCs w:val="24"/>
        </w:rPr>
        <w:t>(R Core Team, 2022)</w:t>
      </w:r>
      <w:r>
        <w:rPr>
          <w:rFonts w:eastAsia="Times New Roman" w:cstheme="minorHAnsi"/>
          <w:color w:val="000000"/>
          <w:sz w:val="24"/>
          <w:szCs w:val="24"/>
        </w:rPr>
        <w:fldChar w:fldCharType="end"/>
      </w:r>
      <w:r w:rsidRPr="002356D5">
        <w:rPr>
          <w:rFonts w:eastAsia="Times New Roman" w:cstheme="minorHAnsi"/>
          <w:color w:val="000000"/>
          <w:sz w:val="24"/>
          <w:szCs w:val="24"/>
        </w:rPr>
        <w:t>.</w:t>
      </w:r>
    </w:p>
    <w:p w14:paraId="17FF8BFC" w14:textId="1355FD6E" w:rsidR="00C41BFE" w:rsidRPr="002356D5" w:rsidRDefault="00C41BFE" w:rsidP="00FF187D">
      <w:pPr>
        <w:spacing w:after="0" w:line="480" w:lineRule="auto"/>
        <w:ind w:firstLine="720"/>
        <w:contextualSpacing/>
        <w:jc w:val="both"/>
        <w:rPr>
          <w:rFonts w:eastAsia="Times New Roman" w:cstheme="minorHAnsi"/>
          <w:color w:val="000000"/>
          <w:sz w:val="24"/>
          <w:szCs w:val="24"/>
        </w:rPr>
      </w:pPr>
      <w:r>
        <w:rPr>
          <w:rFonts w:eastAsia="Times New Roman" w:cstheme="minorHAnsi"/>
          <w:color w:val="000000"/>
          <w:sz w:val="24"/>
          <w:szCs w:val="24"/>
        </w:rPr>
        <w:t>Liver and testis tissue were analyzed separately for differential expression. A</w:t>
      </w:r>
      <w:r w:rsidRPr="002356D5">
        <w:rPr>
          <w:rFonts w:eastAsia="Times New Roman" w:cstheme="minorHAnsi"/>
          <w:color w:val="000000"/>
          <w:sz w:val="24"/>
          <w:szCs w:val="24"/>
        </w:rPr>
        <w:t>nalysis was done with limma</w:t>
      </w:r>
      <w:r>
        <w:rPr>
          <w:rFonts w:eastAsia="Times New Roman" w:cstheme="minorHAnsi"/>
          <w:color w:val="000000"/>
          <w:sz w:val="24"/>
          <w:szCs w:val="24"/>
        </w:rPr>
        <w:t xml:space="preserve"> v3.54.2</w:t>
      </w:r>
      <w:r w:rsidRPr="002356D5">
        <w:rPr>
          <w:rFonts w:eastAsia="Times New Roman" w:cstheme="minorHAnsi"/>
          <w:color w:val="000000"/>
          <w:sz w:val="24"/>
          <w:szCs w:val="24"/>
        </w:rPr>
        <w:t xml:space="preserve"> </w:t>
      </w:r>
      <w:r w:rsidRPr="002356D5">
        <w:rPr>
          <w:rFonts w:eastAsia="Times New Roman" w:cstheme="minorHAnsi"/>
          <w:color w:val="000000"/>
          <w:sz w:val="24"/>
          <w:szCs w:val="24"/>
        </w:rPr>
        <w:fldChar w:fldCharType="begin" w:fldLock="1"/>
      </w:r>
      <w:r w:rsidR="00896F62">
        <w:rPr>
          <w:rFonts w:eastAsia="Times New Roman" w:cstheme="minorHAnsi"/>
          <w:color w:val="000000"/>
          <w:sz w:val="24"/>
          <w:szCs w:val="24"/>
        </w:rPr>
        <w:instrText>ADDIN CSL_CITATION {"citationItems":[{"id":"ITEM-1","itemData":{"DOI":"10.1007/0-387-29362-0_23","ISBN":"0-387-25146-4","ISSN":"1544-6115","PMID":"16495579","abstract":"A survey is given of differential expression analyses using the linear modeling features of the limma package. The chapter starts with the simplest replicated designs and progresses through experiments with two or more groups, direct designs, factorial designs and time course experiments. Experiments with technical as well as biological replication are considered. Empirical Bayes test statistics are explained. The use of quality weights, adaptive background correction and control spots in conjunction with linear modelling is illustrated on the β7 data.","author":[{"dropping-particle":"","family":"Smyth","given":"G. K.","non-dropping-particle":"","parse-names":false,"suffix":""}],"container-title":"Bioinformatics and Computational Biology Solutions Using R and Bioconductor","id":"ITEM-1","issue":"2005","issued":{"date-parts":[["2005"]]},"page":"397-420","publisher":"Springer-Verlag","publisher-place":"New York","title":"limma: Linear Models for Microarray Data","type":"chapter"},"uris":["http://www.mendeley.com/documents/?uuid=1bce189e-c38c-4670-8f74-85229d964141","http://www.mendeley.com/documents/?uuid=2a581951-f273-4375-8bc5-9c1554eadfbd"]}],"mendeley":{"formattedCitation":"(Smyth, 2005)","plainTextFormattedCitation":"(Smyth, 2005)","previouslyFormattedCitation":"(Smyth, 2005)"},"properties":{"noteIndex":0},"schema":"https://github.com/citation-style-language/schema/raw/master/csl-citation.json"}</w:instrText>
      </w:r>
      <w:r w:rsidRPr="002356D5">
        <w:rPr>
          <w:rFonts w:eastAsia="Times New Roman" w:cstheme="minorHAnsi"/>
          <w:color w:val="000000"/>
          <w:sz w:val="24"/>
          <w:szCs w:val="24"/>
        </w:rPr>
        <w:fldChar w:fldCharType="separate"/>
      </w:r>
      <w:r w:rsidR="001E0464" w:rsidRPr="001E0464">
        <w:rPr>
          <w:rFonts w:eastAsia="Times New Roman" w:cstheme="minorHAnsi"/>
          <w:noProof/>
          <w:color w:val="000000"/>
          <w:sz w:val="24"/>
          <w:szCs w:val="24"/>
        </w:rPr>
        <w:t>(Smyth, 2005)</w:t>
      </w:r>
      <w:r w:rsidRPr="002356D5">
        <w:rPr>
          <w:rFonts w:eastAsia="Times New Roman" w:cstheme="minorHAnsi"/>
          <w:color w:val="000000"/>
          <w:sz w:val="24"/>
          <w:szCs w:val="24"/>
        </w:rPr>
        <w:fldChar w:fldCharType="end"/>
      </w:r>
      <w:r w:rsidRPr="002356D5">
        <w:rPr>
          <w:rFonts w:eastAsia="Times New Roman" w:cstheme="minorHAnsi"/>
          <w:color w:val="000000"/>
          <w:sz w:val="24"/>
          <w:szCs w:val="24"/>
        </w:rPr>
        <w:t xml:space="preserve"> using</w:t>
      </w:r>
      <w:r w:rsidRPr="002356D5">
        <w:rPr>
          <w:rFonts w:eastAsia="Times New Roman" w:cstheme="minorHAnsi"/>
          <w:i/>
          <w:iCs/>
          <w:color w:val="000000"/>
          <w:sz w:val="24"/>
          <w:szCs w:val="24"/>
        </w:rPr>
        <w:t xml:space="preserve"> lmFit</w:t>
      </w:r>
      <w:r w:rsidRPr="002356D5">
        <w:rPr>
          <w:rFonts w:eastAsia="Times New Roman" w:cstheme="minorHAnsi"/>
          <w:color w:val="000000"/>
          <w:sz w:val="24"/>
          <w:szCs w:val="24"/>
        </w:rPr>
        <w:t xml:space="preserve"> and</w:t>
      </w:r>
      <w:r w:rsidRPr="002356D5">
        <w:rPr>
          <w:rFonts w:eastAsia="Times New Roman" w:cstheme="minorHAnsi"/>
          <w:i/>
          <w:iCs/>
          <w:color w:val="000000"/>
          <w:sz w:val="24"/>
          <w:szCs w:val="24"/>
        </w:rPr>
        <w:t xml:space="preserve"> eBayes.</w:t>
      </w:r>
      <w:r w:rsidRPr="002356D5">
        <w:rPr>
          <w:rFonts w:eastAsia="Times New Roman" w:cstheme="minorHAnsi"/>
          <w:color w:val="000000"/>
          <w:sz w:val="24"/>
          <w:szCs w:val="24"/>
        </w:rPr>
        <w:t xml:space="preserve"> Contrasts in limma were done using </w:t>
      </w:r>
      <w:r w:rsidRPr="002356D5">
        <w:rPr>
          <w:rFonts w:eastAsia="Times New Roman" w:cstheme="minorHAnsi"/>
          <w:i/>
          <w:iCs/>
          <w:color w:val="000000"/>
          <w:sz w:val="24"/>
          <w:szCs w:val="24"/>
        </w:rPr>
        <w:t>makeContrasts</w:t>
      </w:r>
      <w:r>
        <w:rPr>
          <w:rFonts w:eastAsia="Times New Roman" w:cstheme="minorHAnsi"/>
          <w:i/>
          <w:iCs/>
          <w:color w:val="000000"/>
          <w:sz w:val="24"/>
          <w:szCs w:val="24"/>
        </w:rPr>
        <w:t>.</w:t>
      </w:r>
      <w:r w:rsidRPr="002356D5">
        <w:rPr>
          <w:rFonts w:eastAsia="Times New Roman" w:cstheme="minorHAnsi"/>
          <w:color w:val="000000"/>
          <w:sz w:val="24"/>
          <w:szCs w:val="24"/>
        </w:rPr>
        <w:t xml:space="preserve"> For testis</w:t>
      </w:r>
      <w:r>
        <w:rPr>
          <w:rFonts w:eastAsia="Times New Roman" w:cstheme="minorHAnsi"/>
          <w:color w:val="000000"/>
          <w:sz w:val="24"/>
          <w:szCs w:val="24"/>
        </w:rPr>
        <w:t>,</w:t>
      </w:r>
      <w:r w:rsidRPr="002356D5">
        <w:rPr>
          <w:rFonts w:eastAsia="Times New Roman" w:cstheme="minorHAnsi"/>
          <w:color w:val="000000"/>
          <w:sz w:val="24"/>
          <w:szCs w:val="24"/>
        </w:rPr>
        <w:t xml:space="preserve"> </w:t>
      </w:r>
      <w:r>
        <w:rPr>
          <w:rFonts w:eastAsia="Times New Roman" w:cstheme="minorHAnsi"/>
          <w:color w:val="000000"/>
          <w:sz w:val="24"/>
          <w:szCs w:val="24"/>
        </w:rPr>
        <w:t xml:space="preserve">comparison among the three inversion genotypes was performed within each developmental timepoint. For example, within timepoint 1 (inactive testis) the following contrasts were examined: </w:t>
      </w:r>
      <w:r w:rsidRPr="002356D5">
        <w:rPr>
          <w:rFonts w:eastAsia="Times New Roman" w:cstheme="minorHAnsi"/>
          <w:color w:val="000000"/>
          <w:sz w:val="24"/>
          <w:szCs w:val="24"/>
        </w:rPr>
        <w:t>AA-AB</w:t>
      </w:r>
      <w:r>
        <w:rPr>
          <w:rFonts w:eastAsia="Times New Roman" w:cstheme="minorHAnsi"/>
          <w:color w:val="000000"/>
          <w:sz w:val="24"/>
          <w:szCs w:val="24"/>
        </w:rPr>
        <w:t>*</w:t>
      </w:r>
      <w:r w:rsidRPr="002356D5">
        <w:rPr>
          <w:rFonts w:eastAsia="Times New Roman" w:cstheme="minorHAnsi"/>
          <w:color w:val="000000"/>
          <w:sz w:val="24"/>
          <w:szCs w:val="24"/>
        </w:rPr>
        <w:t>, AA-B</w:t>
      </w:r>
      <w:r>
        <w:rPr>
          <w:rFonts w:eastAsia="Times New Roman" w:cstheme="minorHAnsi"/>
          <w:color w:val="000000"/>
          <w:sz w:val="24"/>
          <w:szCs w:val="24"/>
        </w:rPr>
        <w:t>*</w:t>
      </w:r>
      <w:r w:rsidRPr="002356D5">
        <w:rPr>
          <w:rFonts w:eastAsia="Times New Roman" w:cstheme="minorHAnsi"/>
          <w:color w:val="000000"/>
          <w:sz w:val="24"/>
          <w:szCs w:val="24"/>
        </w:rPr>
        <w:t>B</w:t>
      </w:r>
      <w:r>
        <w:rPr>
          <w:rFonts w:eastAsia="Times New Roman" w:cstheme="minorHAnsi"/>
          <w:color w:val="000000"/>
          <w:sz w:val="24"/>
          <w:szCs w:val="24"/>
        </w:rPr>
        <w:t>*</w:t>
      </w:r>
      <w:r w:rsidRPr="002356D5">
        <w:rPr>
          <w:rFonts w:eastAsia="Times New Roman" w:cstheme="minorHAnsi"/>
          <w:color w:val="000000"/>
          <w:sz w:val="24"/>
          <w:szCs w:val="24"/>
        </w:rPr>
        <w:t>, AB</w:t>
      </w:r>
      <w:r>
        <w:rPr>
          <w:rFonts w:eastAsia="Times New Roman" w:cstheme="minorHAnsi"/>
          <w:color w:val="000000"/>
          <w:sz w:val="24"/>
          <w:szCs w:val="24"/>
        </w:rPr>
        <w:t>*</w:t>
      </w:r>
      <w:r w:rsidRPr="002356D5">
        <w:rPr>
          <w:rFonts w:eastAsia="Times New Roman" w:cstheme="minorHAnsi"/>
          <w:color w:val="000000"/>
          <w:sz w:val="24"/>
          <w:szCs w:val="24"/>
        </w:rPr>
        <w:t>-B</w:t>
      </w:r>
      <w:r>
        <w:rPr>
          <w:rFonts w:eastAsia="Times New Roman" w:cstheme="minorHAnsi"/>
          <w:color w:val="000000"/>
          <w:sz w:val="24"/>
          <w:szCs w:val="24"/>
        </w:rPr>
        <w:t>*</w:t>
      </w:r>
      <w:r w:rsidRPr="002356D5">
        <w:rPr>
          <w:rFonts w:eastAsia="Times New Roman" w:cstheme="minorHAnsi"/>
          <w:color w:val="000000"/>
          <w:sz w:val="24"/>
          <w:szCs w:val="24"/>
        </w:rPr>
        <w:t>B</w:t>
      </w:r>
      <w:r>
        <w:rPr>
          <w:rFonts w:eastAsia="Times New Roman" w:cstheme="minorHAnsi"/>
          <w:color w:val="000000"/>
          <w:sz w:val="24"/>
          <w:szCs w:val="24"/>
        </w:rPr>
        <w:t>*.</w:t>
      </w:r>
      <w:r w:rsidRPr="002356D5">
        <w:rPr>
          <w:rFonts w:eastAsia="Times New Roman" w:cstheme="minorHAnsi"/>
          <w:color w:val="000000"/>
          <w:sz w:val="24"/>
          <w:szCs w:val="24"/>
        </w:rPr>
        <w:t xml:space="preserve"> </w:t>
      </w:r>
      <w:r>
        <w:rPr>
          <w:rFonts w:eastAsia="Times New Roman" w:cstheme="minorHAnsi"/>
          <w:color w:val="000000"/>
          <w:sz w:val="24"/>
          <w:szCs w:val="24"/>
        </w:rPr>
        <w:t xml:space="preserve">In the </w:t>
      </w:r>
      <w:r w:rsidRPr="002356D5">
        <w:rPr>
          <w:rFonts w:eastAsia="Times New Roman" w:cstheme="minorHAnsi"/>
          <w:color w:val="000000"/>
          <w:sz w:val="24"/>
          <w:szCs w:val="24"/>
        </w:rPr>
        <w:t>liver samples</w:t>
      </w:r>
      <w:r>
        <w:rPr>
          <w:rFonts w:eastAsia="Times New Roman" w:cstheme="minorHAnsi"/>
          <w:color w:val="000000"/>
          <w:sz w:val="24"/>
          <w:szCs w:val="24"/>
        </w:rPr>
        <w:t>, we first examined the same contrasts as for the testis tissue, but since there was no effect of testis development time in the liver tissue (Figure 1), all timepoints within an inversion genotype were merged.</w:t>
      </w:r>
      <w:r w:rsidRPr="002356D5">
        <w:rPr>
          <w:rFonts w:eastAsia="Times New Roman" w:cstheme="minorHAnsi"/>
          <w:color w:val="000000"/>
          <w:sz w:val="24"/>
          <w:szCs w:val="24"/>
        </w:rPr>
        <w:t xml:space="preserve"> </w:t>
      </w:r>
      <w:r>
        <w:rPr>
          <w:rFonts w:eastAsia="Times New Roman" w:cstheme="minorHAnsi"/>
          <w:color w:val="000000"/>
          <w:sz w:val="24"/>
          <w:szCs w:val="24"/>
        </w:rPr>
        <w:t>Therefore,</w:t>
      </w:r>
      <w:r w:rsidRPr="002356D5">
        <w:rPr>
          <w:rFonts w:eastAsia="Times New Roman" w:cstheme="minorHAnsi"/>
          <w:color w:val="000000"/>
          <w:sz w:val="24"/>
          <w:szCs w:val="24"/>
        </w:rPr>
        <w:t xml:space="preserve"> the contrast matrix was determined between inversion genotypes AA-AB</w:t>
      </w:r>
      <w:r>
        <w:rPr>
          <w:rFonts w:eastAsia="Times New Roman" w:cstheme="minorHAnsi"/>
          <w:color w:val="000000"/>
          <w:sz w:val="24"/>
          <w:szCs w:val="24"/>
        </w:rPr>
        <w:t>*</w:t>
      </w:r>
      <w:r w:rsidRPr="002356D5">
        <w:rPr>
          <w:rFonts w:eastAsia="Times New Roman" w:cstheme="minorHAnsi"/>
          <w:color w:val="000000"/>
          <w:sz w:val="24"/>
          <w:szCs w:val="24"/>
        </w:rPr>
        <w:t>, AA-B</w:t>
      </w:r>
      <w:r>
        <w:rPr>
          <w:rFonts w:eastAsia="Times New Roman" w:cstheme="minorHAnsi"/>
          <w:color w:val="000000"/>
          <w:sz w:val="24"/>
          <w:szCs w:val="24"/>
        </w:rPr>
        <w:t>*</w:t>
      </w:r>
      <w:r w:rsidRPr="002356D5">
        <w:rPr>
          <w:rFonts w:eastAsia="Times New Roman" w:cstheme="minorHAnsi"/>
          <w:color w:val="000000"/>
          <w:sz w:val="24"/>
          <w:szCs w:val="24"/>
        </w:rPr>
        <w:t>B</w:t>
      </w:r>
      <w:r>
        <w:rPr>
          <w:rFonts w:eastAsia="Times New Roman" w:cstheme="minorHAnsi"/>
          <w:color w:val="000000"/>
          <w:sz w:val="24"/>
          <w:szCs w:val="24"/>
        </w:rPr>
        <w:t>*</w:t>
      </w:r>
      <w:r w:rsidRPr="002356D5">
        <w:rPr>
          <w:rFonts w:eastAsia="Times New Roman" w:cstheme="minorHAnsi"/>
          <w:color w:val="000000"/>
          <w:sz w:val="24"/>
          <w:szCs w:val="24"/>
        </w:rPr>
        <w:t xml:space="preserve"> and AB</w:t>
      </w:r>
      <w:r>
        <w:rPr>
          <w:rFonts w:eastAsia="Times New Roman" w:cstheme="minorHAnsi"/>
          <w:color w:val="000000"/>
          <w:sz w:val="24"/>
          <w:szCs w:val="24"/>
        </w:rPr>
        <w:t>*</w:t>
      </w:r>
      <w:r w:rsidRPr="002356D5">
        <w:rPr>
          <w:rFonts w:eastAsia="Times New Roman" w:cstheme="minorHAnsi"/>
          <w:color w:val="000000"/>
          <w:sz w:val="24"/>
          <w:szCs w:val="24"/>
        </w:rPr>
        <w:t>-B</w:t>
      </w:r>
      <w:r>
        <w:rPr>
          <w:rFonts w:eastAsia="Times New Roman" w:cstheme="minorHAnsi"/>
          <w:color w:val="000000"/>
          <w:sz w:val="24"/>
          <w:szCs w:val="24"/>
        </w:rPr>
        <w:t>*</w:t>
      </w:r>
      <w:r w:rsidRPr="002356D5">
        <w:rPr>
          <w:rFonts w:eastAsia="Times New Roman" w:cstheme="minorHAnsi"/>
          <w:color w:val="000000"/>
          <w:sz w:val="24"/>
          <w:szCs w:val="24"/>
        </w:rPr>
        <w:t>B</w:t>
      </w:r>
      <w:r>
        <w:rPr>
          <w:rFonts w:eastAsia="Times New Roman" w:cstheme="minorHAnsi"/>
          <w:color w:val="000000"/>
          <w:sz w:val="24"/>
          <w:szCs w:val="24"/>
        </w:rPr>
        <w:t>*</w:t>
      </w:r>
      <w:r w:rsidRPr="002356D5">
        <w:rPr>
          <w:rFonts w:eastAsia="Times New Roman" w:cstheme="minorHAnsi"/>
          <w:color w:val="000000"/>
          <w:sz w:val="24"/>
          <w:szCs w:val="24"/>
        </w:rPr>
        <w:t xml:space="preserve"> by averaging the expression for each inversion genotype across the </w:t>
      </w:r>
      <w:r>
        <w:rPr>
          <w:rFonts w:eastAsia="Times New Roman" w:cstheme="minorHAnsi"/>
          <w:color w:val="000000"/>
          <w:sz w:val="24"/>
          <w:szCs w:val="24"/>
        </w:rPr>
        <w:t xml:space="preserve">development groups. </w:t>
      </w:r>
      <w:r w:rsidRPr="002356D5">
        <w:rPr>
          <w:rFonts w:eastAsia="Times New Roman" w:cstheme="minorHAnsi"/>
          <w:color w:val="000000"/>
          <w:sz w:val="24"/>
          <w:szCs w:val="24"/>
        </w:rPr>
        <w:t>Significance was determined separately in each tissue</w:t>
      </w:r>
      <w:r>
        <w:rPr>
          <w:rFonts w:eastAsia="Times New Roman" w:cstheme="minorHAnsi"/>
          <w:color w:val="000000"/>
          <w:sz w:val="24"/>
          <w:szCs w:val="24"/>
        </w:rPr>
        <w:t xml:space="preserve"> and across the contrast matrix (12 contrasts for testis; 3 contrasts for liver)</w:t>
      </w:r>
      <w:r w:rsidRPr="002356D5">
        <w:rPr>
          <w:rFonts w:eastAsia="Times New Roman" w:cstheme="minorHAnsi"/>
          <w:color w:val="000000"/>
          <w:sz w:val="24"/>
          <w:szCs w:val="24"/>
        </w:rPr>
        <w:t xml:space="preserve"> with </w:t>
      </w:r>
      <w:r w:rsidRPr="002356D5">
        <w:rPr>
          <w:rFonts w:eastAsia="Times New Roman" w:cstheme="minorHAnsi"/>
          <w:i/>
          <w:iCs/>
          <w:color w:val="000000"/>
          <w:sz w:val="24"/>
          <w:szCs w:val="24"/>
        </w:rPr>
        <w:t xml:space="preserve">decideTests </w:t>
      </w:r>
      <w:r w:rsidRPr="002356D5">
        <w:rPr>
          <w:rFonts w:eastAsia="Times New Roman" w:cstheme="minorHAnsi"/>
          <w:color w:val="000000"/>
          <w:sz w:val="24"/>
          <w:szCs w:val="24"/>
        </w:rPr>
        <w:t xml:space="preserve">for the fits using method “global” and p-value 0.05. </w:t>
      </w:r>
    </w:p>
    <w:p w14:paraId="41A9F74C" w14:textId="77777777" w:rsidR="00C41BFE" w:rsidRPr="002356D5" w:rsidRDefault="00C41BFE" w:rsidP="00C41BFE">
      <w:pPr>
        <w:spacing w:after="0" w:line="480" w:lineRule="auto"/>
        <w:contextualSpacing/>
        <w:jc w:val="both"/>
        <w:rPr>
          <w:rFonts w:eastAsia="Times New Roman" w:cstheme="minorHAnsi"/>
          <w:color w:val="000000"/>
          <w:sz w:val="24"/>
          <w:szCs w:val="24"/>
        </w:rPr>
      </w:pPr>
    </w:p>
    <w:p w14:paraId="3080F3A7" w14:textId="77777777" w:rsidR="00C41BFE" w:rsidRPr="002356D5" w:rsidRDefault="00C41BFE" w:rsidP="00C41BFE">
      <w:pPr>
        <w:spacing w:after="0" w:line="480" w:lineRule="auto"/>
        <w:contextualSpacing/>
        <w:jc w:val="both"/>
        <w:rPr>
          <w:rFonts w:eastAsia="Times New Roman" w:cstheme="minorHAnsi"/>
          <w:i/>
          <w:iCs/>
          <w:color w:val="000000"/>
          <w:sz w:val="24"/>
          <w:szCs w:val="24"/>
        </w:rPr>
      </w:pPr>
      <w:bookmarkStart w:id="2" w:name="_Hlk137416653"/>
      <w:r w:rsidRPr="002356D5">
        <w:rPr>
          <w:rFonts w:eastAsia="Times New Roman" w:cstheme="minorHAnsi"/>
          <w:i/>
          <w:iCs/>
          <w:color w:val="000000"/>
          <w:sz w:val="24"/>
          <w:szCs w:val="24"/>
        </w:rPr>
        <w:t>SNP</w:t>
      </w:r>
      <w:r>
        <w:rPr>
          <w:rFonts w:eastAsia="Times New Roman" w:cstheme="minorHAnsi"/>
          <w:i/>
          <w:iCs/>
          <w:color w:val="000000"/>
          <w:sz w:val="24"/>
          <w:szCs w:val="24"/>
        </w:rPr>
        <w:t xml:space="preserve"> </w:t>
      </w:r>
      <w:r w:rsidRPr="002356D5">
        <w:rPr>
          <w:rFonts w:eastAsia="Times New Roman" w:cstheme="minorHAnsi"/>
          <w:i/>
          <w:iCs/>
          <w:color w:val="000000"/>
          <w:sz w:val="24"/>
          <w:szCs w:val="24"/>
        </w:rPr>
        <w:t>calling</w:t>
      </w:r>
      <w:r>
        <w:rPr>
          <w:rFonts w:eastAsia="Times New Roman" w:cstheme="minorHAnsi"/>
          <w:i/>
          <w:iCs/>
          <w:color w:val="000000"/>
          <w:sz w:val="24"/>
          <w:szCs w:val="24"/>
        </w:rPr>
        <w:t xml:space="preserve"> along the Z </w:t>
      </w:r>
      <w:proofErr w:type="gramStart"/>
      <w:r>
        <w:rPr>
          <w:rFonts w:eastAsia="Times New Roman" w:cstheme="minorHAnsi"/>
          <w:i/>
          <w:iCs/>
          <w:color w:val="000000"/>
          <w:sz w:val="24"/>
          <w:szCs w:val="24"/>
        </w:rPr>
        <w:t>chromosome</w:t>
      </w:r>
      <w:bookmarkEnd w:id="2"/>
      <w:proofErr w:type="gramEnd"/>
      <w:r>
        <w:rPr>
          <w:rFonts w:eastAsia="Times New Roman" w:cstheme="minorHAnsi"/>
          <w:i/>
          <w:iCs/>
          <w:color w:val="000000"/>
          <w:sz w:val="24"/>
          <w:szCs w:val="24"/>
        </w:rPr>
        <w:t xml:space="preserve"> </w:t>
      </w:r>
    </w:p>
    <w:p w14:paraId="5E102DB9" w14:textId="14627F82" w:rsidR="00C41BFE" w:rsidRDefault="00C41BFE" w:rsidP="00E4181F">
      <w:pPr>
        <w:spacing w:after="0" w:line="480" w:lineRule="auto"/>
        <w:ind w:firstLine="720"/>
        <w:contextualSpacing/>
        <w:jc w:val="both"/>
        <w:rPr>
          <w:rFonts w:eastAsia="Times New Roman" w:cstheme="minorHAnsi"/>
          <w:color w:val="000000"/>
          <w:sz w:val="24"/>
          <w:szCs w:val="24"/>
        </w:rPr>
      </w:pPr>
      <w:r w:rsidRPr="002356D5">
        <w:rPr>
          <w:rFonts w:eastAsia="Times New Roman" w:cstheme="minorHAnsi"/>
          <w:color w:val="000000"/>
          <w:sz w:val="24"/>
          <w:szCs w:val="24"/>
        </w:rPr>
        <w:t xml:space="preserve">To be able to estimate </w:t>
      </w:r>
      <w:r>
        <w:rPr>
          <w:rFonts w:eastAsia="Times New Roman" w:cstheme="minorHAnsi"/>
          <w:color w:val="000000"/>
          <w:sz w:val="24"/>
          <w:szCs w:val="24"/>
        </w:rPr>
        <w:t>allele-</w:t>
      </w:r>
      <w:r w:rsidRPr="002356D5">
        <w:rPr>
          <w:rFonts w:eastAsia="Times New Roman" w:cstheme="minorHAnsi"/>
          <w:color w:val="000000"/>
          <w:sz w:val="24"/>
          <w:szCs w:val="24"/>
        </w:rPr>
        <w:t>specific expression</w:t>
      </w:r>
      <w:r>
        <w:rPr>
          <w:rFonts w:eastAsia="Times New Roman" w:cstheme="minorHAnsi"/>
          <w:color w:val="000000"/>
          <w:sz w:val="24"/>
          <w:szCs w:val="24"/>
        </w:rPr>
        <w:t xml:space="preserve"> from the RNAseq reads,</w:t>
      </w:r>
      <w:r w:rsidRPr="002356D5">
        <w:rPr>
          <w:rFonts w:eastAsia="Times New Roman" w:cstheme="minorHAnsi"/>
          <w:color w:val="000000"/>
          <w:sz w:val="24"/>
          <w:szCs w:val="24"/>
        </w:rPr>
        <w:t xml:space="preserve"> variant calling was done in both tissues</w:t>
      </w:r>
      <w:r>
        <w:rPr>
          <w:rFonts w:eastAsia="Times New Roman" w:cstheme="minorHAnsi"/>
          <w:color w:val="000000"/>
          <w:sz w:val="24"/>
          <w:szCs w:val="24"/>
        </w:rPr>
        <w:t xml:space="preserve"> separately</w:t>
      </w:r>
      <w:r w:rsidRPr="002356D5">
        <w:rPr>
          <w:rFonts w:eastAsia="Times New Roman" w:cstheme="minorHAnsi"/>
          <w:color w:val="000000"/>
          <w:sz w:val="24"/>
          <w:szCs w:val="24"/>
        </w:rPr>
        <w:t>. Using bcftools</w:t>
      </w:r>
      <w:r>
        <w:rPr>
          <w:rFonts w:eastAsia="Times New Roman" w:cstheme="minorHAnsi"/>
          <w:color w:val="000000"/>
          <w:sz w:val="24"/>
          <w:szCs w:val="24"/>
        </w:rPr>
        <w:t xml:space="preserve"> v1.16</w:t>
      </w:r>
      <w:r w:rsidRPr="002356D5">
        <w:rPr>
          <w:rFonts w:eastAsia="Times New Roman" w:cstheme="minorHAnsi"/>
          <w:color w:val="000000"/>
          <w:sz w:val="24"/>
          <w:szCs w:val="24"/>
        </w:rPr>
        <w:t xml:space="preserve"> </w:t>
      </w:r>
      <w:r w:rsidRPr="002356D5">
        <w:rPr>
          <w:rFonts w:eastAsia="Times New Roman" w:cstheme="minorHAnsi"/>
          <w:color w:val="000000"/>
          <w:sz w:val="24"/>
          <w:szCs w:val="24"/>
        </w:rPr>
        <w:fldChar w:fldCharType="begin" w:fldLock="1"/>
      </w:r>
      <w:r w:rsidR="00896F62">
        <w:rPr>
          <w:rFonts w:eastAsia="Times New Roman" w:cstheme="minorHAnsi"/>
          <w:color w:val="000000"/>
          <w:sz w:val="24"/>
          <w:szCs w:val="24"/>
        </w:rPr>
        <w:instrText>ADDIN CSL_CITATION {"citationItems":[{"id":"ITEM-1","itemData":{"DOI":"10.1093/gigascience/giab008","ISSN":"2047217X","PMID":"33590861","abstract":"BACKGROUND: SAMtools and BCFtools are widely used programs for processing and analysing high-throughput sequencing data. They include tools for file format conversion and manipulation, sorting, querying, statistics, variant calling, and effect analysis amongst other methods. FINDINGS: The first version appeared online 12 years ago and has been maintained and further developed ever since, with many new features and improvements added over the years. The SAMtools and BCFtools packages represent a unique collection of tools that have been used in numerous other software projects and countless genomic pipelines. CONCLUSION: Both SAMtools and BCFtools are freely available on GitHub under the permissive MIT licence, free for both non-commercial and commercial use. Both packages have been installed &gt;1 million times via Bioconda. The source code and documentation are available from https://www.htslib.org.","author":[{"dropping-particle":"","family":"Danecek","given":"Petr","non-dropping-particle":"","parse-names":false,"suffix":""},{"dropping-particle":"","family":"Bonfield","given":"James K","non-dropping-particle":"","parse-names":false,"suffix":""},{"dropping-particle":"","family":"Liddle","given":"Jennifer","non-dropping-particle":"","parse-names":false,"suffix":""},{"dropping-particle":"","family":"Marshall","given":"John","non-dropping-particle":"","parse-names":false,"suffix":""},{"dropping-particle":"","family":"Ohan","given":"Valeriu","non-dropping-particle":"","parse-names":false,"suffix":""},{"dropping-particle":"","family":"Pollard","given":"Martin O","non-dropping-particle":"","parse-names":false,"suffix":""},{"dropping-particle":"","family":"Whitwham","given":"Andrew","non-dropping-particle":"","parse-names":false,"suffix":""},{"dropping-particle":"","family":"Keane","given":"Thomas","non-dropping-particle":"","parse-names":false,"suffix":""},{"dropping-particle":"","family":"McCarthy","given":"Shane A.","non-dropping-particle":"","parse-names":false,"suffix":""},{"dropping-particle":"","family":"Davies","given":"Robert M","non-dropping-particle":"","parse-names":false,"suffix":""},{"dropping-particle":"","family":"Li","given":"Heng","non-dropping-particle":"","parse-names":false,"suffix":""}],"container-title":"GigaScience","id":"ITEM-1","issue":"2","issued":{"date-parts":[["2021"]]},"page":"1-4","title":"Twelve years of SAMtools and BCFtools","type":"article-journal","volume":"10"},"uris":["http://www.mendeley.com/documents/?uuid=0142b86a-374b-3153-a5f3-159ffbecdacb","http://www.mendeley.com/documents/?uuid=c9e4b83c-156e-45d7-bdc5-f412c82c876b"]}],"mendeley":{"formattedCitation":"(Danecek et al., 2021)","plainTextFormattedCitation":"(Danecek et al., 2021)","previouslyFormattedCitation":"(Danecek et al., 2021)"},"properties":{"noteIndex":0},"schema":"https://github.com/citation-style-language/schema/raw/master/csl-citation.json"}</w:instrText>
      </w:r>
      <w:r w:rsidRPr="002356D5">
        <w:rPr>
          <w:rFonts w:eastAsia="Times New Roman" w:cstheme="minorHAnsi"/>
          <w:color w:val="000000"/>
          <w:sz w:val="24"/>
          <w:szCs w:val="24"/>
        </w:rPr>
        <w:fldChar w:fldCharType="separate"/>
      </w:r>
      <w:r w:rsidR="001E0464" w:rsidRPr="001E0464">
        <w:rPr>
          <w:rFonts w:eastAsia="Times New Roman" w:cstheme="minorHAnsi"/>
          <w:noProof/>
          <w:color w:val="000000"/>
          <w:sz w:val="24"/>
          <w:szCs w:val="24"/>
        </w:rPr>
        <w:t>(Danecek et al., 2021)</w:t>
      </w:r>
      <w:r w:rsidRPr="002356D5">
        <w:rPr>
          <w:rFonts w:eastAsia="Times New Roman" w:cstheme="minorHAnsi"/>
          <w:color w:val="000000"/>
          <w:sz w:val="24"/>
          <w:szCs w:val="24"/>
        </w:rPr>
        <w:fldChar w:fldCharType="end"/>
      </w:r>
      <w:r>
        <w:rPr>
          <w:rFonts w:eastAsia="Times New Roman" w:cstheme="minorHAnsi"/>
          <w:color w:val="000000"/>
          <w:sz w:val="24"/>
          <w:szCs w:val="24"/>
        </w:rPr>
        <w:t>,</w:t>
      </w:r>
      <w:r w:rsidRPr="002356D5">
        <w:rPr>
          <w:rFonts w:eastAsia="Times New Roman" w:cstheme="minorHAnsi"/>
          <w:color w:val="000000"/>
          <w:sz w:val="24"/>
          <w:szCs w:val="24"/>
        </w:rPr>
        <w:t xml:space="preserve"> </w:t>
      </w:r>
      <w:r w:rsidRPr="002356D5">
        <w:rPr>
          <w:rFonts w:eastAsia="Times New Roman" w:cstheme="minorHAnsi"/>
          <w:i/>
          <w:iCs/>
          <w:color w:val="000000"/>
          <w:sz w:val="24"/>
          <w:szCs w:val="24"/>
        </w:rPr>
        <w:t>mpileup</w:t>
      </w:r>
      <w:r w:rsidRPr="002356D5">
        <w:rPr>
          <w:rFonts w:eastAsia="Times New Roman" w:cstheme="minorHAnsi"/>
          <w:color w:val="000000"/>
          <w:sz w:val="24"/>
          <w:szCs w:val="24"/>
        </w:rPr>
        <w:t xml:space="preserve"> </w:t>
      </w:r>
      <w:r>
        <w:rPr>
          <w:rFonts w:eastAsia="Times New Roman" w:cstheme="minorHAnsi"/>
          <w:color w:val="000000"/>
          <w:sz w:val="24"/>
          <w:szCs w:val="24"/>
        </w:rPr>
        <w:t xml:space="preserve">and </w:t>
      </w:r>
      <w:r w:rsidRPr="0055497F">
        <w:rPr>
          <w:rFonts w:eastAsia="Times New Roman" w:cstheme="minorHAnsi"/>
          <w:i/>
          <w:iCs/>
          <w:color w:val="000000"/>
          <w:sz w:val="24"/>
          <w:szCs w:val="24"/>
        </w:rPr>
        <w:t>call</w:t>
      </w:r>
      <w:r>
        <w:rPr>
          <w:rFonts w:eastAsia="Times New Roman" w:cstheme="minorHAnsi"/>
          <w:color w:val="000000"/>
          <w:sz w:val="24"/>
          <w:szCs w:val="24"/>
        </w:rPr>
        <w:t xml:space="preserve"> were used </w:t>
      </w:r>
      <w:r w:rsidRPr="002356D5">
        <w:rPr>
          <w:rFonts w:eastAsia="Times New Roman" w:cstheme="minorHAnsi"/>
          <w:color w:val="000000"/>
          <w:sz w:val="24"/>
          <w:szCs w:val="24"/>
        </w:rPr>
        <w:t>to call the variants</w:t>
      </w:r>
      <w:r>
        <w:rPr>
          <w:rFonts w:eastAsia="Times New Roman" w:cstheme="minorHAnsi"/>
          <w:color w:val="000000"/>
          <w:sz w:val="24"/>
          <w:szCs w:val="24"/>
        </w:rPr>
        <w:t xml:space="preserve"> from the bam files of the mapped reads,</w:t>
      </w:r>
      <w:r w:rsidRPr="002356D5">
        <w:rPr>
          <w:rFonts w:eastAsia="Times New Roman" w:cstheme="minorHAnsi"/>
          <w:color w:val="000000"/>
          <w:sz w:val="24"/>
          <w:szCs w:val="24"/>
        </w:rPr>
        <w:t xml:space="preserve"> and </w:t>
      </w:r>
      <w:r w:rsidRPr="002356D5">
        <w:rPr>
          <w:rFonts w:eastAsia="Times New Roman" w:cstheme="minorHAnsi"/>
          <w:i/>
          <w:iCs/>
          <w:color w:val="000000"/>
          <w:sz w:val="24"/>
          <w:szCs w:val="24"/>
        </w:rPr>
        <w:t>filter</w:t>
      </w:r>
      <w:r w:rsidRPr="002356D5">
        <w:rPr>
          <w:rFonts w:eastAsia="Times New Roman" w:cstheme="minorHAnsi"/>
          <w:color w:val="000000"/>
          <w:sz w:val="24"/>
          <w:szCs w:val="24"/>
        </w:rPr>
        <w:t xml:space="preserve"> </w:t>
      </w:r>
      <w:r>
        <w:rPr>
          <w:rFonts w:eastAsia="Times New Roman" w:cstheme="minorHAnsi"/>
          <w:color w:val="000000"/>
          <w:sz w:val="24"/>
          <w:szCs w:val="24"/>
        </w:rPr>
        <w:t xml:space="preserve">was used </w:t>
      </w:r>
      <w:r w:rsidRPr="002356D5">
        <w:rPr>
          <w:rFonts w:eastAsia="Times New Roman" w:cstheme="minorHAnsi"/>
          <w:color w:val="000000"/>
          <w:sz w:val="24"/>
          <w:szCs w:val="24"/>
        </w:rPr>
        <w:t>to remove low quality (QUAL&lt;999)</w:t>
      </w:r>
      <w:r>
        <w:rPr>
          <w:rFonts w:eastAsia="Times New Roman" w:cstheme="minorHAnsi"/>
          <w:color w:val="000000"/>
          <w:sz w:val="24"/>
          <w:szCs w:val="24"/>
        </w:rPr>
        <w:t xml:space="preserve"> loci,</w:t>
      </w:r>
      <w:r w:rsidRPr="002356D5">
        <w:rPr>
          <w:rFonts w:eastAsia="Times New Roman" w:cstheme="minorHAnsi"/>
          <w:color w:val="000000"/>
          <w:sz w:val="24"/>
          <w:szCs w:val="24"/>
        </w:rPr>
        <w:t xml:space="preserve"> </w:t>
      </w:r>
      <w:r>
        <w:rPr>
          <w:rFonts w:eastAsia="Times New Roman" w:cstheme="minorHAnsi"/>
          <w:color w:val="000000"/>
          <w:sz w:val="24"/>
          <w:szCs w:val="24"/>
        </w:rPr>
        <w:t>indels</w:t>
      </w:r>
      <w:r w:rsidRPr="002356D5">
        <w:rPr>
          <w:rFonts w:eastAsia="Times New Roman" w:cstheme="minorHAnsi"/>
          <w:color w:val="000000"/>
          <w:sz w:val="24"/>
          <w:szCs w:val="24"/>
        </w:rPr>
        <w:t xml:space="preserve"> and low coverage (INFO/DP&lt;</w:t>
      </w:r>
      <w:r>
        <w:rPr>
          <w:rFonts w:eastAsia="Times New Roman" w:cstheme="minorHAnsi"/>
          <w:color w:val="000000"/>
          <w:sz w:val="24"/>
          <w:szCs w:val="24"/>
        </w:rPr>
        <w:t>6</w:t>
      </w:r>
      <w:r w:rsidRPr="002356D5">
        <w:rPr>
          <w:rFonts w:eastAsia="Times New Roman" w:cstheme="minorHAnsi"/>
          <w:color w:val="000000"/>
          <w:sz w:val="24"/>
          <w:szCs w:val="24"/>
        </w:rPr>
        <w:t>40)</w:t>
      </w:r>
      <w:r>
        <w:rPr>
          <w:rFonts w:eastAsia="Times New Roman" w:cstheme="minorHAnsi"/>
          <w:color w:val="000000"/>
          <w:sz w:val="24"/>
          <w:szCs w:val="24"/>
        </w:rPr>
        <w:t xml:space="preserve"> variants </w:t>
      </w:r>
      <w:r w:rsidRPr="002356D5">
        <w:rPr>
          <w:rFonts w:eastAsia="Times New Roman" w:cstheme="minorHAnsi"/>
          <w:color w:val="000000"/>
          <w:sz w:val="24"/>
          <w:szCs w:val="24"/>
        </w:rPr>
        <w:t xml:space="preserve">. </w:t>
      </w:r>
    </w:p>
    <w:p w14:paraId="72CFB174" w14:textId="281A6390" w:rsidR="00C41BFE" w:rsidRDefault="00C41BFE" w:rsidP="00FF187D">
      <w:pPr>
        <w:spacing w:after="0" w:line="480" w:lineRule="auto"/>
        <w:ind w:firstLine="720"/>
        <w:contextualSpacing/>
        <w:jc w:val="both"/>
        <w:rPr>
          <w:rFonts w:eastAsia="Times New Roman" w:cstheme="minorHAnsi"/>
          <w:color w:val="000000"/>
          <w:sz w:val="24"/>
          <w:szCs w:val="24"/>
        </w:rPr>
      </w:pPr>
      <w:r>
        <w:rPr>
          <w:rFonts w:eastAsia="Times New Roman" w:cstheme="minorHAnsi"/>
          <w:color w:val="000000"/>
          <w:sz w:val="24"/>
          <w:szCs w:val="24"/>
        </w:rPr>
        <w:t xml:space="preserve">To examine the overall SNP pattern across the Z chromosome for estimating the </w:t>
      </w:r>
      <w:r w:rsidR="00FF187D">
        <w:rPr>
          <w:rFonts w:eastAsia="Times New Roman" w:cstheme="minorHAnsi"/>
          <w:color w:val="000000"/>
          <w:sz w:val="24"/>
          <w:szCs w:val="24"/>
        </w:rPr>
        <w:t>karyotype</w:t>
      </w:r>
      <w:r>
        <w:rPr>
          <w:rFonts w:eastAsia="Times New Roman" w:cstheme="minorHAnsi"/>
          <w:color w:val="000000"/>
          <w:sz w:val="24"/>
          <w:szCs w:val="24"/>
        </w:rPr>
        <w:t xml:space="preserve"> in our data, bam files for liver and testis were merged to increase the coverage, and variant calling was performed the same way as above for the separate tissues. Variants were filtered for individual depth of </w:t>
      </w:r>
      <w:r w:rsidR="007C6170">
        <w:rPr>
          <w:rFonts w:eastAsia="Times New Roman" w:cstheme="minorHAnsi"/>
          <w:color w:val="000000"/>
          <w:sz w:val="24"/>
          <w:szCs w:val="24"/>
        </w:rPr>
        <w:t xml:space="preserve">8 </w:t>
      </w:r>
      <w:r>
        <w:rPr>
          <w:rFonts w:eastAsia="Times New Roman" w:cstheme="minorHAnsi"/>
          <w:color w:val="000000"/>
          <w:sz w:val="24"/>
          <w:szCs w:val="24"/>
        </w:rPr>
        <w:t>(DP&lt;</w:t>
      </w:r>
      <w:r w:rsidR="007C6170">
        <w:rPr>
          <w:rFonts w:eastAsia="Times New Roman" w:cstheme="minorHAnsi"/>
          <w:color w:val="000000"/>
          <w:sz w:val="24"/>
          <w:szCs w:val="24"/>
        </w:rPr>
        <w:t>8</w:t>
      </w:r>
      <w:r>
        <w:rPr>
          <w:rFonts w:eastAsia="Times New Roman" w:cstheme="minorHAnsi"/>
          <w:color w:val="000000"/>
          <w:sz w:val="24"/>
          <w:szCs w:val="24"/>
        </w:rPr>
        <w:t xml:space="preserve">) and for genotype quality of </w:t>
      </w:r>
      <w:r w:rsidR="007C6170">
        <w:rPr>
          <w:rFonts w:eastAsia="Times New Roman" w:cstheme="minorHAnsi"/>
          <w:color w:val="000000"/>
          <w:sz w:val="24"/>
          <w:szCs w:val="24"/>
        </w:rPr>
        <w:t xml:space="preserve">10 </w:t>
      </w:r>
      <w:r>
        <w:rPr>
          <w:rFonts w:eastAsia="Times New Roman" w:cstheme="minorHAnsi"/>
          <w:color w:val="000000"/>
          <w:sz w:val="24"/>
          <w:szCs w:val="24"/>
        </w:rPr>
        <w:t>(GQ&lt;</w:t>
      </w:r>
      <w:r w:rsidR="007C6170">
        <w:rPr>
          <w:rFonts w:eastAsia="Times New Roman" w:cstheme="minorHAnsi"/>
          <w:color w:val="000000"/>
          <w:sz w:val="24"/>
          <w:szCs w:val="24"/>
        </w:rPr>
        <w:t>10</w:t>
      </w:r>
      <w:r>
        <w:rPr>
          <w:rFonts w:eastAsia="Times New Roman" w:cstheme="minorHAnsi"/>
          <w:color w:val="000000"/>
          <w:sz w:val="24"/>
          <w:szCs w:val="24"/>
        </w:rPr>
        <w:t xml:space="preserve">). This resulted in </w:t>
      </w:r>
      <w:r w:rsidR="007C6170" w:rsidRPr="007C6170">
        <w:rPr>
          <w:rFonts w:eastAsia="Times New Roman" w:cstheme="minorHAnsi"/>
          <w:color w:val="000000"/>
          <w:sz w:val="24"/>
          <w:szCs w:val="24"/>
        </w:rPr>
        <w:t>8388</w:t>
      </w:r>
      <w:r>
        <w:rPr>
          <w:rFonts w:eastAsia="Times New Roman" w:cstheme="minorHAnsi"/>
          <w:color w:val="000000"/>
          <w:sz w:val="24"/>
          <w:szCs w:val="24"/>
        </w:rPr>
        <w:t xml:space="preserve"> SNPs. These were used in the R package </w:t>
      </w:r>
      <w:r w:rsidRPr="00C63EA7">
        <w:rPr>
          <w:rFonts w:eastAsia="Times New Roman" w:cstheme="minorHAnsi"/>
          <w:color w:val="000000"/>
          <w:sz w:val="24"/>
          <w:szCs w:val="24"/>
        </w:rPr>
        <w:t>GenotypePlot</w:t>
      </w:r>
      <w:r w:rsidR="003F4DCC">
        <w:rPr>
          <w:rFonts w:eastAsia="Times New Roman" w:cstheme="minorHAnsi"/>
          <w:color w:val="000000"/>
          <w:sz w:val="24"/>
          <w:szCs w:val="24"/>
        </w:rPr>
        <w:t xml:space="preserve"> v0.2.1 </w:t>
      </w:r>
      <w:r w:rsidR="003F4DCC">
        <w:rPr>
          <w:rFonts w:eastAsia="Times New Roman" w:cstheme="minorHAnsi"/>
          <w:color w:val="000000"/>
          <w:sz w:val="24"/>
          <w:szCs w:val="24"/>
        </w:rPr>
        <w:fldChar w:fldCharType="begin" w:fldLock="1"/>
      </w:r>
      <w:r w:rsidR="00896F62">
        <w:rPr>
          <w:rFonts w:eastAsia="Times New Roman" w:cstheme="minorHAnsi"/>
          <w:color w:val="000000"/>
          <w:sz w:val="24"/>
          <w:szCs w:val="24"/>
        </w:rPr>
        <w:instrText>ADDIN CSL_CITATION {"citationItems":[{"id":"ITEM-1","itemData":{"DOI":"10.5281/zenodo.5913504","author":[{"dropping-particle":"","family":"Whiting","given":"James R","non-dropping-particle":"","parse-names":false,"suffix":""}],"id":"ITEM-1","issued":{"date-parts":[["2022"]]},"title":"JimWhiting91/genotype_plot: Genotype Plot","type":"article"},"uris":["http://www.mendeley.com/documents/?uuid=e87a741c-289b-4dad-ab05-144a12fb3aef"]}],"mendeley":{"formattedCitation":"(Whiting, 2022)","plainTextFormattedCitation":"(Whiting, 2022)","previouslyFormattedCitation":"(Whiting, 2022)"},"properties":{"noteIndex":0},"schema":"https://github.com/citation-style-language/schema/raw/master/csl-citation.json"}</w:instrText>
      </w:r>
      <w:r w:rsidR="003F4DCC">
        <w:rPr>
          <w:rFonts w:eastAsia="Times New Roman" w:cstheme="minorHAnsi"/>
          <w:color w:val="000000"/>
          <w:sz w:val="24"/>
          <w:szCs w:val="24"/>
        </w:rPr>
        <w:fldChar w:fldCharType="separate"/>
      </w:r>
      <w:r w:rsidR="001E0464" w:rsidRPr="001E0464">
        <w:rPr>
          <w:rFonts w:eastAsia="Times New Roman" w:cstheme="minorHAnsi"/>
          <w:noProof/>
          <w:color w:val="000000"/>
          <w:sz w:val="24"/>
          <w:szCs w:val="24"/>
        </w:rPr>
        <w:t>(Whiting, 2022)</w:t>
      </w:r>
      <w:r w:rsidR="003F4DCC">
        <w:rPr>
          <w:rFonts w:eastAsia="Times New Roman" w:cstheme="minorHAnsi"/>
          <w:color w:val="000000"/>
          <w:sz w:val="24"/>
          <w:szCs w:val="24"/>
        </w:rPr>
        <w:fldChar w:fldCharType="end"/>
      </w:r>
      <w:r>
        <w:rPr>
          <w:rFonts w:eastAsia="Times New Roman" w:cstheme="minorHAnsi"/>
          <w:color w:val="000000"/>
          <w:sz w:val="24"/>
          <w:szCs w:val="24"/>
        </w:rPr>
        <w:t xml:space="preserve"> to identify the inversion pattern across </w:t>
      </w:r>
      <w:r>
        <w:rPr>
          <w:rFonts w:eastAsia="Times New Roman" w:cstheme="minorHAnsi"/>
          <w:color w:val="000000"/>
          <w:sz w:val="24"/>
          <w:szCs w:val="24"/>
        </w:rPr>
        <w:lastRenderedPageBreak/>
        <w:t xml:space="preserve">the Z chromosome and to verify the </w:t>
      </w:r>
      <w:r w:rsidR="007E1CE5">
        <w:rPr>
          <w:rFonts w:eastAsia="Times New Roman" w:cstheme="minorHAnsi"/>
          <w:color w:val="000000"/>
          <w:sz w:val="24"/>
          <w:szCs w:val="24"/>
        </w:rPr>
        <w:t>karyotypes</w:t>
      </w:r>
      <w:r>
        <w:rPr>
          <w:rFonts w:eastAsia="Times New Roman" w:cstheme="minorHAnsi"/>
          <w:color w:val="000000"/>
          <w:sz w:val="24"/>
          <w:szCs w:val="24"/>
        </w:rPr>
        <w:t xml:space="preserve">. For the genotype plotting, </w:t>
      </w:r>
      <w:r w:rsidR="00090C46">
        <w:rPr>
          <w:rFonts w:eastAsia="Times New Roman" w:cstheme="minorHAnsi"/>
          <w:color w:val="000000"/>
          <w:sz w:val="24"/>
          <w:szCs w:val="24"/>
        </w:rPr>
        <w:t>missingness was set to 0.9</w:t>
      </w:r>
      <w:r>
        <w:rPr>
          <w:rFonts w:eastAsia="Times New Roman" w:cstheme="minorHAnsi"/>
          <w:color w:val="000000"/>
          <w:sz w:val="24"/>
          <w:szCs w:val="24"/>
        </w:rPr>
        <w:t xml:space="preserve"> and invariant sites </w:t>
      </w:r>
      <w:r w:rsidR="00E621E6">
        <w:rPr>
          <w:rFonts w:eastAsia="Times New Roman" w:cstheme="minorHAnsi"/>
          <w:color w:val="000000"/>
          <w:sz w:val="24"/>
          <w:szCs w:val="24"/>
        </w:rPr>
        <w:t xml:space="preserve">were not </w:t>
      </w:r>
      <w:r w:rsidRPr="00D34EC1">
        <w:rPr>
          <w:rFonts w:eastAsia="Times New Roman" w:cstheme="minorHAnsi"/>
          <w:color w:val="000000"/>
          <w:sz w:val="24"/>
          <w:szCs w:val="24"/>
        </w:rPr>
        <w:t>allowed</w:t>
      </w:r>
      <w:r>
        <w:rPr>
          <w:rFonts w:eastAsia="Times New Roman" w:cstheme="minorHAnsi"/>
          <w:color w:val="000000"/>
          <w:sz w:val="24"/>
          <w:szCs w:val="24"/>
        </w:rPr>
        <w:t>,</w:t>
      </w:r>
      <w:r w:rsidRPr="00D34EC1">
        <w:rPr>
          <w:rFonts w:eastAsia="Times New Roman" w:cstheme="minorHAnsi"/>
          <w:color w:val="000000"/>
          <w:sz w:val="24"/>
          <w:szCs w:val="24"/>
        </w:rPr>
        <w:t xml:space="preserve"> and genotypes</w:t>
      </w:r>
      <w:r>
        <w:rPr>
          <w:rFonts w:eastAsia="Times New Roman" w:cstheme="minorHAnsi"/>
          <w:color w:val="000000"/>
          <w:sz w:val="24"/>
          <w:szCs w:val="24"/>
        </w:rPr>
        <w:t xml:space="preserve"> were polarized towards the AA individuals to better visualize the pattern of homozygous and heterozygous regions among the AA, AB* and B*B* individuals.</w:t>
      </w:r>
      <w:r w:rsidR="00E621E6">
        <w:rPr>
          <w:rFonts w:eastAsia="Times New Roman" w:cstheme="minorHAnsi"/>
          <w:color w:val="000000"/>
          <w:sz w:val="24"/>
          <w:szCs w:val="24"/>
        </w:rPr>
        <w:t xml:space="preserve"> We first examined the f</w:t>
      </w:r>
      <w:r w:rsidR="00B432A0">
        <w:rPr>
          <w:rFonts w:eastAsia="Times New Roman" w:cstheme="minorHAnsi"/>
          <w:color w:val="000000"/>
          <w:sz w:val="24"/>
          <w:szCs w:val="24"/>
        </w:rPr>
        <w:t xml:space="preserve">ull chromosome </w:t>
      </w:r>
      <w:r w:rsidR="00E621E6">
        <w:rPr>
          <w:rFonts w:eastAsia="Times New Roman" w:cstheme="minorHAnsi"/>
          <w:color w:val="000000"/>
          <w:sz w:val="24"/>
          <w:szCs w:val="24"/>
        </w:rPr>
        <w:t>Z (Figure S7) and then focused on the region between 7Mb until the end of the chromosome (Figure 6).</w:t>
      </w:r>
    </w:p>
    <w:p w14:paraId="24D7B198" w14:textId="77777777" w:rsidR="00C41BFE" w:rsidRDefault="00C41BFE" w:rsidP="00C41BFE">
      <w:pPr>
        <w:spacing w:after="0" w:line="480" w:lineRule="auto"/>
        <w:contextualSpacing/>
        <w:jc w:val="both"/>
        <w:rPr>
          <w:rFonts w:eastAsia="Times New Roman" w:cstheme="minorHAnsi"/>
          <w:color w:val="000000"/>
          <w:sz w:val="24"/>
          <w:szCs w:val="24"/>
        </w:rPr>
      </w:pPr>
    </w:p>
    <w:p w14:paraId="01C4D0D7" w14:textId="77777777" w:rsidR="00C41BFE" w:rsidRPr="00E24EE1" w:rsidRDefault="00C41BFE" w:rsidP="00C41BFE">
      <w:pPr>
        <w:spacing w:after="0" w:line="480" w:lineRule="auto"/>
        <w:contextualSpacing/>
        <w:jc w:val="both"/>
        <w:rPr>
          <w:rFonts w:eastAsia="Times New Roman" w:cstheme="minorHAnsi"/>
          <w:sz w:val="24"/>
          <w:szCs w:val="24"/>
        </w:rPr>
      </w:pPr>
      <w:r w:rsidRPr="00E24EE1">
        <w:rPr>
          <w:rFonts w:eastAsia="Times New Roman" w:cstheme="minorHAnsi"/>
          <w:i/>
          <w:iCs/>
          <w:color w:val="000000"/>
          <w:sz w:val="24"/>
          <w:szCs w:val="24"/>
        </w:rPr>
        <w:t>Functional annotation</w:t>
      </w:r>
    </w:p>
    <w:p w14:paraId="41599D59" w14:textId="34F39F56" w:rsidR="007E1FD8" w:rsidRDefault="00C41BFE" w:rsidP="00FF187D">
      <w:pPr>
        <w:spacing w:after="0" w:line="480" w:lineRule="auto"/>
        <w:ind w:firstLine="720"/>
        <w:contextualSpacing/>
        <w:jc w:val="both"/>
        <w:rPr>
          <w:rFonts w:eastAsia="Times New Roman" w:cstheme="minorHAnsi"/>
          <w:sz w:val="24"/>
          <w:szCs w:val="24"/>
        </w:rPr>
      </w:pPr>
      <w:proofErr w:type="spellStart"/>
      <w:r w:rsidRPr="00E24EE1">
        <w:rPr>
          <w:rFonts w:eastAsia="Times New Roman" w:cstheme="minorHAnsi"/>
          <w:sz w:val="24"/>
          <w:szCs w:val="24"/>
        </w:rPr>
        <w:t>ShinyGO</w:t>
      </w:r>
      <w:proofErr w:type="spellEnd"/>
      <w:r w:rsidRPr="00E24EE1">
        <w:rPr>
          <w:rFonts w:eastAsia="Times New Roman" w:cstheme="minorHAnsi"/>
          <w:sz w:val="24"/>
          <w:szCs w:val="24"/>
        </w:rPr>
        <w:t xml:space="preserve"> v0.77</w:t>
      </w:r>
      <w:r w:rsidR="007E1CE5">
        <w:rPr>
          <w:rFonts w:eastAsia="Times New Roman" w:cstheme="minorHAnsi"/>
          <w:sz w:val="24"/>
          <w:szCs w:val="24"/>
        </w:rPr>
        <w:t xml:space="preserve"> </w:t>
      </w:r>
      <w:r w:rsidR="0057419F">
        <w:rPr>
          <w:rFonts w:eastAsia="Times New Roman" w:cstheme="minorHAnsi"/>
          <w:sz w:val="24"/>
          <w:szCs w:val="24"/>
        </w:rPr>
        <w:fldChar w:fldCharType="begin" w:fldLock="1"/>
      </w:r>
      <w:r w:rsidR="00EC2222">
        <w:rPr>
          <w:rFonts w:eastAsia="Times New Roman" w:cstheme="minorHAnsi"/>
          <w:sz w:val="24"/>
          <w:szCs w:val="24"/>
        </w:rPr>
        <w:instrText>ADDIN CSL_CITATION {"citationItems":[{"id":"ITEM-1","itemData":{"DOI":"10.1101/082511.Lai","ISSN":"14602059","PMID":"31882993","abstract":"Motivation Gene lists are routinely produced from various genome-wide studies. Enrichment analysis can link these gene lists with underlying molecular pathways by using functional categories such as gene ontology (GO). Results To complement existing tools, we developed ShinyGO with several features: (1) large annotation database from GO and many other sources for over 200 plant and animal species, (2) graphical visualization of enrichment results and gene characteristics, and (3) application program interface (API) access to KEGG and STRING for the retrieval of pathway diagrams and protein-protein interaction networks. ShinyGO is an intuitive, graphical web application that can help researchers gain actionable insights from gene lists. Availability http://ge-lab.org/go/ Contact gexijin@gmail.com Supplementary information Supplementary data are available at Bioinformatics online.","author":[{"dropping-particle":"","family":"Ge","given":"Steven Xijin","non-dropping-particle":"","parse-names":false,"suffix":""},{"dropping-particle":"","family":"Jung","given":"Dongmin","non-dropping-particle":"","parse-names":false,"suffix":""},{"dropping-particle":"","family":"Jung","given":"Dongmin","non-dropping-particle":"","parse-names":false,"suffix":""},{"dropping-particle":"","family":"Yao","given":"Runan","non-dropping-particle":"","parse-names":false,"suffix":""}],"container-title":"bioRxiv","id":"ITEM-1","issue":"December 2019","issued":{"date-parts":[["2018"]]},"page":"315150","title":"ShinyGO: a graphical enrichment tool for ani-mals and plants","type":"article-journal","volume":"36"},"uris":["http://www.mendeley.com/documents/?uuid=3065ecb6-415c-491e-8c62-0264ddae1132"]}],"mendeley":{"formattedCitation":"(Ge et al., 2018)","plainTextFormattedCitation":"(Ge et al., 2018)","previouslyFormattedCitation":"(Ge et al., 2018)"},"properties":{"noteIndex":0},"schema":"https://github.com/citation-style-language/schema/raw/master/csl-citation.json"}</w:instrText>
      </w:r>
      <w:r w:rsidR="0057419F">
        <w:rPr>
          <w:rFonts w:eastAsia="Times New Roman" w:cstheme="minorHAnsi"/>
          <w:sz w:val="24"/>
          <w:szCs w:val="24"/>
        </w:rPr>
        <w:fldChar w:fldCharType="separate"/>
      </w:r>
      <w:r w:rsidR="0057419F" w:rsidRPr="0057419F">
        <w:rPr>
          <w:rFonts w:eastAsia="Times New Roman" w:cstheme="minorHAnsi"/>
          <w:noProof/>
          <w:sz w:val="24"/>
          <w:szCs w:val="24"/>
        </w:rPr>
        <w:t>(Ge et al., 2018)</w:t>
      </w:r>
      <w:r w:rsidR="0057419F">
        <w:rPr>
          <w:rFonts w:eastAsia="Times New Roman" w:cstheme="minorHAnsi"/>
          <w:sz w:val="24"/>
          <w:szCs w:val="24"/>
        </w:rPr>
        <w:fldChar w:fldCharType="end"/>
      </w:r>
      <w:r w:rsidR="0057419F">
        <w:rPr>
          <w:rFonts w:eastAsia="Times New Roman" w:cstheme="minorHAnsi"/>
          <w:sz w:val="24"/>
          <w:szCs w:val="24"/>
        </w:rPr>
        <w:t xml:space="preserve"> </w:t>
      </w:r>
      <w:r w:rsidRPr="00E24EE1">
        <w:rPr>
          <w:rFonts w:eastAsia="Times New Roman" w:cstheme="minorHAnsi"/>
          <w:sz w:val="24"/>
          <w:szCs w:val="24"/>
        </w:rPr>
        <w:t>was used to identify</w:t>
      </w:r>
      <w:r w:rsidR="001A7340">
        <w:rPr>
          <w:rFonts w:eastAsia="Times New Roman" w:cstheme="minorHAnsi"/>
          <w:sz w:val="24"/>
          <w:szCs w:val="24"/>
        </w:rPr>
        <w:t xml:space="preserve"> Gene Ontology (GO)</w:t>
      </w:r>
      <w:r w:rsidRPr="00E24EE1">
        <w:rPr>
          <w:rFonts w:eastAsia="Times New Roman" w:cstheme="minorHAnsi"/>
          <w:sz w:val="24"/>
          <w:szCs w:val="24"/>
        </w:rPr>
        <w:t xml:space="preserve"> </w:t>
      </w:r>
      <w:r w:rsidR="00AD2DD2">
        <w:rPr>
          <w:rFonts w:eastAsia="Times New Roman" w:cstheme="minorHAnsi"/>
          <w:sz w:val="24"/>
          <w:szCs w:val="24"/>
        </w:rPr>
        <w:t xml:space="preserve">term </w:t>
      </w:r>
      <w:r w:rsidRPr="00E24EE1">
        <w:rPr>
          <w:rFonts w:eastAsia="Times New Roman" w:cstheme="minorHAnsi"/>
          <w:sz w:val="24"/>
          <w:szCs w:val="24"/>
        </w:rPr>
        <w:t xml:space="preserve">enrichment using the differentially expressed genes from the testis (16360) and liver (14404). </w:t>
      </w:r>
      <w:r w:rsidR="00F52550">
        <w:rPr>
          <w:rFonts w:eastAsia="Times New Roman" w:cstheme="minorHAnsi"/>
          <w:sz w:val="24"/>
          <w:szCs w:val="24"/>
        </w:rPr>
        <w:t>Species was set to zebra finch and ensembl geneID w</w:t>
      </w:r>
      <w:r w:rsidR="007E1FD8">
        <w:rPr>
          <w:rFonts w:eastAsia="Times New Roman" w:cstheme="minorHAnsi"/>
          <w:sz w:val="24"/>
          <w:szCs w:val="24"/>
        </w:rPr>
        <w:t>as</w:t>
      </w:r>
      <w:r w:rsidR="00F52550">
        <w:rPr>
          <w:rFonts w:eastAsia="Times New Roman" w:cstheme="minorHAnsi"/>
          <w:sz w:val="24"/>
          <w:szCs w:val="24"/>
        </w:rPr>
        <w:t xml:space="preserve"> used as input identifiers.</w:t>
      </w:r>
      <w:r w:rsidR="00AD2DD2">
        <w:rPr>
          <w:rFonts w:eastAsia="Times New Roman" w:cstheme="minorHAnsi"/>
          <w:sz w:val="24"/>
          <w:szCs w:val="24"/>
        </w:rPr>
        <w:t xml:space="preserve"> </w:t>
      </w:r>
      <w:r w:rsidR="003E32F0">
        <w:rPr>
          <w:rFonts w:eastAsia="Times New Roman" w:cstheme="minorHAnsi"/>
          <w:sz w:val="24"/>
          <w:szCs w:val="24"/>
        </w:rPr>
        <w:t xml:space="preserve">The </w:t>
      </w:r>
      <w:r w:rsidR="00D94CD7">
        <w:rPr>
          <w:rFonts w:eastAsia="Times New Roman" w:cstheme="minorHAnsi"/>
          <w:sz w:val="24"/>
          <w:szCs w:val="24"/>
        </w:rPr>
        <w:t>l</w:t>
      </w:r>
      <w:r w:rsidRPr="00E24EE1">
        <w:rPr>
          <w:rFonts w:eastAsia="Times New Roman" w:cstheme="minorHAnsi"/>
          <w:sz w:val="24"/>
          <w:szCs w:val="24"/>
        </w:rPr>
        <w:t>ist of the expressed genes in testis and liver were used as the background for enrichment for testis and liver, respectively. For the functional enrichment analysis</w:t>
      </w:r>
      <w:r w:rsidR="007E1CE5">
        <w:rPr>
          <w:rFonts w:eastAsia="Times New Roman" w:cstheme="minorHAnsi"/>
          <w:sz w:val="24"/>
          <w:szCs w:val="24"/>
        </w:rPr>
        <w:t>,</w:t>
      </w:r>
      <w:r w:rsidRPr="00E24EE1">
        <w:rPr>
          <w:rFonts w:eastAsia="Times New Roman" w:cstheme="minorHAnsi"/>
          <w:sz w:val="24"/>
          <w:szCs w:val="24"/>
        </w:rPr>
        <w:t xml:space="preserve"> all available </w:t>
      </w:r>
      <w:r w:rsidR="00E52856">
        <w:rPr>
          <w:rFonts w:eastAsia="Times New Roman" w:cstheme="minorHAnsi"/>
          <w:sz w:val="24"/>
          <w:szCs w:val="24"/>
        </w:rPr>
        <w:t>Gene Ontology</w:t>
      </w:r>
      <w:r w:rsidRPr="00E24EE1">
        <w:rPr>
          <w:rFonts w:eastAsia="Times New Roman" w:cstheme="minorHAnsi"/>
          <w:sz w:val="24"/>
          <w:szCs w:val="24"/>
        </w:rPr>
        <w:t xml:space="preserve"> sets </w:t>
      </w:r>
      <w:r w:rsidR="001A7340">
        <w:rPr>
          <w:rFonts w:eastAsia="Times New Roman" w:cstheme="minorHAnsi"/>
          <w:sz w:val="24"/>
          <w:szCs w:val="24"/>
        </w:rPr>
        <w:t>(</w:t>
      </w:r>
      <w:proofErr w:type="gramStart"/>
      <w:r w:rsidR="001A7340" w:rsidRPr="001A7340">
        <w:rPr>
          <w:rFonts w:eastAsia="Times New Roman" w:cstheme="minorHAnsi"/>
          <w:i/>
          <w:iCs/>
          <w:sz w:val="24"/>
          <w:szCs w:val="24"/>
        </w:rPr>
        <w:t>i.e.</w:t>
      </w:r>
      <w:proofErr w:type="gramEnd"/>
      <w:r w:rsidR="001A7340" w:rsidRPr="001A7340">
        <w:rPr>
          <w:rFonts w:eastAsia="Times New Roman" w:cstheme="minorHAnsi"/>
          <w:i/>
          <w:iCs/>
          <w:sz w:val="24"/>
          <w:szCs w:val="24"/>
        </w:rPr>
        <w:t xml:space="preserve"> </w:t>
      </w:r>
      <w:r w:rsidR="001A7340">
        <w:rPr>
          <w:rFonts w:eastAsia="Times New Roman" w:cstheme="minorHAnsi"/>
          <w:sz w:val="24"/>
          <w:szCs w:val="24"/>
        </w:rPr>
        <w:t xml:space="preserve">Biological Process, Cellular </w:t>
      </w:r>
      <w:r w:rsidR="00E52856">
        <w:rPr>
          <w:rFonts w:eastAsia="Times New Roman" w:cstheme="minorHAnsi"/>
          <w:sz w:val="24"/>
          <w:szCs w:val="24"/>
        </w:rPr>
        <w:t>Component</w:t>
      </w:r>
      <w:r w:rsidR="001A7340">
        <w:rPr>
          <w:rFonts w:eastAsia="Times New Roman" w:cstheme="minorHAnsi"/>
          <w:sz w:val="24"/>
          <w:szCs w:val="24"/>
        </w:rPr>
        <w:t xml:space="preserve">, </w:t>
      </w:r>
      <w:r w:rsidR="00E52856">
        <w:rPr>
          <w:rFonts w:eastAsia="Times New Roman" w:cstheme="minorHAnsi"/>
          <w:sz w:val="24"/>
          <w:szCs w:val="24"/>
        </w:rPr>
        <w:t xml:space="preserve">and </w:t>
      </w:r>
      <w:r w:rsidR="001A7340">
        <w:rPr>
          <w:rFonts w:eastAsia="Times New Roman" w:cstheme="minorHAnsi"/>
          <w:sz w:val="24"/>
          <w:szCs w:val="24"/>
        </w:rPr>
        <w:t xml:space="preserve">Molecular Function) </w:t>
      </w:r>
      <w:r w:rsidRPr="00E24EE1">
        <w:rPr>
          <w:rFonts w:eastAsia="Times New Roman" w:cstheme="minorHAnsi"/>
          <w:sz w:val="24"/>
          <w:szCs w:val="24"/>
        </w:rPr>
        <w:t xml:space="preserve">were selected for pathway database and pathway minimum size was </w:t>
      </w:r>
      <w:r w:rsidRPr="002356D5">
        <w:rPr>
          <w:rFonts w:eastAsia="Times New Roman" w:cstheme="minorHAnsi"/>
          <w:sz w:val="24"/>
          <w:szCs w:val="24"/>
        </w:rPr>
        <w:t xml:space="preserve">set to 2 and maximum size to 2000. Redundancy removal was allowed. For statistical enrichment in genomic locations a window size of 4Mb with 4 steps in a window were selected </w:t>
      </w:r>
      <w:r>
        <w:rPr>
          <w:rFonts w:eastAsia="Times New Roman" w:cstheme="minorHAnsi"/>
          <w:sz w:val="24"/>
          <w:szCs w:val="24"/>
        </w:rPr>
        <w:t xml:space="preserve">for testis and </w:t>
      </w:r>
      <w:r w:rsidRPr="002356D5">
        <w:rPr>
          <w:rFonts w:eastAsia="Times New Roman" w:cstheme="minorHAnsi"/>
          <w:sz w:val="24"/>
          <w:szCs w:val="24"/>
        </w:rPr>
        <w:t xml:space="preserve">window size of </w:t>
      </w:r>
      <w:r>
        <w:rPr>
          <w:rFonts w:eastAsia="Times New Roman" w:cstheme="minorHAnsi"/>
          <w:sz w:val="24"/>
          <w:szCs w:val="24"/>
        </w:rPr>
        <w:t>8</w:t>
      </w:r>
      <w:r w:rsidRPr="002356D5">
        <w:rPr>
          <w:rFonts w:eastAsia="Times New Roman" w:cstheme="minorHAnsi"/>
          <w:sz w:val="24"/>
          <w:szCs w:val="24"/>
        </w:rPr>
        <w:t xml:space="preserve">Mb with 4 steps in a window </w:t>
      </w:r>
      <w:r>
        <w:rPr>
          <w:rFonts w:eastAsia="Times New Roman" w:cstheme="minorHAnsi"/>
          <w:sz w:val="24"/>
          <w:szCs w:val="24"/>
        </w:rPr>
        <w:t>was chosen for liver with</w:t>
      </w:r>
      <w:r w:rsidRPr="002356D5">
        <w:rPr>
          <w:rFonts w:eastAsia="Times New Roman" w:cstheme="minorHAnsi"/>
          <w:sz w:val="24"/>
          <w:szCs w:val="24"/>
        </w:rPr>
        <w:t xml:space="preserve"> FDR cutoff for windows set to 0.01</w:t>
      </w:r>
      <w:r>
        <w:rPr>
          <w:rFonts w:eastAsia="Times New Roman" w:cstheme="minorHAnsi"/>
          <w:sz w:val="24"/>
          <w:szCs w:val="24"/>
        </w:rPr>
        <w:t xml:space="preserve"> for both tissues</w:t>
      </w:r>
      <w:r w:rsidRPr="002356D5">
        <w:rPr>
          <w:rFonts w:eastAsia="Times New Roman" w:cstheme="minorHAnsi"/>
          <w:sz w:val="24"/>
          <w:szCs w:val="24"/>
        </w:rPr>
        <w:t>.</w:t>
      </w:r>
      <w:r w:rsidR="003770D1">
        <w:rPr>
          <w:rFonts w:eastAsia="Times New Roman" w:cstheme="minorHAnsi"/>
          <w:sz w:val="24"/>
          <w:szCs w:val="24"/>
        </w:rPr>
        <w:t xml:space="preserve"> </w:t>
      </w:r>
    </w:p>
    <w:p w14:paraId="768C798E" w14:textId="24ADC09C" w:rsidR="00C41BFE" w:rsidRPr="002356D5" w:rsidRDefault="003770D1" w:rsidP="00FF187D">
      <w:pPr>
        <w:spacing w:after="0" w:line="480" w:lineRule="auto"/>
        <w:ind w:firstLine="720"/>
        <w:contextualSpacing/>
        <w:jc w:val="both"/>
        <w:rPr>
          <w:rFonts w:eastAsia="Times New Roman" w:cstheme="minorHAnsi"/>
          <w:sz w:val="24"/>
          <w:szCs w:val="24"/>
        </w:rPr>
      </w:pPr>
      <w:r>
        <w:rPr>
          <w:rFonts w:eastAsia="Times New Roman" w:cstheme="minorHAnsi"/>
          <w:sz w:val="24"/>
          <w:szCs w:val="24"/>
        </w:rPr>
        <w:t xml:space="preserve">Functional overlap </w:t>
      </w:r>
      <w:r w:rsidR="007E3D1C">
        <w:rPr>
          <w:rFonts w:eastAsia="Times New Roman" w:cstheme="minorHAnsi"/>
          <w:sz w:val="24"/>
          <w:szCs w:val="24"/>
        </w:rPr>
        <w:t xml:space="preserve">of GO terms </w:t>
      </w:r>
      <w:r>
        <w:rPr>
          <w:rFonts w:eastAsia="Times New Roman" w:cstheme="minorHAnsi"/>
          <w:sz w:val="24"/>
          <w:szCs w:val="24"/>
        </w:rPr>
        <w:t xml:space="preserve">between the contrasts were investigated with R package ViSEAGO v1.12.0 </w:t>
      </w:r>
      <w:r>
        <w:rPr>
          <w:rFonts w:eastAsia="Times New Roman" w:cstheme="minorHAnsi"/>
          <w:sz w:val="24"/>
          <w:szCs w:val="24"/>
        </w:rPr>
        <w:fldChar w:fldCharType="begin" w:fldLock="1"/>
      </w:r>
      <w:r w:rsidR="00C32DAB">
        <w:rPr>
          <w:rFonts w:eastAsia="Times New Roman" w:cstheme="minorHAnsi"/>
          <w:sz w:val="24"/>
          <w:szCs w:val="24"/>
        </w:rPr>
        <w:instrText>ADDIN CSL_CITATION {"citationItems":[{"id":"ITEM-1","itemData":{"DOI":"10.1186/s13040-019-0204-1","ISSN":"17560381","abstract":"The main objective of ViSEAGO package is to carry out a data mining of biological functions and establish links between genes involved in the study. We developed ViSEAGO in R to facilitate functional Gene Ontology (GO) analysis of complex experimental design with multiple comparisons of interest. It allows to study large-scale datasets together and visualize GO profiles to capture biological knowledge. The acronym stands for three major concepts of the analysis: Visualization, Semantic similarity and Enrichment Analysis of Gene Ontology. It provides access to the last current GO annotations, which are retrieved from one of NCBI EntrezGene, Ensembl or Uniprot databases for several species. Using available R packages and novel developments, ViSEAGO extends classical functional GO analysis to focus on functional coherence by aggregating closely related biological themes while studying multiple datasets at once. It provides both a synthetic and detailed view using interactive functionalities respecting the GO graph structure and ensuring functional coherence supplied by semantic similarity. ViSEAGO has been successfully applied on several datasets from different species with a variety of biological questions. Results can be easily shared between bioinformaticians and biologists, enhancing reporting capabilities while maintaining reproducibility. ViSEAGO is publicly available on https://bioconductor.org/packages/ViSEAGO.","author":[{"dropping-particle":"","family":"Brionne","given":"Aurélien","non-dropping-particle":"","parse-names":false,"suffix":""},{"dropping-particle":"","family":"Juanchich","given":"Amélie","non-dropping-particle":"","parse-names":false,"suffix":""},{"dropping-particle":"","family":"Hennequet-Antier","given":"Christelle","non-dropping-particle":"","parse-names":false,"suffix":""}],"container-title":"BioData Mining","id":"ITEM-1","issue":"1","issued":{"date-parts":[["2019"]]},"page":"1-13","publisher":"BioData Mining","title":"ViSEAGO: A Bioconductor package for clustering biological functions using Gene Ontology and semantic similarity","type":"article-journal","volume":"12"},"uris":["http://www.mendeley.com/documents/?uuid=b94fe40c-14a0-4b30-95c5-b29033da06ad"]}],"mendeley":{"formattedCitation":"(Brionne et al., 2019)","plainTextFormattedCitation":"(Brionne et al., 2019)","previouslyFormattedCitation":"(Brionne et al., 2019)"},"properties":{"noteIndex":0},"schema":"https://github.com/citation-style-language/schema/raw/master/csl-citation.json"}</w:instrText>
      </w:r>
      <w:r>
        <w:rPr>
          <w:rFonts w:eastAsia="Times New Roman" w:cstheme="minorHAnsi"/>
          <w:sz w:val="24"/>
          <w:szCs w:val="24"/>
        </w:rPr>
        <w:fldChar w:fldCharType="separate"/>
      </w:r>
      <w:r w:rsidRPr="003770D1">
        <w:rPr>
          <w:rFonts w:eastAsia="Times New Roman" w:cstheme="minorHAnsi"/>
          <w:noProof/>
          <w:sz w:val="24"/>
          <w:szCs w:val="24"/>
        </w:rPr>
        <w:t>(Brionne et al., 2019)</w:t>
      </w:r>
      <w:r>
        <w:rPr>
          <w:rFonts w:eastAsia="Times New Roman" w:cstheme="minorHAnsi"/>
          <w:sz w:val="24"/>
          <w:szCs w:val="24"/>
        </w:rPr>
        <w:fldChar w:fldCharType="end"/>
      </w:r>
      <w:r>
        <w:rPr>
          <w:rFonts w:eastAsia="Times New Roman" w:cstheme="minorHAnsi"/>
          <w:sz w:val="24"/>
          <w:szCs w:val="24"/>
        </w:rPr>
        <w:t xml:space="preserve"> using the semantic clustering of enriched GO terms</w:t>
      </w:r>
      <w:r w:rsidR="007E3D1C">
        <w:rPr>
          <w:rFonts w:eastAsia="Times New Roman" w:cstheme="minorHAnsi"/>
          <w:sz w:val="24"/>
          <w:szCs w:val="24"/>
        </w:rPr>
        <w:t xml:space="preserve"> identified from each contrasts</w:t>
      </w:r>
      <w:r>
        <w:rPr>
          <w:rFonts w:eastAsia="Times New Roman" w:cstheme="minorHAnsi"/>
          <w:sz w:val="24"/>
          <w:szCs w:val="24"/>
        </w:rPr>
        <w:t>.</w:t>
      </w:r>
      <w:r w:rsidR="00E675B0">
        <w:rPr>
          <w:rFonts w:eastAsia="Times New Roman" w:cstheme="minorHAnsi"/>
          <w:sz w:val="24"/>
          <w:szCs w:val="24"/>
        </w:rPr>
        <w:t xml:space="preserve"> </w:t>
      </w:r>
      <w:r w:rsidR="005E3CB9">
        <w:rPr>
          <w:rFonts w:eastAsia="Times New Roman" w:cstheme="minorHAnsi"/>
          <w:sz w:val="24"/>
          <w:szCs w:val="24"/>
        </w:rPr>
        <w:t xml:space="preserve">This was done as ShinyGo does not allow multiple input lists to be compared to each other. </w:t>
      </w:r>
      <w:r w:rsidR="00E675B0">
        <w:rPr>
          <w:rFonts w:eastAsia="Times New Roman" w:cstheme="minorHAnsi"/>
          <w:sz w:val="24"/>
          <w:szCs w:val="24"/>
        </w:rPr>
        <w:t>To re</w:t>
      </w:r>
      <w:r w:rsidR="00D94CD7">
        <w:rPr>
          <w:rFonts w:eastAsia="Times New Roman" w:cstheme="minorHAnsi"/>
          <w:sz w:val="24"/>
          <w:szCs w:val="24"/>
        </w:rPr>
        <w:t>t</w:t>
      </w:r>
      <w:r w:rsidR="00E675B0">
        <w:rPr>
          <w:rFonts w:eastAsia="Times New Roman" w:cstheme="minorHAnsi"/>
          <w:sz w:val="24"/>
          <w:szCs w:val="24"/>
        </w:rPr>
        <w:t>ain concordance with ShinyGO database</w:t>
      </w:r>
      <w:r w:rsidR="00D94CD7">
        <w:rPr>
          <w:rFonts w:eastAsia="Times New Roman" w:cstheme="minorHAnsi"/>
          <w:sz w:val="24"/>
          <w:szCs w:val="24"/>
        </w:rPr>
        <w:t>,</w:t>
      </w:r>
      <w:r w:rsidR="00E675B0">
        <w:rPr>
          <w:rFonts w:eastAsia="Times New Roman" w:cstheme="minorHAnsi"/>
          <w:sz w:val="24"/>
          <w:szCs w:val="24"/>
        </w:rPr>
        <w:t xml:space="preserve"> </w:t>
      </w:r>
      <w:r w:rsidR="00E675B0" w:rsidRPr="00E675B0">
        <w:rPr>
          <w:rFonts w:eastAsia="Times New Roman" w:cstheme="minorHAnsi"/>
          <w:sz w:val="24"/>
          <w:szCs w:val="24"/>
        </w:rPr>
        <w:t>Ensembl2GO</w:t>
      </w:r>
      <w:r w:rsidR="00E675B0">
        <w:rPr>
          <w:rFonts w:eastAsia="Times New Roman" w:cstheme="minorHAnsi"/>
          <w:sz w:val="24"/>
          <w:szCs w:val="24"/>
        </w:rPr>
        <w:t xml:space="preserve"> </w:t>
      </w:r>
      <w:r w:rsidR="007E3D1C">
        <w:rPr>
          <w:rFonts w:eastAsia="Times New Roman" w:cstheme="minorHAnsi"/>
          <w:sz w:val="24"/>
          <w:szCs w:val="24"/>
        </w:rPr>
        <w:t xml:space="preserve">was chosen as database </w:t>
      </w:r>
      <w:r w:rsidR="00E675B0">
        <w:rPr>
          <w:rFonts w:eastAsia="Times New Roman" w:cstheme="minorHAnsi"/>
          <w:sz w:val="24"/>
          <w:szCs w:val="24"/>
        </w:rPr>
        <w:t xml:space="preserve">and zebra finch was chosen as the species. All genes expressed in testis </w:t>
      </w:r>
      <w:r w:rsidR="007E1FD8">
        <w:rPr>
          <w:rFonts w:eastAsia="Times New Roman" w:cstheme="minorHAnsi"/>
          <w:sz w:val="24"/>
          <w:szCs w:val="24"/>
        </w:rPr>
        <w:t xml:space="preserve">and liver </w:t>
      </w:r>
      <w:r w:rsidR="00E675B0">
        <w:rPr>
          <w:rFonts w:eastAsia="Times New Roman" w:cstheme="minorHAnsi"/>
          <w:sz w:val="24"/>
          <w:szCs w:val="24"/>
        </w:rPr>
        <w:t>were used as background</w:t>
      </w:r>
      <w:r w:rsidR="00D94CD7">
        <w:rPr>
          <w:rFonts w:eastAsia="Times New Roman" w:cstheme="minorHAnsi"/>
          <w:sz w:val="24"/>
          <w:szCs w:val="24"/>
        </w:rPr>
        <w:t>,</w:t>
      </w:r>
      <w:r w:rsidR="00E675B0">
        <w:rPr>
          <w:rFonts w:eastAsia="Times New Roman" w:cstheme="minorHAnsi"/>
          <w:sz w:val="24"/>
          <w:szCs w:val="24"/>
        </w:rPr>
        <w:t xml:space="preserve"> </w:t>
      </w:r>
      <w:proofErr w:type="gramStart"/>
      <w:r w:rsidR="00E675B0">
        <w:rPr>
          <w:rFonts w:eastAsia="Times New Roman" w:cstheme="minorHAnsi"/>
          <w:sz w:val="24"/>
          <w:szCs w:val="24"/>
        </w:rPr>
        <w:t>similar to</w:t>
      </w:r>
      <w:proofErr w:type="gramEnd"/>
      <w:r w:rsidR="00E675B0">
        <w:rPr>
          <w:rFonts w:eastAsia="Times New Roman" w:cstheme="minorHAnsi"/>
          <w:sz w:val="24"/>
          <w:szCs w:val="24"/>
        </w:rPr>
        <w:t xml:space="preserve"> </w:t>
      </w:r>
      <w:proofErr w:type="spellStart"/>
      <w:r w:rsidR="00E675B0">
        <w:rPr>
          <w:rFonts w:eastAsia="Times New Roman" w:cstheme="minorHAnsi"/>
          <w:sz w:val="24"/>
          <w:szCs w:val="24"/>
        </w:rPr>
        <w:t>ShinyGO</w:t>
      </w:r>
      <w:proofErr w:type="spellEnd"/>
      <w:r w:rsidR="00E675B0">
        <w:rPr>
          <w:rFonts w:eastAsia="Times New Roman" w:cstheme="minorHAnsi"/>
          <w:sz w:val="24"/>
          <w:szCs w:val="24"/>
        </w:rPr>
        <w:t>.</w:t>
      </w:r>
      <w:r w:rsidR="007E1FD8">
        <w:rPr>
          <w:rFonts w:eastAsia="Times New Roman" w:cstheme="minorHAnsi"/>
          <w:sz w:val="24"/>
          <w:szCs w:val="24"/>
        </w:rPr>
        <w:t xml:space="preserve"> First all GO terms were identified with ontology as Biological Process and node</w:t>
      </w:r>
      <w:r w:rsidR="007E1CE5">
        <w:rPr>
          <w:rFonts w:eastAsia="Times New Roman" w:cstheme="minorHAnsi"/>
          <w:sz w:val="24"/>
          <w:szCs w:val="24"/>
        </w:rPr>
        <w:t xml:space="preserve"> </w:t>
      </w:r>
      <w:r w:rsidR="007E1FD8">
        <w:rPr>
          <w:rFonts w:eastAsia="Times New Roman" w:cstheme="minorHAnsi"/>
          <w:sz w:val="24"/>
          <w:szCs w:val="24"/>
        </w:rPr>
        <w:t xml:space="preserve">size of 5 and then statistical significance was determined with </w:t>
      </w:r>
      <w:r w:rsidR="00E52856">
        <w:rPr>
          <w:rFonts w:eastAsia="Times New Roman" w:cstheme="minorHAnsi"/>
          <w:sz w:val="24"/>
          <w:szCs w:val="24"/>
        </w:rPr>
        <w:t xml:space="preserve">the </w:t>
      </w:r>
      <w:r w:rsidR="007E1FD8" w:rsidRPr="0057419F">
        <w:rPr>
          <w:rFonts w:eastAsia="Times New Roman" w:cstheme="minorHAnsi"/>
          <w:i/>
          <w:iCs/>
          <w:sz w:val="24"/>
          <w:szCs w:val="24"/>
        </w:rPr>
        <w:t>classic</w:t>
      </w:r>
      <w:r w:rsidR="0057419F">
        <w:rPr>
          <w:rFonts w:eastAsia="Times New Roman" w:cstheme="minorHAnsi"/>
          <w:i/>
          <w:iCs/>
          <w:sz w:val="24"/>
          <w:szCs w:val="24"/>
        </w:rPr>
        <w:t xml:space="preserve"> </w:t>
      </w:r>
      <w:r w:rsidR="007E1FD8">
        <w:rPr>
          <w:rFonts w:eastAsia="Times New Roman" w:cstheme="minorHAnsi"/>
          <w:sz w:val="24"/>
          <w:szCs w:val="24"/>
        </w:rPr>
        <w:t xml:space="preserve">algorithm </w:t>
      </w:r>
      <w:r w:rsidR="007E1FD8">
        <w:rPr>
          <w:rFonts w:eastAsia="Times New Roman" w:cstheme="minorHAnsi"/>
          <w:sz w:val="24"/>
          <w:szCs w:val="24"/>
        </w:rPr>
        <w:lastRenderedPageBreak/>
        <w:t xml:space="preserve">and </w:t>
      </w:r>
      <w:proofErr w:type="gramStart"/>
      <w:r w:rsidR="00E52856" w:rsidRPr="0057419F">
        <w:rPr>
          <w:rFonts w:eastAsia="Times New Roman" w:cstheme="minorHAnsi"/>
          <w:i/>
          <w:iCs/>
          <w:sz w:val="24"/>
          <w:szCs w:val="24"/>
        </w:rPr>
        <w:t>fishers</w:t>
      </w:r>
      <w:proofErr w:type="gramEnd"/>
      <w:r w:rsidR="00E52856">
        <w:rPr>
          <w:rFonts w:eastAsia="Times New Roman" w:cstheme="minorHAnsi"/>
          <w:sz w:val="24"/>
          <w:szCs w:val="24"/>
        </w:rPr>
        <w:t xml:space="preserve"> </w:t>
      </w:r>
      <w:r w:rsidR="007E1FD8">
        <w:rPr>
          <w:rFonts w:eastAsia="Times New Roman" w:cstheme="minorHAnsi"/>
          <w:sz w:val="24"/>
          <w:szCs w:val="24"/>
        </w:rPr>
        <w:t>test. Results from contrasts were merged within liver and within testis. For identifying clustering in GO terms</w:t>
      </w:r>
      <w:r w:rsidR="007E1CE5">
        <w:rPr>
          <w:rFonts w:eastAsia="Times New Roman" w:cstheme="minorHAnsi"/>
          <w:sz w:val="24"/>
          <w:szCs w:val="24"/>
        </w:rPr>
        <w:t>,</w:t>
      </w:r>
      <w:r w:rsidR="007E1FD8">
        <w:rPr>
          <w:rFonts w:eastAsia="Times New Roman" w:cstheme="minorHAnsi"/>
          <w:sz w:val="24"/>
          <w:szCs w:val="24"/>
        </w:rPr>
        <w:t xml:space="preserve"> we calculated semantic similarity distance between the terms using </w:t>
      </w:r>
      <w:r w:rsidR="007E1CE5">
        <w:rPr>
          <w:rFonts w:eastAsia="Times New Roman" w:cstheme="minorHAnsi"/>
          <w:sz w:val="24"/>
          <w:szCs w:val="24"/>
        </w:rPr>
        <w:t xml:space="preserve">the </w:t>
      </w:r>
      <w:r w:rsidR="007E1FD8">
        <w:rPr>
          <w:rFonts w:eastAsia="Times New Roman" w:cstheme="minorHAnsi"/>
          <w:sz w:val="24"/>
          <w:szCs w:val="24"/>
        </w:rPr>
        <w:t xml:space="preserve">Wang method and then used </w:t>
      </w:r>
      <w:r w:rsidR="007E1CE5">
        <w:rPr>
          <w:rFonts w:eastAsia="Times New Roman" w:cstheme="minorHAnsi"/>
          <w:sz w:val="24"/>
          <w:szCs w:val="24"/>
        </w:rPr>
        <w:t xml:space="preserve">the </w:t>
      </w:r>
      <w:r w:rsidR="007E1FD8">
        <w:rPr>
          <w:rFonts w:eastAsia="Times New Roman" w:cstheme="minorHAnsi"/>
          <w:sz w:val="24"/>
          <w:szCs w:val="24"/>
        </w:rPr>
        <w:t xml:space="preserve">Ward2 </w:t>
      </w:r>
      <w:r w:rsidR="000E49FC">
        <w:rPr>
          <w:rFonts w:eastAsia="Times New Roman" w:cstheme="minorHAnsi"/>
          <w:sz w:val="24"/>
          <w:szCs w:val="24"/>
        </w:rPr>
        <w:t xml:space="preserve">method </w:t>
      </w:r>
      <w:r w:rsidR="007E1FD8">
        <w:rPr>
          <w:rFonts w:eastAsia="Times New Roman" w:cstheme="minorHAnsi"/>
          <w:sz w:val="24"/>
          <w:szCs w:val="24"/>
        </w:rPr>
        <w:t>for aggregation</w:t>
      </w:r>
      <w:r w:rsidR="000E49FC">
        <w:rPr>
          <w:rFonts w:eastAsia="Times New Roman" w:cstheme="minorHAnsi"/>
          <w:sz w:val="24"/>
          <w:szCs w:val="24"/>
        </w:rPr>
        <w:t xml:space="preserve"> of the similar terms</w:t>
      </w:r>
      <w:r w:rsidR="007E1FD8">
        <w:rPr>
          <w:rFonts w:eastAsia="Times New Roman" w:cstheme="minorHAnsi"/>
          <w:sz w:val="24"/>
          <w:szCs w:val="24"/>
        </w:rPr>
        <w:t xml:space="preserve">. </w:t>
      </w:r>
    </w:p>
    <w:p w14:paraId="0620384C" w14:textId="77777777" w:rsidR="00C41BFE" w:rsidRPr="002356D5" w:rsidRDefault="00C41BFE" w:rsidP="00C41BFE">
      <w:pPr>
        <w:spacing w:after="0" w:line="480" w:lineRule="auto"/>
        <w:contextualSpacing/>
        <w:jc w:val="both"/>
        <w:rPr>
          <w:rFonts w:eastAsia="Times New Roman" w:cstheme="minorHAnsi"/>
          <w:sz w:val="24"/>
          <w:szCs w:val="24"/>
        </w:rPr>
      </w:pPr>
    </w:p>
    <w:p w14:paraId="1D1C81D2" w14:textId="77777777" w:rsidR="00C41BFE" w:rsidRPr="002356D5" w:rsidRDefault="00C41BFE" w:rsidP="00C41BFE">
      <w:pPr>
        <w:spacing w:after="0" w:line="480" w:lineRule="auto"/>
        <w:contextualSpacing/>
        <w:jc w:val="both"/>
        <w:rPr>
          <w:rFonts w:eastAsia="Times New Roman" w:cstheme="minorHAnsi"/>
          <w:i/>
          <w:iCs/>
          <w:sz w:val="24"/>
          <w:szCs w:val="24"/>
        </w:rPr>
      </w:pPr>
      <w:r w:rsidRPr="002356D5">
        <w:rPr>
          <w:rFonts w:eastAsia="Times New Roman" w:cstheme="minorHAnsi"/>
          <w:i/>
          <w:iCs/>
          <w:sz w:val="24"/>
          <w:szCs w:val="24"/>
        </w:rPr>
        <w:t>Transcription factors</w:t>
      </w:r>
    </w:p>
    <w:p w14:paraId="69AD1055" w14:textId="6F6C8BCC" w:rsidR="00C41BFE" w:rsidRDefault="00C41BFE" w:rsidP="00FF187D">
      <w:pPr>
        <w:spacing w:after="0" w:line="480" w:lineRule="auto"/>
        <w:ind w:firstLine="720"/>
        <w:contextualSpacing/>
        <w:jc w:val="both"/>
        <w:rPr>
          <w:rFonts w:eastAsia="Times New Roman" w:cstheme="minorHAnsi"/>
          <w:sz w:val="24"/>
          <w:szCs w:val="24"/>
        </w:rPr>
      </w:pPr>
      <w:r w:rsidRPr="002356D5">
        <w:rPr>
          <w:rFonts w:eastAsia="Times New Roman" w:cstheme="minorHAnsi"/>
          <w:sz w:val="24"/>
          <w:szCs w:val="24"/>
        </w:rPr>
        <w:t xml:space="preserve">For genes which were found significant in both liver and testis (14 genes) potential upstream regulators were investigated by extracting </w:t>
      </w:r>
      <w:r w:rsidR="00DE565A">
        <w:rPr>
          <w:rFonts w:eastAsia="Times New Roman" w:cstheme="minorHAnsi"/>
          <w:sz w:val="24"/>
          <w:szCs w:val="24"/>
        </w:rPr>
        <w:t xml:space="preserve">a </w:t>
      </w:r>
      <w:r w:rsidRPr="002356D5">
        <w:rPr>
          <w:rFonts w:eastAsia="Times New Roman" w:cstheme="minorHAnsi"/>
          <w:sz w:val="24"/>
          <w:szCs w:val="24"/>
        </w:rPr>
        <w:t xml:space="preserve">5 Kb region upstream from </w:t>
      </w:r>
      <w:r w:rsidR="00DE565A">
        <w:rPr>
          <w:rFonts w:eastAsia="Times New Roman" w:cstheme="minorHAnsi"/>
          <w:sz w:val="24"/>
          <w:szCs w:val="24"/>
        </w:rPr>
        <w:t xml:space="preserve">the </w:t>
      </w:r>
      <w:r w:rsidRPr="002356D5">
        <w:rPr>
          <w:rFonts w:eastAsia="Times New Roman" w:cstheme="minorHAnsi"/>
          <w:sz w:val="24"/>
          <w:szCs w:val="24"/>
        </w:rPr>
        <w:t xml:space="preserve">gene start using </w:t>
      </w:r>
      <w:r>
        <w:rPr>
          <w:rFonts w:eastAsia="Times New Roman" w:cstheme="minorHAnsi"/>
          <w:sz w:val="24"/>
          <w:szCs w:val="24"/>
        </w:rPr>
        <w:t>bed</w:t>
      </w:r>
      <w:r w:rsidRPr="002356D5">
        <w:rPr>
          <w:rFonts w:eastAsia="Times New Roman" w:cstheme="minorHAnsi"/>
          <w:sz w:val="24"/>
          <w:szCs w:val="24"/>
        </w:rPr>
        <w:t xml:space="preserve">tools </w:t>
      </w:r>
      <w:r w:rsidRPr="002356D5">
        <w:rPr>
          <w:rFonts w:eastAsia="Times New Roman" w:cstheme="minorHAnsi"/>
          <w:i/>
          <w:iCs/>
          <w:sz w:val="24"/>
          <w:szCs w:val="24"/>
        </w:rPr>
        <w:t>getFasta</w:t>
      </w:r>
      <w:r w:rsidRPr="002356D5">
        <w:rPr>
          <w:rFonts w:eastAsia="Times New Roman" w:cstheme="minorHAnsi"/>
          <w:sz w:val="24"/>
          <w:szCs w:val="24"/>
        </w:rPr>
        <w:t xml:space="preserve"> with the reference genome. For genes on the reverse strand the sequence was reverse complemented. Sequences were input to SEA </w:t>
      </w:r>
      <w:r w:rsidRPr="002356D5">
        <w:rPr>
          <w:rFonts w:eastAsia="Times New Roman" w:cstheme="minorHAnsi"/>
          <w:sz w:val="24"/>
          <w:szCs w:val="24"/>
        </w:rPr>
        <w:fldChar w:fldCharType="begin" w:fldLock="1"/>
      </w:r>
      <w:r w:rsidR="00896F62">
        <w:rPr>
          <w:rFonts w:eastAsia="Times New Roman" w:cstheme="minorHAnsi"/>
          <w:sz w:val="24"/>
          <w:szCs w:val="24"/>
        </w:rPr>
        <w:instrText>ADDIN CSL_CITATION {"citationItems":[{"id":"ITEM-1","itemData":{"abstract":"Motif enrichment algorithms can identify known sequence motifs that are present to a statistically significant degree in DNA, RNA and protein sequences. Databases of such known motifs exist for DNA- and RNA-binding proteins, as well as for many functional protein motifs. The SEA (“Simple Enrichment Analysis”) algorithm presented here uses a simple, consistent approach for detecting the enrichment of motifs in DNA, RNA or protein sequences, as well as in sequences using user-defined alphabets. SEA can identify known motifs that are enriched in a single set of input sequences, and can also perform differential motif enrichment analysis when presented with an additional set of control sequences. Using in vivo DNA (ChIP-seq) data as input to SEA, and validating motifs with reference motifs derived from in vitro data, we show that SEA is is faster than three widely-used motif enrichment algorithms (AME, CentriMo and Pscan), while delivering comparable accuracy. We also show that, in contrast to other motif enrichment algorithms, SEA reports accurate estimates of statistical significance. SEA is easy to use via its web server at &lt;https://meme-suite.org&gt;, and is fully integrated with the widely-used MEME Suite of sequence analysis tools, which can be freely downloaded at the same web site for non-commercial use.\n\n### Competing Interest Statement\n\nThe authors have declared no competing interest.","author":[{"dropping-particle":"","family":"Bailey","given":"Timothy L.","non-dropping-particle":"","parse-names":false,"suffix":""},{"dropping-particle":"","family":"Grant","given":"Charles E.","non-dropping-particle":"","parse-names":false,"suffix":""}],"container-title":"bioRxiv","id":"ITEM-1","issued":{"date-parts":[["2021"]]},"page":"2021.08.23.457422","title":"SEA: Simple Enrichment Analysis of motifs","type":"article-journal"},"uris":["http://www.mendeley.com/documents/?uuid=7c5715a9-800e-4a7c-92aa-c4a6c45ec4a4","http://www.mendeley.com/documents/?uuid=86d095a3-3202-42b1-b529-b087ab0ba7ab"]}],"mendeley":{"formattedCitation":"(Bailey &amp; Grant, 2021)","plainTextFormattedCitation":"(Bailey &amp; Grant, 2021)","previouslyFormattedCitation":"(Bailey &amp; Grant, 2021)"},"properties":{"noteIndex":0},"schema":"https://github.com/citation-style-language/schema/raw/master/csl-citation.json"}</w:instrText>
      </w:r>
      <w:r w:rsidRPr="002356D5">
        <w:rPr>
          <w:rFonts w:eastAsia="Times New Roman" w:cstheme="minorHAnsi"/>
          <w:sz w:val="24"/>
          <w:szCs w:val="24"/>
        </w:rPr>
        <w:fldChar w:fldCharType="separate"/>
      </w:r>
      <w:r w:rsidR="001E0464" w:rsidRPr="001E0464">
        <w:rPr>
          <w:rFonts w:eastAsia="Times New Roman" w:cstheme="minorHAnsi"/>
          <w:noProof/>
          <w:sz w:val="24"/>
          <w:szCs w:val="24"/>
        </w:rPr>
        <w:t>(Bailey &amp; Grant, 2021)</w:t>
      </w:r>
      <w:r w:rsidRPr="002356D5">
        <w:rPr>
          <w:rFonts w:eastAsia="Times New Roman" w:cstheme="minorHAnsi"/>
          <w:sz w:val="24"/>
          <w:szCs w:val="24"/>
        </w:rPr>
        <w:fldChar w:fldCharType="end"/>
      </w:r>
      <w:r w:rsidRPr="002356D5">
        <w:rPr>
          <w:rFonts w:eastAsia="Times New Roman" w:cstheme="minorHAnsi"/>
          <w:sz w:val="24"/>
          <w:szCs w:val="24"/>
        </w:rPr>
        <w:t xml:space="preserve"> using a shuffled background</w:t>
      </w:r>
      <w:r>
        <w:rPr>
          <w:rFonts w:eastAsia="Times New Roman" w:cstheme="minorHAnsi"/>
          <w:sz w:val="24"/>
          <w:szCs w:val="24"/>
        </w:rPr>
        <w:t xml:space="preserve">, </w:t>
      </w:r>
      <w:r w:rsidR="00433AD0">
        <w:rPr>
          <w:rFonts w:eastAsia="Times New Roman" w:cstheme="minorHAnsi"/>
          <w:sz w:val="24"/>
          <w:szCs w:val="24"/>
        </w:rPr>
        <w:t>setting parameter ‘</w:t>
      </w:r>
      <w:r w:rsidRPr="002356D5">
        <w:rPr>
          <w:rFonts w:eastAsia="Times New Roman" w:cstheme="minorHAnsi"/>
          <w:sz w:val="24"/>
          <w:szCs w:val="24"/>
        </w:rPr>
        <w:t xml:space="preserve">order </w:t>
      </w:r>
      <w:r w:rsidR="00433AD0">
        <w:rPr>
          <w:rFonts w:eastAsia="Times New Roman" w:cstheme="minorHAnsi"/>
          <w:sz w:val="24"/>
          <w:szCs w:val="24"/>
        </w:rPr>
        <w:t xml:space="preserve">to’ </w:t>
      </w:r>
      <w:r w:rsidRPr="002356D5">
        <w:rPr>
          <w:rFonts w:eastAsia="Times New Roman" w:cstheme="minorHAnsi"/>
          <w:sz w:val="24"/>
          <w:szCs w:val="24"/>
        </w:rPr>
        <w:t>2 for determining the significance</w:t>
      </w:r>
      <w:r>
        <w:rPr>
          <w:rFonts w:eastAsia="Times New Roman" w:cstheme="minorHAnsi"/>
          <w:sz w:val="24"/>
          <w:szCs w:val="24"/>
        </w:rPr>
        <w:t xml:space="preserve"> and </w:t>
      </w:r>
      <w:r w:rsidR="00433AD0">
        <w:rPr>
          <w:rFonts w:eastAsia="Times New Roman" w:cstheme="minorHAnsi"/>
          <w:sz w:val="24"/>
          <w:szCs w:val="24"/>
        </w:rPr>
        <w:t xml:space="preserve">choosing </w:t>
      </w:r>
      <w:r>
        <w:rPr>
          <w:rFonts w:eastAsia="Times New Roman" w:cstheme="minorHAnsi"/>
          <w:sz w:val="24"/>
          <w:szCs w:val="24"/>
        </w:rPr>
        <w:t>right alignment for identifying the motifs from upstream sequences</w:t>
      </w:r>
      <w:r w:rsidRPr="002356D5">
        <w:rPr>
          <w:rFonts w:eastAsia="Times New Roman" w:cstheme="minorHAnsi"/>
          <w:sz w:val="24"/>
          <w:szCs w:val="24"/>
        </w:rPr>
        <w:t xml:space="preserve">. For </w:t>
      </w:r>
      <w:r w:rsidR="00DE565A">
        <w:rPr>
          <w:rFonts w:eastAsia="Times New Roman" w:cstheme="minorHAnsi"/>
          <w:sz w:val="24"/>
          <w:szCs w:val="24"/>
        </w:rPr>
        <w:t xml:space="preserve">the </w:t>
      </w:r>
      <w:r w:rsidRPr="002356D5">
        <w:rPr>
          <w:rFonts w:eastAsia="Times New Roman" w:cstheme="minorHAnsi"/>
          <w:sz w:val="24"/>
          <w:szCs w:val="24"/>
        </w:rPr>
        <w:t>motif database</w:t>
      </w:r>
      <w:r w:rsidR="00DE565A">
        <w:rPr>
          <w:rFonts w:eastAsia="Times New Roman" w:cstheme="minorHAnsi"/>
          <w:sz w:val="24"/>
          <w:szCs w:val="24"/>
        </w:rPr>
        <w:t>,</w:t>
      </w:r>
      <w:r w:rsidRPr="002356D5">
        <w:rPr>
          <w:rFonts w:eastAsia="Times New Roman" w:cstheme="minorHAnsi"/>
          <w:sz w:val="24"/>
          <w:szCs w:val="24"/>
        </w:rPr>
        <w:t xml:space="preserve"> JASPAR </w:t>
      </w:r>
      <w:r w:rsidR="009C06E5">
        <w:rPr>
          <w:rFonts w:eastAsia="Times New Roman" w:cstheme="minorHAnsi"/>
          <w:sz w:val="24"/>
          <w:szCs w:val="24"/>
        </w:rPr>
        <w:t xml:space="preserve">2022 </w:t>
      </w:r>
      <w:r w:rsidRPr="002356D5">
        <w:rPr>
          <w:rFonts w:eastAsia="Times New Roman" w:cstheme="minorHAnsi"/>
          <w:sz w:val="24"/>
          <w:szCs w:val="24"/>
        </w:rPr>
        <w:t xml:space="preserve">CORE </w:t>
      </w:r>
      <w:r w:rsidR="009C06E5">
        <w:rPr>
          <w:rFonts w:eastAsia="Times New Roman" w:cstheme="minorHAnsi"/>
          <w:sz w:val="24"/>
          <w:szCs w:val="24"/>
        </w:rPr>
        <w:fldChar w:fldCharType="begin" w:fldLock="1"/>
      </w:r>
      <w:r w:rsidR="00896F62">
        <w:rPr>
          <w:rFonts w:eastAsia="Times New Roman" w:cstheme="minorHAnsi"/>
          <w:sz w:val="24"/>
          <w:szCs w:val="24"/>
        </w:rPr>
        <w:instrText>ADDIN CSL_CITATION {"citationItems":[{"id":"ITEM-1","itemData":{"DOI":"10.1093/nar/gkab1113","ISSN":"13624962","PMID":"34850907","abstract":"JASPAR (http://jaspar.genereg.net/) is an open-access database containing manually curated, non-redundant transcription factor (TF) binding profiles for TFs across six taxonomic groups. In this 9th release, we expanded the CORE collection with 341 new profiles (148 for plants, 101 for vertebrates, 85 for urochordates, and 7 for insects), which corresponds to a 19% expansion over the previous release. We added 298 new profiles to the Unvalidated collection when no orthogonal evidence was found in the literature. All the profiles were clustered to provide familial binding profiles for each taxonomic group. Moreover, we revised the structural classification of DNA binding domains to consider plant-specific TFs. This release introduces word clouds to represent the scientific knowledge associated with each TF. We updated the genome tracks of TFBSs predicted with JASPAR profiles in eight organisms; the human and mouse TFBS predictions can be visualized as native tracks in the UCSC Genome Browser. Finally, we provide a new tool to perform JASPAR TFBS enrichment analysis in user-provided genomic regions. All the data is accessible through the JASPAR website, its associated RESTful API, the R/Bioconductor data package, and a new Python package, pyJASPAR, that facilitates serverless access to the data.","author":[{"dropping-particle":"","family":"Castro-Mondragon","given":"Jaime A.","non-dropping-particle":"","parse-names":false,"suffix":""},{"dropping-particle":"","family":"Riudavets-Puig","given":"Rafael","non-dropping-particle":"","parse-names":false,"suffix":""},{"dropping-particle":"","family":"Rauluseviciute","given":"Ieva","non-dropping-particle":"","parse-names":false,"suffix":""},{"dropping-particle":"","family":"Berhanu Lemma","given":"Roza","non-dropping-particle":"","parse-names":false,"suffix":""},{"dropping-particle":"","family":"Turchi","given":"Laura","non-dropping-particle":"","parse-names":false,"suffix":""},{"dropping-particle":"","family":"Blanc-Mathieu","given":"Romain","non-dropping-particle":"","parse-names":false,"suffix":""},{"dropping-particle":"","family":"Lucas","given":"Jeremy","non-dropping-particle":"","parse-names":false,"suffix":""},{"dropping-particle":"","family":"Boddie","given":"Paul","non-dropping-particle":"","parse-names":false,"suffix":""},{"dropping-particle":"","family":"Khan","given":"Aziz","non-dropping-particle":"","parse-names":false,"suffix":""},{"dropping-particle":"","family":"Perez","given":"Nicolás Manosalva","non-dropping-particle":"","parse-names":false,"suffix":""},{"dropping-particle":"","family":"Fornes","given":"Oriol","non-dropping-particle":"","parse-names":false,"suffix":""},{"dropping-particle":"","family":"Leung","given":"Tiffany Y.","non-dropping-particle":"","parse-names":false,"suffix":""},{"dropping-particle":"","family":"Aguirre","given":"Alejandro","non-dropping-particle":"","parse-names":false,"suffix":""},{"dropping-particle":"","family":"Hammal","given":"Fayrouz","non-dropping-particle":"","parse-names":false,"suffix":""},{"dropping-particle":"","family":"Schmelter","given":"Daniel","non-dropping-particle":"","parse-names":false,"suffix":""},{"dropping-particle":"","family":"Baranasic","given":"Damir","non-dropping-particle":"","parse-names":false,"suffix":""},{"dropping-particle":"","family":"Ballester","given":"Benoit","non-dropping-particle":"","parse-names":false,"suffix":""},{"dropping-particle":"","family":"Sandelin","given":"Albin","non-dropping-particle":"","parse-names":false,"suffix":""},{"dropping-particle":"","family":"Lenhard","given":"Boris","non-dropping-particle":"","parse-names":false,"suffix":""},{"dropping-particle":"","family":"Vandepoele","given":"Klaas","non-dropping-particle":"","parse-names":false,"suffix":""},{"dropping-particle":"","family":"Wasserman","given":"Wyeth W.","non-dropping-particle":"","parse-names":false,"suffix":""},{"dropping-particle":"","family":"Parcy","given":"François","non-dropping-particle":"","parse-names":false,"suffix":""},{"dropping-particle":"","family":"Mathelier","given":"Anthony","non-dropping-particle":"","parse-names":false,"suffix":""}],"container-title":"Nucleic Acids Research","id":"ITEM-1","issue":"D1","issued":{"date-parts":[["2022"]]},"page":"D165-D173","title":"JASPAR 2022: The 9th release of the open-access database of transcription factor binding profiles","type":"article-journal","volume":"50"},"uris":["http://www.mendeley.com/documents/?uuid=40ecfc60-5c4a-4ce8-b8c1-1b4f60204e6b"]}],"mendeley":{"formattedCitation":"(Castro-Mondragon et al., 2022)","plainTextFormattedCitation":"(Castro-Mondragon et al., 2022)","previouslyFormattedCitation":"(Castro-Mondragon et al., 2022)"},"properties":{"noteIndex":0},"schema":"https://github.com/citation-style-language/schema/raw/master/csl-citation.json"}</w:instrText>
      </w:r>
      <w:r w:rsidR="009C06E5">
        <w:rPr>
          <w:rFonts w:eastAsia="Times New Roman" w:cstheme="minorHAnsi"/>
          <w:sz w:val="24"/>
          <w:szCs w:val="24"/>
        </w:rPr>
        <w:fldChar w:fldCharType="separate"/>
      </w:r>
      <w:r w:rsidR="001E0464" w:rsidRPr="001E0464">
        <w:rPr>
          <w:rFonts w:eastAsia="Times New Roman" w:cstheme="minorHAnsi"/>
          <w:noProof/>
          <w:sz w:val="24"/>
          <w:szCs w:val="24"/>
        </w:rPr>
        <w:t>(Castro-Mondragon et al., 2022)</w:t>
      </w:r>
      <w:r w:rsidR="009C06E5">
        <w:rPr>
          <w:rFonts w:eastAsia="Times New Roman" w:cstheme="minorHAnsi"/>
          <w:sz w:val="24"/>
          <w:szCs w:val="24"/>
        </w:rPr>
        <w:fldChar w:fldCharType="end"/>
      </w:r>
      <w:r w:rsidR="009C06E5">
        <w:rPr>
          <w:rFonts w:eastAsia="Times New Roman" w:cstheme="minorHAnsi"/>
          <w:sz w:val="24"/>
          <w:szCs w:val="24"/>
        </w:rPr>
        <w:t xml:space="preserve"> </w:t>
      </w:r>
      <w:r w:rsidRPr="002356D5">
        <w:rPr>
          <w:rFonts w:eastAsia="Times New Roman" w:cstheme="minorHAnsi"/>
          <w:sz w:val="24"/>
          <w:szCs w:val="24"/>
        </w:rPr>
        <w:t>for vertebrates was chosen.</w:t>
      </w:r>
    </w:p>
    <w:p w14:paraId="1143C80F" w14:textId="77777777" w:rsidR="00B01641" w:rsidRDefault="00B01641" w:rsidP="00FF187D">
      <w:pPr>
        <w:spacing w:after="0" w:line="480" w:lineRule="auto"/>
        <w:ind w:firstLine="720"/>
        <w:contextualSpacing/>
        <w:jc w:val="both"/>
        <w:rPr>
          <w:rFonts w:eastAsia="Times New Roman" w:cstheme="minorHAnsi"/>
          <w:sz w:val="24"/>
          <w:szCs w:val="24"/>
        </w:rPr>
      </w:pPr>
    </w:p>
    <w:p w14:paraId="6AEBA55A" w14:textId="77777777" w:rsidR="0026221B" w:rsidRPr="002356D5" w:rsidRDefault="0026221B" w:rsidP="0026221B">
      <w:pPr>
        <w:spacing w:after="0" w:line="480" w:lineRule="auto"/>
        <w:contextualSpacing/>
        <w:jc w:val="both"/>
        <w:rPr>
          <w:rFonts w:eastAsia="Times New Roman" w:cstheme="minorHAnsi"/>
          <w:sz w:val="24"/>
          <w:szCs w:val="24"/>
        </w:rPr>
      </w:pPr>
      <w:r w:rsidRPr="002356D5">
        <w:rPr>
          <w:rFonts w:eastAsia="Times New Roman" w:cstheme="minorHAnsi"/>
          <w:b/>
          <w:bCs/>
          <w:color w:val="000000"/>
          <w:sz w:val="24"/>
          <w:szCs w:val="24"/>
        </w:rPr>
        <w:t>Results</w:t>
      </w:r>
    </w:p>
    <w:p w14:paraId="561B1551" w14:textId="3D138A9D" w:rsidR="0026221B" w:rsidRDefault="0026221B" w:rsidP="0026221B">
      <w:pPr>
        <w:spacing w:after="0" w:line="480" w:lineRule="auto"/>
        <w:contextualSpacing/>
        <w:jc w:val="both"/>
        <w:rPr>
          <w:rFonts w:eastAsia="Times New Roman" w:cstheme="minorHAnsi"/>
          <w:i/>
          <w:iCs/>
          <w:sz w:val="24"/>
          <w:szCs w:val="24"/>
        </w:rPr>
      </w:pPr>
      <w:r w:rsidRPr="002356D5">
        <w:rPr>
          <w:rFonts w:eastAsia="Times New Roman" w:cstheme="minorHAnsi"/>
          <w:sz w:val="24"/>
          <w:szCs w:val="24"/>
        </w:rPr>
        <w:t>On average</w:t>
      </w:r>
      <w:r w:rsidR="00DE565A">
        <w:rPr>
          <w:rFonts w:eastAsia="Times New Roman" w:cstheme="minorHAnsi"/>
          <w:sz w:val="24"/>
          <w:szCs w:val="24"/>
        </w:rPr>
        <w:t>,</w:t>
      </w:r>
      <w:r w:rsidRPr="002356D5">
        <w:rPr>
          <w:rFonts w:eastAsia="Times New Roman" w:cstheme="minorHAnsi"/>
          <w:sz w:val="24"/>
          <w:szCs w:val="24"/>
        </w:rPr>
        <w:t xml:space="preserve"> testis samples had 35 184 128 reads and liver samples 29 790 781 reads with average mapping rates being 85.21% and 84.58%, respectively</w:t>
      </w:r>
      <w:r>
        <w:rPr>
          <w:rFonts w:eastAsia="Times New Roman" w:cstheme="minorHAnsi"/>
          <w:sz w:val="24"/>
          <w:szCs w:val="24"/>
        </w:rPr>
        <w:t xml:space="preserve"> (</w:t>
      </w:r>
      <w:r w:rsidR="00991ACE">
        <w:rPr>
          <w:rFonts w:eastAsia="Times New Roman" w:cstheme="minorHAnsi"/>
          <w:sz w:val="24"/>
          <w:szCs w:val="24"/>
        </w:rPr>
        <w:t>Table S1</w:t>
      </w:r>
      <w:r>
        <w:rPr>
          <w:rFonts w:eastAsia="Times New Roman" w:cstheme="minorHAnsi"/>
          <w:sz w:val="24"/>
          <w:szCs w:val="24"/>
        </w:rPr>
        <w:t>)</w:t>
      </w:r>
      <w:r w:rsidRPr="002356D5">
        <w:rPr>
          <w:rFonts w:eastAsia="Times New Roman" w:cstheme="minorHAnsi"/>
          <w:sz w:val="24"/>
          <w:szCs w:val="24"/>
        </w:rPr>
        <w:t xml:space="preserve">. After filtering and normalization in edgeR, </w:t>
      </w:r>
      <w:r w:rsidR="00E10D7F">
        <w:rPr>
          <w:rFonts w:eastAsia="Times New Roman" w:cstheme="minorHAnsi"/>
          <w:sz w:val="24"/>
          <w:szCs w:val="24"/>
        </w:rPr>
        <w:t>reads were compared in a principal component analysis. Reads clustered</w:t>
      </w:r>
      <w:r w:rsidR="00E10D7F" w:rsidRPr="002356D5">
        <w:rPr>
          <w:rFonts w:eastAsia="Times New Roman" w:cstheme="minorHAnsi"/>
          <w:sz w:val="24"/>
          <w:szCs w:val="24"/>
        </w:rPr>
        <w:t xml:space="preserve"> based on </w:t>
      </w:r>
      <w:r w:rsidR="00E10D7F">
        <w:rPr>
          <w:rFonts w:eastAsia="Times New Roman" w:cstheme="minorHAnsi"/>
          <w:sz w:val="24"/>
          <w:szCs w:val="24"/>
        </w:rPr>
        <w:t xml:space="preserve">tissue type along PC1 </w:t>
      </w:r>
      <w:r w:rsidR="00E10D7F" w:rsidRPr="002356D5">
        <w:rPr>
          <w:rFonts w:eastAsia="Times New Roman" w:cstheme="minorHAnsi"/>
          <w:sz w:val="24"/>
          <w:szCs w:val="24"/>
        </w:rPr>
        <w:t xml:space="preserve">(Figure </w:t>
      </w:r>
      <w:r w:rsidR="009D2292">
        <w:rPr>
          <w:rFonts w:eastAsia="Times New Roman" w:cstheme="minorHAnsi"/>
          <w:sz w:val="24"/>
          <w:szCs w:val="24"/>
        </w:rPr>
        <w:t>S</w:t>
      </w:r>
      <w:r w:rsidR="009D2292">
        <w:rPr>
          <w:rFonts w:eastAsia="Times New Roman" w:cstheme="minorHAnsi"/>
          <w:sz w:val="24"/>
          <w:szCs w:val="24"/>
        </w:rPr>
        <w:t>3</w:t>
      </w:r>
      <w:r w:rsidR="00E10D7F" w:rsidRPr="002356D5">
        <w:rPr>
          <w:rFonts w:eastAsia="Times New Roman" w:cstheme="minorHAnsi"/>
          <w:sz w:val="24"/>
          <w:szCs w:val="24"/>
        </w:rPr>
        <w:t>)</w:t>
      </w:r>
      <w:r w:rsidR="00E10D7F">
        <w:rPr>
          <w:rFonts w:eastAsia="Times New Roman" w:cstheme="minorHAnsi"/>
          <w:sz w:val="24"/>
          <w:szCs w:val="24"/>
        </w:rPr>
        <w:t>, whereas the</w:t>
      </w:r>
      <w:r w:rsidR="00E10D7F" w:rsidRPr="002356D5">
        <w:rPr>
          <w:rFonts w:eastAsia="Times New Roman" w:cstheme="minorHAnsi"/>
          <w:sz w:val="24"/>
          <w:szCs w:val="24"/>
        </w:rPr>
        <w:t xml:space="preserve"> </w:t>
      </w:r>
      <w:r w:rsidR="00E10D7F">
        <w:rPr>
          <w:rFonts w:eastAsia="Times New Roman" w:cstheme="minorHAnsi"/>
          <w:sz w:val="24"/>
          <w:szCs w:val="24"/>
        </w:rPr>
        <w:t>t</w:t>
      </w:r>
      <w:r w:rsidR="00E10D7F" w:rsidRPr="002356D5">
        <w:rPr>
          <w:rFonts w:eastAsia="Times New Roman" w:cstheme="minorHAnsi"/>
          <w:sz w:val="24"/>
          <w:szCs w:val="24"/>
        </w:rPr>
        <w:t xml:space="preserve">estis </w:t>
      </w:r>
      <w:r w:rsidR="00E10D7F">
        <w:rPr>
          <w:rFonts w:eastAsia="Times New Roman" w:cstheme="minorHAnsi"/>
          <w:sz w:val="24"/>
          <w:szCs w:val="24"/>
        </w:rPr>
        <w:t>reads</w:t>
      </w:r>
      <w:r w:rsidR="00E10D7F" w:rsidRPr="002356D5">
        <w:rPr>
          <w:rFonts w:eastAsia="Times New Roman" w:cstheme="minorHAnsi"/>
          <w:sz w:val="24"/>
          <w:szCs w:val="24"/>
        </w:rPr>
        <w:t xml:space="preserve"> were spread out </w:t>
      </w:r>
      <w:r w:rsidR="00E10D7F">
        <w:rPr>
          <w:rFonts w:eastAsia="Times New Roman" w:cstheme="minorHAnsi"/>
          <w:sz w:val="24"/>
          <w:szCs w:val="24"/>
        </w:rPr>
        <w:t>along PC2</w:t>
      </w:r>
      <w:r w:rsidR="00E10D7F" w:rsidRPr="002356D5">
        <w:rPr>
          <w:rFonts w:eastAsia="Times New Roman" w:cstheme="minorHAnsi"/>
          <w:sz w:val="24"/>
          <w:szCs w:val="24"/>
        </w:rPr>
        <w:t xml:space="preserve"> </w:t>
      </w:r>
      <w:r w:rsidR="00E10D7F">
        <w:rPr>
          <w:rFonts w:eastAsia="Times New Roman" w:cstheme="minorHAnsi"/>
          <w:sz w:val="24"/>
          <w:szCs w:val="24"/>
        </w:rPr>
        <w:t>following the progression of the testis development. The</w:t>
      </w:r>
      <w:r w:rsidR="00E10D7F" w:rsidRPr="002356D5">
        <w:rPr>
          <w:rFonts w:eastAsia="Times New Roman" w:cstheme="minorHAnsi"/>
          <w:sz w:val="24"/>
          <w:szCs w:val="24"/>
        </w:rPr>
        <w:t xml:space="preserve"> liver </w:t>
      </w:r>
      <w:r w:rsidR="00E10D7F">
        <w:rPr>
          <w:rFonts w:eastAsia="Times New Roman" w:cstheme="minorHAnsi"/>
          <w:sz w:val="24"/>
          <w:szCs w:val="24"/>
        </w:rPr>
        <w:t>reads were</w:t>
      </w:r>
      <w:r w:rsidR="00E10D7F" w:rsidRPr="002356D5">
        <w:rPr>
          <w:rFonts w:eastAsia="Times New Roman" w:cstheme="minorHAnsi"/>
          <w:sz w:val="24"/>
          <w:szCs w:val="24"/>
        </w:rPr>
        <w:t xml:space="preserve"> clustered together as one group </w:t>
      </w:r>
      <w:r w:rsidR="00E10D7F">
        <w:rPr>
          <w:rFonts w:eastAsia="Times New Roman" w:cstheme="minorHAnsi"/>
          <w:sz w:val="24"/>
          <w:szCs w:val="24"/>
        </w:rPr>
        <w:t xml:space="preserve">along both axes </w:t>
      </w:r>
      <w:r w:rsidR="00E10D7F" w:rsidRPr="002356D5">
        <w:rPr>
          <w:rFonts w:eastAsia="Times New Roman" w:cstheme="minorHAnsi"/>
          <w:sz w:val="24"/>
          <w:szCs w:val="24"/>
        </w:rPr>
        <w:t xml:space="preserve">(Figure </w:t>
      </w:r>
      <w:r w:rsidR="009D2292">
        <w:rPr>
          <w:rFonts w:eastAsia="Times New Roman" w:cstheme="minorHAnsi"/>
          <w:sz w:val="24"/>
          <w:szCs w:val="24"/>
        </w:rPr>
        <w:t>S</w:t>
      </w:r>
      <w:r w:rsidR="009D2292">
        <w:rPr>
          <w:rFonts w:eastAsia="Times New Roman" w:cstheme="minorHAnsi"/>
          <w:sz w:val="24"/>
          <w:szCs w:val="24"/>
        </w:rPr>
        <w:t>3</w:t>
      </w:r>
      <w:r w:rsidR="00E10D7F" w:rsidRPr="002356D5">
        <w:rPr>
          <w:rFonts w:eastAsia="Times New Roman" w:cstheme="minorHAnsi"/>
          <w:sz w:val="24"/>
          <w:szCs w:val="24"/>
        </w:rPr>
        <w:t>)</w:t>
      </w:r>
      <w:r w:rsidR="00E10D7F">
        <w:rPr>
          <w:rFonts w:eastAsia="Times New Roman" w:cstheme="minorHAnsi"/>
          <w:sz w:val="24"/>
          <w:szCs w:val="24"/>
        </w:rPr>
        <w:t>. The timepoints of testis development</w:t>
      </w:r>
      <w:r w:rsidR="00E10D7F" w:rsidRPr="002356D5">
        <w:rPr>
          <w:rFonts w:eastAsia="Times New Roman" w:cstheme="minorHAnsi"/>
          <w:sz w:val="24"/>
          <w:szCs w:val="24"/>
        </w:rPr>
        <w:t xml:space="preserve"> d</w:t>
      </w:r>
      <w:r w:rsidR="00E10D7F">
        <w:rPr>
          <w:rFonts w:eastAsia="Times New Roman" w:cstheme="minorHAnsi"/>
          <w:sz w:val="24"/>
          <w:szCs w:val="24"/>
        </w:rPr>
        <w:t>id</w:t>
      </w:r>
      <w:r w:rsidR="00E10D7F" w:rsidRPr="002356D5">
        <w:rPr>
          <w:rFonts w:eastAsia="Times New Roman" w:cstheme="minorHAnsi"/>
          <w:sz w:val="24"/>
          <w:szCs w:val="24"/>
        </w:rPr>
        <w:t xml:space="preserve"> not </w:t>
      </w:r>
      <w:r w:rsidR="00E10D7F">
        <w:rPr>
          <w:rFonts w:eastAsia="Times New Roman" w:cstheme="minorHAnsi"/>
          <w:sz w:val="24"/>
          <w:szCs w:val="24"/>
        </w:rPr>
        <w:t>seem to have an impact on liver tissue</w:t>
      </w:r>
      <w:r>
        <w:rPr>
          <w:rFonts w:eastAsia="Times New Roman" w:cstheme="minorHAnsi"/>
          <w:sz w:val="24"/>
          <w:szCs w:val="24"/>
        </w:rPr>
        <w:t>, even though there could potentially have been a metabolic change as the males develop. After this exploratory analysis, differential expression analysis was done separately for both tissues. Developmental timepoint and inversion karyotype were used for testis, and only differences due to karyotype were examined in the liver.</w:t>
      </w:r>
    </w:p>
    <w:p w14:paraId="680DA2AF" w14:textId="77777777" w:rsidR="0026221B" w:rsidRDefault="0026221B" w:rsidP="0026221B">
      <w:pPr>
        <w:spacing w:after="0" w:line="480" w:lineRule="auto"/>
        <w:contextualSpacing/>
        <w:jc w:val="both"/>
        <w:rPr>
          <w:rFonts w:eastAsia="Times New Roman" w:cstheme="minorHAnsi"/>
          <w:i/>
          <w:iCs/>
          <w:sz w:val="24"/>
          <w:szCs w:val="24"/>
        </w:rPr>
      </w:pPr>
    </w:p>
    <w:p w14:paraId="6E2700BE" w14:textId="77777777" w:rsidR="0026221B" w:rsidRPr="002356D5" w:rsidRDefault="0026221B" w:rsidP="0026221B">
      <w:pPr>
        <w:spacing w:after="0" w:line="480" w:lineRule="auto"/>
        <w:contextualSpacing/>
        <w:jc w:val="both"/>
        <w:rPr>
          <w:rFonts w:eastAsia="Times New Roman" w:cstheme="minorHAnsi"/>
          <w:i/>
          <w:iCs/>
          <w:sz w:val="24"/>
          <w:szCs w:val="24"/>
        </w:rPr>
      </w:pPr>
      <w:r w:rsidRPr="002356D5">
        <w:rPr>
          <w:rFonts w:eastAsia="Times New Roman" w:cstheme="minorHAnsi"/>
          <w:i/>
          <w:iCs/>
          <w:sz w:val="24"/>
          <w:szCs w:val="24"/>
        </w:rPr>
        <w:t>Differential expression in testis</w:t>
      </w:r>
    </w:p>
    <w:p w14:paraId="69546BD0" w14:textId="071538B4" w:rsidR="0026221B" w:rsidRDefault="0026221B" w:rsidP="0026221B">
      <w:pPr>
        <w:spacing w:after="0" w:line="480" w:lineRule="auto"/>
        <w:ind w:firstLine="720"/>
        <w:contextualSpacing/>
        <w:jc w:val="both"/>
        <w:rPr>
          <w:rFonts w:eastAsia="Times New Roman" w:cstheme="minorHAnsi"/>
          <w:sz w:val="24"/>
          <w:szCs w:val="24"/>
        </w:rPr>
      </w:pPr>
      <w:r w:rsidRPr="002356D5">
        <w:rPr>
          <w:rFonts w:eastAsia="Times New Roman" w:cstheme="minorHAnsi"/>
          <w:sz w:val="24"/>
          <w:szCs w:val="24"/>
        </w:rPr>
        <w:t xml:space="preserve">A total of 16 360 genes were </w:t>
      </w:r>
      <w:r>
        <w:rPr>
          <w:rFonts w:eastAsia="Times New Roman" w:cstheme="minorHAnsi"/>
          <w:sz w:val="24"/>
          <w:szCs w:val="24"/>
        </w:rPr>
        <w:t>expressed in the</w:t>
      </w:r>
      <w:r w:rsidRPr="002356D5">
        <w:rPr>
          <w:rFonts w:eastAsia="Times New Roman" w:cstheme="minorHAnsi"/>
          <w:sz w:val="24"/>
          <w:szCs w:val="24"/>
        </w:rPr>
        <w:t xml:space="preserve"> testis </w:t>
      </w:r>
      <w:r>
        <w:rPr>
          <w:rFonts w:eastAsia="Times New Roman" w:cstheme="minorHAnsi"/>
          <w:sz w:val="24"/>
          <w:szCs w:val="24"/>
        </w:rPr>
        <w:t xml:space="preserve">after removing lowly expressed genes. </w:t>
      </w:r>
      <w:r w:rsidRPr="002356D5">
        <w:rPr>
          <w:rFonts w:eastAsia="Times New Roman" w:cstheme="minorHAnsi"/>
          <w:sz w:val="24"/>
          <w:szCs w:val="24"/>
        </w:rPr>
        <w:t>(</w:t>
      </w:r>
      <w:r w:rsidR="00991ACE">
        <w:rPr>
          <w:rFonts w:eastAsia="Times New Roman" w:cstheme="minorHAnsi"/>
          <w:sz w:val="24"/>
          <w:szCs w:val="24"/>
        </w:rPr>
        <w:t>Table S2</w:t>
      </w:r>
      <w:r w:rsidRPr="002356D5">
        <w:rPr>
          <w:rFonts w:eastAsia="Times New Roman" w:cstheme="minorHAnsi"/>
          <w:sz w:val="24"/>
          <w:szCs w:val="24"/>
        </w:rPr>
        <w:t xml:space="preserve">). </w:t>
      </w:r>
      <w:r w:rsidR="003F4DCC">
        <w:rPr>
          <w:rFonts w:eastAsia="Times New Roman" w:cstheme="minorHAnsi"/>
          <w:sz w:val="24"/>
          <w:szCs w:val="24"/>
        </w:rPr>
        <w:t>I</w:t>
      </w:r>
      <w:r w:rsidR="003F4DCC" w:rsidRPr="002356D5">
        <w:rPr>
          <w:rFonts w:eastAsia="Times New Roman" w:cstheme="minorHAnsi"/>
          <w:sz w:val="24"/>
          <w:szCs w:val="24"/>
        </w:rPr>
        <w:t xml:space="preserve">n </w:t>
      </w:r>
      <w:r w:rsidR="00D27839" w:rsidRPr="002356D5">
        <w:rPr>
          <w:rFonts w:eastAsia="Times New Roman" w:cstheme="minorHAnsi"/>
          <w:sz w:val="24"/>
          <w:szCs w:val="24"/>
        </w:rPr>
        <w:t xml:space="preserve">the </w:t>
      </w:r>
      <w:r w:rsidR="00D27839">
        <w:rPr>
          <w:rFonts w:eastAsia="Times New Roman" w:cstheme="minorHAnsi"/>
          <w:sz w:val="24"/>
          <w:szCs w:val="24"/>
        </w:rPr>
        <w:t>PCA</w:t>
      </w:r>
      <w:r w:rsidR="00D27839" w:rsidRPr="002356D5">
        <w:rPr>
          <w:rFonts w:eastAsia="Times New Roman" w:cstheme="minorHAnsi"/>
          <w:sz w:val="24"/>
          <w:szCs w:val="24"/>
        </w:rPr>
        <w:t xml:space="preserve"> </w:t>
      </w:r>
      <w:r w:rsidR="00BE1279">
        <w:rPr>
          <w:rFonts w:eastAsia="Times New Roman" w:cstheme="minorHAnsi"/>
          <w:sz w:val="24"/>
          <w:szCs w:val="24"/>
        </w:rPr>
        <w:t>analysis</w:t>
      </w:r>
      <w:r w:rsidR="00D27839" w:rsidRPr="002356D5">
        <w:rPr>
          <w:rFonts w:eastAsia="Times New Roman" w:cstheme="minorHAnsi"/>
          <w:sz w:val="24"/>
          <w:szCs w:val="24"/>
        </w:rPr>
        <w:t xml:space="preserve"> PC1 explain</w:t>
      </w:r>
      <w:r w:rsidR="004C5B9F">
        <w:rPr>
          <w:rFonts w:eastAsia="Times New Roman" w:cstheme="minorHAnsi"/>
          <w:sz w:val="24"/>
          <w:szCs w:val="24"/>
        </w:rPr>
        <w:t>ed</w:t>
      </w:r>
      <w:r w:rsidR="00D27839" w:rsidRPr="002356D5">
        <w:rPr>
          <w:rFonts w:eastAsia="Times New Roman" w:cstheme="minorHAnsi"/>
          <w:sz w:val="24"/>
          <w:szCs w:val="24"/>
        </w:rPr>
        <w:t xml:space="preserve"> </w:t>
      </w:r>
      <w:r w:rsidR="00D27839" w:rsidRPr="00D27839">
        <w:rPr>
          <w:rFonts w:eastAsia="Times New Roman" w:cstheme="minorHAnsi"/>
          <w:sz w:val="24"/>
          <w:szCs w:val="24"/>
        </w:rPr>
        <w:t>51.1%</w:t>
      </w:r>
      <w:r w:rsidR="00D27839" w:rsidRPr="002356D5">
        <w:rPr>
          <w:rFonts w:eastAsia="Times New Roman" w:cstheme="minorHAnsi"/>
          <w:sz w:val="24"/>
          <w:szCs w:val="24"/>
        </w:rPr>
        <w:t xml:space="preserve"> of the variation and the largest difference </w:t>
      </w:r>
      <w:r w:rsidR="00D27839">
        <w:rPr>
          <w:rFonts w:eastAsia="Times New Roman" w:cstheme="minorHAnsi"/>
          <w:sz w:val="24"/>
          <w:szCs w:val="24"/>
        </w:rPr>
        <w:t>among adjacent timepoints</w:t>
      </w:r>
      <w:r w:rsidR="00D27839" w:rsidRPr="002356D5">
        <w:rPr>
          <w:rFonts w:eastAsia="Times New Roman" w:cstheme="minorHAnsi"/>
          <w:sz w:val="24"/>
          <w:szCs w:val="24"/>
        </w:rPr>
        <w:t xml:space="preserve"> </w:t>
      </w:r>
      <w:r w:rsidR="004C5B9F">
        <w:rPr>
          <w:rFonts w:eastAsia="Times New Roman" w:cstheme="minorHAnsi"/>
          <w:sz w:val="24"/>
          <w:szCs w:val="24"/>
        </w:rPr>
        <w:t>was</w:t>
      </w:r>
      <w:r w:rsidR="00D27839" w:rsidRPr="002356D5">
        <w:rPr>
          <w:rFonts w:eastAsia="Times New Roman" w:cstheme="minorHAnsi"/>
          <w:sz w:val="24"/>
          <w:szCs w:val="24"/>
        </w:rPr>
        <w:t xml:space="preserve"> </w:t>
      </w:r>
      <w:r w:rsidR="00D27839">
        <w:rPr>
          <w:rFonts w:eastAsia="Times New Roman" w:cstheme="minorHAnsi"/>
          <w:sz w:val="24"/>
          <w:szCs w:val="24"/>
        </w:rPr>
        <w:t>between</w:t>
      </w:r>
      <w:r w:rsidR="00D27839" w:rsidRPr="002356D5">
        <w:rPr>
          <w:rFonts w:eastAsia="Times New Roman" w:cstheme="minorHAnsi"/>
          <w:sz w:val="24"/>
          <w:szCs w:val="24"/>
        </w:rPr>
        <w:t xml:space="preserve"> accelerating I </w:t>
      </w:r>
      <w:r w:rsidR="00D27839">
        <w:rPr>
          <w:rFonts w:eastAsia="Times New Roman" w:cstheme="minorHAnsi"/>
          <w:sz w:val="24"/>
          <w:szCs w:val="24"/>
        </w:rPr>
        <w:t>and</w:t>
      </w:r>
      <w:r w:rsidR="00D27839" w:rsidRPr="002356D5">
        <w:rPr>
          <w:rFonts w:eastAsia="Times New Roman" w:cstheme="minorHAnsi"/>
          <w:sz w:val="24"/>
          <w:szCs w:val="24"/>
        </w:rPr>
        <w:t xml:space="preserve"> accelerating II</w:t>
      </w:r>
      <w:r w:rsidR="00D27839">
        <w:rPr>
          <w:rFonts w:eastAsia="Times New Roman" w:cstheme="minorHAnsi"/>
          <w:sz w:val="24"/>
          <w:szCs w:val="24"/>
        </w:rPr>
        <w:t>,</w:t>
      </w:r>
      <w:r w:rsidR="00D27839" w:rsidRPr="002356D5">
        <w:rPr>
          <w:rFonts w:eastAsia="Times New Roman" w:cstheme="minorHAnsi"/>
          <w:sz w:val="24"/>
          <w:szCs w:val="24"/>
        </w:rPr>
        <w:t xml:space="preserve"> whereas accelerating II and active </w:t>
      </w:r>
      <w:r w:rsidR="004C5B9F">
        <w:rPr>
          <w:rFonts w:eastAsia="Times New Roman" w:cstheme="minorHAnsi"/>
          <w:sz w:val="24"/>
          <w:szCs w:val="24"/>
        </w:rPr>
        <w:t>were</w:t>
      </w:r>
      <w:r w:rsidR="00D27839" w:rsidRPr="002356D5">
        <w:rPr>
          <w:rFonts w:eastAsia="Times New Roman" w:cstheme="minorHAnsi"/>
          <w:sz w:val="24"/>
          <w:szCs w:val="24"/>
        </w:rPr>
        <w:t xml:space="preserve"> more </w:t>
      </w:r>
      <w:r w:rsidR="00D27839">
        <w:rPr>
          <w:rFonts w:eastAsia="Times New Roman" w:cstheme="minorHAnsi"/>
          <w:sz w:val="24"/>
          <w:szCs w:val="24"/>
        </w:rPr>
        <w:t>similar, and</w:t>
      </w:r>
      <w:r w:rsidR="00D27839" w:rsidRPr="002356D5">
        <w:rPr>
          <w:rFonts w:eastAsia="Times New Roman" w:cstheme="minorHAnsi"/>
          <w:sz w:val="24"/>
          <w:szCs w:val="24"/>
        </w:rPr>
        <w:t xml:space="preserve"> inactive and accelerating I </w:t>
      </w:r>
      <w:r w:rsidR="004C5B9F">
        <w:rPr>
          <w:rFonts w:eastAsia="Times New Roman" w:cstheme="minorHAnsi"/>
          <w:sz w:val="24"/>
          <w:szCs w:val="24"/>
        </w:rPr>
        <w:t>were</w:t>
      </w:r>
      <w:r w:rsidR="00D27839">
        <w:rPr>
          <w:rFonts w:eastAsia="Times New Roman" w:cstheme="minorHAnsi"/>
          <w:sz w:val="24"/>
          <w:szCs w:val="24"/>
        </w:rPr>
        <w:t xml:space="preserve"> more similar </w:t>
      </w:r>
      <w:r w:rsidR="00D27839" w:rsidRPr="002356D5">
        <w:rPr>
          <w:rFonts w:eastAsia="Times New Roman" w:cstheme="minorHAnsi"/>
          <w:sz w:val="24"/>
          <w:szCs w:val="24"/>
        </w:rPr>
        <w:t xml:space="preserve">(Figure </w:t>
      </w:r>
      <w:r w:rsidR="00B01641">
        <w:rPr>
          <w:rFonts w:eastAsia="Times New Roman" w:cstheme="minorHAnsi"/>
          <w:sz w:val="24"/>
          <w:szCs w:val="24"/>
        </w:rPr>
        <w:t>1</w:t>
      </w:r>
      <w:r w:rsidR="004A1C2C">
        <w:rPr>
          <w:rFonts w:eastAsia="Times New Roman" w:cstheme="minorHAnsi"/>
          <w:sz w:val="24"/>
          <w:szCs w:val="24"/>
        </w:rPr>
        <w:t>A</w:t>
      </w:r>
      <w:r w:rsidR="00D27839" w:rsidRPr="002356D5">
        <w:rPr>
          <w:rFonts w:eastAsia="Times New Roman" w:cstheme="minorHAnsi"/>
          <w:sz w:val="24"/>
          <w:szCs w:val="24"/>
        </w:rPr>
        <w:t xml:space="preserve">). </w:t>
      </w:r>
      <w:r w:rsidR="00D27839">
        <w:rPr>
          <w:rFonts w:eastAsia="Times New Roman" w:cstheme="minorHAnsi"/>
          <w:sz w:val="24"/>
          <w:szCs w:val="24"/>
        </w:rPr>
        <w:t xml:space="preserve"> </w:t>
      </w:r>
      <w:r w:rsidR="00991ACE">
        <w:rPr>
          <w:rFonts w:eastAsia="Times New Roman" w:cstheme="minorHAnsi"/>
          <w:sz w:val="24"/>
          <w:szCs w:val="24"/>
        </w:rPr>
        <w:t xml:space="preserve">Of </w:t>
      </w:r>
      <w:r w:rsidR="00D27839">
        <w:rPr>
          <w:rFonts w:eastAsia="Times New Roman" w:cstheme="minorHAnsi"/>
          <w:sz w:val="24"/>
          <w:szCs w:val="24"/>
        </w:rPr>
        <w:t>the expressed genes</w:t>
      </w:r>
      <w:r w:rsidRPr="002356D5">
        <w:rPr>
          <w:rFonts w:eastAsia="Times New Roman" w:cstheme="minorHAnsi"/>
          <w:sz w:val="24"/>
          <w:szCs w:val="24"/>
        </w:rPr>
        <w:t xml:space="preserve"> </w:t>
      </w:r>
      <w:r>
        <w:rPr>
          <w:rFonts w:eastAsia="Times New Roman" w:cstheme="minorHAnsi"/>
          <w:sz w:val="24"/>
          <w:szCs w:val="24"/>
        </w:rPr>
        <w:t>520</w:t>
      </w:r>
      <w:r w:rsidRPr="002356D5">
        <w:rPr>
          <w:rFonts w:eastAsia="Times New Roman" w:cstheme="minorHAnsi"/>
          <w:sz w:val="24"/>
          <w:szCs w:val="24"/>
        </w:rPr>
        <w:t xml:space="preserve"> were differentially expressed </w:t>
      </w:r>
      <w:r w:rsidR="00575E7D">
        <w:rPr>
          <w:rFonts w:eastAsia="Times New Roman" w:cstheme="minorHAnsi"/>
          <w:sz w:val="24"/>
          <w:szCs w:val="24"/>
        </w:rPr>
        <w:t xml:space="preserve">(DE) </w:t>
      </w:r>
      <w:r>
        <w:rPr>
          <w:rFonts w:eastAsia="Times New Roman" w:cstheme="minorHAnsi"/>
          <w:sz w:val="24"/>
          <w:szCs w:val="24"/>
        </w:rPr>
        <w:t>among</w:t>
      </w:r>
      <w:r w:rsidRPr="002356D5">
        <w:rPr>
          <w:rFonts w:eastAsia="Times New Roman" w:cstheme="minorHAnsi"/>
          <w:sz w:val="24"/>
          <w:szCs w:val="24"/>
        </w:rPr>
        <w:t xml:space="preserve"> </w:t>
      </w:r>
      <w:r>
        <w:rPr>
          <w:rFonts w:eastAsia="Times New Roman" w:cstheme="minorHAnsi"/>
          <w:sz w:val="24"/>
          <w:szCs w:val="24"/>
        </w:rPr>
        <w:t>karyotypes</w:t>
      </w:r>
      <w:r w:rsidRPr="002356D5">
        <w:rPr>
          <w:rFonts w:eastAsia="Times New Roman" w:cstheme="minorHAnsi"/>
          <w:sz w:val="24"/>
          <w:szCs w:val="24"/>
        </w:rPr>
        <w:t xml:space="preserve"> in one or more </w:t>
      </w:r>
      <w:r>
        <w:rPr>
          <w:rFonts w:eastAsia="Times New Roman" w:cstheme="minorHAnsi"/>
          <w:sz w:val="24"/>
          <w:szCs w:val="24"/>
        </w:rPr>
        <w:t>timepoints</w:t>
      </w:r>
      <w:r w:rsidRPr="002356D5">
        <w:rPr>
          <w:rFonts w:eastAsia="Times New Roman" w:cstheme="minorHAnsi"/>
          <w:sz w:val="24"/>
          <w:szCs w:val="24"/>
        </w:rPr>
        <w:t xml:space="preserve">. Most of the testis DE genes </w:t>
      </w:r>
      <w:r w:rsidR="004C5B9F">
        <w:rPr>
          <w:rFonts w:eastAsia="Times New Roman" w:cstheme="minorHAnsi"/>
          <w:sz w:val="24"/>
          <w:szCs w:val="24"/>
        </w:rPr>
        <w:t>we</w:t>
      </w:r>
      <w:r w:rsidRPr="002356D5">
        <w:rPr>
          <w:rFonts w:eastAsia="Times New Roman" w:cstheme="minorHAnsi"/>
          <w:sz w:val="24"/>
          <w:szCs w:val="24"/>
        </w:rPr>
        <w:t xml:space="preserve">re found in </w:t>
      </w:r>
      <w:r w:rsidR="00DE565A">
        <w:rPr>
          <w:rFonts w:eastAsia="Times New Roman" w:cstheme="minorHAnsi"/>
          <w:sz w:val="24"/>
          <w:szCs w:val="24"/>
        </w:rPr>
        <w:t xml:space="preserve">the </w:t>
      </w:r>
      <w:r w:rsidRPr="002356D5">
        <w:rPr>
          <w:rFonts w:eastAsia="Times New Roman" w:cstheme="minorHAnsi"/>
          <w:sz w:val="24"/>
          <w:szCs w:val="24"/>
        </w:rPr>
        <w:t xml:space="preserve">accelerating I </w:t>
      </w:r>
      <w:r>
        <w:rPr>
          <w:rFonts w:eastAsia="Times New Roman" w:cstheme="minorHAnsi"/>
          <w:sz w:val="24"/>
          <w:szCs w:val="24"/>
        </w:rPr>
        <w:t xml:space="preserve">developmental </w:t>
      </w:r>
      <w:r w:rsidRPr="002356D5">
        <w:rPr>
          <w:rFonts w:eastAsia="Times New Roman" w:cstheme="minorHAnsi"/>
          <w:sz w:val="24"/>
          <w:szCs w:val="24"/>
        </w:rPr>
        <w:t xml:space="preserve">stage </w:t>
      </w:r>
      <w:r>
        <w:rPr>
          <w:rFonts w:eastAsia="Times New Roman" w:cstheme="minorHAnsi"/>
          <w:sz w:val="24"/>
          <w:szCs w:val="24"/>
        </w:rPr>
        <w:t>(timepoint 2)</w:t>
      </w:r>
      <w:r w:rsidRPr="002356D5">
        <w:rPr>
          <w:rFonts w:eastAsia="Times New Roman" w:cstheme="minorHAnsi"/>
          <w:sz w:val="24"/>
          <w:szCs w:val="24"/>
        </w:rPr>
        <w:t xml:space="preserve"> between AA-AB</w:t>
      </w:r>
      <w:r>
        <w:rPr>
          <w:rFonts w:eastAsia="Times New Roman" w:cstheme="minorHAnsi"/>
          <w:sz w:val="24"/>
          <w:szCs w:val="24"/>
        </w:rPr>
        <w:t>*</w:t>
      </w:r>
      <w:r w:rsidRPr="002356D5">
        <w:rPr>
          <w:rFonts w:eastAsia="Times New Roman" w:cstheme="minorHAnsi"/>
          <w:sz w:val="24"/>
          <w:szCs w:val="24"/>
        </w:rPr>
        <w:t xml:space="preserve"> (Figure </w:t>
      </w:r>
      <w:r w:rsidR="004A1C2C">
        <w:rPr>
          <w:rFonts w:eastAsia="Times New Roman" w:cstheme="minorHAnsi"/>
          <w:sz w:val="24"/>
          <w:szCs w:val="24"/>
        </w:rPr>
        <w:t>1B</w:t>
      </w:r>
      <w:r w:rsidRPr="002356D5">
        <w:rPr>
          <w:rFonts w:eastAsia="Times New Roman" w:cstheme="minorHAnsi"/>
          <w:sz w:val="24"/>
          <w:szCs w:val="24"/>
        </w:rPr>
        <w:t xml:space="preserve">). </w:t>
      </w:r>
    </w:p>
    <w:p w14:paraId="4C0EEB6E" w14:textId="6D692A42" w:rsidR="00262DDB" w:rsidRPr="002356D5" w:rsidRDefault="00130280" w:rsidP="00262DDB">
      <w:pPr>
        <w:spacing w:after="0" w:line="480" w:lineRule="auto"/>
        <w:contextualSpacing/>
        <w:jc w:val="both"/>
        <w:rPr>
          <w:rFonts w:eastAsia="Times New Roman" w:cstheme="minorHAnsi"/>
          <w:sz w:val="24"/>
          <w:szCs w:val="24"/>
        </w:rPr>
      </w:pPr>
      <w:r>
        <w:rPr>
          <w:rFonts w:eastAsia="Times New Roman" w:cstheme="minorHAnsi"/>
          <w:noProof/>
          <w:sz w:val="24"/>
          <w:szCs w:val="24"/>
          <w14:ligatures w14:val="standardContextual"/>
        </w:rPr>
        <w:drawing>
          <wp:inline distT="0" distB="0" distL="0" distR="0" wp14:anchorId="45D66239" wp14:editId="01E84D66">
            <wp:extent cx="6360795" cy="3314700"/>
            <wp:effectExtent l="0" t="0" r="1905" b="0"/>
            <wp:docPr id="554958321" name="Kuv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4958321" name="Kuva 1"/>
                    <pic:cNvPicPr/>
                  </pic:nvPicPr>
                  <pic:blipFill>
                    <a:blip r:embed="rId8">
                      <a:extLst>
                        <a:ext uri="{28A0092B-C50C-407E-A947-70E740481C1C}">
                          <a14:useLocalDpi xmlns:a14="http://schemas.microsoft.com/office/drawing/2010/main" val="0"/>
                        </a:ext>
                      </a:extLst>
                    </a:blip>
                    <a:stretch>
                      <a:fillRect/>
                    </a:stretch>
                  </pic:blipFill>
                  <pic:spPr>
                    <a:xfrm>
                      <a:off x="0" y="0"/>
                      <a:ext cx="6399967" cy="3335113"/>
                    </a:xfrm>
                    <a:prstGeom prst="rect">
                      <a:avLst/>
                    </a:prstGeom>
                  </pic:spPr>
                </pic:pic>
              </a:graphicData>
            </a:graphic>
          </wp:inline>
        </w:drawing>
      </w:r>
    </w:p>
    <w:p w14:paraId="16DFF0EA" w14:textId="6AA9A452" w:rsidR="00F617E7" w:rsidRPr="001A6FA6" w:rsidRDefault="00262DDB" w:rsidP="00F617E7">
      <w:pPr>
        <w:spacing w:after="0" w:line="240" w:lineRule="auto"/>
        <w:contextualSpacing/>
        <w:jc w:val="both"/>
        <w:rPr>
          <w:rFonts w:eastAsia="Times New Roman" w:cstheme="minorHAnsi"/>
          <w:i/>
          <w:iCs/>
          <w:sz w:val="24"/>
          <w:szCs w:val="24"/>
        </w:rPr>
      </w:pPr>
      <w:bookmarkStart w:id="3" w:name="_Hlk137503529"/>
      <w:r w:rsidRPr="002356D5">
        <w:rPr>
          <w:rFonts w:eastAsia="Times New Roman" w:cstheme="minorHAnsi"/>
          <w:i/>
          <w:iCs/>
          <w:sz w:val="24"/>
          <w:szCs w:val="24"/>
        </w:rPr>
        <w:t xml:space="preserve">Figure </w:t>
      </w:r>
      <w:r w:rsidR="00B01641">
        <w:rPr>
          <w:rFonts w:eastAsia="Times New Roman" w:cstheme="minorHAnsi"/>
          <w:i/>
          <w:iCs/>
          <w:sz w:val="24"/>
          <w:szCs w:val="24"/>
        </w:rPr>
        <w:t>1</w:t>
      </w:r>
      <w:r w:rsidRPr="002356D5">
        <w:rPr>
          <w:rFonts w:eastAsia="Times New Roman" w:cstheme="minorHAnsi"/>
          <w:i/>
          <w:iCs/>
          <w:sz w:val="24"/>
          <w:szCs w:val="24"/>
        </w:rPr>
        <w:t xml:space="preserve">. </w:t>
      </w:r>
      <w:r w:rsidR="00DE565A">
        <w:rPr>
          <w:rFonts w:eastAsia="Times New Roman" w:cstheme="minorHAnsi"/>
          <w:i/>
          <w:iCs/>
          <w:sz w:val="24"/>
          <w:szCs w:val="24"/>
        </w:rPr>
        <w:t xml:space="preserve">Expression in testis. </w:t>
      </w:r>
      <w:r>
        <w:rPr>
          <w:rFonts w:eastAsia="Times New Roman" w:cstheme="minorHAnsi"/>
          <w:i/>
          <w:iCs/>
          <w:sz w:val="24"/>
          <w:szCs w:val="24"/>
        </w:rPr>
        <w:t xml:space="preserve">A: </w:t>
      </w:r>
      <w:r w:rsidR="00DE565A">
        <w:rPr>
          <w:rFonts w:eastAsia="Times New Roman" w:cstheme="minorHAnsi"/>
          <w:i/>
          <w:iCs/>
          <w:sz w:val="24"/>
          <w:szCs w:val="24"/>
        </w:rPr>
        <w:t>PCA</w:t>
      </w:r>
      <w:r w:rsidR="00DE565A" w:rsidRPr="002356D5">
        <w:rPr>
          <w:rFonts w:eastAsia="Times New Roman" w:cstheme="minorHAnsi"/>
          <w:i/>
          <w:iCs/>
          <w:sz w:val="24"/>
          <w:szCs w:val="24"/>
        </w:rPr>
        <w:t xml:space="preserve"> plot of</w:t>
      </w:r>
      <w:r w:rsidR="004C5B9F">
        <w:rPr>
          <w:rFonts w:eastAsia="Times New Roman" w:cstheme="minorHAnsi"/>
          <w:i/>
          <w:iCs/>
          <w:sz w:val="24"/>
          <w:szCs w:val="24"/>
        </w:rPr>
        <w:t xml:space="preserve"> </w:t>
      </w:r>
      <w:r w:rsidR="00043EAF">
        <w:rPr>
          <w:rFonts w:eastAsia="Times New Roman" w:cstheme="minorHAnsi"/>
          <w:i/>
          <w:iCs/>
          <w:sz w:val="24"/>
          <w:szCs w:val="24"/>
        </w:rPr>
        <w:t xml:space="preserve">all </w:t>
      </w:r>
      <w:r w:rsidR="004C5B9F">
        <w:rPr>
          <w:rFonts w:eastAsia="Times New Roman" w:cstheme="minorHAnsi"/>
          <w:i/>
          <w:iCs/>
          <w:sz w:val="24"/>
          <w:szCs w:val="24"/>
        </w:rPr>
        <w:t>genes expressed in</w:t>
      </w:r>
      <w:r w:rsidR="00DE565A" w:rsidRPr="002356D5">
        <w:rPr>
          <w:rFonts w:eastAsia="Times New Roman" w:cstheme="minorHAnsi"/>
          <w:i/>
          <w:iCs/>
          <w:sz w:val="24"/>
          <w:szCs w:val="24"/>
        </w:rPr>
        <w:t xml:space="preserve"> testis</w:t>
      </w:r>
      <w:r w:rsidR="00043EAF">
        <w:rPr>
          <w:rFonts w:eastAsia="Times New Roman" w:cstheme="minorHAnsi"/>
          <w:i/>
          <w:iCs/>
          <w:sz w:val="24"/>
          <w:szCs w:val="24"/>
        </w:rPr>
        <w:t>.</w:t>
      </w:r>
      <w:r w:rsidR="00DE565A" w:rsidRPr="002356D5">
        <w:rPr>
          <w:rFonts w:eastAsia="Times New Roman" w:cstheme="minorHAnsi"/>
          <w:i/>
          <w:iCs/>
          <w:sz w:val="24"/>
          <w:szCs w:val="24"/>
        </w:rPr>
        <w:t xml:space="preserve"> </w:t>
      </w:r>
      <w:r>
        <w:rPr>
          <w:rFonts w:eastAsia="Times New Roman" w:cstheme="minorHAnsi"/>
          <w:i/>
          <w:iCs/>
          <w:sz w:val="24"/>
          <w:szCs w:val="24"/>
        </w:rPr>
        <w:t xml:space="preserve">PC1 and PC2 explained </w:t>
      </w:r>
      <w:r w:rsidR="00295EE9">
        <w:rPr>
          <w:rFonts w:eastAsia="Times New Roman" w:cstheme="minorHAnsi"/>
          <w:i/>
          <w:iCs/>
          <w:sz w:val="24"/>
          <w:szCs w:val="24"/>
        </w:rPr>
        <w:t>58</w:t>
      </w:r>
      <w:r>
        <w:rPr>
          <w:rFonts w:eastAsia="Times New Roman" w:cstheme="minorHAnsi"/>
          <w:i/>
          <w:iCs/>
          <w:sz w:val="24"/>
          <w:szCs w:val="24"/>
        </w:rPr>
        <w:t xml:space="preserve">% of the variation which matches progression of the developmental timepoints we sampled. </w:t>
      </w:r>
      <w:r w:rsidRPr="002356D5">
        <w:rPr>
          <w:rFonts w:eastAsia="Times New Roman" w:cstheme="minorHAnsi"/>
          <w:i/>
          <w:iCs/>
          <w:sz w:val="24"/>
          <w:szCs w:val="24"/>
        </w:rPr>
        <w:t xml:space="preserve">Stages of spermatogenesis </w:t>
      </w:r>
      <w:r>
        <w:rPr>
          <w:rFonts w:eastAsia="Times New Roman" w:cstheme="minorHAnsi"/>
          <w:i/>
          <w:iCs/>
          <w:sz w:val="24"/>
          <w:szCs w:val="24"/>
        </w:rPr>
        <w:t xml:space="preserve">are indicated by shapes: </w:t>
      </w:r>
      <w:proofErr w:type="gramStart"/>
      <w:r>
        <w:rPr>
          <w:rFonts w:eastAsia="Times New Roman" w:cstheme="minorHAnsi"/>
          <w:i/>
          <w:iCs/>
          <w:sz w:val="24"/>
          <w:szCs w:val="24"/>
        </w:rPr>
        <w:t>plus</w:t>
      </w:r>
      <w:proofErr w:type="gramEnd"/>
      <w:r>
        <w:rPr>
          <w:rFonts w:eastAsia="Times New Roman" w:cstheme="minorHAnsi"/>
          <w:i/>
          <w:iCs/>
          <w:sz w:val="24"/>
          <w:szCs w:val="24"/>
        </w:rPr>
        <w:t xml:space="preserve"> </w:t>
      </w:r>
      <w:r w:rsidRPr="002356D5">
        <w:rPr>
          <w:rFonts w:eastAsia="Times New Roman" w:cstheme="minorHAnsi"/>
          <w:i/>
          <w:iCs/>
          <w:sz w:val="24"/>
          <w:szCs w:val="24"/>
        </w:rPr>
        <w:t>for inactive,</w:t>
      </w:r>
      <w:r>
        <w:rPr>
          <w:rFonts w:eastAsia="Times New Roman" w:cstheme="minorHAnsi"/>
          <w:i/>
          <w:iCs/>
          <w:sz w:val="24"/>
          <w:szCs w:val="24"/>
        </w:rPr>
        <w:t xml:space="preserve"> circle for</w:t>
      </w:r>
      <w:r w:rsidRPr="002356D5">
        <w:rPr>
          <w:rFonts w:eastAsia="Times New Roman" w:cstheme="minorHAnsi"/>
          <w:i/>
          <w:iCs/>
          <w:sz w:val="24"/>
          <w:szCs w:val="24"/>
        </w:rPr>
        <w:t xml:space="preserve"> accelerating I,</w:t>
      </w:r>
      <w:r>
        <w:rPr>
          <w:rFonts w:eastAsia="Times New Roman" w:cstheme="minorHAnsi"/>
          <w:i/>
          <w:iCs/>
          <w:sz w:val="24"/>
          <w:szCs w:val="24"/>
        </w:rPr>
        <w:t xml:space="preserve"> triangle for</w:t>
      </w:r>
      <w:r w:rsidRPr="002356D5">
        <w:rPr>
          <w:rFonts w:eastAsia="Times New Roman" w:cstheme="minorHAnsi"/>
          <w:i/>
          <w:iCs/>
          <w:sz w:val="24"/>
          <w:szCs w:val="24"/>
        </w:rPr>
        <w:t xml:space="preserve"> accelerating II and</w:t>
      </w:r>
      <w:r>
        <w:rPr>
          <w:rFonts w:eastAsia="Times New Roman" w:cstheme="minorHAnsi"/>
          <w:i/>
          <w:iCs/>
          <w:sz w:val="24"/>
          <w:szCs w:val="24"/>
        </w:rPr>
        <w:t xml:space="preserve"> square for</w:t>
      </w:r>
      <w:r w:rsidRPr="002356D5">
        <w:rPr>
          <w:rFonts w:eastAsia="Times New Roman" w:cstheme="minorHAnsi"/>
          <w:i/>
          <w:iCs/>
          <w:sz w:val="24"/>
          <w:szCs w:val="24"/>
        </w:rPr>
        <w:t xml:space="preserve"> active. Color indicates the different genotypes AA=red, AB</w:t>
      </w:r>
      <w:r>
        <w:rPr>
          <w:rFonts w:eastAsia="Times New Roman" w:cstheme="minorHAnsi"/>
          <w:i/>
          <w:iCs/>
          <w:sz w:val="24"/>
          <w:szCs w:val="24"/>
        </w:rPr>
        <w:t>*</w:t>
      </w:r>
      <w:r w:rsidRPr="002356D5">
        <w:rPr>
          <w:rFonts w:eastAsia="Times New Roman" w:cstheme="minorHAnsi"/>
          <w:i/>
          <w:iCs/>
          <w:sz w:val="24"/>
          <w:szCs w:val="24"/>
        </w:rPr>
        <w:t>=green and B</w:t>
      </w:r>
      <w:r>
        <w:rPr>
          <w:rFonts w:eastAsia="Times New Roman" w:cstheme="minorHAnsi"/>
          <w:i/>
          <w:iCs/>
          <w:sz w:val="24"/>
          <w:szCs w:val="24"/>
        </w:rPr>
        <w:t>*</w:t>
      </w:r>
      <w:r w:rsidRPr="002356D5">
        <w:rPr>
          <w:rFonts w:eastAsia="Times New Roman" w:cstheme="minorHAnsi"/>
          <w:i/>
          <w:iCs/>
          <w:sz w:val="24"/>
          <w:szCs w:val="24"/>
        </w:rPr>
        <w:t>B</w:t>
      </w:r>
      <w:r>
        <w:rPr>
          <w:rFonts w:eastAsia="Times New Roman" w:cstheme="minorHAnsi"/>
          <w:i/>
          <w:iCs/>
          <w:sz w:val="24"/>
          <w:szCs w:val="24"/>
        </w:rPr>
        <w:t>*</w:t>
      </w:r>
      <w:r w:rsidRPr="002356D5">
        <w:rPr>
          <w:rFonts w:eastAsia="Times New Roman" w:cstheme="minorHAnsi"/>
          <w:i/>
          <w:iCs/>
          <w:sz w:val="24"/>
          <w:szCs w:val="24"/>
        </w:rPr>
        <w:t>=blue.</w:t>
      </w:r>
      <w:r>
        <w:rPr>
          <w:rFonts w:eastAsia="Times New Roman" w:cstheme="minorHAnsi"/>
          <w:i/>
          <w:iCs/>
          <w:sz w:val="24"/>
          <w:szCs w:val="24"/>
        </w:rPr>
        <w:t xml:space="preserve"> B: </w:t>
      </w:r>
      <w:r w:rsidR="00DD10AD" w:rsidRPr="00DD10AD">
        <w:rPr>
          <w:rFonts w:eastAsia="Times New Roman" w:cstheme="minorHAnsi"/>
          <w:i/>
          <w:iCs/>
          <w:sz w:val="24"/>
          <w:szCs w:val="24"/>
        </w:rPr>
        <w:t xml:space="preserve"> </w:t>
      </w:r>
      <w:r w:rsidR="00DD10AD">
        <w:rPr>
          <w:rFonts w:eastAsia="Times New Roman" w:cstheme="minorHAnsi"/>
          <w:i/>
          <w:iCs/>
          <w:sz w:val="24"/>
          <w:szCs w:val="24"/>
        </w:rPr>
        <w:t>Heatmap of the 520 DE genes</w:t>
      </w:r>
      <w:r w:rsidR="00D05A8D">
        <w:rPr>
          <w:rFonts w:eastAsia="Times New Roman" w:cstheme="minorHAnsi"/>
          <w:i/>
          <w:iCs/>
          <w:sz w:val="24"/>
          <w:szCs w:val="24"/>
        </w:rPr>
        <w:t xml:space="preserve"> in testis</w:t>
      </w:r>
      <w:r w:rsidR="00DD10AD">
        <w:rPr>
          <w:rFonts w:eastAsia="Times New Roman" w:cstheme="minorHAnsi"/>
          <w:i/>
          <w:iCs/>
          <w:sz w:val="24"/>
          <w:szCs w:val="24"/>
        </w:rPr>
        <w:t xml:space="preserve"> identified across the 12 contrasts ran in limma where significance was determined across all the contrasts with adjusted p-value &lt;0.05.</w:t>
      </w:r>
      <w:r w:rsidR="00F617E7">
        <w:rPr>
          <w:rFonts w:eastAsia="Times New Roman" w:cstheme="minorHAnsi"/>
          <w:i/>
          <w:iCs/>
          <w:sz w:val="24"/>
          <w:szCs w:val="24"/>
        </w:rPr>
        <w:t xml:space="preserve"> Color scale is Z-score which is calculated across </w:t>
      </w:r>
      <w:r w:rsidR="007C372F">
        <w:rPr>
          <w:rFonts w:eastAsia="Times New Roman" w:cstheme="minorHAnsi"/>
          <w:i/>
          <w:iCs/>
          <w:sz w:val="24"/>
          <w:szCs w:val="24"/>
        </w:rPr>
        <w:t xml:space="preserve">all </w:t>
      </w:r>
      <w:r w:rsidR="007C372F" w:rsidRPr="00043EAF">
        <w:rPr>
          <w:rFonts w:eastAsia="Times New Roman" w:cstheme="minorHAnsi"/>
          <w:i/>
          <w:iCs/>
          <w:sz w:val="24"/>
          <w:szCs w:val="24"/>
        </w:rPr>
        <w:t xml:space="preserve">samples </w:t>
      </w:r>
      <w:r w:rsidR="00043EAF">
        <w:rPr>
          <w:rFonts w:eastAsia="Times New Roman" w:cstheme="minorHAnsi"/>
          <w:i/>
          <w:iCs/>
          <w:sz w:val="24"/>
          <w:szCs w:val="24"/>
        </w:rPr>
        <w:t>within each</w:t>
      </w:r>
      <w:r w:rsidR="007C372F" w:rsidRPr="00043EAF">
        <w:rPr>
          <w:rFonts w:eastAsia="Times New Roman" w:cstheme="minorHAnsi"/>
          <w:i/>
          <w:iCs/>
          <w:sz w:val="24"/>
          <w:szCs w:val="24"/>
        </w:rPr>
        <w:t xml:space="preserve"> gene</w:t>
      </w:r>
      <w:r w:rsidR="00F617E7">
        <w:rPr>
          <w:rFonts w:eastAsia="Times New Roman" w:cstheme="minorHAnsi"/>
          <w:i/>
          <w:iCs/>
          <w:sz w:val="24"/>
          <w:szCs w:val="24"/>
        </w:rPr>
        <w:t xml:space="preserve">. Top rows indicate samples karyotype with </w:t>
      </w:r>
      <w:r w:rsidR="00F617E7" w:rsidRPr="002356D5">
        <w:rPr>
          <w:rFonts w:eastAsia="Times New Roman" w:cstheme="minorHAnsi"/>
          <w:i/>
          <w:iCs/>
          <w:sz w:val="24"/>
          <w:szCs w:val="24"/>
        </w:rPr>
        <w:t>AA=red, AB</w:t>
      </w:r>
      <w:r w:rsidR="00F617E7">
        <w:rPr>
          <w:rFonts w:eastAsia="Times New Roman" w:cstheme="minorHAnsi"/>
          <w:i/>
          <w:iCs/>
          <w:sz w:val="24"/>
          <w:szCs w:val="24"/>
        </w:rPr>
        <w:t>*</w:t>
      </w:r>
      <w:r w:rsidR="00F617E7" w:rsidRPr="002356D5">
        <w:rPr>
          <w:rFonts w:eastAsia="Times New Roman" w:cstheme="minorHAnsi"/>
          <w:i/>
          <w:iCs/>
          <w:sz w:val="24"/>
          <w:szCs w:val="24"/>
        </w:rPr>
        <w:t>=green and B</w:t>
      </w:r>
      <w:r w:rsidR="00F617E7">
        <w:rPr>
          <w:rFonts w:eastAsia="Times New Roman" w:cstheme="minorHAnsi"/>
          <w:i/>
          <w:iCs/>
          <w:sz w:val="24"/>
          <w:szCs w:val="24"/>
        </w:rPr>
        <w:t>*</w:t>
      </w:r>
      <w:r w:rsidR="00F617E7" w:rsidRPr="002356D5">
        <w:rPr>
          <w:rFonts w:eastAsia="Times New Roman" w:cstheme="minorHAnsi"/>
          <w:i/>
          <w:iCs/>
          <w:sz w:val="24"/>
          <w:szCs w:val="24"/>
        </w:rPr>
        <w:t>B</w:t>
      </w:r>
      <w:r w:rsidR="00F617E7">
        <w:rPr>
          <w:rFonts w:eastAsia="Times New Roman" w:cstheme="minorHAnsi"/>
          <w:i/>
          <w:iCs/>
          <w:sz w:val="24"/>
          <w:szCs w:val="24"/>
        </w:rPr>
        <w:t>*</w:t>
      </w:r>
      <w:r w:rsidR="00F617E7" w:rsidRPr="002356D5">
        <w:rPr>
          <w:rFonts w:eastAsia="Times New Roman" w:cstheme="minorHAnsi"/>
          <w:i/>
          <w:iCs/>
          <w:sz w:val="24"/>
          <w:szCs w:val="24"/>
        </w:rPr>
        <w:t>=blue</w:t>
      </w:r>
      <w:r w:rsidR="00F617E7">
        <w:rPr>
          <w:rFonts w:eastAsia="Times New Roman" w:cstheme="minorHAnsi"/>
          <w:i/>
          <w:iCs/>
          <w:sz w:val="24"/>
          <w:szCs w:val="24"/>
        </w:rPr>
        <w:t xml:space="preserve"> and testis developmental stage with light = inactive, light grey =accelerating I, dark grey = accelerating II and black = active.</w:t>
      </w:r>
    </w:p>
    <w:bookmarkEnd w:id="3"/>
    <w:p w14:paraId="4C950A23" w14:textId="77777777" w:rsidR="00262DDB" w:rsidRPr="002356D5" w:rsidRDefault="00262DDB" w:rsidP="0026221B">
      <w:pPr>
        <w:spacing w:after="0" w:line="480" w:lineRule="auto"/>
        <w:ind w:firstLine="720"/>
        <w:contextualSpacing/>
        <w:jc w:val="both"/>
        <w:rPr>
          <w:rFonts w:eastAsia="Times New Roman" w:cstheme="minorHAnsi"/>
          <w:sz w:val="24"/>
          <w:szCs w:val="24"/>
        </w:rPr>
      </w:pPr>
    </w:p>
    <w:p w14:paraId="645DD3C1" w14:textId="45476D14" w:rsidR="004653DB" w:rsidRDefault="0026221B" w:rsidP="0026221B">
      <w:pPr>
        <w:spacing w:after="0" w:line="480" w:lineRule="auto"/>
        <w:ind w:firstLine="720"/>
        <w:contextualSpacing/>
        <w:jc w:val="both"/>
        <w:rPr>
          <w:rFonts w:eastAsia="Times New Roman" w:cstheme="minorHAnsi"/>
          <w:sz w:val="24"/>
          <w:szCs w:val="24"/>
        </w:rPr>
      </w:pPr>
      <w:r>
        <w:rPr>
          <w:rFonts w:eastAsia="Times New Roman" w:cstheme="minorHAnsi"/>
          <w:sz w:val="24"/>
          <w:szCs w:val="24"/>
        </w:rPr>
        <w:lastRenderedPageBreak/>
        <w:t>There were 48</w:t>
      </w:r>
      <w:r w:rsidRPr="002356D5">
        <w:rPr>
          <w:rFonts w:eastAsia="Times New Roman" w:cstheme="minorHAnsi"/>
          <w:sz w:val="24"/>
          <w:szCs w:val="24"/>
        </w:rPr>
        <w:t xml:space="preserve"> significant GO categories</w:t>
      </w:r>
      <w:r>
        <w:rPr>
          <w:rFonts w:eastAsia="Times New Roman" w:cstheme="minorHAnsi"/>
          <w:sz w:val="24"/>
          <w:szCs w:val="24"/>
        </w:rPr>
        <w:t xml:space="preserve"> identified from the functional enrichment analysis</w:t>
      </w:r>
      <w:r w:rsidRPr="002356D5">
        <w:rPr>
          <w:rFonts w:eastAsia="Times New Roman" w:cstheme="minorHAnsi"/>
          <w:sz w:val="24"/>
          <w:szCs w:val="24"/>
        </w:rPr>
        <w:t xml:space="preserve"> for the </w:t>
      </w:r>
      <w:r>
        <w:rPr>
          <w:rFonts w:eastAsia="Times New Roman" w:cstheme="minorHAnsi"/>
          <w:sz w:val="24"/>
          <w:szCs w:val="24"/>
        </w:rPr>
        <w:t xml:space="preserve">testis </w:t>
      </w:r>
      <w:r w:rsidRPr="002356D5">
        <w:rPr>
          <w:rFonts w:eastAsia="Times New Roman" w:cstheme="minorHAnsi"/>
          <w:sz w:val="24"/>
          <w:szCs w:val="24"/>
        </w:rPr>
        <w:t>DE genes (</w:t>
      </w:r>
      <w:r w:rsidR="00991ACE">
        <w:rPr>
          <w:rFonts w:eastAsia="Times New Roman" w:cstheme="minorHAnsi"/>
          <w:sz w:val="24"/>
          <w:szCs w:val="24"/>
        </w:rPr>
        <w:t>Table S4</w:t>
      </w:r>
      <w:r w:rsidRPr="002356D5">
        <w:rPr>
          <w:rFonts w:eastAsia="Times New Roman" w:cstheme="minorHAnsi"/>
          <w:sz w:val="24"/>
          <w:szCs w:val="24"/>
        </w:rPr>
        <w:t xml:space="preserve">). </w:t>
      </w:r>
      <w:r w:rsidRPr="00691818">
        <w:rPr>
          <w:rFonts w:eastAsia="Times New Roman" w:cstheme="minorHAnsi"/>
          <w:sz w:val="24"/>
          <w:szCs w:val="24"/>
        </w:rPr>
        <w:t xml:space="preserve">This enrichment is driven largely by the </w:t>
      </w:r>
      <w:r w:rsidR="004653DB">
        <w:rPr>
          <w:rFonts w:eastAsia="Times New Roman" w:cstheme="minorHAnsi"/>
          <w:sz w:val="24"/>
          <w:szCs w:val="24"/>
        </w:rPr>
        <w:t xml:space="preserve">differential expression </w:t>
      </w:r>
      <w:r w:rsidRPr="00691818">
        <w:rPr>
          <w:rFonts w:eastAsia="Times New Roman" w:cstheme="minorHAnsi"/>
          <w:sz w:val="24"/>
          <w:szCs w:val="24"/>
        </w:rPr>
        <w:t xml:space="preserve">between genotypes in accelerating I stage between AA and AB* (Figure </w:t>
      </w:r>
      <w:r w:rsidR="00234EEE">
        <w:rPr>
          <w:rFonts w:eastAsia="Times New Roman" w:cstheme="minorHAnsi"/>
          <w:sz w:val="24"/>
          <w:szCs w:val="24"/>
        </w:rPr>
        <w:t>2</w:t>
      </w:r>
      <w:r w:rsidRPr="00691818">
        <w:rPr>
          <w:rFonts w:eastAsia="Times New Roman" w:cstheme="minorHAnsi"/>
          <w:sz w:val="24"/>
          <w:szCs w:val="24"/>
        </w:rPr>
        <w:t xml:space="preserve">) as similar terms were found enriched when comparing </w:t>
      </w:r>
      <w:r w:rsidR="0038107F">
        <w:rPr>
          <w:rFonts w:eastAsia="Times New Roman" w:cstheme="minorHAnsi"/>
          <w:sz w:val="24"/>
          <w:szCs w:val="24"/>
        </w:rPr>
        <w:t>the contrasts to each other</w:t>
      </w:r>
      <w:r w:rsidRPr="00691818">
        <w:rPr>
          <w:rFonts w:eastAsia="Times New Roman" w:cstheme="minorHAnsi"/>
          <w:sz w:val="24"/>
          <w:szCs w:val="24"/>
        </w:rPr>
        <w:t xml:space="preserve"> (</w:t>
      </w:r>
      <w:r w:rsidR="00991ACE">
        <w:rPr>
          <w:rFonts w:eastAsia="Times New Roman" w:cstheme="minorHAnsi"/>
          <w:sz w:val="24"/>
          <w:szCs w:val="24"/>
        </w:rPr>
        <w:t>Table S5</w:t>
      </w:r>
      <w:r w:rsidR="0038107F">
        <w:rPr>
          <w:rFonts w:eastAsia="Times New Roman" w:cstheme="minorHAnsi"/>
          <w:sz w:val="24"/>
          <w:szCs w:val="24"/>
        </w:rPr>
        <w:t xml:space="preserve"> and Figure </w:t>
      </w:r>
      <w:r w:rsidR="00234EEE">
        <w:rPr>
          <w:rFonts w:eastAsia="Times New Roman" w:cstheme="minorHAnsi"/>
          <w:sz w:val="24"/>
          <w:szCs w:val="24"/>
        </w:rPr>
        <w:t>S4</w:t>
      </w:r>
      <w:r w:rsidRPr="00691818">
        <w:rPr>
          <w:rFonts w:eastAsia="Times New Roman" w:cstheme="minorHAnsi"/>
          <w:sz w:val="24"/>
          <w:szCs w:val="24"/>
        </w:rPr>
        <w:t>).</w:t>
      </w:r>
      <w:r>
        <w:rPr>
          <w:rFonts w:eastAsia="Times New Roman" w:cstheme="minorHAnsi"/>
          <w:sz w:val="24"/>
          <w:szCs w:val="24"/>
        </w:rPr>
        <w:t xml:space="preserve"> In the active stage (timepoint 4)</w:t>
      </w:r>
      <w:r w:rsidR="004653DB">
        <w:rPr>
          <w:rFonts w:eastAsia="Times New Roman" w:cstheme="minorHAnsi"/>
          <w:sz w:val="24"/>
          <w:szCs w:val="24"/>
        </w:rPr>
        <w:t>,</w:t>
      </w:r>
      <w:r>
        <w:rPr>
          <w:rFonts w:eastAsia="Times New Roman" w:cstheme="minorHAnsi"/>
          <w:sz w:val="24"/>
          <w:szCs w:val="24"/>
        </w:rPr>
        <w:t xml:space="preserve"> most of the DE genes are between </w:t>
      </w:r>
      <w:r w:rsidR="004653DB">
        <w:rPr>
          <w:rFonts w:eastAsia="Times New Roman" w:cstheme="minorHAnsi"/>
          <w:sz w:val="24"/>
          <w:szCs w:val="24"/>
        </w:rPr>
        <w:t xml:space="preserve">the </w:t>
      </w:r>
      <w:r>
        <w:rPr>
          <w:rFonts w:eastAsia="Times New Roman" w:cstheme="minorHAnsi"/>
          <w:sz w:val="24"/>
          <w:szCs w:val="24"/>
        </w:rPr>
        <w:t xml:space="preserve">AB* and B*B* </w:t>
      </w:r>
      <w:r w:rsidR="004653DB">
        <w:rPr>
          <w:rFonts w:eastAsia="Times New Roman" w:cstheme="minorHAnsi"/>
          <w:sz w:val="24"/>
          <w:szCs w:val="24"/>
        </w:rPr>
        <w:t>and the</w:t>
      </w:r>
      <w:r>
        <w:rPr>
          <w:rFonts w:eastAsia="Times New Roman" w:cstheme="minorHAnsi"/>
          <w:sz w:val="24"/>
          <w:szCs w:val="24"/>
        </w:rPr>
        <w:t xml:space="preserve"> AA and B*B* comparisons (</w:t>
      </w:r>
      <w:r w:rsidR="00234EEE">
        <w:rPr>
          <w:rFonts w:eastAsia="Times New Roman" w:cstheme="minorHAnsi"/>
          <w:sz w:val="24"/>
          <w:szCs w:val="24"/>
        </w:rPr>
        <w:t>Figure S4</w:t>
      </w:r>
      <w:r>
        <w:rPr>
          <w:rFonts w:eastAsia="Times New Roman" w:cstheme="minorHAnsi"/>
          <w:sz w:val="24"/>
          <w:szCs w:val="24"/>
        </w:rPr>
        <w:t xml:space="preserve">). </w:t>
      </w:r>
      <w:r w:rsidR="00FC7746">
        <w:rPr>
          <w:rFonts w:eastAsia="Times New Roman" w:cstheme="minorHAnsi"/>
          <w:sz w:val="24"/>
          <w:szCs w:val="24"/>
        </w:rPr>
        <w:t xml:space="preserve">From the semantic </w:t>
      </w:r>
      <w:r w:rsidR="006B226C">
        <w:rPr>
          <w:rFonts w:eastAsia="Times New Roman" w:cstheme="minorHAnsi"/>
          <w:sz w:val="24"/>
          <w:szCs w:val="24"/>
        </w:rPr>
        <w:t xml:space="preserve">clustering of </w:t>
      </w:r>
      <w:r w:rsidR="00FC7746">
        <w:rPr>
          <w:rFonts w:eastAsia="Times New Roman" w:cstheme="minorHAnsi"/>
          <w:sz w:val="24"/>
          <w:szCs w:val="24"/>
        </w:rPr>
        <w:t>GO</w:t>
      </w:r>
      <w:r w:rsidR="006B226C">
        <w:rPr>
          <w:rFonts w:eastAsia="Times New Roman" w:cstheme="minorHAnsi"/>
          <w:sz w:val="24"/>
          <w:szCs w:val="24"/>
        </w:rPr>
        <w:t xml:space="preserve"> terms</w:t>
      </w:r>
      <w:r w:rsidR="00CD3C1C">
        <w:rPr>
          <w:rFonts w:eastAsia="Times New Roman" w:cstheme="minorHAnsi"/>
          <w:sz w:val="24"/>
          <w:szCs w:val="24"/>
        </w:rPr>
        <w:t xml:space="preserve">, </w:t>
      </w:r>
      <w:r w:rsidR="006B226C">
        <w:rPr>
          <w:rFonts w:eastAsia="Times New Roman" w:cstheme="minorHAnsi"/>
          <w:sz w:val="24"/>
          <w:szCs w:val="24"/>
        </w:rPr>
        <w:t>we chose 3 cluster groups</w:t>
      </w:r>
      <w:r w:rsidR="00FC7746">
        <w:rPr>
          <w:rFonts w:eastAsia="Times New Roman" w:cstheme="minorHAnsi"/>
          <w:sz w:val="24"/>
          <w:szCs w:val="24"/>
        </w:rPr>
        <w:t xml:space="preserve"> which </w:t>
      </w:r>
      <w:r w:rsidR="006B226C">
        <w:rPr>
          <w:rFonts w:eastAsia="Times New Roman" w:cstheme="minorHAnsi"/>
          <w:sz w:val="24"/>
          <w:szCs w:val="24"/>
        </w:rPr>
        <w:t xml:space="preserve">were </w:t>
      </w:r>
      <w:r w:rsidR="00FC7746">
        <w:rPr>
          <w:rFonts w:eastAsia="Times New Roman" w:cstheme="minorHAnsi"/>
          <w:sz w:val="24"/>
          <w:szCs w:val="24"/>
        </w:rPr>
        <w:t xml:space="preserve">related to spermatid development and sperm motility for closer investigation. Gene expression of DE genes assigned to the chosen </w:t>
      </w:r>
      <w:r w:rsidR="004653DB">
        <w:rPr>
          <w:rFonts w:eastAsia="Times New Roman" w:cstheme="minorHAnsi"/>
          <w:sz w:val="24"/>
          <w:szCs w:val="24"/>
        </w:rPr>
        <w:t xml:space="preserve">GO </w:t>
      </w:r>
      <w:r w:rsidR="00FC7746">
        <w:rPr>
          <w:rFonts w:eastAsia="Times New Roman" w:cstheme="minorHAnsi"/>
          <w:sz w:val="24"/>
          <w:szCs w:val="24"/>
        </w:rPr>
        <w:t xml:space="preserve">term clusters </w:t>
      </w:r>
      <w:r w:rsidR="0048641A">
        <w:rPr>
          <w:rFonts w:eastAsia="Times New Roman" w:cstheme="minorHAnsi"/>
          <w:sz w:val="24"/>
          <w:szCs w:val="24"/>
        </w:rPr>
        <w:t>are represented</w:t>
      </w:r>
      <w:r w:rsidR="00FC7746">
        <w:rPr>
          <w:rFonts w:eastAsia="Times New Roman" w:cstheme="minorHAnsi"/>
          <w:sz w:val="24"/>
          <w:szCs w:val="24"/>
        </w:rPr>
        <w:t xml:space="preserve"> in Figure 2. </w:t>
      </w:r>
    </w:p>
    <w:p w14:paraId="66B8EEE4" w14:textId="04110AF2" w:rsidR="0026221B" w:rsidRPr="002356D5" w:rsidRDefault="0026221B" w:rsidP="0026221B">
      <w:pPr>
        <w:spacing w:after="0" w:line="480" w:lineRule="auto"/>
        <w:ind w:firstLine="720"/>
        <w:contextualSpacing/>
        <w:jc w:val="both"/>
        <w:rPr>
          <w:rFonts w:eastAsia="Times New Roman" w:cstheme="minorHAnsi"/>
          <w:sz w:val="24"/>
          <w:szCs w:val="24"/>
        </w:rPr>
      </w:pPr>
      <w:r w:rsidRPr="002356D5">
        <w:rPr>
          <w:rFonts w:eastAsia="Times New Roman" w:cstheme="minorHAnsi"/>
          <w:sz w:val="24"/>
          <w:szCs w:val="24"/>
        </w:rPr>
        <w:t xml:space="preserve">Statistically significant enrichment based on gene location was found from chromosome Z when using the </w:t>
      </w:r>
      <w:r>
        <w:rPr>
          <w:rFonts w:eastAsia="Times New Roman" w:cstheme="minorHAnsi"/>
          <w:sz w:val="24"/>
          <w:szCs w:val="24"/>
        </w:rPr>
        <w:t>520</w:t>
      </w:r>
      <w:r w:rsidRPr="002356D5">
        <w:rPr>
          <w:rFonts w:eastAsia="Times New Roman" w:cstheme="minorHAnsi"/>
          <w:sz w:val="24"/>
          <w:szCs w:val="24"/>
        </w:rPr>
        <w:t xml:space="preserve"> DE genes (Figure </w:t>
      </w:r>
      <w:r w:rsidR="00FF494E">
        <w:rPr>
          <w:rFonts w:eastAsia="Times New Roman" w:cstheme="minorHAnsi"/>
          <w:sz w:val="24"/>
          <w:szCs w:val="24"/>
        </w:rPr>
        <w:t>S5</w:t>
      </w:r>
      <w:r w:rsidRPr="002356D5">
        <w:rPr>
          <w:rFonts w:eastAsia="Times New Roman" w:cstheme="minorHAnsi"/>
          <w:sz w:val="24"/>
          <w:szCs w:val="24"/>
        </w:rPr>
        <w:t xml:space="preserve">). Two regions </w:t>
      </w:r>
      <w:r>
        <w:rPr>
          <w:rFonts w:eastAsia="Times New Roman" w:cstheme="minorHAnsi"/>
          <w:sz w:val="24"/>
          <w:szCs w:val="24"/>
        </w:rPr>
        <w:t>we</w:t>
      </w:r>
      <w:r w:rsidRPr="002356D5">
        <w:rPr>
          <w:rFonts w:eastAsia="Times New Roman" w:cstheme="minorHAnsi"/>
          <w:sz w:val="24"/>
          <w:szCs w:val="24"/>
        </w:rPr>
        <w:t xml:space="preserve">re </w:t>
      </w:r>
      <w:r w:rsidR="00C55314" w:rsidRPr="002356D5">
        <w:rPr>
          <w:rFonts w:eastAsia="Times New Roman" w:cstheme="minorHAnsi"/>
          <w:sz w:val="24"/>
          <w:szCs w:val="24"/>
        </w:rPr>
        <w:t>overlapping,</w:t>
      </w:r>
      <w:r w:rsidRPr="002356D5">
        <w:rPr>
          <w:rFonts w:eastAsia="Times New Roman" w:cstheme="minorHAnsi"/>
          <w:sz w:val="24"/>
          <w:szCs w:val="24"/>
        </w:rPr>
        <w:t xml:space="preserve"> and both</w:t>
      </w:r>
      <w:r>
        <w:rPr>
          <w:rFonts w:eastAsia="Times New Roman" w:cstheme="minorHAnsi"/>
          <w:sz w:val="24"/>
          <w:szCs w:val="24"/>
        </w:rPr>
        <w:t xml:space="preserve"> are</w:t>
      </w:r>
      <w:r w:rsidRPr="002356D5">
        <w:rPr>
          <w:rFonts w:eastAsia="Times New Roman" w:cstheme="minorHAnsi"/>
          <w:sz w:val="24"/>
          <w:szCs w:val="24"/>
        </w:rPr>
        <w:t xml:space="preserve"> located close to the end of the </w:t>
      </w:r>
      <w:r>
        <w:rPr>
          <w:rFonts w:eastAsia="Times New Roman" w:cstheme="minorHAnsi"/>
          <w:sz w:val="24"/>
          <w:szCs w:val="24"/>
        </w:rPr>
        <w:t xml:space="preserve">chromosome </w:t>
      </w:r>
      <w:r w:rsidRPr="002356D5">
        <w:rPr>
          <w:rFonts w:eastAsia="Times New Roman" w:cstheme="minorHAnsi"/>
          <w:sz w:val="24"/>
          <w:szCs w:val="24"/>
        </w:rPr>
        <w:t>Z</w:t>
      </w:r>
      <w:r>
        <w:rPr>
          <w:rFonts w:eastAsia="Times New Roman" w:cstheme="minorHAnsi"/>
          <w:sz w:val="24"/>
          <w:szCs w:val="24"/>
        </w:rPr>
        <w:t xml:space="preserve"> between 64.0 Mb and 68.5 Mb</w:t>
      </w:r>
      <w:r w:rsidRPr="002356D5">
        <w:rPr>
          <w:rFonts w:eastAsia="Times New Roman" w:cstheme="minorHAnsi"/>
          <w:sz w:val="24"/>
          <w:szCs w:val="24"/>
        </w:rPr>
        <w:t xml:space="preserve">. This area contains </w:t>
      </w:r>
      <w:r>
        <w:rPr>
          <w:rFonts w:eastAsia="Times New Roman" w:cstheme="minorHAnsi"/>
          <w:sz w:val="24"/>
          <w:szCs w:val="24"/>
        </w:rPr>
        <w:t>10 genes</w:t>
      </w:r>
      <w:r w:rsidRPr="002356D5">
        <w:rPr>
          <w:rFonts w:eastAsia="Times New Roman" w:cstheme="minorHAnsi"/>
          <w:sz w:val="24"/>
          <w:szCs w:val="24"/>
        </w:rPr>
        <w:t xml:space="preserve">: DMGDH, ENSTGUG00000024790, GFM2, </w:t>
      </w:r>
      <w:r w:rsidRPr="008F59A8">
        <w:rPr>
          <w:rFonts w:eastAsia="Times New Roman" w:cstheme="minorHAnsi"/>
          <w:sz w:val="24"/>
          <w:szCs w:val="24"/>
        </w:rPr>
        <w:t>GCNT4</w:t>
      </w:r>
      <w:r>
        <w:rPr>
          <w:rFonts w:eastAsia="Times New Roman" w:cstheme="minorHAnsi"/>
          <w:sz w:val="24"/>
          <w:szCs w:val="24"/>
        </w:rPr>
        <w:t xml:space="preserve">, </w:t>
      </w:r>
      <w:r w:rsidRPr="002356D5">
        <w:rPr>
          <w:rFonts w:eastAsia="Times New Roman" w:cstheme="minorHAnsi"/>
          <w:sz w:val="24"/>
          <w:szCs w:val="24"/>
        </w:rPr>
        <w:t>MAP1B,</w:t>
      </w:r>
      <w:r w:rsidRPr="00E75FF2">
        <w:t xml:space="preserve"> </w:t>
      </w:r>
      <w:r w:rsidRPr="00E75FF2">
        <w:rPr>
          <w:rFonts w:eastAsia="Times New Roman" w:cstheme="minorHAnsi"/>
          <w:sz w:val="24"/>
          <w:szCs w:val="24"/>
        </w:rPr>
        <w:t>ENSTGUG00000021944</w:t>
      </w:r>
      <w:r w:rsidRPr="002356D5">
        <w:rPr>
          <w:rFonts w:eastAsia="Times New Roman" w:cstheme="minorHAnsi"/>
          <w:sz w:val="24"/>
          <w:szCs w:val="24"/>
        </w:rPr>
        <w:t xml:space="preserve">, SMARCA2, DMRT3, DOCK8, GLIS3. </w:t>
      </w:r>
      <w:r>
        <w:rPr>
          <w:rFonts w:eastAsia="Times New Roman" w:cstheme="minorHAnsi"/>
          <w:sz w:val="24"/>
          <w:szCs w:val="24"/>
        </w:rPr>
        <w:t>A third region with enrichment of differentially expressed genes is identified before the centromere region in chromosome Z</w:t>
      </w:r>
      <w:r w:rsidR="002B59BE">
        <w:rPr>
          <w:rFonts w:eastAsia="Times New Roman" w:cstheme="minorHAnsi"/>
          <w:sz w:val="24"/>
          <w:szCs w:val="24"/>
        </w:rPr>
        <w:t xml:space="preserve"> </w:t>
      </w:r>
      <w:r>
        <w:rPr>
          <w:rFonts w:eastAsia="Times New Roman" w:cstheme="minorHAnsi"/>
          <w:sz w:val="24"/>
          <w:szCs w:val="24"/>
        </w:rPr>
        <w:t>between 24.0 and 27.9 Mb</w:t>
      </w:r>
      <w:r w:rsidR="007C372F">
        <w:rPr>
          <w:rFonts w:eastAsia="Times New Roman" w:cstheme="minorHAnsi"/>
          <w:sz w:val="24"/>
          <w:szCs w:val="24"/>
        </w:rPr>
        <w:t xml:space="preserve"> (estimated from </w:t>
      </w:r>
      <w:r w:rsidR="007C372F">
        <w:rPr>
          <w:rFonts w:eastAsia="Times New Roman" w:cstheme="minorHAnsi"/>
          <w:sz w:val="24"/>
          <w:szCs w:val="24"/>
        </w:rPr>
        <w:fldChar w:fldCharType="begin" w:fldLock="1"/>
      </w:r>
      <w:r w:rsidR="007C372F">
        <w:rPr>
          <w:rFonts w:eastAsia="Times New Roman" w:cstheme="minorHAnsi"/>
          <w:sz w:val="24"/>
          <w:szCs w:val="24"/>
        </w:rPr>
        <w:instrText>ADDIN CSL_CITATION {"citationItems":[{"id":"ITEM-1","itemData":{"DOI":"10.1007/s00412-010-0308-3","ISSN":"00095915","PMID":"21369954","abstract":"We describe a karyotypic polymorphism on the zebra finch Z chromosome. This polymorphism was discovered because of a difference in the position of the centromere and because it occurs at varying frequencies in domesticated colonies in the USA and Germany and among two zebra finch subspecies. Using DNA fluorescent in situ hybridization to map specific Z genes and measurements of DNA replication, we show that this polymorphism is the result of a large pericentric inversion involving the majority of the chromosome. We sequenced a likely breakpoint for the inversion and found many repetitive sequences. Around the breakpoint, there are numerous repetitive sequences and several copies of PAK3 (p21-activated kinase 3)-related sequences (PAK3Z) which showed testes-specific expression by RT-PCR. Our findings further suggest that the sequenced genome of the zebra finch may be derived from a male heterozygote for the Z chromosome polymorphism. This finding, in combination with regional differences in the frequency of the polymorphism, has important consequences for future studies using zebra finches. © 2011 The Author(s).","author":[{"dropping-particle":"","family":"Itoh","given":"Yuichiro","non-dropping-particle":"","parse-names":false,"suffix":""},{"dropping-particle":"","family":"Kampf","given":"Kathy","non-dropping-particle":"","parse-names":false,"suffix":""},{"dropping-particle":"","family":"Balakrishnan","given":"Christopher N","non-dropping-particle":"","parse-names":false,"suffix":""},{"dropping-particle":"","family":"Arnold","given":"Arthur P","non-dropping-particle":"","parse-names":false,"suffix":""}],"container-title":"Chromosoma","id":"ITEM-1","issue":"3","issued":{"date-parts":[["2011"]]},"page":"255-264","title":"Karyotypic polymorphism of the zebra finch Z chromosome","type":"article-journal","volume":"120"},"uris":["http://www.mendeley.com/documents/?uuid=d0a1f33e-9a2d-33c8-9224-e502897a77d1"]}],"mendeley":{"formattedCitation":"(Itoh et al., 2011)","plainTextFormattedCitation":"(Itoh et al., 2011)","previouslyFormattedCitation":"(Itoh et al., 2011)"},"properties":{"noteIndex":0},"schema":"https://github.com/citation-style-language/schema/raw/master/csl-citation.json"}</w:instrText>
      </w:r>
      <w:r w:rsidR="007C372F">
        <w:rPr>
          <w:rFonts w:eastAsia="Times New Roman" w:cstheme="minorHAnsi"/>
          <w:sz w:val="24"/>
          <w:szCs w:val="24"/>
        </w:rPr>
        <w:fldChar w:fldCharType="separate"/>
      </w:r>
      <w:r w:rsidR="007C372F" w:rsidRPr="001E0464">
        <w:rPr>
          <w:rFonts w:eastAsia="Times New Roman" w:cstheme="minorHAnsi"/>
          <w:noProof/>
          <w:sz w:val="24"/>
          <w:szCs w:val="24"/>
        </w:rPr>
        <w:t>(Itoh et al., 2011)</w:t>
      </w:r>
      <w:r w:rsidR="007C372F">
        <w:rPr>
          <w:rFonts w:eastAsia="Times New Roman" w:cstheme="minorHAnsi"/>
          <w:sz w:val="24"/>
          <w:szCs w:val="24"/>
        </w:rPr>
        <w:fldChar w:fldCharType="end"/>
      </w:r>
      <w:r w:rsidR="007C372F">
        <w:rPr>
          <w:rFonts w:eastAsia="Times New Roman" w:cstheme="minorHAnsi"/>
          <w:sz w:val="24"/>
          <w:szCs w:val="24"/>
        </w:rPr>
        <w:t>,</w:t>
      </w:r>
      <w:r>
        <w:rPr>
          <w:rFonts w:eastAsia="Times New Roman" w:cstheme="minorHAnsi"/>
          <w:sz w:val="24"/>
          <w:szCs w:val="24"/>
        </w:rPr>
        <w:t xml:space="preserve"> and it contains 7 genes all of which were lncRNAs: </w:t>
      </w:r>
      <w:r w:rsidRPr="00E75FF2">
        <w:rPr>
          <w:rFonts w:eastAsia="Times New Roman" w:cstheme="minorHAnsi"/>
          <w:sz w:val="24"/>
          <w:szCs w:val="24"/>
        </w:rPr>
        <w:t>ENSTGUG00000021152</w:t>
      </w:r>
      <w:r>
        <w:rPr>
          <w:rFonts w:eastAsia="Times New Roman" w:cstheme="minorHAnsi"/>
          <w:sz w:val="24"/>
          <w:szCs w:val="24"/>
        </w:rPr>
        <w:t xml:space="preserve">, </w:t>
      </w:r>
      <w:r w:rsidRPr="00E75FF2">
        <w:rPr>
          <w:rFonts w:eastAsia="Times New Roman" w:cstheme="minorHAnsi"/>
          <w:sz w:val="24"/>
          <w:szCs w:val="24"/>
        </w:rPr>
        <w:t>ENSTGUG00000020830</w:t>
      </w:r>
      <w:r>
        <w:rPr>
          <w:rFonts w:eastAsia="Times New Roman" w:cstheme="minorHAnsi"/>
          <w:sz w:val="24"/>
          <w:szCs w:val="24"/>
        </w:rPr>
        <w:t xml:space="preserve">, </w:t>
      </w:r>
      <w:r w:rsidRPr="00E75FF2">
        <w:rPr>
          <w:rFonts w:eastAsia="Times New Roman" w:cstheme="minorHAnsi"/>
          <w:sz w:val="24"/>
          <w:szCs w:val="24"/>
        </w:rPr>
        <w:t>ENSTGUG00000020</w:t>
      </w:r>
      <w:r>
        <w:rPr>
          <w:rFonts w:eastAsia="Times New Roman" w:cstheme="minorHAnsi"/>
          <w:sz w:val="24"/>
          <w:szCs w:val="24"/>
        </w:rPr>
        <w:t xml:space="preserve">572, </w:t>
      </w:r>
      <w:r w:rsidRPr="00E75FF2">
        <w:rPr>
          <w:rFonts w:eastAsia="Times New Roman" w:cstheme="minorHAnsi"/>
          <w:sz w:val="24"/>
          <w:szCs w:val="24"/>
        </w:rPr>
        <w:t>ENSTGUG0000002</w:t>
      </w:r>
      <w:r>
        <w:rPr>
          <w:rFonts w:eastAsia="Times New Roman" w:cstheme="minorHAnsi"/>
          <w:sz w:val="24"/>
          <w:szCs w:val="24"/>
        </w:rPr>
        <w:t xml:space="preserve">0596, </w:t>
      </w:r>
      <w:r w:rsidRPr="00E75FF2">
        <w:rPr>
          <w:rFonts w:eastAsia="Times New Roman" w:cstheme="minorHAnsi"/>
          <w:sz w:val="24"/>
          <w:szCs w:val="24"/>
        </w:rPr>
        <w:t>ENSTGUG000000</w:t>
      </w:r>
      <w:r>
        <w:rPr>
          <w:rFonts w:eastAsia="Times New Roman" w:cstheme="minorHAnsi"/>
          <w:sz w:val="24"/>
          <w:szCs w:val="24"/>
        </w:rPr>
        <w:t xml:space="preserve">00970, </w:t>
      </w:r>
      <w:r w:rsidRPr="00E75FF2">
        <w:rPr>
          <w:rFonts w:eastAsia="Times New Roman" w:cstheme="minorHAnsi"/>
          <w:sz w:val="24"/>
          <w:szCs w:val="24"/>
        </w:rPr>
        <w:t>ENSTGUG0000002</w:t>
      </w:r>
      <w:r>
        <w:rPr>
          <w:rFonts w:eastAsia="Times New Roman" w:cstheme="minorHAnsi"/>
          <w:sz w:val="24"/>
          <w:szCs w:val="24"/>
        </w:rPr>
        <w:t>3043.</w:t>
      </w:r>
    </w:p>
    <w:p w14:paraId="2CDB0600" w14:textId="77777777" w:rsidR="0026221B" w:rsidRDefault="0026221B" w:rsidP="0026221B">
      <w:pPr>
        <w:spacing w:after="0" w:line="480" w:lineRule="auto"/>
        <w:contextualSpacing/>
        <w:jc w:val="both"/>
        <w:rPr>
          <w:rFonts w:eastAsia="Times New Roman" w:cstheme="minorHAnsi"/>
          <w:sz w:val="24"/>
          <w:szCs w:val="24"/>
        </w:rPr>
      </w:pPr>
    </w:p>
    <w:p w14:paraId="12981F09" w14:textId="26BF3CC4" w:rsidR="0012119D" w:rsidRPr="002356D5" w:rsidRDefault="00F74FC2" w:rsidP="0026221B">
      <w:pPr>
        <w:spacing w:after="0" w:line="480" w:lineRule="auto"/>
        <w:contextualSpacing/>
        <w:jc w:val="both"/>
        <w:rPr>
          <w:rFonts w:eastAsia="Times New Roman" w:cstheme="minorHAnsi"/>
          <w:sz w:val="24"/>
          <w:szCs w:val="24"/>
        </w:rPr>
      </w:pPr>
      <w:r>
        <w:rPr>
          <w:rFonts w:eastAsia="Times New Roman" w:cstheme="minorHAnsi"/>
          <w:noProof/>
          <w:sz w:val="24"/>
          <w:szCs w:val="24"/>
          <w14:ligatures w14:val="standardContextual"/>
        </w:rPr>
        <w:lastRenderedPageBreak/>
        <w:drawing>
          <wp:inline distT="0" distB="0" distL="0" distR="0" wp14:anchorId="118AE354" wp14:editId="641BBEB8">
            <wp:extent cx="6120130" cy="2348230"/>
            <wp:effectExtent l="0" t="0" r="0" b="0"/>
            <wp:docPr id="971726180" name="Kuva 2" descr="Kuva, joka sisältää kohteen teksti, kuvakaappaus, viiva, diagrammi&#10;&#10;Kuvaus luotu automaattises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1726180" name="Kuva 2" descr="Kuva, joka sisältää kohteen teksti, kuvakaappaus, viiva, diagrammi&#10;&#10;Kuvaus luotu automaattisesti"/>
                    <pic:cNvPicPr/>
                  </pic:nvPicPr>
                  <pic:blipFill>
                    <a:blip r:embed="rId9" cstate="print">
                      <a:extLst>
                        <a:ext uri="{28A0092B-C50C-407E-A947-70E740481C1C}">
                          <a14:useLocalDpi xmlns:a14="http://schemas.microsoft.com/office/drawing/2010/main" val="0"/>
                        </a:ext>
                      </a:extLst>
                    </a:blip>
                    <a:stretch>
                      <a:fillRect/>
                    </a:stretch>
                  </pic:blipFill>
                  <pic:spPr>
                    <a:xfrm>
                      <a:off x="0" y="0"/>
                      <a:ext cx="6120130" cy="2348230"/>
                    </a:xfrm>
                    <a:prstGeom prst="rect">
                      <a:avLst/>
                    </a:prstGeom>
                  </pic:spPr>
                </pic:pic>
              </a:graphicData>
            </a:graphic>
          </wp:inline>
        </w:drawing>
      </w:r>
    </w:p>
    <w:p w14:paraId="3B31A343" w14:textId="0FFCAD5D" w:rsidR="0026221B" w:rsidRPr="001A6FA6" w:rsidRDefault="0026221B" w:rsidP="0026221B">
      <w:pPr>
        <w:spacing w:after="0" w:line="240" w:lineRule="auto"/>
        <w:contextualSpacing/>
        <w:jc w:val="both"/>
        <w:rPr>
          <w:rFonts w:eastAsia="Times New Roman" w:cstheme="minorHAnsi"/>
          <w:i/>
          <w:iCs/>
          <w:sz w:val="24"/>
          <w:szCs w:val="24"/>
        </w:rPr>
      </w:pPr>
      <w:bookmarkStart w:id="4" w:name="_Hlk137503605"/>
      <w:r w:rsidRPr="002356D5">
        <w:rPr>
          <w:rFonts w:eastAsia="Times New Roman" w:cstheme="minorHAnsi"/>
          <w:i/>
          <w:iCs/>
          <w:sz w:val="24"/>
          <w:szCs w:val="24"/>
        </w:rPr>
        <w:t xml:space="preserve">Figure </w:t>
      </w:r>
      <w:r w:rsidR="00BB23F6">
        <w:rPr>
          <w:rFonts w:eastAsia="Times New Roman" w:cstheme="minorHAnsi"/>
          <w:i/>
          <w:iCs/>
          <w:sz w:val="24"/>
          <w:szCs w:val="24"/>
        </w:rPr>
        <w:t>2</w:t>
      </w:r>
      <w:r w:rsidRPr="002356D5">
        <w:rPr>
          <w:rFonts w:eastAsia="Times New Roman" w:cstheme="minorHAnsi"/>
          <w:i/>
          <w:iCs/>
          <w:sz w:val="24"/>
          <w:szCs w:val="24"/>
        </w:rPr>
        <w:t xml:space="preserve">. </w:t>
      </w:r>
      <w:r w:rsidR="00F74FC2">
        <w:rPr>
          <w:rFonts w:eastAsia="Times New Roman" w:cstheme="minorHAnsi"/>
          <w:i/>
          <w:iCs/>
          <w:sz w:val="24"/>
          <w:szCs w:val="24"/>
        </w:rPr>
        <w:t>Heatmaps of testis gene expression in three functional clusters. Cluster</w:t>
      </w:r>
      <w:r w:rsidR="00DE4DE4">
        <w:rPr>
          <w:rFonts w:eastAsia="Times New Roman" w:cstheme="minorHAnsi"/>
          <w:i/>
          <w:iCs/>
          <w:sz w:val="24"/>
          <w:szCs w:val="24"/>
        </w:rPr>
        <w:t>s</w:t>
      </w:r>
      <w:r w:rsidR="00F74FC2">
        <w:rPr>
          <w:rFonts w:eastAsia="Times New Roman" w:cstheme="minorHAnsi"/>
          <w:i/>
          <w:iCs/>
          <w:sz w:val="24"/>
          <w:szCs w:val="24"/>
        </w:rPr>
        <w:t xml:space="preserve"> </w:t>
      </w:r>
      <w:r w:rsidR="004C5B9F">
        <w:rPr>
          <w:rFonts w:eastAsia="Times New Roman" w:cstheme="minorHAnsi"/>
          <w:i/>
          <w:iCs/>
          <w:sz w:val="24"/>
          <w:szCs w:val="24"/>
        </w:rPr>
        <w:t>we</w:t>
      </w:r>
      <w:r w:rsidR="00F74FC2">
        <w:rPr>
          <w:rFonts w:eastAsia="Times New Roman" w:cstheme="minorHAnsi"/>
          <w:i/>
          <w:iCs/>
          <w:sz w:val="24"/>
          <w:szCs w:val="24"/>
        </w:rPr>
        <w:t xml:space="preserve">re based on semantic GO term clustering of differentially expressed genes with ViSEAGO using 4 testis </w:t>
      </w:r>
      <w:r w:rsidR="00DE4DE4">
        <w:rPr>
          <w:rFonts w:eastAsia="Times New Roman" w:cstheme="minorHAnsi"/>
          <w:i/>
          <w:iCs/>
          <w:sz w:val="24"/>
          <w:szCs w:val="24"/>
        </w:rPr>
        <w:t xml:space="preserve">contrast comparisons </w:t>
      </w:r>
      <w:r w:rsidR="00F74FC2">
        <w:rPr>
          <w:rFonts w:eastAsia="Times New Roman" w:cstheme="minorHAnsi"/>
          <w:i/>
          <w:iCs/>
          <w:sz w:val="24"/>
          <w:szCs w:val="24"/>
        </w:rPr>
        <w:t>where a minimum of 20 GO terms were identified</w:t>
      </w:r>
      <w:r w:rsidR="004C5B9F">
        <w:rPr>
          <w:rFonts w:eastAsia="Times New Roman" w:cstheme="minorHAnsi"/>
          <w:i/>
          <w:iCs/>
          <w:sz w:val="24"/>
          <w:szCs w:val="24"/>
        </w:rPr>
        <w:t xml:space="preserve"> (Figure S4)</w:t>
      </w:r>
      <w:r w:rsidR="00F74FC2">
        <w:rPr>
          <w:rFonts w:eastAsia="Times New Roman" w:cstheme="minorHAnsi"/>
          <w:i/>
          <w:iCs/>
          <w:sz w:val="24"/>
          <w:szCs w:val="24"/>
        </w:rPr>
        <w:t>.</w:t>
      </w:r>
      <w:r w:rsidR="008D6540">
        <w:rPr>
          <w:rFonts w:eastAsia="Times New Roman" w:cstheme="minorHAnsi"/>
          <w:i/>
          <w:iCs/>
          <w:sz w:val="24"/>
          <w:szCs w:val="24"/>
        </w:rPr>
        <w:t xml:space="preserve"> A: </w:t>
      </w:r>
      <w:r w:rsidR="004653DB">
        <w:rPr>
          <w:rFonts w:eastAsia="Times New Roman" w:cstheme="minorHAnsi"/>
          <w:i/>
          <w:iCs/>
          <w:sz w:val="24"/>
          <w:szCs w:val="24"/>
        </w:rPr>
        <w:t xml:space="preserve">The gene </w:t>
      </w:r>
      <w:r w:rsidR="00F74FC2">
        <w:rPr>
          <w:rFonts w:eastAsia="Times New Roman" w:cstheme="minorHAnsi"/>
          <w:i/>
          <w:iCs/>
          <w:sz w:val="24"/>
          <w:szCs w:val="24"/>
        </w:rPr>
        <w:t>cluster for spermatid development contains 15 genes</w:t>
      </w:r>
      <w:r w:rsidR="00F617E7">
        <w:rPr>
          <w:rFonts w:eastAsia="Times New Roman" w:cstheme="minorHAnsi"/>
          <w:i/>
          <w:iCs/>
          <w:sz w:val="24"/>
          <w:szCs w:val="24"/>
        </w:rPr>
        <w:t>.</w:t>
      </w:r>
      <w:r w:rsidR="00F74FC2">
        <w:rPr>
          <w:rFonts w:eastAsia="Times New Roman" w:cstheme="minorHAnsi"/>
          <w:i/>
          <w:iCs/>
          <w:sz w:val="24"/>
          <w:szCs w:val="24"/>
        </w:rPr>
        <w:t xml:space="preserve"> </w:t>
      </w:r>
      <w:r w:rsidR="008D6540">
        <w:rPr>
          <w:rFonts w:eastAsia="Times New Roman" w:cstheme="minorHAnsi"/>
          <w:i/>
          <w:iCs/>
          <w:sz w:val="24"/>
          <w:szCs w:val="24"/>
        </w:rPr>
        <w:t xml:space="preserve">B: </w:t>
      </w:r>
      <w:r w:rsidR="004653DB">
        <w:rPr>
          <w:rFonts w:eastAsia="Times New Roman" w:cstheme="minorHAnsi"/>
          <w:i/>
          <w:iCs/>
          <w:sz w:val="24"/>
          <w:szCs w:val="24"/>
        </w:rPr>
        <w:t xml:space="preserve">The gene </w:t>
      </w:r>
      <w:r w:rsidR="00A17444">
        <w:rPr>
          <w:rFonts w:eastAsia="Times New Roman" w:cstheme="minorHAnsi"/>
          <w:i/>
          <w:iCs/>
          <w:sz w:val="24"/>
          <w:szCs w:val="24"/>
        </w:rPr>
        <w:t>cluster for cilium dependent motility contains 2</w:t>
      </w:r>
      <w:r w:rsidR="00F617E7">
        <w:rPr>
          <w:rFonts w:eastAsia="Times New Roman" w:cstheme="minorHAnsi"/>
          <w:i/>
          <w:iCs/>
          <w:sz w:val="24"/>
          <w:szCs w:val="24"/>
        </w:rPr>
        <w:t>5</w:t>
      </w:r>
      <w:r w:rsidR="00A17444">
        <w:rPr>
          <w:rFonts w:eastAsia="Times New Roman" w:cstheme="minorHAnsi"/>
          <w:i/>
          <w:iCs/>
          <w:sz w:val="24"/>
          <w:szCs w:val="24"/>
        </w:rPr>
        <w:t xml:space="preserve"> genes</w:t>
      </w:r>
      <w:r w:rsidR="00F617E7">
        <w:rPr>
          <w:rFonts w:eastAsia="Times New Roman" w:cstheme="minorHAnsi"/>
          <w:i/>
          <w:iCs/>
          <w:sz w:val="24"/>
          <w:szCs w:val="24"/>
        </w:rPr>
        <w:t xml:space="preserve">. C: </w:t>
      </w:r>
      <w:r w:rsidR="004653DB">
        <w:rPr>
          <w:rFonts w:eastAsia="Times New Roman" w:cstheme="minorHAnsi"/>
          <w:i/>
          <w:iCs/>
          <w:sz w:val="24"/>
          <w:szCs w:val="24"/>
        </w:rPr>
        <w:t xml:space="preserve">The gene </w:t>
      </w:r>
      <w:r w:rsidR="00F617E7">
        <w:rPr>
          <w:rFonts w:eastAsia="Times New Roman" w:cstheme="minorHAnsi"/>
          <w:i/>
          <w:iCs/>
          <w:sz w:val="24"/>
          <w:szCs w:val="24"/>
        </w:rPr>
        <w:t xml:space="preserve">cluster for axoneme, dynein and cilium assembly </w:t>
      </w:r>
      <w:proofErr w:type="gramStart"/>
      <w:r w:rsidR="00F617E7">
        <w:rPr>
          <w:rFonts w:eastAsia="Times New Roman" w:cstheme="minorHAnsi"/>
          <w:i/>
          <w:iCs/>
          <w:sz w:val="24"/>
          <w:szCs w:val="24"/>
        </w:rPr>
        <w:t>contains</w:t>
      </w:r>
      <w:proofErr w:type="gramEnd"/>
      <w:r w:rsidR="00F617E7">
        <w:rPr>
          <w:rFonts w:eastAsia="Times New Roman" w:cstheme="minorHAnsi"/>
          <w:i/>
          <w:iCs/>
          <w:sz w:val="24"/>
          <w:szCs w:val="24"/>
        </w:rPr>
        <w:t xml:space="preserve"> 34 genes. Color scale is Z-score which is calculated </w:t>
      </w:r>
      <w:r w:rsidR="004653DB">
        <w:rPr>
          <w:rFonts w:eastAsia="Times New Roman" w:cstheme="minorHAnsi"/>
          <w:i/>
          <w:iCs/>
          <w:sz w:val="24"/>
          <w:szCs w:val="24"/>
        </w:rPr>
        <w:t xml:space="preserve">across samples within </w:t>
      </w:r>
      <w:r w:rsidR="00F617E7">
        <w:rPr>
          <w:rFonts w:eastAsia="Times New Roman" w:cstheme="minorHAnsi"/>
          <w:i/>
          <w:iCs/>
          <w:sz w:val="24"/>
          <w:szCs w:val="24"/>
        </w:rPr>
        <w:t xml:space="preserve">each gene. Top rows indicate </w:t>
      </w:r>
      <w:r w:rsidR="004653DB">
        <w:rPr>
          <w:rFonts w:eastAsia="Times New Roman" w:cstheme="minorHAnsi"/>
          <w:i/>
          <w:iCs/>
          <w:sz w:val="24"/>
          <w:szCs w:val="24"/>
        </w:rPr>
        <w:t xml:space="preserve">the </w:t>
      </w:r>
      <w:r w:rsidR="00F617E7">
        <w:rPr>
          <w:rFonts w:eastAsia="Times New Roman" w:cstheme="minorHAnsi"/>
          <w:i/>
          <w:iCs/>
          <w:sz w:val="24"/>
          <w:szCs w:val="24"/>
        </w:rPr>
        <w:t>sample</w:t>
      </w:r>
      <w:r w:rsidR="00DE4DE4">
        <w:rPr>
          <w:rFonts w:eastAsia="Times New Roman" w:cstheme="minorHAnsi"/>
          <w:i/>
          <w:iCs/>
          <w:sz w:val="24"/>
          <w:szCs w:val="24"/>
        </w:rPr>
        <w:t>’</w:t>
      </w:r>
      <w:r w:rsidR="00F617E7">
        <w:rPr>
          <w:rFonts w:eastAsia="Times New Roman" w:cstheme="minorHAnsi"/>
          <w:i/>
          <w:iCs/>
          <w:sz w:val="24"/>
          <w:szCs w:val="24"/>
        </w:rPr>
        <w:t xml:space="preserve">s karyotype with </w:t>
      </w:r>
      <w:r w:rsidR="00F617E7" w:rsidRPr="002356D5">
        <w:rPr>
          <w:rFonts w:eastAsia="Times New Roman" w:cstheme="minorHAnsi"/>
          <w:i/>
          <w:iCs/>
          <w:sz w:val="24"/>
          <w:szCs w:val="24"/>
        </w:rPr>
        <w:t>AA=red, AB</w:t>
      </w:r>
      <w:r w:rsidR="00F617E7">
        <w:rPr>
          <w:rFonts w:eastAsia="Times New Roman" w:cstheme="minorHAnsi"/>
          <w:i/>
          <w:iCs/>
          <w:sz w:val="24"/>
          <w:szCs w:val="24"/>
        </w:rPr>
        <w:t>*</w:t>
      </w:r>
      <w:r w:rsidR="00F617E7" w:rsidRPr="002356D5">
        <w:rPr>
          <w:rFonts w:eastAsia="Times New Roman" w:cstheme="minorHAnsi"/>
          <w:i/>
          <w:iCs/>
          <w:sz w:val="24"/>
          <w:szCs w:val="24"/>
        </w:rPr>
        <w:t>=green and B</w:t>
      </w:r>
      <w:r w:rsidR="00F617E7">
        <w:rPr>
          <w:rFonts w:eastAsia="Times New Roman" w:cstheme="minorHAnsi"/>
          <w:i/>
          <w:iCs/>
          <w:sz w:val="24"/>
          <w:szCs w:val="24"/>
        </w:rPr>
        <w:t>*</w:t>
      </w:r>
      <w:r w:rsidR="00F617E7" w:rsidRPr="002356D5">
        <w:rPr>
          <w:rFonts w:eastAsia="Times New Roman" w:cstheme="minorHAnsi"/>
          <w:i/>
          <w:iCs/>
          <w:sz w:val="24"/>
          <w:szCs w:val="24"/>
        </w:rPr>
        <w:t>B</w:t>
      </w:r>
      <w:r w:rsidR="00F617E7">
        <w:rPr>
          <w:rFonts w:eastAsia="Times New Roman" w:cstheme="minorHAnsi"/>
          <w:i/>
          <w:iCs/>
          <w:sz w:val="24"/>
          <w:szCs w:val="24"/>
        </w:rPr>
        <w:t>*</w:t>
      </w:r>
      <w:r w:rsidR="00F617E7" w:rsidRPr="002356D5">
        <w:rPr>
          <w:rFonts w:eastAsia="Times New Roman" w:cstheme="minorHAnsi"/>
          <w:i/>
          <w:iCs/>
          <w:sz w:val="24"/>
          <w:szCs w:val="24"/>
        </w:rPr>
        <w:t>=blue</w:t>
      </w:r>
      <w:r w:rsidR="00F617E7">
        <w:rPr>
          <w:rFonts w:eastAsia="Times New Roman" w:cstheme="minorHAnsi"/>
          <w:i/>
          <w:iCs/>
          <w:sz w:val="24"/>
          <w:szCs w:val="24"/>
        </w:rPr>
        <w:t xml:space="preserve"> and testis developmental stage with light = inactive, light grey =accelerating I, dark grey = accelerating II and black = active.</w:t>
      </w:r>
    </w:p>
    <w:bookmarkEnd w:id="4"/>
    <w:p w14:paraId="7A511BED" w14:textId="77777777" w:rsidR="0026221B" w:rsidRPr="002356D5" w:rsidRDefault="0026221B" w:rsidP="0026221B">
      <w:pPr>
        <w:spacing w:after="0" w:line="480" w:lineRule="auto"/>
        <w:contextualSpacing/>
        <w:jc w:val="both"/>
        <w:rPr>
          <w:rFonts w:eastAsia="Times New Roman" w:cstheme="minorHAnsi"/>
          <w:i/>
          <w:iCs/>
          <w:sz w:val="24"/>
          <w:szCs w:val="24"/>
        </w:rPr>
      </w:pPr>
    </w:p>
    <w:p w14:paraId="14A94418" w14:textId="521D2344" w:rsidR="0026221B" w:rsidRPr="00A62BBD" w:rsidRDefault="0026221B" w:rsidP="0026221B">
      <w:pPr>
        <w:spacing w:line="480" w:lineRule="auto"/>
        <w:ind w:firstLine="720"/>
        <w:contextualSpacing/>
        <w:jc w:val="both"/>
        <w:rPr>
          <w:rFonts w:eastAsia="Times New Roman" w:cstheme="minorHAnsi"/>
          <w:sz w:val="24"/>
          <w:szCs w:val="24"/>
        </w:rPr>
      </w:pPr>
      <w:r w:rsidRPr="00A62BBD">
        <w:rPr>
          <w:rFonts w:eastAsia="Times New Roman" w:cstheme="minorHAnsi"/>
          <w:sz w:val="24"/>
          <w:szCs w:val="24"/>
        </w:rPr>
        <w:t xml:space="preserve">When looking across </w:t>
      </w:r>
      <w:r>
        <w:rPr>
          <w:rFonts w:eastAsia="Times New Roman" w:cstheme="minorHAnsi"/>
          <w:sz w:val="24"/>
          <w:szCs w:val="24"/>
        </w:rPr>
        <w:t>testis development,</w:t>
      </w:r>
      <w:r w:rsidRPr="00A62BBD">
        <w:rPr>
          <w:rFonts w:eastAsia="Times New Roman" w:cstheme="minorHAnsi"/>
          <w:sz w:val="24"/>
          <w:szCs w:val="24"/>
        </w:rPr>
        <w:t xml:space="preserve"> </w:t>
      </w:r>
      <w:r>
        <w:rPr>
          <w:rFonts w:eastAsia="Times New Roman" w:cstheme="minorHAnsi"/>
          <w:sz w:val="24"/>
          <w:szCs w:val="24"/>
        </w:rPr>
        <w:t xml:space="preserve">eight of the </w:t>
      </w:r>
      <w:proofErr w:type="gramStart"/>
      <w:r>
        <w:rPr>
          <w:rFonts w:eastAsia="Times New Roman" w:cstheme="minorHAnsi"/>
          <w:sz w:val="24"/>
          <w:szCs w:val="24"/>
        </w:rPr>
        <w:t>testis</w:t>
      </w:r>
      <w:proofErr w:type="gramEnd"/>
      <w:r w:rsidRPr="00A62BBD">
        <w:rPr>
          <w:rFonts w:eastAsia="Times New Roman" w:cstheme="minorHAnsi"/>
          <w:sz w:val="24"/>
          <w:szCs w:val="24"/>
        </w:rPr>
        <w:t xml:space="preserve"> DE genes had a consistent pattern </w:t>
      </w:r>
      <w:r>
        <w:rPr>
          <w:rFonts w:eastAsia="Times New Roman" w:cstheme="minorHAnsi"/>
          <w:sz w:val="24"/>
          <w:szCs w:val="24"/>
        </w:rPr>
        <w:t>of expression</w:t>
      </w:r>
      <w:r w:rsidRPr="00A62BBD">
        <w:rPr>
          <w:rFonts w:eastAsia="Times New Roman" w:cstheme="minorHAnsi"/>
          <w:sz w:val="24"/>
          <w:szCs w:val="24"/>
        </w:rPr>
        <w:t xml:space="preserve"> </w:t>
      </w:r>
      <w:r>
        <w:rPr>
          <w:rFonts w:eastAsia="Times New Roman" w:cstheme="minorHAnsi"/>
          <w:sz w:val="24"/>
          <w:szCs w:val="24"/>
        </w:rPr>
        <w:t xml:space="preserve">in the heterozygote AB* being </w:t>
      </w:r>
      <w:r w:rsidRPr="00A62BBD">
        <w:rPr>
          <w:rFonts w:eastAsia="Times New Roman" w:cstheme="minorHAnsi"/>
          <w:sz w:val="24"/>
          <w:szCs w:val="24"/>
        </w:rPr>
        <w:t>towards either A or B* inversion</w:t>
      </w:r>
      <w:r>
        <w:rPr>
          <w:rFonts w:eastAsia="Times New Roman" w:cstheme="minorHAnsi"/>
          <w:sz w:val="24"/>
          <w:szCs w:val="24"/>
        </w:rPr>
        <w:t xml:space="preserve"> karyotype</w:t>
      </w:r>
      <w:r w:rsidRPr="00A62BBD">
        <w:rPr>
          <w:rFonts w:eastAsia="Times New Roman" w:cstheme="minorHAnsi"/>
          <w:sz w:val="24"/>
          <w:szCs w:val="24"/>
        </w:rPr>
        <w:t xml:space="preserve"> (Figure </w:t>
      </w:r>
      <w:r w:rsidR="00031FC4">
        <w:rPr>
          <w:rFonts w:eastAsia="Times New Roman" w:cstheme="minorHAnsi"/>
          <w:sz w:val="24"/>
          <w:szCs w:val="24"/>
        </w:rPr>
        <w:t>3</w:t>
      </w:r>
      <w:r w:rsidRPr="00A62BBD">
        <w:rPr>
          <w:rFonts w:eastAsia="Times New Roman" w:cstheme="minorHAnsi"/>
          <w:sz w:val="24"/>
          <w:szCs w:val="24"/>
        </w:rPr>
        <w:t xml:space="preserve">). </w:t>
      </w:r>
      <w:r>
        <w:rPr>
          <w:rFonts w:eastAsia="Times New Roman" w:cstheme="minorHAnsi"/>
          <w:sz w:val="24"/>
          <w:szCs w:val="24"/>
        </w:rPr>
        <w:t>Six</w:t>
      </w:r>
      <w:r w:rsidRPr="00A62BBD">
        <w:rPr>
          <w:rFonts w:eastAsia="Times New Roman" w:cstheme="minorHAnsi"/>
          <w:sz w:val="24"/>
          <w:szCs w:val="24"/>
        </w:rPr>
        <w:t xml:space="preserve"> of these genes seemed </w:t>
      </w:r>
      <w:r>
        <w:rPr>
          <w:rFonts w:eastAsia="Times New Roman" w:cstheme="minorHAnsi"/>
          <w:sz w:val="24"/>
          <w:szCs w:val="24"/>
        </w:rPr>
        <w:t xml:space="preserve">to be </w:t>
      </w:r>
      <w:r w:rsidRPr="00A62BBD">
        <w:rPr>
          <w:rFonts w:eastAsia="Times New Roman" w:cstheme="minorHAnsi"/>
          <w:sz w:val="24"/>
          <w:szCs w:val="24"/>
        </w:rPr>
        <w:t>B* inversion specific</w:t>
      </w:r>
      <w:r>
        <w:rPr>
          <w:rFonts w:eastAsia="Times New Roman" w:cstheme="minorHAnsi"/>
          <w:sz w:val="24"/>
          <w:szCs w:val="24"/>
        </w:rPr>
        <w:t xml:space="preserve"> in the heterozygote AB*</w:t>
      </w:r>
      <w:r w:rsidRPr="00A62BBD">
        <w:rPr>
          <w:rFonts w:eastAsia="Times New Roman" w:cstheme="minorHAnsi"/>
          <w:sz w:val="24"/>
          <w:szCs w:val="24"/>
        </w:rPr>
        <w:t xml:space="preserve"> as expression was higher in AB* than AA, but highest in B*B* across all </w:t>
      </w:r>
      <w:r>
        <w:rPr>
          <w:rFonts w:eastAsia="Times New Roman" w:cstheme="minorHAnsi"/>
          <w:sz w:val="24"/>
          <w:szCs w:val="24"/>
        </w:rPr>
        <w:t>testis development</w:t>
      </w:r>
      <w:r w:rsidRPr="00A62BBD">
        <w:rPr>
          <w:rFonts w:eastAsia="Times New Roman" w:cstheme="minorHAnsi"/>
          <w:sz w:val="24"/>
          <w:szCs w:val="24"/>
        </w:rPr>
        <w:t xml:space="preserve"> stages: ENSTGUG00000021152 (lncRNA), ENSTGUG00000021693 (</w:t>
      </w:r>
      <w:r>
        <w:rPr>
          <w:rFonts w:eastAsia="Times New Roman" w:cstheme="minorHAnsi"/>
          <w:sz w:val="24"/>
          <w:szCs w:val="24"/>
        </w:rPr>
        <w:t>novel gene</w:t>
      </w:r>
      <w:r w:rsidRPr="00A62BBD">
        <w:rPr>
          <w:rFonts w:eastAsia="Times New Roman" w:cstheme="minorHAnsi"/>
          <w:sz w:val="24"/>
          <w:szCs w:val="24"/>
        </w:rPr>
        <w:t xml:space="preserve">) and </w:t>
      </w:r>
      <w:r w:rsidRPr="00A62BBD">
        <w:rPr>
          <w:rFonts w:eastAsia="Times New Roman" w:cstheme="minorHAnsi"/>
          <w:i/>
          <w:iCs/>
          <w:sz w:val="24"/>
          <w:szCs w:val="24"/>
        </w:rPr>
        <w:t xml:space="preserve">FREM1 </w:t>
      </w:r>
      <w:r w:rsidRPr="00A62BBD">
        <w:rPr>
          <w:rFonts w:eastAsia="Times New Roman" w:cstheme="minorHAnsi"/>
          <w:sz w:val="24"/>
          <w:szCs w:val="24"/>
        </w:rPr>
        <w:t xml:space="preserve">(ENSTGUG00000004583) which are located on chromosome Z and ENSTGUG00000020011 (lncRNA) and ENSTGUG00000021745 (lncRNA) located on chromosome 2 and BIN1 (ENSTGUG00000004882) on chromosome 7. Two genes, </w:t>
      </w:r>
      <w:r w:rsidRPr="00A62BBD">
        <w:rPr>
          <w:rFonts w:eastAsia="Times New Roman" w:cstheme="minorHAnsi"/>
          <w:i/>
          <w:iCs/>
          <w:sz w:val="24"/>
          <w:szCs w:val="24"/>
        </w:rPr>
        <w:t>DMGDH</w:t>
      </w:r>
      <w:r w:rsidRPr="00A62BBD">
        <w:rPr>
          <w:rFonts w:eastAsia="Times New Roman" w:cstheme="minorHAnsi"/>
          <w:sz w:val="24"/>
          <w:szCs w:val="24"/>
        </w:rPr>
        <w:t xml:space="preserve"> (ENSTGUG00000003802) and ENSTGUG00000020830 (lncRNA) were located on chromosome Z </w:t>
      </w:r>
      <w:r>
        <w:rPr>
          <w:rFonts w:eastAsia="Times New Roman" w:cstheme="minorHAnsi"/>
          <w:sz w:val="24"/>
          <w:szCs w:val="24"/>
        </w:rPr>
        <w:t xml:space="preserve">and </w:t>
      </w:r>
      <w:r w:rsidRPr="00A62BBD">
        <w:rPr>
          <w:rFonts w:eastAsia="Times New Roman" w:cstheme="minorHAnsi"/>
          <w:sz w:val="24"/>
          <w:szCs w:val="24"/>
        </w:rPr>
        <w:t>showed</w:t>
      </w:r>
      <w:r>
        <w:rPr>
          <w:rFonts w:eastAsia="Times New Roman" w:cstheme="minorHAnsi"/>
          <w:sz w:val="24"/>
          <w:szCs w:val="24"/>
        </w:rPr>
        <w:t xml:space="preserve"> an</w:t>
      </w:r>
      <w:r w:rsidRPr="00A62BBD">
        <w:rPr>
          <w:rFonts w:eastAsia="Times New Roman" w:cstheme="minorHAnsi"/>
          <w:sz w:val="24"/>
          <w:szCs w:val="24"/>
        </w:rPr>
        <w:t xml:space="preserve"> A inversion</w:t>
      </w:r>
      <w:r>
        <w:rPr>
          <w:rFonts w:eastAsia="Times New Roman" w:cstheme="minorHAnsi"/>
          <w:sz w:val="24"/>
          <w:szCs w:val="24"/>
        </w:rPr>
        <w:t>-</w:t>
      </w:r>
      <w:r w:rsidRPr="00A62BBD">
        <w:rPr>
          <w:rFonts w:eastAsia="Times New Roman" w:cstheme="minorHAnsi"/>
          <w:sz w:val="24"/>
          <w:szCs w:val="24"/>
        </w:rPr>
        <w:t>specific pattern</w:t>
      </w:r>
      <w:r>
        <w:rPr>
          <w:rFonts w:eastAsia="Times New Roman" w:cstheme="minorHAnsi"/>
          <w:sz w:val="24"/>
          <w:szCs w:val="24"/>
        </w:rPr>
        <w:t>. E</w:t>
      </w:r>
      <w:r w:rsidRPr="00A62BBD">
        <w:rPr>
          <w:rFonts w:eastAsia="Times New Roman" w:cstheme="minorHAnsi"/>
          <w:sz w:val="24"/>
          <w:szCs w:val="24"/>
        </w:rPr>
        <w:t xml:space="preserve">xpression </w:t>
      </w:r>
      <w:r>
        <w:rPr>
          <w:rFonts w:eastAsia="Times New Roman" w:cstheme="minorHAnsi"/>
          <w:sz w:val="24"/>
          <w:szCs w:val="24"/>
        </w:rPr>
        <w:t>was</w:t>
      </w:r>
      <w:r w:rsidRPr="00A62BBD">
        <w:rPr>
          <w:rFonts w:eastAsia="Times New Roman" w:cstheme="minorHAnsi"/>
          <w:sz w:val="24"/>
          <w:szCs w:val="24"/>
        </w:rPr>
        <w:t xml:space="preserve"> higher in A</w:t>
      </w:r>
      <w:r>
        <w:rPr>
          <w:rFonts w:eastAsia="Times New Roman" w:cstheme="minorHAnsi"/>
          <w:sz w:val="24"/>
          <w:szCs w:val="24"/>
        </w:rPr>
        <w:t xml:space="preserve">B* </w:t>
      </w:r>
      <w:r w:rsidRPr="00A62BBD">
        <w:rPr>
          <w:rFonts w:eastAsia="Times New Roman" w:cstheme="minorHAnsi"/>
          <w:sz w:val="24"/>
          <w:szCs w:val="24"/>
        </w:rPr>
        <w:t xml:space="preserve">than in </w:t>
      </w:r>
      <w:r>
        <w:rPr>
          <w:rFonts w:eastAsia="Times New Roman" w:cstheme="minorHAnsi"/>
          <w:sz w:val="24"/>
          <w:szCs w:val="24"/>
        </w:rPr>
        <w:t>B*</w:t>
      </w:r>
      <w:r w:rsidRPr="00A62BBD">
        <w:rPr>
          <w:rFonts w:eastAsia="Times New Roman" w:cstheme="minorHAnsi"/>
          <w:sz w:val="24"/>
          <w:szCs w:val="24"/>
        </w:rPr>
        <w:t xml:space="preserve">B* and </w:t>
      </w:r>
      <w:r>
        <w:rPr>
          <w:rFonts w:eastAsia="Times New Roman" w:cstheme="minorHAnsi"/>
          <w:sz w:val="24"/>
          <w:szCs w:val="24"/>
        </w:rPr>
        <w:t>AB* is closer to expression of AA</w:t>
      </w:r>
      <w:r w:rsidRPr="00A62BBD">
        <w:rPr>
          <w:rFonts w:eastAsia="Times New Roman" w:cstheme="minorHAnsi"/>
          <w:sz w:val="24"/>
          <w:szCs w:val="24"/>
        </w:rPr>
        <w:t xml:space="preserve"> across all </w:t>
      </w:r>
      <w:r>
        <w:rPr>
          <w:rFonts w:eastAsia="Times New Roman" w:cstheme="minorHAnsi"/>
          <w:sz w:val="24"/>
          <w:szCs w:val="24"/>
        </w:rPr>
        <w:t>timepoints</w:t>
      </w:r>
      <w:r w:rsidRPr="00A62BBD">
        <w:rPr>
          <w:rFonts w:eastAsia="Times New Roman" w:cstheme="minorHAnsi"/>
          <w:sz w:val="24"/>
          <w:szCs w:val="24"/>
        </w:rPr>
        <w:t xml:space="preserve">. </w:t>
      </w:r>
    </w:p>
    <w:p w14:paraId="3CA5FCE6" w14:textId="77777777" w:rsidR="0026221B" w:rsidRPr="00A62BBD" w:rsidRDefault="0026221B" w:rsidP="0026221B">
      <w:pPr>
        <w:spacing w:after="0" w:line="480" w:lineRule="auto"/>
        <w:contextualSpacing/>
        <w:jc w:val="both"/>
        <w:rPr>
          <w:rFonts w:eastAsia="Times New Roman" w:cstheme="minorHAnsi"/>
          <w:sz w:val="24"/>
          <w:szCs w:val="24"/>
        </w:rPr>
      </w:pPr>
    </w:p>
    <w:p w14:paraId="46E3D587" w14:textId="16C8FD14" w:rsidR="0026221B" w:rsidRDefault="0026221B" w:rsidP="0026221B">
      <w:pPr>
        <w:spacing w:after="0" w:line="480" w:lineRule="auto"/>
        <w:contextualSpacing/>
        <w:jc w:val="both"/>
        <w:rPr>
          <w:noProof/>
          <w:sz w:val="24"/>
          <w:szCs w:val="24"/>
        </w:rPr>
      </w:pPr>
    </w:p>
    <w:p w14:paraId="2D836AF2" w14:textId="627FC156" w:rsidR="0026221B" w:rsidRPr="00373E4A" w:rsidRDefault="00EB646E" w:rsidP="0026221B">
      <w:pPr>
        <w:spacing w:after="0" w:line="480" w:lineRule="auto"/>
        <w:contextualSpacing/>
        <w:jc w:val="both"/>
        <w:rPr>
          <w:noProof/>
          <w:sz w:val="24"/>
          <w:szCs w:val="24"/>
        </w:rPr>
      </w:pPr>
      <w:r>
        <w:rPr>
          <w:noProof/>
          <w:sz w:val="24"/>
          <w:szCs w:val="24"/>
          <w14:ligatures w14:val="standardContextual"/>
        </w:rPr>
        <w:lastRenderedPageBreak/>
        <w:drawing>
          <wp:inline distT="0" distB="0" distL="0" distR="0" wp14:anchorId="5A28DDFA" wp14:editId="7CC4F7B8">
            <wp:extent cx="6120130" cy="3326765"/>
            <wp:effectExtent l="0" t="0" r="0" b="6985"/>
            <wp:docPr id="655226789" name="Kuva 1" descr="Kuva, joka sisältää kohteen teksti, diagrammi, viiva, Fontti&#10;&#10;Kuvaus luotu automaattises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5226789" name="Kuva 1" descr="Kuva, joka sisältää kohteen teksti, diagrammi, viiva, Fontti&#10;&#10;Kuvaus luotu automaattisesti"/>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120130" cy="3326765"/>
                    </a:xfrm>
                    <a:prstGeom prst="rect">
                      <a:avLst/>
                    </a:prstGeom>
                  </pic:spPr>
                </pic:pic>
              </a:graphicData>
            </a:graphic>
          </wp:inline>
        </w:drawing>
      </w:r>
    </w:p>
    <w:p w14:paraId="25AA83A8" w14:textId="1A51C1C0" w:rsidR="0026221B" w:rsidRPr="002356D5" w:rsidRDefault="0026221B" w:rsidP="00031FC4">
      <w:pPr>
        <w:spacing w:after="0" w:line="240" w:lineRule="auto"/>
        <w:contextualSpacing/>
        <w:jc w:val="both"/>
        <w:rPr>
          <w:rFonts w:eastAsia="Times New Roman" w:cstheme="minorHAnsi"/>
          <w:i/>
          <w:iCs/>
          <w:sz w:val="24"/>
          <w:szCs w:val="24"/>
        </w:rPr>
      </w:pPr>
      <w:r w:rsidRPr="002356D5">
        <w:rPr>
          <w:rFonts w:eastAsia="Times New Roman" w:cstheme="minorHAnsi"/>
          <w:i/>
          <w:iCs/>
          <w:sz w:val="24"/>
          <w:szCs w:val="24"/>
        </w:rPr>
        <w:br/>
      </w:r>
      <w:bookmarkStart w:id="5" w:name="_Hlk137504025"/>
      <w:r w:rsidRPr="002356D5">
        <w:rPr>
          <w:rFonts w:eastAsia="Times New Roman" w:cstheme="minorHAnsi"/>
          <w:i/>
          <w:iCs/>
          <w:sz w:val="24"/>
          <w:szCs w:val="24"/>
        </w:rPr>
        <w:t xml:space="preserve">Figure </w:t>
      </w:r>
      <w:r w:rsidR="00031FC4">
        <w:rPr>
          <w:rFonts w:eastAsia="Times New Roman" w:cstheme="minorHAnsi"/>
          <w:i/>
          <w:iCs/>
          <w:sz w:val="24"/>
          <w:szCs w:val="24"/>
        </w:rPr>
        <w:t>3</w:t>
      </w:r>
      <w:r w:rsidRPr="002356D5">
        <w:rPr>
          <w:rFonts w:eastAsia="Times New Roman" w:cstheme="minorHAnsi"/>
          <w:i/>
          <w:iCs/>
          <w:sz w:val="24"/>
          <w:szCs w:val="24"/>
        </w:rPr>
        <w:t xml:space="preserve">. Inversion specific expression for </w:t>
      </w:r>
      <w:r w:rsidRPr="002512D8">
        <w:rPr>
          <w:rFonts w:eastAsia="Times New Roman" w:cstheme="minorHAnsi"/>
          <w:i/>
          <w:iCs/>
          <w:sz w:val="24"/>
          <w:szCs w:val="24"/>
        </w:rPr>
        <w:t xml:space="preserve">ENSTGUG00000021152 (lncRNA), ENSTGUG00000021693 (novel gene), </w:t>
      </w:r>
      <w:r w:rsidRPr="00A62BBD">
        <w:rPr>
          <w:rFonts w:eastAsia="Times New Roman" w:cstheme="minorHAnsi"/>
          <w:i/>
          <w:iCs/>
          <w:sz w:val="24"/>
          <w:szCs w:val="24"/>
        </w:rPr>
        <w:t>DMGDH</w:t>
      </w:r>
      <w:r w:rsidRPr="002512D8">
        <w:rPr>
          <w:rFonts w:eastAsia="Times New Roman" w:cstheme="minorHAnsi"/>
          <w:i/>
          <w:iCs/>
          <w:sz w:val="24"/>
          <w:szCs w:val="24"/>
        </w:rPr>
        <w:t xml:space="preserve"> (ENSTGUG00000003802), ENSTGUG00000020830 (lncRNA) and </w:t>
      </w:r>
      <w:r w:rsidRPr="00A62BBD">
        <w:rPr>
          <w:rFonts w:eastAsia="Times New Roman" w:cstheme="minorHAnsi"/>
          <w:i/>
          <w:iCs/>
          <w:sz w:val="24"/>
          <w:szCs w:val="24"/>
        </w:rPr>
        <w:t xml:space="preserve">FREM1 </w:t>
      </w:r>
      <w:r w:rsidRPr="002512D8">
        <w:rPr>
          <w:rFonts w:eastAsia="Times New Roman" w:cstheme="minorHAnsi"/>
          <w:i/>
          <w:iCs/>
          <w:sz w:val="24"/>
          <w:szCs w:val="24"/>
        </w:rPr>
        <w:t>(ENSTGUG00000004583) which are located on chromosome Z and ENSTGUG00000020011 (lncRNA) and ENSTGUG00000021745 (lncRNA) located on chromosome 2 and BIN1 (ENSTGUG00000004882) on chromosome 7.</w:t>
      </w:r>
      <w:r w:rsidR="001436D9">
        <w:rPr>
          <w:rFonts w:eastAsia="Times New Roman" w:cstheme="minorHAnsi"/>
          <w:i/>
          <w:iCs/>
          <w:sz w:val="24"/>
          <w:szCs w:val="24"/>
        </w:rPr>
        <w:t xml:space="preserve"> For each developmental stage</w:t>
      </w:r>
      <w:r w:rsidR="000F6464">
        <w:rPr>
          <w:rFonts w:eastAsia="Times New Roman" w:cstheme="minorHAnsi"/>
          <w:i/>
          <w:iCs/>
          <w:sz w:val="24"/>
          <w:szCs w:val="24"/>
        </w:rPr>
        <w:t xml:space="preserve"> within each karyotype</w:t>
      </w:r>
      <w:r w:rsidR="001436D9">
        <w:rPr>
          <w:rFonts w:eastAsia="Times New Roman" w:cstheme="minorHAnsi"/>
          <w:i/>
          <w:iCs/>
          <w:sz w:val="24"/>
          <w:szCs w:val="24"/>
        </w:rPr>
        <w:t xml:space="preserve"> the mean expression</w:t>
      </w:r>
      <w:r w:rsidR="000F6464">
        <w:rPr>
          <w:rFonts w:eastAsia="Times New Roman" w:cstheme="minorHAnsi"/>
          <w:i/>
          <w:iCs/>
          <w:sz w:val="24"/>
          <w:szCs w:val="24"/>
        </w:rPr>
        <w:t xml:space="preserve"> in logCPM is represented</w:t>
      </w:r>
      <w:r w:rsidR="001436D9">
        <w:rPr>
          <w:rFonts w:eastAsia="Times New Roman" w:cstheme="minorHAnsi"/>
          <w:i/>
          <w:iCs/>
          <w:sz w:val="24"/>
          <w:szCs w:val="24"/>
        </w:rPr>
        <w:t xml:space="preserve"> and </w:t>
      </w:r>
      <w:r w:rsidR="000F6464">
        <w:rPr>
          <w:rFonts w:eastAsia="Times New Roman" w:cstheme="minorHAnsi"/>
          <w:i/>
          <w:iCs/>
          <w:sz w:val="24"/>
          <w:szCs w:val="24"/>
        </w:rPr>
        <w:t>error bars indicate the minimum and maximum value in the group</w:t>
      </w:r>
      <w:r w:rsidR="001436D9">
        <w:rPr>
          <w:rFonts w:eastAsia="Times New Roman" w:cstheme="minorHAnsi"/>
          <w:i/>
          <w:iCs/>
          <w:sz w:val="24"/>
          <w:szCs w:val="24"/>
        </w:rPr>
        <w:t>.</w:t>
      </w:r>
      <w:r w:rsidRPr="002512D8">
        <w:rPr>
          <w:rFonts w:eastAsia="Times New Roman" w:cstheme="minorHAnsi"/>
          <w:i/>
          <w:iCs/>
          <w:sz w:val="24"/>
          <w:szCs w:val="24"/>
        </w:rPr>
        <w:t xml:space="preserve"> </w:t>
      </w:r>
      <w:r w:rsidR="00A13A8B">
        <w:rPr>
          <w:rFonts w:eastAsia="Times New Roman" w:cstheme="minorHAnsi"/>
          <w:i/>
          <w:iCs/>
          <w:sz w:val="24"/>
          <w:szCs w:val="24"/>
        </w:rPr>
        <w:t xml:space="preserve">Karyotype is indicated with </w:t>
      </w:r>
      <w:r w:rsidR="00A13A8B" w:rsidRPr="002356D5">
        <w:rPr>
          <w:rFonts w:eastAsia="Times New Roman" w:cstheme="minorHAnsi"/>
          <w:i/>
          <w:iCs/>
          <w:sz w:val="24"/>
          <w:szCs w:val="24"/>
        </w:rPr>
        <w:t>AA=red, AB</w:t>
      </w:r>
      <w:r w:rsidR="00A13A8B">
        <w:rPr>
          <w:rFonts w:eastAsia="Times New Roman" w:cstheme="minorHAnsi"/>
          <w:i/>
          <w:iCs/>
          <w:sz w:val="24"/>
          <w:szCs w:val="24"/>
        </w:rPr>
        <w:t>*</w:t>
      </w:r>
      <w:r w:rsidR="00A13A8B" w:rsidRPr="002356D5">
        <w:rPr>
          <w:rFonts w:eastAsia="Times New Roman" w:cstheme="minorHAnsi"/>
          <w:i/>
          <w:iCs/>
          <w:sz w:val="24"/>
          <w:szCs w:val="24"/>
        </w:rPr>
        <w:t>=green and B</w:t>
      </w:r>
      <w:r w:rsidR="00A13A8B">
        <w:rPr>
          <w:rFonts w:eastAsia="Times New Roman" w:cstheme="minorHAnsi"/>
          <w:i/>
          <w:iCs/>
          <w:sz w:val="24"/>
          <w:szCs w:val="24"/>
        </w:rPr>
        <w:t>*</w:t>
      </w:r>
      <w:r w:rsidR="00A13A8B" w:rsidRPr="002356D5">
        <w:rPr>
          <w:rFonts w:eastAsia="Times New Roman" w:cstheme="minorHAnsi"/>
          <w:i/>
          <w:iCs/>
          <w:sz w:val="24"/>
          <w:szCs w:val="24"/>
        </w:rPr>
        <w:t>B</w:t>
      </w:r>
      <w:r w:rsidR="00A13A8B">
        <w:rPr>
          <w:rFonts w:eastAsia="Times New Roman" w:cstheme="minorHAnsi"/>
          <w:i/>
          <w:iCs/>
          <w:sz w:val="24"/>
          <w:szCs w:val="24"/>
        </w:rPr>
        <w:t>*</w:t>
      </w:r>
      <w:r w:rsidR="00A13A8B" w:rsidRPr="002356D5">
        <w:rPr>
          <w:rFonts w:eastAsia="Times New Roman" w:cstheme="minorHAnsi"/>
          <w:i/>
          <w:iCs/>
          <w:sz w:val="24"/>
          <w:szCs w:val="24"/>
        </w:rPr>
        <w:t>=blue</w:t>
      </w:r>
      <w:r w:rsidR="001436D9">
        <w:rPr>
          <w:rFonts w:eastAsia="Times New Roman" w:cstheme="minorHAnsi"/>
          <w:i/>
          <w:iCs/>
          <w:sz w:val="24"/>
          <w:szCs w:val="24"/>
        </w:rPr>
        <w:t>.</w:t>
      </w:r>
    </w:p>
    <w:p w14:paraId="19899149" w14:textId="77777777" w:rsidR="0026221B" w:rsidRPr="002356D5" w:rsidRDefault="0026221B" w:rsidP="0026221B">
      <w:pPr>
        <w:spacing w:after="0" w:line="480" w:lineRule="auto"/>
        <w:contextualSpacing/>
        <w:jc w:val="both"/>
        <w:rPr>
          <w:rFonts w:eastAsia="Times New Roman" w:cstheme="minorHAnsi"/>
          <w:sz w:val="24"/>
          <w:szCs w:val="24"/>
        </w:rPr>
      </w:pPr>
    </w:p>
    <w:bookmarkEnd w:id="5"/>
    <w:p w14:paraId="4D975B69" w14:textId="77777777" w:rsidR="0026221B" w:rsidRPr="002356D5" w:rsidRDefault="0026221B" w:rsidP="0026221B">
      <w:pPr>
        <w:spacing w:after="0" w:line="480" w:lineRule="auto"/>
        <w:contextualSpacing/>
        <w:jc w:val="both"/>
        <w:rPr>
          <w:rFonts w:eastAsia="Times New Roman" w:cstheme="minorHAnsi"/>
          <w:i/>
          <w:iCs/>
          <w:sz w:val="24"/>
          <w:szCs w:val="24"/>
        </w:rPr>
      </w:pPr>
      <w:r w:rsidRPr="002356D5">
        <w:rPr>
          <w:rFonts w:eastAsia="Times New Roman" w:cstheme="minorHAnsi"/>
          <w:i/>
          <w:iCs/>
          <w:sz w:val="24"/>
          <w:szCs w:val="24"/>
        </w:rPr>
        <w:t>Differential expression in liver</w:t>
      </w:r>
    </w:p>
    <w:p w14:paraId="429AA655" w14:textId="18C13F84" w:rsidR="0026221B" w:rsidRDefault="0026221B" w:rsidP="0026221B">
      <w:pPr>
        <w:spacing w:after="0" w:line="480" w:lineRule="auto"/>
        <w:ind w:firstLine="720"/>
        <w:contextualSpacing/>
        <w:jc w:val="both"/>
        <w:rPr>
          <w:rFonts w:eastAsia="Times New Roman" w:cstheme="minorHAnsi"/>
          <w:sz w:val="24"/>
          <w:szCs w:val="24"/>
        </w:rPr>
      </w:pPr>
      <w:r w:rsidRPr="002356D5">
        <w:rPr>
          <w:rFonts w:eastAsia="Times New Roman" w:cstheme="minorHAnsi"/>
          <w:sz w:val="24"/>
          <w:szCs w:val="24"/>
        </w:rPr>
        <w:t>A total of 14 404 genes were identified from liver (</w:t>
      </w:r>
      <w:r w:rsidR="00991ACE">
        <w:rPr>
          <w:rFonts w:eastAsia="Times New Roman" w:cstheme="minorHAnsi"/>
          <w:sz w:val="24"/>
          <w:szCs w:val="24"/>
        </w:rPr>
        <w:t>Table S3</w:t>
      </w:r>
      <w:r w:rsidRPr="002356D5">
        <w:rPr>
          <w:rFonts w:eastAsia="Times New Roman" w:cstheme="minorHAnsi"/>
          <w:sz w:val="24"/>
          <w:szCs w:val="24"/>
        </w:rPr>
        <w:t>)</w:t>
      </w:r>
      <w:r>
        <w:rPr>
          <w:rFonts w:eastAsia="Times New Roman" w:cstheme="minorHAnsi"/>
          <w:sz w:val="24"/>
          <w:szCs w:val="24"/>
        </w:rPr>
        <w:t xml:space="preserve"> with </w:t>
      </w:r>
      <w:r w:rsidRPr="002356D5">
        <w:rPr>
          <w:rFonts w:eastAsia="Times New Roman" w:cstheme="minorHAnsi"/>
          <w:sz w:val="24"/>
          <w:szCs w:val="24"/>
        </w:rPr>
        <w:t xml:space="preserve">420 genes differentially expressed </w:t>
      </w:r>
      <w:r>
        <w:rPr>
          <w:rFonts w:eastAsia="Times New Roman" w:cstheme="minorHAnsi"/>
          <w:sz w:val="24"/>
          <w:szCs w:val="24"/>
        </w:rPr>
        <w:t>among the karyotypes</w:t>
      </w:r>
      <w:r w:rsidRPr="002356D5">
        <w:rPr>
          <w:rFonts w:eastAsia="Times New Roman" w:cstheme="minorHAnsi"/>
          <w:sz w:val="24"/>
          <w:szCs w:val="24"/>
        </w:rPr>
        <w:t>. In general</w:t>
      </w:r>
      <w:r>
        <w:rPr>
          <w:rFonts w:eastAsia="Times New Roman" w:cstheme="minorHAnsi"/>
          <w:sz w:val="24"/>
          <w:szCs w:val="24"/>
        </w:rPr>
        <w:t>,</w:t>
      </w:r>
      <w:r w:rsidRPr="002356D5">
        <w:rPr>
          <w:rFonts w:eastAsia="Times New Roman" w:cstheme="minorHAnsi"/>
          <w:sz w:val="24"/>
          <w:szCs w:val="24"/>
        </w:rPr>
        <w:t xml:space="preserve"> liver was not clearly separated by </w:t>
      </w:r>
      <w:r>
        <w:rPr>
          <w:rFonts w:eastAsia="Times New Roman" w:cstheme="minorHAnsi"/>
          <w:sz w:val="24"/>
          <w:szCs w:val="24"/>
        </w:rPr>
        <w:t>testis development</w:t>
      </w:r>
      <w:r w:rsidRPr="002356D5">
        <w:rPr>
          <w:rFonts w:eastAsia="Times New Roman" w:cstheme="minorHAnsi"/>
          <w:sz w:val="24"/>
          <w:szCs w:val="24"/>
        </w:rPr>
        <w:t xml:space="preserve"> stage but rather by </w:t>
      </w:r>
      <w:r>
        <w:rPr>
          <w:rFonts w:eastAsia="Times New Roman" w:cstheme="minorHAnsi"/>
          <w:sz w:val="24"/>
          <w:szCs w:val="24"/>
        </w:rPr>
        <w:t>karyotype</w:t>
      </w:r>
      <w:r w:rsidR="00043EAF">
        <w:rPr>
          <w:rFonts w:eastAsia="Times New Roman" w:cstheme="minorHAnsi"/>
          <w:sz w:val="24"/>
          <w:szCs w:val="24"/>
        </w:rPr>
        <w:t>,</w:t>
      </w:r>
      <w:r w:rsidRPr="002356D5">
        <w:rPr>
          <w:rFonts w:eastAsia="Times New Roman" w:cstheme="minorHAnsi"/>
          <w:sz w:val="24"/>
          <w:szCs w:val="24"/>
        </w:rPr>
        <w:t xml:space="preserve"> </w:t>
      </w:r>
      <w:r w:rsidR="00043EAF">
        <w:rPr>
          <w:rFonts w:eastAsia="Times New Roman" w:cstheme="minorHAnsi"/>
          <w:sz w:val="24"/>
          <w:szCs w:val="24"/>
        </w:rPr>
        <w:t>and</w:t>
      </w:r>
      <w:r w:rsidR="00043EAF" w:rsidRPr="002356D5">
        <w:rPr>
          <w:rFonts w:eastAsia="Times New Roman" w:cstheme="minorHAnsi"/>
          <w:sz w:val="24"/>
          <w:szCs w:val="24"/>
        </w:rPr>
        <w:t xml:space="preserve"> </w:t>
      </w:r>
      <w:r w:rsidRPr="002356D5">
        <w:rPr>
          <w:rFonts w:eastAsia="Times New Roman" w:cstheme="minorHAnsi"/>
          <w:sz w:val="24"/>
          <w:szCs w:val="24"/>
        </w:rPr>
        <w:t>the first PC explained 1</w:t>
      </w:r>
      <w:r w:rsidR="002512D8">
        <w:rPr>
          <w:rFonts w:eastAsia="Times New Roman" w:cstheme="minorHAnsi"/>
          <w:sz w:val="24"/>
          <w:szCs w:val="24"/>
        </w:rPr>
        <w:t>1</w:t>
      </w:r>
      <w:r w:rsidRPr="002356D5">
        <w:rPr>
          <w:rFonts w:eastAsia="Times New Roman" w:cstheme="minorHAnsi"/>
          <w:sz w:val="24"/>
          <w:szCs w:val="24"/>
        </w:rPr>
        <w:t xml:space="preserve">% of the variation </w:t>
      </w:r>
      <w:r w:rsidR="000B1DCF">
        <w:rPr>
          <w:rFonts w:eastAsia="Times New Roman" w:cstheme="minorHAnsi"/>
          <w:sz w:val="24"/>
          <w:szCs w:val="24"/>
        </w:rPr>
        <w:t>among the expressed genes</w:t>
      </w:r>
      <w:r w:rsidRPr="002356D5">
        <w:rPr>
          <w:rFonts w:eastAsia="Times New Roman" w:cstheme="minorHAnsi"/>
          <w:sz w:val="24"/>
          <w:szCs w:val="24"/>
        </w:rPr>
        <w:t xml:space="preserve"> (Figure </w:t>
      </w:r>
      <w:r w:rsidR="00DB34F2">
        <w:rPr>
          <w:rFonts w:eastAsia="Times New Roman" w:cstheme="minorHAnsi"/>
          <w:sz w:val="24"/>
          <w:szCs w:val="24"/>
        </w:rPr>
        <w:t>4</w:t>
      </w:r>
      <w:r w:rsidRPr="002356D5">
        <w:rPr>
          <w:rFonts w:eastAsia="Times New Roman" w:cstheme="minorHAnsi"/>
          <w:sz w:val="24"/>
          <w:szCs w:val="24"/>
        </w:rPr>
        <w:t xml:space="preserve">). </w:t>
      </w:r>
      <w:r>
        <w:rPr>
          <w:rFonts w:eastAsia="Times New Roman" w:cstheme="minorHAnsi"/>
          <w:sz w:val="24"/>
          <w:szCs w:val="24"/>
        </w:rPr>
        <w:t>N</w:t>
      </w:r>
      <w:r w:rsidRPr="002356D5">
        <w:rPr>
          <w:rFonts w:eastAsia="Times New Roman" w:cstheme="minorHAnsi"/>
          <w:sz w:val="24"/>
          <w:szCs w:val="24"/>
        </w:rPr>
        <w:t>o significant enrichment for gene ontology nor statistical enrichment for genomic locations</w:t>
      </w:r>
      <w:r w:rsidRPr="005D7981">
        <w:rPr>
          <w:rFonts w:eastAsia="Times New Roman" w:cstheme="minorHAnsi"/>
          <w:sz w:val="24"/>
          <w:szCs w:val="24"/>
        </w:rPr>
        <w:t xml:space="preserve"> </w:t>
      </w:r>
      <w:r w:rsidRPr="002356D5">
        <w:rPr>
          <w:rFonts w:eastAsia="Times New Roman" w:cstheme="minorHAnsi"/>
          <w:sz w:val="24"/>
          <w:szCs w:val="24"/>
        </w:rPr>
        <w:t xml:space="preserve">was found </w:t>
      </w:r>
      <w:r>
        <w:rPr>
          <w:rFonts w:eastAsia="Times New Roman" w:cstheme="minorHAnsi"/>
          <w:sz w:val="24"/>
          <w:szCs w:val="24"/>
        </w:rPr>
        <w:t>a</w:t>
      </w:r>
      <w:r w:rsidRPr="002356D5">
        <w:rPr>
          <w:rFonts w:eastAsia="Times New Roman" w:cstheme="minorHAnsi"/>
          <w:sz w:val="24"/>
          <w:szCs w:val="24"/>
        </w:rPr>
        <w:t xml:space="preserve">mong </w:t>
      </w:r>
      <w:r w:rsidR="004B1680">
        <w:rPr>
          <w:rFonts w:eastAsia="Times New Roman" w:cstheme="minorHAnsi"/>
          <w:sz w:val="24"/>
          <w:szCs w:val="24"/>
        </w:rPr>
        <w:t xml:space="preserve">all </w:t>
      </w:r>
      <w:r w:rsidRPr="002356D5">
        <w:rPr>
          <w:rFonts w:eastAsia="Times New Roman" w:cstheme="minorHAnsi"/>
          <w:sz w:val="24"/>
          <w:szCs w:val="24"/>
        </w:rPr>
        <w:t xml:space="preserve">the 420 </w:t>
      </w:r>
      <w:r>
        <w:rPr>
          <w:rFonts w:eastAsia="Times New Roman" w:cstheme="minorHAnsi"/>
          <w:sz w:val="24"/>
          <w:szCs w:val="24"/>
        </w:rPr>
        <w:t xml:space="preserve">DE </w:t>
      </w:r>
      <w:r w:rsidRPr="002356D5">
        <w:rPr>
          <w:rFonts w:eastAsia="Times New Roman" w:cstheme="minorHAnsi"/>
          <w:sz w:val="24"/>
          <w:szCs w:val="24"/>
        </w:rPr>
        <w:t>genes</w:t>
      </w:r>
      <w:r w:rsidR="004B1680">
        <w:rPr>
          <w:rFonts w:eastAsia="Times New Roman" w:cstheme="minorHAnsi"/>
          <w:sz w:val="24"/>
          <w:szCs w:val="24"/>
        </w:rPr>
        <w:t>, but when contrasts were examined separately, there are some enriched functions and well as gene regions.</w:t>
      </w:r>
      <w:r w:rsidR="00537D3F" w:rsidRPr="00537D3F">
        <w:rPr>
          <w:rFonts w:eastAsia="Times New Roman" w:cstheme="minorHAnsi"/>
          <w:sz w:val="24"/>
          <w:szCs w:val="24"/>
        </w:rPr>
        <w:t xml:space="preserve"> </w:t>
      </w:r>
      <w:r w:rsidR="00537D3F">
        <w:rPr>
          <w:rFonts w:eastAsia="Times New Roman" w:cstheme="minorHAnsi"/>
          <w:sz w:val="24"/>
          <w:szCs w:val="24"/>
        </w:rPr>
        <w:t xml:space="preserve">From the semantic clustering of GO terms identified in total 21 clusters which were characterized by small overlap between the contrasts. Functions were related to </w:t>
      </w:r>
      <w:proofErr w:type="gramStart"/>
      <w:r w:rsidR="00537D3F">
        <w:rPr>
          <w:rFonts w:eastAsia="Times New Roman" w:cstheme="minorHAnsi"/>
          <w:i/>
          <w:iCs/>
          <w:sz w:val="24"/>
          <w:szCs w:val="24"/>
        </w:rPr>
        <w:t>e.g.</w:t>
      </w:r>
      <w:proofErr w:type="gramEnd"/>
      <w:r w:rsidR="00537D3F">
        <w:rPr>
          <w:rFonts w:eastAsia="Times New Roman" w:cstheme="minorHAnsi"/>
          <w:i/>
          <w:iCs/>
          <w:sz w:val="24"/>
          <w:szCs w:val="24"/>
        </w:rPr>
        <w:t xml:space="preserve"> </w:t>
      </w:r>
      <w:r w:rsidR="00537D3F">
        <w:rPr>
          <w:rFonts w:eastAsia="Times New Roman" w:cstheme="minorHAnsi"/>
          <w:sz w:val="24"/>
          <w:szCs w:val="24"/>
        </w:rPr>
        <w:t xml:space="preserve">regulation of metabolic processes, fatty acid metabolism </w:t>
      </w:r>
      <w:r w:rsidR="00537D3F">
        <w:rPr>
          <w:rFonts w:eastAsia="Times New Roman" w:cstheme="minorHAnsi"/>
          <w:sz w:val="24"/>
          <w:szCs w:val="24"/>
        </w:rPr>
        <w:lastRenderedPageBreak/>
        <w:t>and regulation and development of tissues and cells (Table S6)</w:t>
      </w:r>
      <w:r w:rsidRPr="00B07B4B">
        <w:rPr>
          <w:rFonts w:eastAsia="Times New Roman" w:cstheme="minorHAnsi"/>
          <w:sz w:val="24"/>
          <w:szCs w:val="24"/>
        </w:rPr>
        <w:t>. For the comparison between A</w:t>
      </w:r>
      <w:r w:rsidR="001416D2" w:rsidRPr="00B07B4B">
        <w:rPr>
          <w:rFonts w:eastAsia="Times New Roman" w:cstheme="minorHAnsi"/>
          <w:sz w:val="24"/>
          <w:szCs w:val="24"/>
        </w:rPr>
        <w:t>A</w:t>
      </w:r>
      <w:r w:rsidRPr="00B07B4B">
        <w:rPr>
          <w:rFonts w:eastAsia="Times New Roman" w:cstheme="minorHAnsi"/>
          <w:sz w:val="24"/>
          <w:szCs w:val="24"/>
        </w:rPr>
        <w:t xml:space="preserve">-B*B* </w:t>
      </w:r>
      <w:r w:rsidR="002512D8" w:rsidRPr="00B07B4B">
        <w:rPr>
          <w:rFonts w:eastAsia="Times New Roman" w:cstheme="minorHAnsi"/>
          <w:sz w:val="24"/>
          <w:szCs w:val="24"/>
        </w:rPr>
        <w:t xml:space="preserve">we identified three </w:t>
      </w:r>
      <w:r w:rsidRPr="00B07B4B">
        <w:rPr>
          <w:rFonts w:eastAsia="Times New Roman" w:cstheme="minorHAnsi"/>
          <w:sz w:val="24"/>
          <w:szCs w:val="24"/>
        </w:rPr>
        <w:t xml:space="preserve">genomic locations </w:t>
      </w:r>
      <w:r w:rsidR="002512D8" w:rsidRPr="00B07B4B">
        <w:rPr>
          <w:rFonts w:eastAsia="Times New Roman" w:cstheme="minorHAnsi"/>
          <w:sz w:val="24"/>
          <w:szCs w:val="24"/>
        </w:rPr>
        <w:t>where there was an enrichment of DE genes compared to the background</w:t>
      </w:r>
      <w:r w:rsidR="009D2292">
        <w:rPr>
          <w:rFonts w:eastAsia="Times New Roman" w:cstheme="minorHAnsi"/>
          <w:sz w:val="24"/>
          <w:szCs w:val="24"/>
        </w:rPr>
        <w:t xml:space="preserve"> (Figure S6)</w:t>
      </w:r>
      <w:r w:rsidRPr="00B07B4B">
        <w:rPr>
          <w:rFonts w:eastAsia="Times New Roman" w:cstheme="minorHAnsi"/>
          <w:sz w:val="24"/>
          <w:szCs w:val="24"/>
        </w:rPr>
        <w:t>. These were located on chromosome Z and matched to the locations identified in testis (</w:t>
      </w:r>
      <w:r w:rsidR="00991ACE">
        <w:rPr>
          <w:rFonts w:eastAsia="Times New Roman" w:cstheme="minorHAnsi"/>
          <w:sz w:val="24"/>
          <w:szCs w:val="24"/>
        </w:rPr>
        <w:t xml:space="preserve">Figure </w:t>
      </w:r>
      <w:r w:rsidR="009D2292">
        <w:rPr>
          <w:rFonts w:eastAsia="Times New Roman" w:cstheme="minorHAnsi"/>
          <w:sz w:val="24"/>
          <w:szCs w:val="24"/>
        </w:rPr>
        <w:t>S</w:t>
      </w:r>
      <w:r w:rsidR="009D2292">
        <w:rPr>
          <w:rFonts w:eastAsia="Times New Roman" w:cstheme="minorHAnsi"/>
          <w:sz w:val="24"/>
          <w:szCs w:val="24"/>
        </w:rPr>
        <w:t>5</w:t>
      </w:r>
      <w:r w:rsidRPr="00B07B4B">
        <w:rPr>
          <w:rFonts w:eastAsia="Times New Roman" w:cstheme="minorHAnsi"/>
          <w:sz w:val="24"/>
          <w:szCs w:val="24"/>
        </w:rPr>
        <w:t xml:space="preserve">). In liver there was also overlap between the DE genes for AA-B*B* and AB*-B*B* </w:t>
      </w:r>
      <w:r w:rsidR="003F4DCC" w:rsidRPr="00B07B4B">
        <w:rPr>
          <w:rFonts w:eastAsia="Times New Roman" w:cstheme="minorHAnsi"/>
          <w:sz w:val="24"/>
          <w:szCs w:val="24"/>
        </w:rPr>
        <w:t>highlighting differences in B*B* from the others</w:t>
      </w:r>
      <w:r w:rsidR="005F10E9">
        <w:rPr>
          <w:rFonts w:eastAsia="Times New Roman" w:cstheme="minorHAnsi"/>
          <w:sz w:val="24"/>
          <w:szCs w:val="24"/>
        </w:rPr>
        <w:t xml:space="preserve"> (Table S3</w:t>
      </w:r>
      <w:r w:rsidR="004B1680">
        <w:rPr>
          <w:rFonts w:eastAsia="Times New Roman" w:cstheme="minorHAnsi"/>
          <w:sz w:val="24"/>
          <w:szCs w:val="24"/>
        </w:rPr>
        <w:t>)</w:t>
      </w:r>
      <w:r w:rsidR="007E6F78">
        <w:rPr>
          <w:rFonts w:eastAsia="Times New Roman" w:cstheme="minorHAnsi"/>
          <w:sz w:val="24"/>
          <w:szCs w:val="24"/>
        </w:rPr>
        <w:t>.</w:t>
      </w:r>
      <w:r>
        <w:rPr>
          <w:rFonts w:eastAsia="Times New Roman" w:cstheme="minorHAnsi"/>
          <w:sz w:val="24"/>
          <w:szCs w:val="24"/>
        </w:rPr>
        <w:t xml:space="preserve"> </w:t>
      </w:r>
    </w:p>
    <w:p w14:paraId="02D54559" w14:textId="77777777" w:rsidR="00C6071D" w:rsidRPr="002356D5" w:rsidRDefault="00C6071D" w:rsidP="0026221B">
      <w:pPr>
        <w:spacing w:after="0" w:line="480" w:lineRule="auto"/>
        <w:ind w:firstLine="720"/>
        <w:contextualSpacing/>
        <w:jc w:val="both"/>
        <w:rPr>
          <w:rFonts w:eastAsia="Times New Roman" w:cstheme="minorHAnsi"/>
          <w:sz w:val="24"/>
          <w:szCs w:val="24"/>
        </w:rPr>
      </w:pPr>
    </w:p>
    <w:p w14:paraId="41EBE6E4" w14:textId="60072404" w:rsidR="0026221B" w:rsidRPr="002356D5" w:rsidRDefault="00DB34F2" w:rsidP="0026221B">
      <w:pPr>
        <w:spacing w:after="0" w:line="480" w:lineRule="auto"/>
        <w:contextualSpacing/>
        <w:jc w:val="both"/>
        <w:rPr>
          <w:rFonts w:eastAsia="Times New Roman" w:cstheme="minorHAnsi"/>
          <w:sz w:val="24"/>
          <w:szCs w:val="24"/>
        </w:rPr>
      </w:pPr>
      <w:r>
        <w:rPr>
          <w:rFonts w:eastAsia="Times New Roman" w:cstheme="minorHAnsi"/>
          <w:noProof/>
          <w:sz w:val="24"/>
          <w:szCs w:val="24"/>
          <w14:ligatures w14:val="standardContextual"/>
        </w:rPr>
        <w:drawing>
          <wp:inline distT="0" distB="0" distL="0" distR="0" wp14:anchorId="1B7691FB" wp14:editId="0398E990">
            <wp:extent cx="6120130" cy="3100070"/>
            <wp:effectExtent l="0" t="0" r="0" b="5080"/>
            <wp:docPr id="2114380868" name="Kuva 3" descr="Kuva, joka sisältää kohteen teksti, kuvakaappaus, diagrammi&#10;&#10;Kuvaus luotu automaattises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4380868" name="Kuva 3" descr="Kuva, joka sisältää kohteen teksti, kuvakaappaus, diagrammi&#10;&#10;Kuvaus luotu automaattisesti"/>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120130" cy="3100070"/>
                    </a:xfrm>
                    <a:prstGeom prst="rect">
                      <a:avLst/>
                    </a:prstGeom>
                  </pic:spPr>
                </pic:pic>
              </a:graphicData>
            </a:graphic>
          </wp:inline>
        </w:drawing>
      </w:r>
    </w:p>
    <w:p w14:paraId="1E667B64" w14:textId="7787E646" w:rsidR="00026D95" w:rsidRPr="001A6FA6" w:rsidRDefault="0026221B" w:rsidP="00026D95">
      <w:pPr>
        <w:spacing w:after="0" w:line="240" w:lineRule="auto"/>
        <w:contextualSpacing/>
        <w:jc w:val="both"/>
        <w:rPr>
          <w:rFonts w:eastAsia="Times New Roman" w:cstheme="minorHAnsi"/>
          <w:i/>
          <w:iCs/>
          <w:sz w:val="24"/>
          <w:szCs w:val="24"/>
        </w:rPr>
      </w:pPr>
      <w:bookmarkStart w:id="6" w:name="_Hlk137504014"/>
      <w:r w:rsidRPr="002356D5">
        <w:rPr>
          <w:rFonts w:eastAsia="Times New Roman" w:cstheme="minorHAnsi"/>
          <w:i/>
          <w:iCs/>
          <w:sz w:val="24"/>
          <w:szCs w:val="24"/>
        </w:rPr>
        <w:t xml:space="preserve">Figure </w:t>
      </w:r>
      <w:r w:rsidR="00DB34F2">
        <w:rPr>
          <w:rFonts w:eastAsia="Times New Roman" w:cstheme="minorHAnsi"/>
          <w:i/>
          <w:iCs/>
          <w:sz w:val="24"/>
          <w:szCs w:val="24"/>
        </w:rPr>
        <w:t>4</w:t>
      </w:r>
      <w:r w:rsidRPr="002356D5">
        <w:rPr>
          <w:rFonts w:eastAsia="Times New Roman" w:cstheme="minorHAnsi"/>
          <w:i/>
          <w:iCs/>
          <w:sz w:val="24"/>
          <w:szCs w:val="24"/>
        </w:rPr>
        <w:t xml:space="preserve">. </w:t>
      </w:r>
      <w:r w:rsidR="00EE5CA4">
        <w:rPr>
          <w:rFonts w:eastAsia="Times New Roman" w:cstheme="minorHAnsi"/>
          <w:i/>
          <w:iCs/>
          <w:sz w:val="24"/>
          <w:szCs w:val="24"/>
        </w:rPr>
        <w:t>PCA</w:t>
      </w:r>
      <w:r w:rsidR="00EE5CA4" w:rsidRPr="002356D5">
        <w:rPr>
          <w:rFonts w:eastAsia="Times New Roman" w:cstheme="minorHAnsi"/>
          <w:i/>
          <w:iCs/>
          <w:sz w:val="24"/>
          <w:szCs w:val="24"/>
        </w:rPr>
        <w:t xml:space="preserve"> plot of </w:t>
      </w:r>
      <w:r w:rsidR="00EE5CA4">
        <w:rPr>
          <w:rFonts w:eastAsia="Times New Roman" w:cstheme="minorHAnsi"/>
          <w:i/>
          <w:iCs/>
          <w:sz w:val="24"/>
          <w:szCs w:val="24"/>
        </w:rPr>
        <w:t>liver</w:t>
      </w:r>
      <w:r w:rsidR="00EE5CA4" w:rsidRPr="002356D5">
        <w:rPr>
          <w:rFonts w:eastAsia="Times New Roman" w:cstheme="minorHAnsi"/>
          <w:i/>
          <w:iCs/>
          <w:sz w:val="24"/>
          <w:szCs w:val="24"/>
        </w:rPr>
        <w:t xml:space="preserve"> genes. </w:t>
      </w:r>
      <w:r w:rsidR="00EE5CA4">
        <w:rPr>
          <w:rFonts w:eastAsia="Times New Roman" w:cstheme="minorHAnsi"/>
          <w:i/>
          <w:iCs/>
          <w:sz w:val="24"/>
          <w:szCs w:val="24"/>
        </w:rPr>
        <w:t xml:space="preserve">A: </w:t>
      </w:r>
      <w:r w:rsidR="00C66572">
        <w:rPr>
          <w:rFonts w:eastAsia="Times New Roman" w:cstheme="minorHAnsi"/>
          <w:i/>
          <w:iCs/>
          <w:sz w:val="24"/>
          <w:szCs w:val="24"/>
        </w:rPr>
        <w:t xml:space="preserve">PC analysis was done for all expressed genes in liver. </w:t>
      </w:r>
      <w:r w:rsidR="00EE5CA4">
        <w:rPr>
          <w:rFonts w:eastAsia="Times New Roman" w:cstheme="minorHAnsi"/>
          <w:i/>
          <w:iCs/>
          <w:sz w:val="24"/>
          <w:szCs w:val="24"/>
        </w:rPr>
        <w:t>PC1 and PC2 explained 22% of the variation</w:t>
      </w:r>
      <w:r w:rsidR="00C6071D">
        <w:rPr>
          <w:rFonts w:eastAsia="Times New Roman" w:cstheme="minorHAnsi"/>
          <w:i/>
          <w:iCs/>
          <w:sz w:val="24"/>
          <w:szCs w:val="24"/>
        </w:rPr>
        <w:t>. In liver</w:t>
      </w:r>
      <w:r w:rsidR="00D2320A">
        <w:rPr>
          <w:rFonts w:eastAsia="Times New Roman" w:cstheme="minorHAnsi"/>
          <w:i/>
          <w:iCs/>
          <w:sz w:val="24"/>
          <w:szCs w:val="24"/>
        </w:rPr>
        <w:t>, the</w:t>
      </w:r>
      <w:r w:rsidR="00EE5CA4">
        <w:rPr>
          <w:rFonts w:eastAsia="Times New Roman" w:cstheme="minorHAnsi"/>
          <w:i/>
          <w:iCs/>
          <w:sz w:val="24"/>
          <w:szCs w:val="24"/>
        </w:rPr>
        <w:t xml:space="preserve"> developmental timepoints</w:t>
      </w:r>
      <w:r w:rsidR="00C6071D">
        <w:rPr>
          <w:rFonts w:eastAsia="Times New Roman" w:cstheme="minorHAnsi"/>
          <w:i/>
          <w:iCs/>
          <w:sz w:val="24"/>
          <w:szCs w:val="24"/>
        </w:rPr>
        <w:t xml:space="preserve"> </w:t>
      </w:r>
      <w:r w:rsidR="00171829">
        <w:rPr>
          <w:rFonts w:eastAsia="Times New Roman" w:cstheme="minorHAnsi"/>
          <w:i/>
          <w:iCs/>
          <w:sz w:val="24"/>
          <w:szCs w:val="24"/>
        </w:rPr>
        <w:t>did</w:t>
      </w:r>
      <w:r w:rsidR="00E32143">
        <w:rPr>
          <w:rFonts w:eastAsia="Times New Roman" w:cstheme="minorHAnsi"/>
          <w:i/>
          <w:iCs/>
          <w:sz w:val="24"/>
          <w:szCs w:val="24"/>
        </w:rPr>
        <w:t xml:space="preserve"> not</w:t>
      </w:r>
      <w:r w:rsidR="00C6071D">
        <w:rPr>
          <w:rFonts w:eastAsia="Times New Roman" w:cstheme="minorHAnsi"/>
          <w:i/>
          <w:iCs/>
          <w:sz w:val="24"/>
          <w:szCs w:val="24"/>
        </w:rPr>
        <w:t xml:space="preserve"> affect</w:t>
      </w:r>
      <w:r w:rsidR="00EE5CA4">
        <w:rPr>
          <w:rFonts w:eastAsia="Times New Roman" w:cstheme="minorHAnsi"/>
          <w:i/>
          <w:iCs/>
          <w:sz w:val="24"/>
          <w:szCs w:val="24"/>
        </w:rPr>
        <w:t xml:space="preserve"> sample</w:t>
      </w:r>
      <w:r w:rsidR="00C6071D">
        <w:rPr>
          <w:rFonts w:eastAsia="Times New Roman" w:cstheme="minorHAnsi"/>
          <w:i/>
          <w:iCs/>
          <w:sz w:val="24"/>
          <w:szCs w:val="24"/>
        </w:rPr>
        <w:t xml:space="preserve"> distribution</w:t>
      </w:r>
      <w:r w:rsidR="00EE5CA4">
        <w:rPr>
          <w:rFonts w:eastAsia="Times New Roman" w:cstheme="minorHAnsi"/>
          <w:i/>
          <w:iCs/>
          <w:sz w:val="24"/>
          <w:szCs w:val="24"/>
        </w:rPr>
        <w:t xml:space="preserve">. </w:t>
      </w:r>
      <w:r w:rsidR="000B1DCF" w:rsidRPr="002356D5">
        <w:rPr>
          <w:rFonts w:eastAsia="Times New Roman" w:cstheme="minorHAnsi"/>
          <w:i/>
          <w:iCs/>
          <w:sz w:val="24"/>
          <w:szCs w:val="24"/>
        </w:rPr>
        <w:t xml:space="preserve">Stages of spermatogenesis </w:t>
      </w:r>
      <w:r w:rsidR="000B1DCF">
        <w:rPr>
          <w:rFonts w:eastAsia="Times New Roman" w:cstheme="minorHAnsi"/>
          <w:i/>
          <w:iCs/>
          <w:sz w:val="24"/>
          <w:szCs w:val="24"/>
        </w:rPr>
        <w:t xml:space="preserve">are indicated by shapes: </w:t>
      </w:r>
      <w:proofErr w:type="gramStart"/>
      <w:r w:rsidR="000B1DCF">
        <w:rPr>
          <w:rFonts w:eastAsia="Times New Roman" w:cstheme="minorHAnsi"/>
          <w:i/>
          <w:iCs/>
          <w:sz w:val="24"/>
          <w:szCs w:val="24"/>
        </w:rPr>
        <w:t>plus</w:t>
      </w:r>
      <w:proofErr w:type="gramEnd"/>
      <w:r w:rsidR="000B1DCF">
        <w:rPr>
          <w:rFonts w:eastAsia="Times New Roman" w:cstheme="minorHAnsi"/>
          <w:i/>
          <w:iCs/>
          <w:sz w:val="24"/>
          <w:szCs w:val="24"/>
        </w:rPr>
        <w:t xml:space="preserve"> </w:t>
      </w:r>
      <w:r w:rsidR="000B1DCF" w:rsidRPr="002356D5">
        <w:rPr>
          <w:rFonts w:eastAsia="Times New Roman" w:cstheme="minorHAnsi"/>
          <w:i/>
          <w:iCs/>
          <w:sz w:val="24"/>
          <w:szCs w:val="24"/>
        </w:rPr>
        <w:t>for inactive,</w:t>
      </w:r>
      <w:r w:rsidR="000B1DCF">
        <w:rPr>
          <w:rFonts w:eastAsia="Times New Roman" w:cstheme="minorHAnsi"/>
          <w:i/>
          <w:iCs/>
          <w:sz w:val="24"/>
          <w:szCs w:val="24"/>
        </w:rPr>
        <w:t xml:space="preserve"> circle for</w:t>
      </w:r>
      <w:r w:rsidR="000B1DCF" w:rsidRPr="002356D5">
        <w:rPr>
          <w:rFonts w:eastAsia="Times New Roman" w:cstheme="minorHAnsi"/>
          <w:i/>
          <w:iCs/>
          <w:sz w:val="24"/>
          <w:szCs w:val="24"/>
        </w:rPr>
        <w:t xml:space="preserve"> accelerating I,</w:t>
      </w:r>
      <w:r w:rsidR="000B1DCF">
        <w:rPr>
          <w:rFonts w:eastAsia="Times New Roman" w:cstheme="minorHAnsi"/>
          <w:i/>
          <w:iCs/>
          <w:sz w:val="24"/>
          <w:szCs w:val="24"/>
        </w:rPr>
        <w:t xml:space="preserve"> triangle for</w:t>
      </w:r>
      <w:r w:rsidR="000B1DCF" w:rsidRPr="002356D5">
        <w:rPr>
          <w:rFonts w:eastAsia="Times New Roman" w:cstheme="minorHAnsi"/>
          <w:i/>
          <w:iCs/>
          <w:sz w:val="24"/>
          <w:szCs w:val="24"/>
        </w:rPr>
        <w:t xml:space="preserve"> accelerating II and</w:t>
      </w:r>
      <w:r w:rsidR="000B1DCF">
        <w:rPr>
          <w:rFonts w:eastAsia="Times New Roman" w:cstheme="minorHAnsi"/>
          <w:i/>
          <w:iCs/>
          <w:sz w:val="24"/>
          <w:szCs w:val="24"/>
        </w:rPr>
        <w:t xml:space="preserve"> square for</w:t>
      </w:r>
      <w:r w:rsidR="000B1DCF" w:rsidRPr="002356D5">
        <w:rPr>
          <w:rFonts w:eastAsia="Times New Roman" w:cstheme="minorHAnsi"/>
          <w:i/>
          <w:iCs/>
          <w:sz w:val="24"/>
          <w:szCs w:val="24"/>
        </w:rPr>
        <w:t xml:space="preserve"> active. Color indicates the different genotypes AA=red, AB</w:t>
      </w:r>
      <w:r w:rsidR="000B1DCF">
        <w:rPr>
          <w:rFonts w:eastAsia="Times New Roman" w:cstheme="minorHAnsi"/>
          <w:i/>
          <w:iCs/>
          <w:sz w:val="24"/>
          <w:szCs w:val="24"/>
        </w:rPr>
        <w:t>*</w:t>
      </w:r>
      <w:r w:rsidR="000B1DCF" w:rsidRPr="002356D5">
        <w:rPr>
          <w:rFonts w:eastAsia="Times New Roman" w:cstheme="minorHAnsi"/>
          <w:i/>
          <w:iCs/>
          <w:sz w:val="24"/>
          <w:szCs w:val="24"/>
        </w:rPr>
        <w:t>=green and B</w:t>
      </w:r>
      <w:r w:rsidR="000B1DCF">
        <w:rPr>
          <w:rFonts w:eastAsia="Times New Roman" w:cstheme="minorHAnsi"/>
          <w:i/>
          <w:iCs/>
          <w:sz w:val="24"/>
          <w:szCs w:val="24"/>
        </w:rPr>
        <w:t>*</w:t>
      </w:r>
      <w:r w:rsidR="000B1DCF" w:rsidRPr="002356D5">
        <w:rPr>
          <w:rFonts w:eastAsia="Times New Roman" w:cstheme="minorHAnsi"/>
          <w:i/>
          <w:iCs/>
          <w:sz w:val="24"/>
          <w:szCs w:val="24"/>
        </w:rPr>
        <w:t>B</w:t>
      </w:r>
      <w:r w:rsidR="000B1DCF">
        <w:rPr>
          <w:rFonts w:eastAsia="Times New Roman" w:cstheme="minorHAnsi"/>
          <w:i/>
          <w:iCs/>
          <w:sz w:val="24"/>
          <w:szCs w:val="24"/>
        </w:rPr>
        <w:t>*</w:t>
      </w:r>
      <w:r w:rsidR="000B1DCF" w:rsidRPr="002356D5">
        <w:rPr>
          <w:rFonts w:eastAsia="Times New Roman" w:cstheme="minorHAnsi"/>
          <w:i/>
          <w:iCs/>
          <w:sz w:val="24"/>
          <w:szCs w:val="24"/>
        </w:rPr>
        <w:t>=blue.</w:t>
      </w:r>
      <w:r w:rsidR="000B1DCF">
        <w:rPr>
          <w:rFonts w:eastAsia="Times New Roman" w:cstheme="minorHAnsi"/>
          <w:i/>
          <w:iCs/>
          <w:sz w:val="24"/>
          <w:szCs w:val="24"/>
        </w:rPr>
        <w:t xml:space="preserve"> </w:t>
      </w:r>
      <w:r w:rsidR="00026D95">
        <w:rPr>
          <w:rFonts w:eastAsia="Times New Roman" w:cstheme="minorHAnsi"/>
          <w:i/>
          <w:iCs/>
          <w:sz w:val="24"/>
          <w:szCs w:val="24"/>
        </w:rPr>
        <w:t>B Heatmap of the 420 DE genes in liver identified across the 3 contrasts ran in limma</w:t>
      </w:r>
      <w:r w:rsidR="00DE4DE4">
        <w:rPr>
          <w:rFonts w:eastAsia="Times New Roman" w:cstheme="minorHAnsi"/>
          <w:i/>
          <w:iCs/>
          <w:sz w:val="24"/>
          <w:szCs w:val="24"/>
        </w:rPr>
        <w:t xml:space="preserve"> w</w:t>
      </w:r>
      <w:r w:rsidR="00026D95">
        <w:rPr>
          <w:rFonts w:eastAsia="Times New Roman" w:cstheme="minorHAnsi"/>
          <w:i/>
          <w:iCs/>
          <w:sz w:val="24"/>
          <w:szCs w:val="24"/>
        </w:rPr>
        <w:t xml:space="preserve">here significance was determined across all the contrasts with adjusted p-value &lt;0.05. Color scale is Z-score which is calculated across </w:t>
      </w:r>
      <w:r w:rsidR="00DE4DE4">
        <w:rPr>
          <w:rFonts w:eastAsia="Times New Roman" w:cstheme="minorHAnsi"/>
          <w:i/>
          <w:iCs/>
          <w:sz w:val="24"/>
          <w:szCs w:val="24"/>
        </w:rPr>
        <w:t>all samples by gene</w:t>
      </w:r>
      <w:r w:rsidR="00026D95">
        <w:rPr>
          <w:rFonts w:eastAsia="Times New Roman" w:cstheme="minorHAnsi"/>
          <w:i/>
          <w:iCs/>
          <w:sz w:val="24"/>
          <w:szCs w:val="24"/>
        </w:rPr>
        <w:t xml:space="preserve">. Top rows indicate samples karyotype with </w:t>
      </w:r>
      <w:r w:rsidR="00026D95" w:rsidRPr="002356D5">
        <w:rPr>
          <w:rFonts w:eastAsia="Times New Roman" w:cstheme="minorHAnsi"/>
          <w:i/>
          <w:iCs/>
          <w:sz w:val="24"/>
          <w:szCs w:val="24"/>
        </w:rPr>
        <w:t>AA=red, AB</w:t>
      </w:r>
      <w:r w:rsidR="00026D95">
        <w:rPr>
          <w:rFonts w:eastAsia="Times New Roman" w:cstheme="minorHAnsi"/>
          <w:i/>
          <w:iCs/>
          <w:sz w:val="24"/>
          <w:szCs w:val="24"/>
        </w:rPr>
        <w:t>*</w:t>
      </w:r>
      <w:r w:rsidR="00026D95" w:rsidRPr="002356D5">
        <w:rPr>
          <w:rFonts w:eastAsia="Times New Roman" w:cstheme="minorHAnsi"/>
          <w:i/>
          <w:iCs/>
          <w:sz w:val="24"/>
          <w:szCs w:val="24"/>
        </w:rPr>
        <w:t>=green and B</w:t>
      </w:r>
      <w:r w:rsidR="00026D95">
        <w:rPr>
          <w:rFonts w:eastAsia="Times New Roman" w:cstheme="minorHAnsi"/>
          <w:i/>
          <w:iCs/>
          <w:sz w:val="24"/>
          <w:szCs w:val="24"/>
        </w:rPr>
        <w:t>*</w:t>
      </w:r>
      <w:r w:rsidR="00026D95" w:rsidRPr="002356D5">
        <w:rPr>
          <w:rFonts w:eastAsia="Times New Roman" w:cstheme="minorHAnsi"/>
          <w:i/>
          <w:iCs/>
          <w:sz w:val="24"/>
          <w:szCs w:val="24"/>
        </w:rPr>
        <w:t>B</w:t>
      </w:r>
      <w:r w:rsidR="00026D95">
        <w:rPr>
          <w:rFonts w:eastAsia="Times New Roman" w:cstheme="minorHAnsi"/>
          <w:i/>
          <w:iCs/>
          <w:sz w:val="24"/>
          <w:szCs w:val="24"/>
        </w:rPr>
        <w:t>*</w:t>
      </w:r>
      <w:r w:rsidR="00026D95" w:rsidRPr="002356D5">
        <w:rPr>
          <w:rFonts w:eastAsia="Times New Roman" w:cstheme="minorHAnsi"/>
          <w:i/>
          <w:iCs/>
          <w:sz w:val="24"/>
          <w:szCs w:val="24"/>
        </w:rPr>
        <w:t>=blue</w:t>
      </w:r>
      <w:r w:rsidR="00026D95">
        <w:rPr>
          <w:rFonts w:eastAsia="Times New Roman" w:cstheme="minorHAnsi"/>
          <w:i/>
          <w:iCs/>
          <w:sz w:val="24"/>
          <w:szCs w:val="24"/>
        </w:rPr>
        <w:t xml:space="preserve"> and testis developmental stage with light = inactive, light grey =accelerating I, dark grey = accelerating II and black = active.</w:t>
      </w:r>
      <w:bookmarkEnd w:id="6"/>
    </w:p>
    <w:p w14:paraId="7B28F82B" w14:textId="145B15EB" w:rsidR="0026221B" w:rsidRPr="00B07B4B" w:rsidRDefault="0026221B" w:rsidP="0026221B">
      <w:pPr>
        <w:spacing w:after="0" w:line="480" w:lineRule="auto"/>
        <w:contextualSpacing/>
        <w:jc w:val="both"/>
        <w:rPr>
          <w:rFonts w:eastAsia="Times New Roman" w:cstheme="minorHAnsi"/>
          <w:sz w:val="24"/>
          <w:szCs w:val="24"/>
        </w:rPr>
      </w:pPr>
    </w:p>
    <w:p w14:paraId="015E4796" w14:textId="77777777" w:rsidR="0026221B" w:rsidRPr="002356D5" w:rsidRDefault="0026221B" w:rsidP="0026221B">
      <w:pPr>
        <w:spacing w:after="0" w:line="480" w:lineRule="auto"/>
        <w:contextualSpacing/>
        <w:jc w:val="both"/>
        <w:rPr>
          <w:rFonts w:eastAsia="Times New Roman" w:cstheme="minorHAnsi"/>
          <w:i/>
          <w:iCs/>
          <w:sz w:val="24"/>
          <w:szCs w:val="24"/>
        </w:rPr>
      </w:pPr>
      <w:r w:rsidRPr="002356D5">
        <w:rPr>
          <w:rFonts w:eastAsia="Times New Roman" w:cstheme="minorHAnsi"/>
          <w:i/>
          <w:iCs/>
          <w:sz w:val="24"/>
          <w:szCs w:val="24"/>
        </w:rPr>
        <w:t xml:space="preserve">Effect of </w:t>
      </w:r>
      <w:r>
        <w:rPr>
          <w:rFonts w:eastAsia="Times New Roman" w:cstheme="minorHAnsi"/>
          <w:i/>
          <w:iCs/>
          <w:sz w:val="24"/>
          <w:szCs w:val="24"/>
        </w:rPr>
        <w:t>karyotype</w:t>
      </w:r>
      <w:r w:rsidRPr="002356D5">
        <w:rPr>
          <w:rFonts w:eastAsia="Times New Roman" w:cstheme="minorHAnsi"/>
          <w:i/>
          <w:iCs/>
          <w:sz w:val="24"/>
          <w:szCs w:val="24"/>
        </w:rPr>
        <w:t xml:space="preserve"> between tissues</w:t>
      </w:r>
    </w:p>
    <w:p w14:paraId="18ECEC75" w14:textId="3E1B0EBB" w:rsidR="0026221B" w:rsidRDefault="0026221B" w:rsidP="0026221B">
      <w:pPr>
        <w:spacing w:after="0" w:line="480" w:lineRule="auto"/>
        <w:ind w:firstLine="720"/>
        <w:contextualSpacing/>
        <w:jc w:val="both"/>
        <w:rPr>
          <w:rFonts w:eastAsia="Times New Roman" w:cstheme="minorHAnsi"/>
          <w:sz w:val="24"/>
          <w:szCs w:val="24"/>
        </w:rPr>
      </w:pPr>
      <w:r w:rsidRPr="00DF3458">
        <w:rPr>
          <w:rFonts w:eastAsia="Times New Roman" w:cstheme="minorHAnsi"/>
          <w:sz w:val="24"/>
          <w:szCs w:val="24"/>
        </w:rPr>
        <w:t xml:space="preserve">To </w:t>
      </w:r>
      <w:r>
        <w:rPr>
          <w:rFonts w:eastAsia="Times New Roman" w:cstheme="minorHAnsi"/>
          <w:sz w:val="24"/>
          <w:szCs w:val="24"/>
        </w:rPr>
        <w:t>further examine</w:t>
      </w:r>
      <w:r w:rsidRPr="00DF3458">
        <w:rPr>
          <w:rFonts w:eastAsia="Times New Roman" w:cstheme="minorHAnsi"/>
          <w:sz w:val="24"/>
          <w:szCs w:val="24"/>
        </w:rPr>
        <w:t xml:space="preserve"> </w:t>
      </w:r>
      <w:r>
        <w:rPr>
          <w:rFonts w:eastAsia="Times New Roman" w:cstheme="minorHAnsi"/>
          <w:sz w:val="24"/>
          <w:szCs w:val="24"/>
        </w:rPr>
        <w:t xml:space="preserve">the </w:t>
      </w:r>
      <w:r w:rsidR="00DE4DE4">
        <w:rPr>
          <w:rFonts w:eastAsia="Times New Roman" w:cstheme="minorHAnsi"/>
          <w:sz w:val="24"/>
          <w:szCs w:val="24"/>
        </w:rPr>
        <w:t>allele</w:t>
      </w:r>
      <w:r>
        <w:rPr>
          <w:rFonts w:eastAsia="Times New Roman" w:cstheme="minorHAnsi"/>
          <w:sz w:val="24"/>
          <w:szCs w:val="24"/>
        </w:rPr>
        <w:t>-</w:t>
      </w:r>
      <w:r w:rsidRPr="00DF3458">
        <w:rPr>
          <w:rFonts w:eastAsia="Times New Roman" w:cstheme="minorHAnsi"/>
          <w:sz w:val="24"/>
          <w:szCs w:val="24"/>
        </w:rPr>
        <w:t>specific expression pattern</w:t>
      </w:r>
      <w:r w:rsidR="00DE4DE4">
        <w:rPr>
          <w:rFonts w:eastAsia="Times New Roman" w:cstheme="minorHAnsi"/>
          <w:sz w:val="24"/>
          <w:szCs w:val="24"/>
        </w:rPr>
        <w:t xml:space="preserve"> due to karyotype</w:t>
      </w:r>
      <w:r>
        <w:rPr>
          <w:rFonts w:eastAsia="Times New Roman" w:cstheme="minorHAnsi"/>
          <w:sz w:val="24"/>
          <w:szCs w:val="24"/>
        </w:rPr>
        <w:t>,</w:t>
      </w:r>
      <w:r w:rsidRPr="00DF3458">
        <w:rPr>
          <w:rFonts w:eastAsia="Times New Roman" w:cstheme="minorHAnsi"/>
          <w:sz w:val="24"/>
          <w:szCs w:val="24"/>
        </w:rPr>
        <w:t xml:space="preserve"> variant calling was performed on the significant genes</w:t>
      </w:r>
      <w:r>
        <w:rPr>
          <w:rFonts w:eastAsia="Times New Roman" w:cstheme="minorHAnsi"/>
          <w:sz w:val="24"/>
          <w:szCs w:val="24"/>
        </w:rPr>
        <w:t xml:space="preserve"> </w:t>
      </w:r>
      <w:r w:rsidRPr="00DF3458">
        <w:rPr>
          <w:rFonts w:eastAsia="Times New Roman" w:cstheme="minorHAnsi"/>
          <w:sz w:val="24"/>
          <w:szCs w:val="24"/>
        </w:rPr>
        <w:t>on</w:t>
      </w:r>
      <w:r>
        <w:rPr>
          <w:rFonts w:eastAsia="Times New Roman" w:cstheme="minorHAnsi"/>
          <w:sz w:val="24"/>
          <w:szCs w:val="24"/>
        </w:rPr>
        <w:t xml:space="preserve"> the</w:t>
      </w:r>
      <w:r w:rsidRPr="00DF3458">
        <w:rPr>
          <w:rFonts w:eastAsia="Times New Roman" w:cstheme="minorHAnsi"/>
          <w:sz w:val="24"/>
          <w:szCs w:val="24"/>
        </w:rPr>
        <w:t xml:space="preserve"> Z chromosome. For </w:t>
      </w:r>
      <w:r w:rsidRPr="00DF3458">
        <w:rPr>
          <w:rFonts w:eastAsia="Times New Roman" w:cstheme="minorHAnsi"/>
          <w:i/>
          <w:iCs/>
          <w:sz w:val="24"/>
          <w:szCs w:val="24"/>
        </w:rPr>
        <w:t>dmgdh</w:t>
      </w:r>
      <w:r>
        <w:rPr>
          <w:rFonts w:eastAsia="Times New Roman" w:cstheme="minorHAnsi"/>
          <w:i/>
          <w:iCs/>
          <w:sz w:val="24"/>
          <w:szCs w:val="24"/>
        </w:rPr>
        <w:t>,</w:t>
      </w:r>
      <w:r w:rsidRPr="00DF3458">
        <w:rPr>
          <w:rFonts w:eastAsia="Times New Roman" w:cstheme="minorHAnsi"/>
          <w:sz w:val="24"/>
          <w:szCs w:val="24"/>
        </w:rPr>
        <w:t xml:space="preserve"> </w:t>
      </w:r>
      <w:r w:rsidR="00DE4DE4">
        <w:rPr>
          <w:rFonts w:eastAsia="Times New Roman" w:cstheme="minorHAnsi"/>
          <w:sz w:val="24"/>
          <w:szCs w:val="24"/>
        </w:rPr>
        <w:t>allele</w:t>
      </w:r>
      <w:r>
        <w:rPr>
          <w:rFonts w:eastAsia="Times New Roman" w:cstheme="minorHAnsi"/>
          <w:sz w:val="24"/>
          <w:szCs w:val="24"/>
        </w:rPr>
        <w:t>-</w:t>
      </w:r>
      <w:r w:rsidRPr="00DF3458">
        <w:rPr>
          <w:rFonts w:eastAsia="Times New Roman" w:cstheme="minorHAnsi"/>
          <w:sz w:val="24"/>
          <w:szCs w:val="24"/>
        </w:rPr>
        <w:t>specific expression in the heterozygote</w:t>
      </w:r>
      <w:r>
        <w:rPr>
          <w:rFonts w:eastAsia="Times New Roman" w:cstheme="minorHAnsi"/>
          <w:sz w:val="24"/>
          <w:szCs w:val="24"/>
        </w:rPr>
        <w:t xml:space="preserve"> AB*</w:t>
      </w:r>
      <w:r w:rsidRPr="00DF3458">
        <w:rPr>
          <w:rFonts w:eastAsia="Times New Roman" w:cstheme="minorHAnsi"/>
          <w:sz w:val="24"/>
          <w:szCs w:val="24"/>
        </w:rPr>
        <w:t xml:space="preserve"> was found in testis</w:t>
      </w:r>
      <w:r>
        <w:rPr>
          <w:rFonts w:eastAsia="Times New Roman" w:cstheme="minorHAnsi"/>
          <w:sz w:val="24"/>
          <w:szCs w:val="24"/>
        </w:rPr>
        <w:t>,</w:t>
      </w:r>
      <w:r w:rsidRPr="00DF3458">
        <w:rPr>
          <w:rFonts w:eastAsia="Times New Roman" w:cstheme="minorHAnsi"/>
          <w:sz w:val="24"/>
          <w:szCs w:val="24"/>
        </w:rPr>
        <w:t xml:space="preserve"> but not in liver tissue (Figure </w:t>
      </w:r>
      <w:r w:rsidR="00807A80">
        <w:rPr>
          <w:rFonts w:eastAsia="Times New Roman" w:cstheme="minorHAnsi"/>
          <w:sz w:val="24"/>
          <w:szCs w:val="24"/>
        </w:rPr>
        <w:t>5</w:t>
      </w:r>
      <w:r w:rsidRPr="00DF3458">
        <w:rPr>
          <w:rFonts w:eastAsia="Times New Roman" w:cstheme="minorHAnsi"/>
          <w:sz w:val="24"/>
          <w:szCs w:val="24"/>
        </w:rPr>
        <w:t xml:space="preserve">). For gene </w:t>
      </w:r>
      <w:r w:rsidRPr="00DF3458">
        <w:rPr>
          <w:rFonts w:eastAsia="Times New Roman" w:cstheme="minorHAnsi"/>
          <w:sz w:val="24"/>
          <w:szCs w:val="24"/>
        </w:rPr>
        <w:lastRenderedPageBreak/>
        <w:t>ENSTGUG00000021693</w:t>
      </w:r>
      <w:r>
        <w:rPr>
          <w:rFonts w:eastAsia="Times New Roman" w:cstheme="minorHAnsi"/>
          <w:sz w:val="24"/>
          <w:szCs w:val="24"/>
        </w:rPr>
        <w:t>,</w:t>
      </w:r>
      <w:r w:rsidRPr="00DF3458">
        <w:rPr>
          <w:rFonts w:eastAsia="Times New Roman" w:cstheme="minorHAnsi"/>
          <w:sz w:val="24"/>
          <w:szCs w:val="24"/>
        </w:rPr>
        <w:t xml:space="preserve"> </w:t>
      </w:r>
      <w:r w:rsidR="00DE4DE4">
        <w:rPr>
          <w:rFonts w:eastAsia="Times New Roman" w:cstheme="minorHAnsi"/>
          <w:sz w:val="24"/>
          <w:szCs w:val="24"/>
        </w:rPr>
        <w:t>allele</w:t>
      </w:r>
      <w:r>
        <w:rPr>
          <w:rFonts w:eastAsia="Times New Roman" w:cstheme="minorHAnsi"/>
          <w:sz w:val="24"/>
          <w:szCs w:val="24"/>
        </w:rPr>
        <w:t>-</w:t>
      </w:r>
      <w:r w:rsidRPr="00DF3458">
        <w:rPr>
          <w:rFonts w:eastAsia="Times New Roman" w:cstheme="minorHAnsi"/>
          <w:sz w:val="24"/>
          <w:szCs w:val="24"/>
        </w:rPr>
        <w:t>specific expression was observed in both tissue types in the heterozygote</w:t>
      </w:r>
      <w:r>
        <w:rPr>
          <w:rFonts w:eastAsia="Times New Roman" w:cstheme="minorHAnsi"/>
          <w:sz w:val="24"/>
          <w:szCs w:val="24"/>
        </w:rPr>
        <w:t xml:space="preserve"> AB*</w:t>
      </w:r>
      <w:r w:rsidRPr="00DF3458">
        <w:rPr>
          <w:rFonts w:eastAsia="Times New Roman" w:cstheme="minorHAnsi"/>
          <w:sz w:val="24"/>
          <w:szCs w:val="24"/>
        </w:rPr>
        <w:t xml:space="preserve"> (Figure </w:t>
      </w:r>
      <w:r w:rsidR="00807A80">
        <w:rPr>
          <w:rFonts w:eastAsia="Times New Roman" w:cstheme="minorHAnsi"/>
          <w:sz w:val="24"/>
          <w:szCs w:val="24"/>
        </w:rPr>
        <w:t>5</w:t>
      </w:r>
      <w:r w:rsidRPr="00DF3458">
        <w:rPr>
          <w:rFonts w:eastAsia="Times New Roman" w:cstheme="minorHAnsi"/>
          <w:sz w:val="24"/>
          <w:szCs w:val="24"/>
        </w:rPr>
        <w:t xml:space="preserve">). </w:t>
      </w:r>
      <w:r>
        <w:rPr>
          <w:rFonts w:eastAsia="Times New Roman" w:cstheme="minorHAnsi"/>
          <w:sz w:val="24"/>
          <w:szCs w:val="24"/>
        </w:rPr>
        <w:t xml:space="preserve">For </w:t>
      </w:r>
      <w:r w:rsidR="007E6F78">
        <w:rPr>
          <w:rFonts w:eastAsia="Times New Roman" w:cstheme="minorHAnsi"/>
          <w:i/>
          <w:iCs/>
          <w:sz w:val="24"/>
          <w:szCs w:val="24"/>
        </w:rPr>
        <w:t>FREM1</w:t>
      </w:r>
      <w:r>
        <w:rPr>
          <w:rFonts w:eastAsia="Times New Roman" w:cstheme="minorHAnsi"/>
          <w:i/>
          <w:iCs/>
          <w:sz w:val="24"/>
          <w:szCs w:val="24"/>
        </w:rPr>
        <w:t>,</w:t>
      </w:r>
      <w:r>
        <w:rPr>
          <w:rFonts w:eastAsia="Times New Roman" w:cstheme="minorHAnsi"/>
          <w:sz w:val="24"/>
          <w:szCs w:val="24"/>
        </w:rPr>
        <w:t xml:space="preserve"> expression of both karyotype-specific alleles was observed in the heterozygote AB* </w:t>
      </w:r>
      <w:r w:rsidRPr="00DF3458">
        <w:rPr>
          <w:rFonts w:eastAsia="Times New Roman" w:cstheme="minorHAnsi"/>
          <w:sz w:val="24"/>
          <w:szCs w:val="24"/>
        </w:rPr>
        <w:t xml:space="preserve">(Figure </w:t>
      </w:r>
      <w:r w:rsidR="00807A80">
        <w:rPr>
          <w:rFonts w:eastAsia="Times New Roman" w:cstheme="minorHAnsi"/>
          <w:sz w:val="24"/>
          <w:szCs w:val="24"/>
        </w:rPr>
        <w:t>5</w:t>
      </w:r>
      <w:r w:rsidRPr="00DF3458">
        <w:rPr>
          <w:rFonts w:eastAsia="Times New Roman" w:cstheme="minorHAnsi"/>
          <w:sz w:val="24"/>
          <w:szCs w:val="24"/>
        </w:rPr>
        <w:t>)</w:t>
      </w:r>
      <w:r>
        <w:rPr>
          <w:rFonts w:eastAsia="Times New Roman" w:cstheme="minorHAnsi"/>
          <w:sz w:val="24"/>
          <w:szCs w:val="24"/>
        </w:rPr>
        <w:t xml:space="preserve">.  </w:t>
      </w:r>
      <w:r w:rsidRPr="00DF3458">
        <w:rPr>
          <w:rFonts w:eastAsia="Times New Roman" w:cstheme="minorHAnsi"/>
          <w:sz w:val="24"/>
          <w:szCs w:val="24"/>
        </w:rPr>
        <w:t>For the remaining five out of the eight genes</w:t>
      </w:r>
      <w:r>
        <w:rPr>
          <w:rFonts w:eastAsia="Times New Roman" w:cstheme="minorHAnsi"/>
          <w:sz w:val="24"/>
          <w:szCs w:val="24"/>
        </w:rPr>
        <w:t>,</w:t>
      </w:r>
      <w:r w:rsidRPr="00DF3458">
        <w:rPr>
          <w:rFonts w:eastAsia="Times New Roman" w:cstheme="minorHAnsi"/>
          <w:sz w:val="24"/>
          <w:szCs w:val="24"/>
        </w:rPr>
        <w:t xml:space="preserve"> no SNPs were identified and </w:t>
      </w:r>
      <w:r w:rsidR="00DE4DE4">
        <w:rPr>
          <w:rFonts w:eastAsia="Times New Roman" w:cstheme="minorHAnsi"/>
          <w:sz w:val="24"/>
          <w:szCs w:val="24"/>
        </w:rPr>
        <w:t xml:space="preserve">allele-specific expression from a specific karyotype </w:t>
      </w:r>
      <w:r w:rsidRPr="00DF3458">
        <w:rPr>
          <w:rFonts w:eastAsia="Times New Roman" w:cstheme="minorHAnsi"/>
          <w:sz w:val="24"/>
          <w:szCs w:val="24"/>
        </w:rPr>
        <w:t>could not be verified</w:t>
      </w:r>
      <w:r>
        <w:rPr>
          <w:rFonts w:eastAsia="Times New Roman" w:cstheme="minorHAnsi"/>
          <w:sz w:val="24"/>
          <w:szCs w:val="24"/>
        </w:rPr>
        <w:t xml:space="preserve">. For other expressed genes, the patterns for </w:t>
      </w:r>
      <w:r w:rsidR="00DE4DE4">
        <w:rPr>
          <w:rFonts w:eastAsia="Times New Roman" w:cstheme="minorHAnsi"/>
          <w:sz w:val="24"/>
          <w:szCs w:val="24"/>
        </w:rPr>
        <w:t>allele-</w:t>
      </w:r>
      <w:r>
        <w:rPr>
          <w:rFonts w:eastAsia="Times New Roman" w:cstheme="minorHAnsi"/>
          <w:sz w:val="24"/>
          <w:szCs w:val="24"/>
        </w:rPr>
        <w:t>specific expression were not determined as clearly as not all variants could be reliably assigned to either A</w:t>
      </w:r>
      <w:r w:rsidR="0097346C">
        <w:rPr>
          <w:rFonts w:eastAsia="Times New Roman" w:cstheme="minorHAnsi"/>
          <w:sz w:val="24"/>
          <w:szCs w:val="24"/>
        </w:rPr>
        <w:t xml:space="preserve"> or</w:t>
      </w:r>
      <w:r>
        <w:rPr>
          <w:rFonts w:eastAsia="Times New Roman" w:cstheme="minorHAnsi"/>
          <w:sz w:val="24"/>
          <w:szCs w:val="24"/>
        </w:rPr>
        <w:t xml:space="preserve"> B</w:t>
      </w:r>
      <w:r w:rsidR="0097346C">
        <w:rPr>
          <w:rFonts w:eastAsia="Times New Roman" w:cstheme="minorHAnsi"/>
          <w:sz w:val="24"/>
          <w:szCs w:val="24"/>
        </w:rPr>
        <w:t>*</w:t>
      </w:r>
      <w:r>
        <w:rPr>
          <w:rFonts w:eastAsia="Times New Roman" w:cstheme="minorHAnsi"/>
          <w:sz w:val="24"/>
          <w:szCs w:val="24"/>
        </w:rPr>
        <w:t xml:space="preserve"> inversion with our data.</w:t>
      </w:r>
    </w:p>
    <w:p w14:paraId="66E5FEDD" w14:textId="77777777" w:rsidR="007E6F78" w:rsidRDefault="007E6F78" w:rsidP="0026221B">
      <w:pPr>
        <w:spacing w:after="0" w:line="480" w:lineRule="auto"/>
        <w:ind w:firstLine="720"/>
        <w:contextualSpacing/>
        <w:jc w:val="both"/>
        <w:rPr>
          <w:rFonts w:eastAsia="Times New Roman" w:cstheme="minorHAnsi"/>
          <w:sz w:val="24"/>
          <w:szCs w:val="24"/>
        </w:rPr>
      </w:pPr>
    </w:p>
    <w:p w14:paraId="40632934" w14:textId="119FD810" w:rsidR="00576060" w:rsidRPr="00DF3458" w:rsidRDefault="007E6F78" w:rsidP="00975A1A">
      <w:pPr>
        <w:spacing w:after="0" w:line="480" w:lineRule="auto"/>
        <w:contextualSpacing/>
        <w:jc w:val="both"/>
        <w:rPr>
          <w:rFonts w:eastAsia="Times New Roman" w:cstheme="minorHAnsi"/>
          <w:sz w:val="24"/>
          <w:szCs w:val="24"/>
        </w:rPr>
      </w:pPr>
      <w:r>
        <w:rPr>
          <w:rFonts w:eastAsia="Times New Roman" w:cstheme="minorHAnsi"/>
          <w:noProof/>
          <w:sz w:val="24"/>
          <w:szCs w:val="24"/>
          <w14:ligatures w14:val="standardContextual"/>
        </w:rPr>
        <w:drawing>
          <wp:inline distT="0" distB="0" distL="0" distR="0" wp14:anchorId="3C308EAB" wp14:editId="0BD1D436">
            <wp:extent cx="6120130" cy="2437765"/>
            <wp:effectExtent l="0" t="0" r="0" b="635"/>
            <wp:docPr id="819181637" name="Kuva 2" descr="Kuva, joka sisältää kohteen teksti, kuvakaappaus, diagrammi, Tontti&#10;&#10;Kuvaus luotu automaattises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181637" name="Kuva 2" descr="Kuva, joka sisältää kohteen teksti, kuvakaappaus, diagrammi, Tontti&#10;&#10;Kuvaus luotu automaattisesti"/>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120130" cy="2437765"/>
                    </a:xfrm>
                    <a:prstGeom prst="rect">
                      <a:avLst/>
                    </a:prstGeom>
                  </pic:spPr>
                </pic:pic>
              </a:graphicData>
            </a:graphic>
          </wp:inline>
        </w:drawing>
      </w:r>
    </w:p>
    <w:p w14:paraId="7941E8D3" w14:textId="1854DBBB" w:rsidR="0026221B" w:rsidRDefault="0026221B" w:rsidP="008440C3">
      <w:pPr>
        <w:spacing w:after="0" w:line="240" w:lineRule="auto"/>
        <w:contextualSpacing/>
        <w:jc w:val="both"/>
        <w:rPr>
          <w:rFonts w:eastAsia="Times New Roman" w:cstheme="minorHAnsi"/>
          <w:i/>
          <w:iCs/>
          <w:sz w:val="24"/>
          <w:szCs w:val="24"/>
        </w:rPr>
      </w:pPr>
      <w:r w:rsidRPr="00DF3458">
        <w:rPr>
          <w:rFonts w:eastAsia="Times New Roman" w:cstheme="minorHAnsi"/>
          <w:i/>
          <w:iCs/>
          <w:sz w:val="24"/>
          <w:szCs w:val="24"/>
        </w:rPr>
        <w:t xml:space="preserve">Figure </w:t>
      </w:r>
      <w:r w:rsidR="007B270A">
        <w:rPr>
          <w:rFonts w:eastAsia="Times New Roman" w:cstheme="minorHAnsi"/>
          <w:i/>
          <w:iCs/>
          <w:sz w:val="24"/>
          <w:szCs w:val="24"/>
        </w:rPr>
        <w:t>5</w:t>
      </w:r>
      <w:r w:rsidRPr="00DF3458">
        <w:rPr>
          <w:rFonts w:eastAsia="Times New Roman" w:cstheme="minorHAnsi"/>
          <w:i/>
          <w:iCs/>
          <w:sz w:val="24"/>
          <w:szCs w:val="24"/>
        </w:rPr>
        <w:t xml:space="preserve">. </w:t>
      </w:r>
      <w:r>
        <w:rPr>
          <w:rFonts w:eastAsia="Times New Roman" w:cstheme="minorHAnsi"/>
          <w:i/>
          <w:iCs/>
          <w:sz w:val="24"/>
          <w:szCs w:val="24"/>
        </w:rPr>
        <w:t>E</w:t>
      </w:r>
      <w:r w:rsidRPr="00DF3458">
        <w:rPr>
          <w:rFonts w:eastAsia="Times New Roman" w:cstheme="minorHAnsi"/>
          <w:i/>
          <w:iCs/>
          <w:sz w:val="24"/>
          <w:szCs w:val="24"/>
        </w:rPr>
        <w:t>xpression</w:t>
      </w:r>
      <w:r>
        <w:rPr>
          <w:rFonts w:eastAsia="Times New Roman" w:cstheme="minorHAnsi"/>
          <w:i/>
          <w:iCs/>
          <w:sz w:val="24"/>
          <w:szCs w:val="24"/>
        </w:rPr>
        <w:t xml:space="preserve"> compared with allele frequency</w:t>
      </w:r>
      <w:r w:rsidRPr="00DF3458">
        <w:rPr>
          <w:rFonts w:eastAsia="Times New Roman" w:cstheme="minorHAnsi"/>
          <w:i/>
          <w:iCs/>
          <w:sz w:val="24"/>
          <w:szCs w:val="24"/>
        </w:rPr>
        <w:t xml:space="preserve"> in testis and liver for</w:t>
      </w:r>
      <w:r w:rsidR="008440C3">
        <w:rPr>
          <w:rFonts w:eastAsia="Times New Roman" w:cstheme="minorHAnsi"/>
          <w:i/>
          <w:iCs/>
          <w:sz w:val="24"/>
          <w:szCs w:val="24"/>
        </w:rPr>
        <w:t xml:space="preserve"> genes</w:t>
      </w:r>
      <w:r w:rsidRPr="00DF3458">
        <w:rPr>
          <w:rFonts w:eastAsia="Times New Roman" w:cstheme="minorHAnsi"/>
          <w:i/>
          <w:iCs/>
          <w:sz w:val="24"/>
          <w:szCs w:val="24"/>
        </w:rPr>
        <w:t xml:space="preserve"> </w:t>
      </w:r>
      <w:r w:rsidR="007E6F78">
        <w:rPr>
          <w:rFonts w:eastAsia="Times New Roman" w:cstheme="minorHAnsi"/>
          <w:i/>
          <w:iCs/>
          <w:sz w:val="24"/>
          <w:szCs w:val="24"/>
        </w:rPr>
        <w:t>DMGDH</w:t>
      </w:r>
      <w:r w:rsidR="007E6F78" w:rsidRPr="00DF3458">
        <w:rPr>
          <w:rFonts w:eastAsia="Times New Roman" w:cstheme="minorHAnsi"/>
          <w:i/>
          <w:iCs/>
          <w:sz w:val="24"/>
          <w:szCs w:val="24"/>
        </w:rPr>
        <w:t xml:space="preserve"> </w:t>
      </w:r>
      <w:r w:rsidRPr="00DF3458">
        <w:rPr>
          <w:rFonts w:eastAsia="Times New Roman" w:cstheme="minorHAnsi"/>
          <w:i/>
          <w:iCs/>
          <w:sz w:val="24"/>
          <w:szCs w:val="24"/>
        </w:rPr>
        <w:t>(ENSTGUG00000003802)</w:t>
      </w:r>
      <w:r w:rsidR="00FF6EC7">
        <w:rPr>
          <w:rFonts w:eastAsia="Times New Roman" w:cstheme="minorHAnsi"/>
          <w:i/>
          <w:iCs/>
          <w:sz w:val="24"/>
          <w:szCs w:val="24"/>
        </w:rPr>
        <w:t xml:space="preserve">, </w:t>
      </w:r>
      <w:r w:rsidR="007E6F78">
        <w:rPr>
          <w:rFonts w:eastAsia="Times New Roman" w:cstheme="minorHAnsi"/>
          <w:i/>
          <w:iCs/>
          <w:sz w:val="24"/>
          <w:szCs w:val="24"/>
        </w:rPr>
        <w:t xml:space="preserve">FREM1 </w:t>
      </w:r>
      <w:r w:rsidR="00FF6EC7">
        <w:rPr>
          <w:rFonts w:eastAsia="Times New Roman" w:cstheme="minorHAnsi"/>
          <w:i/>
          <w:iCs/>
          <w:sz w:val="24"/>
          <w:szCs w:val="24"/>
        </w:rPr>
        <w:t>(</w:t>
      </w:r>
      <w:r w:rsidR="00FF6EC7" w:rsidRPr="00DF3458">
        <w:rPr>
          <w:rFonts w:eastAsia="Times New Roman" w:cstheme="minorHAnsi"/>
          <w:i/>
          <w:iCs/>
          <w:sz w:val="24"/>
          <w:szCs w:val="24"/>
        </w:rPr>
        <w:t>ENSTGUG0000000</w:t>
      </w:r>
      <w:r w:rsidR="00FF6EC7">
        <w:rPr>
          <w:rFonts w:eastAsia="Times New Roman" w:cstheme="minorHAnsi"/>
          <w:i/>
          <w:iCs/>
          <w:sz w:val="24"/>
          <w:szCs w:val="24"/>
        </w:rPr>
        <w:t>4583</w:t>
      </w:r>
      <w:r w:rsidR="00FF6EC7" w:rsidRPr="00DF3458">
        <w:rPr>
          <w:rFonts w:eastAsia="Times New Roman" w:cstheme="minorHAnsi"/>
          <w:i/>
          <w:iCs/>
          <w:sz w:val="24"/>
          <w:szCs w:val="24"/>
        </w:rPr>
        <w:t>)</w:t>
      </w:r>
      <w:r w:rsidRPr="00DF3458">
        <w:rPr>
          <w:rFonts w:eastAsia="Times New Roman" w:cstheme="minorHAnsi"/>
          <w:i/>
          <w:iCs/>
          <w:sz w:val="24"/>
          <w:szCs w:val="24"/>
        </w:rPr>
        <w:t xml:space="preserve"> and ENSTGUG00000021693. Allele frequency </w:t>
      </w:r>
      <w:r w:rsidR="008440C3">
        <w:rPr>
          <w:rFonts w:eastAsia="Times New Roman" w:cstheme="minorHAnsi"/>
          <w:i/>
          <w:iCs/>
          <w:sz w:val="24"/>
          <w:szCs w:val="24"/>
        </w:rPr>
        <w:t xml:space="preserve">on </w:t>
      </w:r>
      <w:r w:rsidR="00242B71">
        <w:rPr>
          <w:rFonts w:eastAsia="Times New Roman" w:cstheme="minorHAnsi"/>
          <w:i/>
          <w:iCs/>
          <w:sz w:val="24"/>
          <w:szCs w:val="24"/>
        </w:rPr>
        <w:t xml:space="preserve">the </w:t>
      </w:r>
      <w:r w:rsidR="008440C3">
        <w:rPr>
          <w:rFonts w:eastAsia="Times New Roman" w:cstheme="minorHAnsi"/>
          <w:i/>
          <w:iCs/>
          <w:sz w:val="24"/>
          <w:szCs w:val="24"/>
        </w:rPr>
        <w:t xml:space="preserve">x-axis </w:t>
      </w:r>
      <w:r w:rsidRPr="00DF3458">
        <w:rPr>
          <w:rFonts w:eastAsia="Times New Roman" w:cstheme="minorHAnsi"/>
          <w:i/>
          <w:iCs/>
          <w:sz w:val="24"/>
          <w:szCs w:val="24"/>
        </w:rPr>
        <w:t xml:space="preserve">indicates the proportion of the derived Z inversion genotype specific variation </w:t>
      </w:r>
      <w:r w:rsidR="00242B71">
        <w:rPr>
          <w:rFonts w:eastAsia="Times New Roman" w:cstheme="minorHAnsi"/>
          <w:i/>
          <w:iCs/>
          <w:sz w:val="24"/>
          <w:szCs w:val="24"/>
        </w:rPr>
        <w:t>obtained from the sequenced reads</w:t>
      </w:r>
      <w:r w:rsidRPr="00DF3458">
        <w:rPr>
          <w:rFonts w:eastAsia="Times New Roman" w:cstheme="minorHAnsi"/>
          <w:i/>
          <w:iCs/>
          <w:sz w:val="24"/>
          <w:szCs w:val="24"/>
        </w:rPr>
        <w:t>.</w:t>
      </w:r>
      <w:r w:rsidR="008440C3">
        <w:rPr>
          <w:rFonts w:eastAsia="Times New Roman" w:cstheme="minorHAnsi"/>
          <w:i/>
          <w:iCs/>
          <w:sz w:val="24"/>
          <w:szCs w:val="24"/>
        </w:rPr>
        <w:t xml:space="preserve"> Expression level is represented by logCPM on y-axis.</w:t>
      </w:r>
      <w:r w:rsidRPr="00DF3458">
        <w:rPr>
          <w:rFonts w:eastAsia="Times New Roman" w:cstheme="minorHAnsi"/>
          <w:i/>
          <w:iCs/>
          <w:sz w:val="24"/>
          <w:szCs w:val="24"/>
        </w:rPr>
        <w:t xml:space="preserve"> Liver</w:t>
      </w:r>
      <w:r>
        <w:rPr>
          <w:rFonts w:eastAsia="Times New Roman" w:cstheme="minorHAnsi"/>
          <w:i/>
          <w:iCs/>
          <w:sz w:val="24"/>
          <w:szCs w:val="24"/>
        </w:rPr>
        <w:t>=</w:t>
      </w:r>
      <w:r w:rsidRPr="00DF3458">
        <w:rPr>
          <w:rFonts w:eastAsia="Times New Roman" w:cstheme="minorHAnsi"/>
          <w:i/>
          <w:iCs/>
          <w:sz w:val="24"/>
          <w:szCs w:val="24"/>
        </w:rPr>
        <w:t>circle and testis</w:t>
      </w:r>
      <w:r>
        <w:rPr>
          <w:rFonts w:eastAsia="Times New Roman" w:cstheme="minorHAnsi"/>
          <w:i/>
          <w:iCs/>
          <w:sz w:val="24"/>
          <w:szCs w:val="24"/>
        </w:rPr>
        <w:t>=</w:t>
      </w:r>
      <w:r w:rsidRPr="00DF3458">
        <w:rPr>
          <w:rFonts w:eastAsia="Times New Roman" w:cstheme="minorHAnsi"/>
          <w:i/>
          <w:iCs/>
          <w:sz w:val="24"/>
          <w:szCs w:val="24"/>
        </w:rPr>
        <w:t>triangle, and</w:t>
      </w:r>
      <w:r w:rsidRPr="00DF3458">
        <w:rPr>
          <w:rFonts w:eastAsia="Times New Roman" w:cstheme="minorHAnsi"/>
          <w:sz w:val="24"/>
          <w:szCs w:val="24"/>
        </w:rPr>
        <w:t xml:space="preserve"> </w:t>
      </w:r>
      <w:r w:rsidRPr="00DF3458">
        <w:rPr>
          <w:rFonts w:eastAsia="Times New Roman" w:cstheme="minorHAnsi"/>
          <w:i/>
          <w:iCs/>
          <w:sz w:val="24"/>
          <w:szCs w:val="24"/>
        </w:rPr>
        <w:t>color indicates the different genotypes AA=red, AB=green and BB=blue</w:t>
      </w:r>
      <w:r w:rsidR="008440C3">
        <w:rPr>
          <w:rFonts w:eastAsia="Times New Roman" w:cstheme="minorHAnsi"/>
          <w:i/>
          <w:iCs/>
          <w:sz w:val="24"/>
          <w:szCs w:val="24"/>
        </w:rPr>
        <w:t>.</w:t>
      </w:r>
    </w:p>
    <w:p w14:paraId="4E3E1E83" w14:textId="77777777" w:rsidR="00115415" w:rsidRPr="0026221B" w:rsidRDefault="00115415" w:rsidP="0026221B">
      <w:pPr>
        <w:spacing w:after="0" w:line="480" w:lineRule="auto"/>
        <w:contextualSpacing/>
        <w:jc w:val="both"/>
        <w:rPr>
          <w:rFonts w:eastAsia="Times New Roman" w:cstheme="minorHAnsi"/>
          <w:i/>
          <w:iCs/>
          <w:sz w:val="24"/>
          <w:szCs w:val="24"/>
        </w:rPr>
      </w:pPr>
    </w:p>
    <w:p w14:paraId="708DCF66" w14:textId="77777777" w:rsidR="0026221B" w:rsidRDefault="0026221B" w:rsidP="0026221B">
      <w:pPr>
        <w:spacing w:after="0" w:line="480" w:lineRule="auto"/>
        <w:contextualSpacing/>
        <w:jc w:val="both"/>
        <w:rPr>
          <w:rFonts w:eastAsia="Times New Roman" w:cstheme="minorHAnsi"/>
          <w:i/>
          <w:iCs/>
          <w:sz w:val="24"/>
          <w:szCs w:val="24"/>
        </w:rPr>
      </w:pPr>
      <w:r w:rsidRPr="00DE5C4E">
        <w:rPr>
          <w:rFonts w:eastAsia="Times New Roman" w:cstheme="minorHAnsi"/>
          <w:i/>
          <w:iCs/>
          <w:sz w:val="24"/>
          <w:szCs w:val="24"/>
        </w:rPr>
        <w:t xml:space="preserve">Chromosome Z inversion landscape in taegut1.1 </w:t>
      </w:r>
    </w:p>
    <w:p w14:paraId="0B5A79DD" w14:textId="3EA4FECD" w:rsidR="0026221B" w:rsidRDefault="0026221B" w:rsidP="0026221B">
      <w:pPr>
        <w:spacing w:after="0" w:line="480" w:lineRule="auto"/>
        <w:contextualSpacing/>
        <w:jc w:val="both"/>
        <w:rPr>
          <w:rFonts w:eastAsia="Times New Roman" w:cstheme="minorHAnsi"/>
          <w:sz w:val="24"/>
          <w:szCs w:val="24"/>
        </w:rPr>
      </w:pPr>
      <w:r>
        <w:rPr>
          <w:rFonts w:eastAsia="Times New Roman" w:cstheme="minorHAnsi"/>
          <w:sz w:val="24"/>
          <w:szCs w:val="24"/>
        </w:rPr>
        <w:t xml:space="preserve">Plotting of the chromosome Z genotypes from the merged transcriptome data indicated that our AA and B*B* individuals </w:t>
      </w:r>
      <w:r w:rsidR="00975A1A">
        <w:rPr>
          <w:rFonts w:eastAsia="Times New Roman" w:cstheme="minorHAnsi"/>
          <w:sz w:val="24"/>
          <w:szCs w:val="24"/>
        </w:rPr>
        <w:t>we</w:t>
      </w:r>
      <w:r>
        <w:rPr>
          <w:rFonts w:eastAsia="Times New Roman" w:cstheme="minorHAnsi"/>
          <w:sz w:val="24"/>
          <w:szCs w:val="24"/>
        </w:rPr>
        <w:t xml:space="preserve">re what we expected, but in the AB* karyotype, the pattern between 20 Mb and 25 Mb is different </w:t>
      </w:r>
      <w:r w:rsidR="007B2536">
        <w:rPr>
          <w:rFonts w:eastAsia="Times New Roman" w:cstheme="minorHAnsi"/>
          <w:sz w:val="24"/>
          <w:szCs w:val="24"/>
        </w:rPr>
        <w:t xml:space="preserve">in </w:t>
      </w:r>
      <w:r>
        <w:rPr>
          <w:rFonts w:eastAsia="Times New Roman" w:cstheme="minorHAnsi"/>
          <w:sz w:val="24"/>
          <w:szCs w:val="24"/>
        </w:rPr>
        <w:t xml:space="preserve">4 individuals compared to the rest of the AB* samples (Figure </w:t>
      </w:r>
      <w:r w:rsidR="00281D37">
        <w:rPr>
          <w:rFonts w:eastAsia="Times New Roman" w:cstheme="minorHAnsi"/>
          <w:sz w:val="24"/>
          <w:szCs w:val="24"/>
        </w:rPr>
        <w:t>6</w:t>
      </w:r>
      <w:r>
        <w:rPr>
          <w:rFonts w:eastAsia="Times New Roman" w:cstheme="minorHAnsi"/>
          <w:sz w:val="24"/>
          <w:szCs w:val="24"/>
        </w:rPr>
        <w:t>). The region from 45 Mb to 70 Mb</w:t>
      </w:r>
      <w:r w:rsidR="00975A1A">
        <w:rPr>
          <w:rFonts w:eastAsia="Times New Roman" w:cstheme="minorHAnsi"/>
          <w:sz w:val="24"/>
          <w:szCs w:val="24"/>
        </w:rPr>
        <w:t xml:space="preserve"> at the distal end of Z</w:t>
      </w:r>
      <w:r>
        <w:rPr>
          <w:rFonts w:eastAsia="Times New Roman" w:cstheme="minorHAnsi"/>
          <w:sz w:val="24"/>
          <w:szCs w:val="24"/>
        </w:rPr>
        <w:t xml:space="preserve"> discriminates the AA and B*B* from each other whereas the region at 2Mb in the beginning of chromosome Z in B*B* results from the family relationships </w:t>
      </w:r>
      <w:r w:rsidR="00281D37">
        <w:rPr>
          <w:rFonts w:eastAsia="Times New Roman" w:cstheme="minorHAnsi"/>
          <w:sz w:val="24"/>
          <w:szCs w:val="24"/>
        </w:rPr>
        <w:lastRenderedPageBreak/>
        <w:t>in</w:t>
      </w:r>
      <w:r>
        <w:rPr>
          <w:rFonts w:eastAsia="Times New Roman" w:cstheme="minorHAnsi"/>
          <w:sz w:val="24"/>
          <w:szCs w:val="24"/>
        </w:rPr>
        <w:t xml:space="preserve"> the selection lines (</w:t>
      </w:r>
      <w:r w:rsidR="007213B6">
        <w:rPr>
          <w:rFonts w:eastAsia="Times New Roman" w:cstheme="minorHAnsi"/>
          <w:sz w:val="24"/>
          <w:szCs w:val="24"/>
        </w:rPr>
        <w:t>Figure S</w:t>
      </w:r>
      <w:r w:rsidR="00E621E6">
        <w:rPr>
          <w:rFonts w:eastAsia="Times New Roman" w:cstheme="minorHAnsi"/>
          <w:sz w:val="24"/>
          <w:szCs w:val="24"/>
        </w:rPr>
        <w:t>7</w:t>
      </w:r>
      <w:r w:rsidR="007213B6">
        <w:rPr>
          <w:rFonts w:eastAsia="Times New Roman" w:cstheme="minorHAnsi"/>
          <w:sz w:val="24"/>
          <w:szCs w:val="24"/>
        </w:rPr>
        <w:t xml:space="preserve">, </w:t>
      </w:r>
      <w:r w:rsidR="00991ACE">
        <w:rPr>
          <w:rFonts w:eastAsia="Times New Roman" w:cstheme="minorHAnsi"/>
          <w:sz w:val="24"/>
          <w:szCs w:val="24"/>
        </w:rPr>
        <w:t>Table S1</w:t>
      </w:r>
      <w:r>
        <w:rPr>
          <w:rFonts w:eastAsia="Times New Roman" w:cstheme="minorHAnsi"/>
          <w:sz w:val="24"/>
          <w:szCs w:val="24"/>
        </w:rPr>
        <w:t>). As we cannot complete</w:t>
      </w:r>
      <w:r w:rsidR="0097346C">
        <w:rPr>
          <w:rFonts w:eastAsia="Times New Roman" w:cstheme="minorHAnsi"/>
          <w:sz w:val="24"/>
          <w:szCs w:val="24"/>
        </w:rPr>
        <w:t>l</w:t>
      </w:r>
      <w:r>
        <w:rPr>
          <w:rFonts w:eastAsia="Times New Roman" w:cstheme="minorHAnsi"/>
          <w:sz w:val="24"/>
          <w:szCs w:val="24"/>
        </w:rPr>
        <w:t xml:space="preserve">y neglect the effect of allele specific expression to our variant calls, particularly in the case of AB* individuals, we cannot </w:t>
      </w:r>
      <w:r w:rsidR="00781C2F">
        <w:rPr>
          <w:rFonts w:eastAsia="Times New Roman" w:cstheme="minorHAnsi"/>
          <w:sz w:val="24"/>
          <w:szCs w:val="24"/>
        </w:rPr>
        <w:t>identif</w:t>
      </w:r>
      <w:r w:rsidR="006F72FD">
        <w:rPr>
          <w:rFonts w:eastAsia="Times New Roman" w:cstheme="minorHAnsi"/>
          <w:sz w:val="24"/>
          <w:szCs w:val="24"/>
        </w:rPr>
        <w:t>y</w:t>
      </w:r>
      <w:r w:rsidR="00781C2F">
        <w:rPr>
          <w:rFonts w:eastAsia="Times New Roman" w:cstheme="minorHAnsi"/>
          <w:sz w:val="24"/>
          <w:szCs w:val="24"/>
        </w:rPr>
        <w:t xml:space="preserve"> the exact</w:t>
      </w:r>
      <w:r>
        <w:rPr>
          <w:rFonts w:eastAsia="Times New Roman" w:cstheme="minorHAnsi"/>
          <w:sz w:val="24"/>
          <w:szCs w:val="24"/>
        </w:rPr>
        <w:t xml:space="preserve"> the inversion breakpoints with our transcriptome data. </w:t>
      </w:r>
      <w:r w:rsidR="00D753CD">
        <w:rPr>
          <w:rFonts w:eastAsia="Times New Roman" w:cstheme="minorHAnsi"/>
          <w:sz w:val="24"/>
          <w:szCs w:val="24"/>
        </w:rPr>
        <w:t xml:space="preserve">Therefore, we attempted to match our data with that of </w:t>
      </w:r>
      <w:r w:rsidR="00EC2222">
        <w:rPr>
          <w:rFonts w:eastAsia="Times New Roman" w:cstheme="minorHAnsi"/>
          <w:sz w:val="24"/>
          <w:szCs w:val="24"/>
        </w:rPr>
        <w:fldChar w:fldCharType="begin" w:fldLock="1"/>
      </w:r>
      <w:r w:rsidR="002D51C0">
        <w:rPr>
          <w:rFonts w:eastAsia="Times New Roman" w:cstheme="minorHAnsi"/>
          <w:sz w:val="24"/>
          <w:szCs w:val="24"/>
        </w:rPr>
        <w:instrText>ADDIN CSL_CITATION {"citationItems":[{"id":"ITEM-1","itemData":{"DOI":"https://doi.org/10.5061/dryad.p4238","abstract":"Sperm are perhaps the most diverse cells in the animal kingdom, with enormous morphological variation between taxa, between species, between males and within an ejaculate. Considerable interest in sperm diversity has arisen following the realisation that sperm competition (post-copulatory sexual selection) is a powerful selective force in many organisms, and that sperm morphology has co-evolved with female reproductive tract morphology. However, the relationship between sperm morphology, sperm motility and fertilisation success is only partially understood. The extent to which between-male variation is heritable is largely unknown, and remarkably few studies have investigated the genetic architecture of sperm traits, especially sperm morphology. Here we use high-density genotyping and gene expression profiling to explore the considerable sperm trait variation that exists in the zebra finch Taeniopygia guttata. We show that nearly all of the genetic variation in sperm morphology is caused by an inversion polymorphism on the Z chromosome acting as a ‘supergene’. These results provide a striking example of two evolutionary genetic predictions. First, that in species where females are the heterogametic sex, genetic variation affecting sexually dimorphic traits will accumulate on the Z chromosome. Second, recombination suppression at the inversion allows beneficial dominant alleles to become fixed on whichever haplotype they first arise, without being exchanged onto other haplotypes. Finally, we show that the inversion polymorphism will be stably maintained by heterozygote advantage, because heterozygous males have the fastest and most successful sperm with no apparent fitness cost.","author":[{"dropping-particle":"","family":"Kim","given":"Kang - Wook","non-dropping-particle":"","parse-names":false,"suffix":""},{"dropping-particle":"","family":"Bennison","given":"Clair","non-dropping-particle":"","parse-names":false,"suffix":""},{"dropping-particle":"","family":"Hemmings","given":"Nicola","non-dropping-particle":"","parse-names":false,"suffix":""},{"dropping-particle":"","family":"Brookes","given":"Lola","non-dropping-particle":"","parse-names":false,"suffix":""},{"dropping-particle":"","family":"Hurley","given":"Laura L.","non-dropping-particle":"","parse-names":false,"suffix":""},{"dropping-particle":"","family":"Griffith","given":"Simon C.","non-dropping-particle":"","parse-names":false,"suffix":""},{"dropping-particle":"","family":"Burke","given":"Terry","non-dropping-particle":"","parse-names":false,"suffix":""},{"dropping-particle":"","family":"Birkhead","given":"Tim R.","non-dropping-particle":"","parse-names":false,"suffix":""},{"dropping-particle":"","family":"Slate","given":"Jon","non-dropping-particle":"","parse-names":false,"suffix":""}],"id":"ITEM-1","issued":{"date-parts":[["2018"]]},"publisher":"Dryad","title":"Data from: A sex-linked supergene controls sperm morphology and swimming speed in a songbird","type":"article"},"uris":["http://www.mendeley.com/documents/?uuid=1f525be8-ae8e-48ab-949a-ecb8c9d3dce2"]}],"mendeley":{"formattedCitation":"(Kim et al., 2018)","plainTextFormattedCitation":"(Kim et al., 2018)","previouslyFormattedCitation":"(Kim et al., 2018)"},"properties":{"noteIndex":0},"schema":"https://github.com/citation-style-language/schema/raw/master/csl-citation.json"}</w:instrText>
      </w:r>
      <w:r w:rsidR="00EC2222">
        <w:rPr>
          <w:rFonts w:eastAsia="Times New Roman" w:cstheme="minorHAnsi"/>
          <w:sz w:val="24"/>
          <w:szCs w:val="24"/>
        </w:rPr>
        <w:fldChar w:fldCharType="separate"/>
      </w:r>
      <w:r w:rsidR="00EC2222" w:rsidRPr="00EC2222">
        <w:rPr>
          <w:rFonts w:eastAsia="Times New Roman" w:cstheme="minorHAnsi"/>
          <w:noProof/>
          <w:sz w:val="24"/>
          <w:szCs w:val="24"/>
        </w:rPr>
        <w:t>(Kim et al., 2018)</w:t>
      </w:r>
      <w:r w:rsidR="00EC2222">
        <w:rPr>
          <w:rFonts w:eastAsia="Times New Roman" w:cstheme="minorHAnsi"/>
          <w:sz w:val="24"/>
          <w:szCs w:val="24"/>
        </w:rPr>
        <w:fldChar w:fldCharType="end"/>
      </w:r>
      <w:r w:rsidR="00D753CD">
        <w:rPr>
          <w:rFonts w:eastAsia="Times New Roman" w:cstheme="minorHAnsi"/>
          <w:sz w:val="24"/>
          <w:szCs w:val="24"/>
        </w:rPr>
        <w:t>.</w:t>
      </w:r>
    </w:p>
    <w:p w14:paraId="78C3BA26" w14:textId="77777777" w:rsidR="006020A3" w:rsidRDefault="006020A3" w:rsidP="0026221B">
      <w:pPr>
        <w:spacing w:after="0" w:line="480" w:lineRule="auto"/>
        <w:contextualSpacing/>
        <w:jc w:val="both"/>
        <w:rPr>
          <w:rFonts w:eastAsia="Times New Roman" w:cstheme="minorHAnsi"/>
          <w:sz w:val="24"/>
          <w:szCs w:val="24"/>
        </w:rPr>
      </w:pPr>
    </w:p>
    <w:p w14:paraId="67A27656" w14:textId="77E32F0E" w:rsidR="00EC2222" w:rsidRDefault="007944A6" w:rsidP="0026221B">
      <w:pPr>
        <w:spacing w:after="0" w:line="480" w:lineRule="auto"/>
        <w:contextualSpacing/>
        <w:jc w:val="both"/>
        <w:rPr>
          <w:rFonts w:eastAsia="Times New Roman" w:cstheme="minorHAnsi"/>
          <w:sz w:val="24"/>
          <w:szCs w:val="24"/>
        </w:rPr>
      </w:pPr>
      <w:r>
        <w:rPr>
          <w:rFonts w:eastAsia="Times New Roman" w:cstheme="minorHAnsi"/>
          <w:noProof/>
          <w:sz w:val="24"/>
          <w:szCs w:val="24"/>
          <w14:ligatures w14:val="standardContextual"/>
        </w:rPr>
        <w:drawing>
          <wp:inline distT="0" distB="0" distL="0" distR="0" wp14:anchorId="61911210" wp14:editId="671275AD">
            <wp:extent cx="6120130" cy="3921760"/>
            <wp:effectExtent l="0" t="0" r="0" b="2540"/>
            <wp:docPr id="1194224731" name="Kuva 1" descr="Kuva, joka sisältää kohteen teksti, kuvakaappaus, viiva, Värikkyys&#10;&#10;Kuvaus luotu automaattises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4224731" name="Kuva 1" descr="Kuva, joka sisältää kohteen teksti, kuvakaappaus, viiva, Värikkyys&#10;&#10;Kuvaus luotu automaattisesti"/>
                    <pic:cNvPicPr/>
                  </pic:nvPicPr>
                  <pic:blipFill>
                    <a:blip r:embed="rId13">
                      <a:extLst>
                        <a:ext uri="{28A0092B-C50C-407E-A947-70E740481C1C}">
                          <a14:useLocalDpi xmlns:a14="http://schemas.microsoft.com/office/drawing/2010/main" val="0"/>
                        </a:ext>
                      </a:extLst>
                    </a:blip>
                    <a:stretch>
                      <a:fillRect/>
                    </a:stretch>
                  </pic:blipFill>
                  <pic:spPr>
                    <a:xfrm>
                      <a:off x="0" y="0"/>
                      <a:ext cx="6120130" cy="3921760"/>
                    </a:xfrm>
                    <a:prstGeom prst="rect">
                      <a:avLst/>
                    </a:prstGeom>
                  </pic:spPr>
                </pic:pic>
              </a:graphicData>
            </a:graphic>
          </wp:inline>
        </w:drawing>
      </w:r>
    </w:p>
    <w:p w14:paraId="47279C4B" w14:textId="7C2BDBA4" w:rsidR="0026221B" w:rsidRDefault="0026221B" w:rsidP="006F3E5C">
      <w:pPr>
        <w:spacing w:after="0" w:line="240" w:lineRule="auto"/>
        <w:contextualSpacing/>
        <w:jc w:val="both"/>
        <w:rPr>
          <w:rFonts w:eastAsia="Times New Roman" w:cstheme="minorHAnsi"/>
          <w:i/>
          <w:iCs/>
          <w:sz w:val="24"/>
          <w:szCs w:val="24"/>
        </w:rPr>
      </w:pPr>
      <w:r w:rsidRPr="004C4A7B">
        <w:rPr>
          <w:rFonts w:eastAsia="Times New Roman" w:cstheme="minorHAnsi"/>
          <w:i/>
          <w:iCs/>
          <w:sz w:val="24"/>
          <w:szCs w:val="24"/>
        </w:rPr>
        <w:t xml:space="preserve">Figure </w:t>
      </w:r>
      <w:r w:rsidR="00D30660">
        <w:rPr>
          <w:rFonts w:eastAsia="Times New Roman" w:cstheme="minorHAnsi"/>
          <w:i/>
          <w:iCs/>
          <w:sz w:val="24"/>
          <w:szCs w:val="24"/>
        </w:rPr>
        <w:t>6</w:t>
      </w:r>
      <w:r w:rsidRPr="004C4A7B">
        <w:rPr>
          <w:rFonts w:eastAsia="Times New Roman" w:cstheme="minorHAnsi"/>
          <w:i/>
          <w:iCs/>
          <w:sz w:val="24"/>
          <w:szCs w:val="24"/>
        </w:rPr>
        <w:t xml:space="preserve">. Genotype plot from </w:t>
      </w:r>
      <w:r w:rsidR="007876DA">
        <w:rPr>
          <w:rFonts w:eastAsia="Times New Roman" w:cstheme="minorHAnsi"/>
          <w:i/>
          <w:iCs/>
          <w:sz w:val="24"/>
          <w:szCs w:val="24"/>
        </w:rPr>
        <w:t>4011</w:t>
      </w:r>
      <w:r w:rsidR="007876DA" w:rsidRPr="004C4A7B">
        <w:rPr>
          <w:rFonts w:eastAsia="Times New Roman" w:cstheme="minorHAnsi"/>
          <w:i/>
          <w:iCs/>
          <w:sz w:val="24"/>
          <w:szCs w:val="24"/>
        </w:rPr>
        <w:t xml:space="preserve"> </w:t>
      </w:r>
      <w:r w:rsidRPr="004C4A7B">
        <w:rPr>
          <w:rFonts w:eastAsia="Times New Roman" w:cstheme="minorHAnsi"/>
          <w:i/>
          <w:iCs/>
          <w:sz w:val="24"/>
          <w:szCs w:val="24"/>
        </w:rPr>
        <w:t>SNP</w:t>
      </w:r>
      <w:r>
        <w:rPr>
          <w:rFonts w:eastAsia="Times New Roman" w:cstheme="minorHAnsi"/>
          <w:i/>
          <w:iCs/>
          <w:sz w:val="24"/>
          <w:szCs w:val="24"/>
        </w:rPr>
        <w:t>s</w:t>
      </w:r>
      <w:r w:rsidR="007213B6">
        <w:rPr>
          <w:rFonts w:eastAsia="Times New Roman" w:cstheme="minorHAnsi"/>
          <w:i/>
          <w:iCs/>
          <w:sz w:val="24"/>
          <w:szCs w:val="24"/>
        </w:rPr>
        <w:t xml:space="preserve"> from 7Mb until the end of the chromosome. SNPs were</w:t>
      </w:r>
      <w:r w:rsidRPr="004C4A7B">
        <w:rPr>
          <w:rFonts w:eastAsia="Times New Roman" w:cstheme="minorHAnsi"/>
          <w:i/>
          <w:iCs/>
          <w:sz w:val="24"/>
          <w:szCs w:val="24"/>
        </w:rPr>
        <w:t xml:space="preserve"> </w:t>
      </w:r>
      <w:r>
        <w:rPr>
          <w:rFonts w:eastAsia="Times New Roman" w:cstheme="minorHAnsi"/>
          <w:i/>
          <w:iCs/>
          <w:sz w:val="24"/>
          <w:szCs w:val="24"/>
        </w:rPr>
        <w:t>acquired after merging the liver and testis</w:t>
      </w:r>
      <w:r w:rsidRPr="004C4A7B">
        <w:rPr>
          <w:rFonts w:eastAsia="Times New Roman" w:cstheme="minorHAnsi"/>
          <w:i/>
          <w:iCs/>
          <w:sz w:val="24"/>
          <w:szCs w:val="24"/>
        </w:rPr>
        <w:t xml:space="preserve"> transcriptomes.</w:t>
      </w:r>
      <w:r>
        <w:rPr>
          <w:rFonts w:eastAsia="Times New Roman" w:cstheme="minorHAnsi"/>
          <w:i/>
          <w:iCs/>
          <w:sz w:val="24"/>
          <w:szCs w:val="24"/>
        </w:rPr>
        <w:t xml:space="preserve"> </w:t>
      </w:r>
      <w:bookmarkStart w:id="7" w:name="_Hlk136956908"/>
      <w:r w:rsidR="00D2320A">
        <w:rPr>
          <w:rFonts w:eastAsia="Times New Roman" w:cstheme="minorHAnsi"/>
          <w:i/>
          <w:iCs/>
          <w:sz w:val="24"/>
          <w:szCs w:val="24"/>
        </w:rPr>
        <w:t>S</w:t>
      </w:r>
      <w:r>
        <w:rPr>
          <w:rFonts w:eastAsia="Times New Roman" w:cstheme="minorHAnsi"/>
          <w:i/>
          <w:iCs/>
          <w:sz w:val="24"/>
          <w:szCs w:val="24"/>
        </w:rPr>
        <w:t xml:space="preserve">amples are represented </w:t>
      </w:r>
      <w:r w:rsidR="00D2320A">
        <w:rPr>
          <w:rFonts w:eastAsia="Times New Roman" w:cstheme="minorHAnsi"/>
          <w:i/>
          <w:iCs/>
          <w:sz w:val="24"/>
          <w:szCs w:val="24"/>
        </w:rPr>
        <w:t>vertically,</w:t>
      </w:r>
      <w:r>
        <w:rPr>
          <w:rFonts w:eastAsia="Times New Roman" w:cstheme="minorHAnsi"/>
          <w:i/>
          <w:iCs/>
          <w:sz w:val="24"/>
          <w:szCs w:val="24"/>
        </w:rPr>
        <w:t xml:space="preserve"> and </w:t>
      </w:r>
      <w:r w:rsidR="00D2320A">
        <w:rPr>
          <w:rFonts w:eastAsia="Times New Roman" w:cstheme="minorHAnsi"/>
          <w:i/>
          <w:iCs/>
          <w:sz w:val="24"/>
          <w:szCs w:val="24"/>
        </w:rPr>
        <w:t>the</w:t>
      </w:r>
      <w:r>
        <w:rPr>
          <w:rFonts w:eastAsia="Times New Roman" w:cstheme="minorHAnsi"/>
          <w:i/>
          <w:iCs/>
          <w:sz w:val="24"/>
          <w:szCs w:val="24"/>
        </w:rPr>
        <w:t xml:space="preserve"> physical location </w:t>
      </w:r>
      <w:r w:rsidR="00BA6FCE">
        <w:rPr>
          <w:rFonts w:eastAsia="Times New Roman" w:cstheme="minorHAnsi"/>
          <w:i/>
          <w:iCs/>
          <w:sz w:val="24"/>
          <w:szCs w:val="24"/>
        </w:rPr>
        <w:t xml:space="preserve">along </w:t>
      </w:r>
      <w:r>
        <w:rPr>
          <w:rFonts w:eastAsia="Times New Roman" w:cstheme="minorHAnsi"/>
          <w:i/>
          <w:iCs/>
          <w:sz w:val="24"/>
          <w:szCs w:val="24"/>
        </w:rPr>
        <w:t>chromosome Z</w:t>
      </w:r>
      <w:r w:rsidR="00D2320A">
        <w:rPr>
          <w:rFonts w:eastAsia="Times New Roman" w:cstheme="minorHAnsi"/>
          <w:i/>
          <w:iCs/>
          <w:sz w:val="24"/>
          <w:szCs w:val="24"/>
        </w:rPr>
        <w:t xml:space="preserve"> is at the top</w:t>
      </w:r>
      <w:r w:rsidR="002F71B8">
        <w:rPr>
          <w:rFonts w:eastAsia="Times New Roman" w:cstheme="minorHAnsi"/>
          <w:i/>
          <w:iCs/>
          <w:sz w:val="24"/>
          <w:szCs w:val="24"/>
        </w:rPr>
        <w:t>.</w:t>
      </w:r>
      <w:r>
        <w:rPr>
          <w:rFonts w:eastAsia="Times New Roman" w:cstheme="minorHAnsi"/>
          <w:i/>
          <w:iCs/>
          <w:sz w:val="24"/>
          <w:szCs w:val="24"/>
        </w:rPr>
        <w:t xml:space="preserve"> </w:t>
      </w:r>
      <w:r w:rsidR="002F71B8">
        <w:rPr>
          <w:rFonts w:eastAsia="Times New Roman" w:cstheme="minorHAnsi"/>
          <w:i/>
          <w:iCs/>
          <w:sz w:val="24"/>
          <w:szCs w:val="24"/>
        </w:rPr>
        <w:t>The</w:t>
      </w:r>
      <w:r w:rsidR="007B2536">
        <w:rPr>
          <w:rFonts w:eastAsia="Times New Roman" w:cstheme="minorHAnsi"/>
          <w:i/>
          <w:iCs/>
          <w:sz w:val="24"/>
          <w:szCs w:val="24"/>
        </w:rPr>
        <w:t xml:space="preserve"> downward line</w:t>
      </w:r>
      <w:r w:rsidR="002F71B8">
        <w:rPr>
          <w:rFonts w:eastAsia="Times New Roman" w:cstheme="minorHAnsi"/>
          <w:i/>
          <w:iCs/>
          <w:sz w:val="24"/>
          <w:szCs w:val="24"/>
        </w:rPr>
        <w:t>s</w:t>
      </w:r>
      <w:r w:rsidR="007B2536">
        <w:rPr>
          <w:rFonts w:eastAsia="Times New Roman" w:cstheme="minorHAnsi"/>
          <w:i/>
          <w:iCs/>
          <w:sz w:val="24"/>
          <w:szCs w:val="24"/>
        </w:rPr>
        <w:t xml:space="preserve"> indicate the</w:t>
      </w:r>
      <w:r w:rsidR="002F71B8">
        <w:rPr>
          <w:rFonts w:eastAsia="Times New Roman" w:cstheme="minorHAnsi"/>
          <w:i/>
          <w:iCs/>
          <w:sz w:val="24"/>
          <w:szCs w:val="24"/>
        </w:rPr>
        <w:t>chromosome</w:t>
      </w:r>
      <w:r w:rsidR="007B2536">
        <w:rPr>
          <w:rFonts w:eastAsia="Times New Roman" w:cstheme="minorHAnsi"/>
          <w:i/>
          <w:iCs/>
          <w:sz w:val="24"/>
          <w:szCs w:val="24"/>
        </w:rPr>
        <w:t xml:space="preserve"> position among the SNPs as </w:t>
      </w:r>
      <w:r w:rsidR="002F71B8">
        <w:rPr>
          <w:rFonts w:eastAsia="Times New Roman" w:cstheme="minorHAnsi"/>
          <w:i/>
          <w:iCs/>
          <w:sz w:val="24"/>
          <w:szCs w:val="24"/>
        </w:rPr>
        <w:t xml:space="preserve">the SNP </w:t>
      </w:r>
      <w:r w:rsidR="007B2536">
        <w:rPr>
          <w:rFonts w:eastAsia="Times New Roman" w:cstheme="minorHAnsi"/>
          <w:i/>
          <w:iCs/>
          <w:sz w:val="24"/>
          <w:szCs w:val="24"/>
        </w:rPr>
        <w:t>density along the Z is not constant</w:t>
      </w:r>
      <w:r>
        <w:rPr>
          <w:rFonts w:eastAsia="Times New Roman" w:cstheme="minorHAnsi"/>
          <w:i/>
          <w:iCs/>
          <w:sz w:val="24"/>
          <w:szCs w:val="24"/>
        </w:rPr>
        <w:t xml:space="preserve">. Each SNP genotype homozygous for the tagut1.1 reference is represented by red, homozygous for the alternative allele is in blue and </w:t>
      </w:r>
      <w:r w:rsidR="002F71B8">
        <w:rPr>
          <w:rFonts w:eastAsia="Times New Roman" w:cstheme="minorHAnsi"/>
          <w:i/>
          <w:iCs/>
          <w:sz w:val="24"/>
          <w:szCs w:val="24"/>
        </w:rPr>
        <w:t xml:space="preserve">the </w:t>
      </w:r>
      <w:r>
        <w:rPr>
          <w:rFonts w:eastAsia="Times New Roman" w:cstheme="minorHAnsi"/>
          <w:i/>
          <w:iCs/>
          <w:sz w:val="24"/>
          <w:szCs w:val="24"/>
        </w:rPr>
        <w:t>heterozygote is in green.</w:t>
      </w:r>
      <w:bookmarkEnd w:id="7"/>
      <w:r w:rsidR="00EB236F">
        <w:rPr>
          <w:rFonts w:eastAsia="Times New Roman" w:cstheme="minorHAnsi"/>
          <w:i/>
          <w:iCs/>
          <w:sz w:val="24"/>
          <w:szCs w:val="24"/>
        </w:rPr>
        <w:t xml:space="preserve"> Black boxes indicate the region</w:t>
      </w:r>
      <w:r w:rsidR="002F71B8">
        <w:rPr>
          <w:rFonts w:eastAsia="Times New Roman" w:cstheme="minorHAnsi"/>
          <w:i/>
          <w:iCs/>
          <w:sz w:val="24"/>
          <w:szCs w:val="24"/>
        </w:rPr>
        <w:t>s</w:t>
      </w:r>
      <w:r w:rsidR="00EB236F">
        <w:rPr>
          <w:rFonts w:eastAsia="Times New Roman" w:cstheme="minorHAnsi"/>
          <w:i/>
          <w:iCs/>
          <w:sz w:val="24"/>
          <w:szCs w:val="24"/>
        </w:rPr>
        <w:t xml:space="preserve"> w</w:t>
      </w:r>
      <w:r w:rsidR="0097346C">
        <w:rPr>
          <w:rFonts w:eastAsia="Times New Roman" w:cstheme="minorHAnsi"/>
          <w:i/>
          <w:iCs/>
          <w:sz w:val="24"/>
          <w:szCs w:val="24"/>
        </w:rPr>
        <w:t>h</w:t>
      </w:r>
      <w:r w:rsidR="00EB236F">
        <w:rPr>
          <w:rFonts w:eastAsia="Times New Roman" w:cstheme="minorHAnsi"/>
          <w:i/>
          <w:iCs/>
          <w:sz w:val="24"/>
          <w:szCs w:val="24"/>
        </w:rPr>
        <w:t>ere</w:t>
      </w:r>
      <w:r w:rsidR="00FD166B">
        <w:rPr>
          <w:rFonts w:eastAsia="Times New Roman" w:cstheme="minorHAnsi"/>
          <w:i/>
          <w:iCs/>
          <w:sz w:val="24"/>
          <w:szCs w:val="24"/>
        </w:rPr>
        <w:t xml:space="preserve"> overrepresentation of</w:t>
      </w:r>
      <w:r w:rsidR="00EB236F">
        <w:rPr>
          <w:rFonts w:eastAsia="Times New Roman" w:cstheme="minorHAnsi"/>
          <w:i/>
          <w:iCs/>
          <w:sz w:val="24"/>
          <w:szCs w:val="24"/>
        </w:rPr>
        <w:t xml:space="preserve"> DE genes </w:t>
      </w:r>
      <w:proofErr w:type="gramStart"/>
      <w:r w:rsidR="00FD166B">
        <w:rPr>
          <w:rFonts w:eastAsia="Times New Roman" w:cstheme="minorHAnsi"/>
          <w:i/>
          <w:iCs/>
          <w:sz w:val="24"/>
          <w:szCs w:val="24"/>
        </w:rPr>
        <w:t>were</w:t>
      </w:r>
      <w:proofErr w:type="gramEnd"/>
      <w:r w:rsidR="00FD166B">
        <w:rPr>
          <w:rFonts w:eastAsia="Times New Roman" w:cstheme="minorHAnsi"/>
          <w:i/>
          <w:iCs/>
          <w:sz w:val="24"/>
          <w:szCs w:val="24"/>
        </w:rPr>
        <w:t xml:space="preserve"> identified </w:t>
      </w:r>
      <w:r w:rsidR="00EB236F">
        <w:rPr>
          <w:rFonts w:eastAsia="Times New Roman" w:cstheme="minorHAnsi"/>
          <w:i/>
          <w:iCs/>
          <w:sz w:val="24"/>
          <w:szCs w:val="24"/>
        </w:rPr>
        <w:t>in both tissues.</w:t>
      </w:r>
      <w:r w:rsidR="007213B6">
        <w:rPr>
          <w:rFonts w:eastAsia="Times New Roman" w:cstheme="minorHAnsi"/>
          <w:i/>
          <w:iCs/>
          <w:sz w:val="24"/>
          <w:szCs w:val="24"/>
        </w:rPr>
        <w:t xml:space="preserve"> Full length chromosome</w:t>
      </w:r>
      <w:r w:rsidR="006F1FB7">
        <w:rPr>
          <w:rFonts w:eastAsia="Times New Roman" w:cstheme="minorHAnsi"/>
          <w:i/>
          <w:iCs/>
          <w:sz w:val="24"/>
          <w:szCs w:val="24"/>
        </w:rPr>
        <w:t xml:space="preserve"> Z</w:t>
      </w:r>
      <w:r w:rsidR="007213B6">
        <w:rPr>
          <w:rFonts w:eastAsia="Times New Roman" w:cstheme="minorHAnsi"/>
          <w:i/>
          <w:iCs/>
          <w:sz w:val="24"/>
          <w:szCs w:val="24"/>
        </w:rPr>
        <w:t xml:space="preserve"> picture is provided in Figure S</w:t>
      </w:r>
      <w:r w:rsidR="006F1FB7">
        <w:rPr>
          <w:rFonts w:eastAsia="Times New Roman" w:cstheme="minorHAnsi"/>
          <w:i/>
          <w:iCs/>
          <w:sz w:val="24"/>
          <w:szCs w:val="24"/>
        </w:rPr>
        <w:t>7</w:t>
      </w:r>
      <w:r w:rsidR="007213B6">
        <w:rPr>
          <w:rFonts w:eastAsia="Times New Roman" w:cstheme="minorHAnsi"/>
          <w:i/>
          <w:iCs/>
          <w:sz w:val="24"/>
          <w:szCs w:val="24"/>
        </w:rPr>
        <w:t>.</w:t>
      </w:r>
    </w:p>
    <w:p w14:paraId="57A7967D" w14:textId="77777777" w:rsidR="003257A8" w:rsidRDefault="003257A8" w:rsidP="0026221B">
      <w:pPr>
        <w:spacing w:after="0" w:line="480" w:lineRule="auto"/>
        <w:contextualSpacing/>
        <w:jc w:val="both"/>
        <w:rPr>
          <w:rFonts w:eastAsia="Times New Roman" w:cstheme="minorHAnsi"/>
          <w:i/>
          <w:iCs/>
          <w:sz w:val="24"/>
          <w:szCs w:val="24"/>
        </w:rPr>
      </w:pPr>
    </w:p>
    <w:p w14:paraId="0415F079" w14:textId="23071C56" w:rsidR="0026221B" w:rsidRDefault="0026221B" w:rsidP="0026221B">
      <w:pPr>
        <w:spacing w:after="0" w:line="480" w:lineRule="auto"/>
        <w:ind w:firstLine="720"/>
        <w:contextualSpacing/>
        <w:jc w:val="both"/>
        <w:rPr>
          <w:rFonts w:eastAsia="Times New Roman" w:cstheme="minorHAnsi"/>
          <w:sz w:val="24"/>
          <w:szCs w:val="24"/>
        </w:rPr>
      </w:pPr>
      <w:r>
        <w:rPr>
          <w:rFonts w:eastAsia="Times New Roman" w:cstheme="minorHAnsi"/>
          <w:sz w:val="24"/>
          <w:szCs w:val="24"/>
        </w:rPr>
        <w:t xml:space="preserve">Localization of differentially expressed genes in chromosome Z as well as the patterns of SNP genotypes from our transcriptomes (Figure </w:t>
      </w:r>
      <w:r w:rsidR="00FD166B">
        <w:rPr>
          <w:rFonts w:eastAsia="Times New Roman" w:cstheme="minorHAnsi"/>
          <w:sz w:val="24"/>
          <w:szCs w:val="24"/>
        </w:rPr>
        <w:t>6</w:t>
      </w:r>
      <w:r>
        <w:rPr>
          <w:rFonts w:eastAsia="Times New Roman" w:cstheme="minorHAnsi"/>
          <w:sz w:val="24"/>
          <w:szCs w:val="24"/>
        </w:rPr>
        <w:t>) did not conform to the inversion landscape which was laid out based on the previous zebra finch assembly taegut3.4.2</w:t>
      </w:r>
      <w:r w:rsidR="00E22709">
        <w:rPr>
          <w:rFonts w:eastAsia="Times New Roman" w:cstheme="minorHAnsi"/>
          <w:sz w:val="24"/>
          <w:szCs w:val="24"/>
        </w:rPr>
        <w:t xml:space="preserve"> with respect to breakpoint </w:t>
      </w:r>
      <w:r w:rsidR="00E22709">
        <w:rPr>
          <w:rFonts w:eastAsia="Times New Roman" w:cstheme="minorHAnsi"/>
          <w:sz w:val="24"/>
          <w:szCs w:val="24"/>
        </w:rPr>
        <w:lastRenderedPageBreak/>
        <w:t>positions</w:t>
      </w:r>
      <w:r>
        <w:rPr>
          <w:rFonts w:eastAsia="Times New Roman" w:cstheme="minorHAnsi"/>
          <w:sz w:val="24"/>
          <w:szCs w:val="24"/>
        </w:rPr>
        <w:t xml:space="preserve">. Rematching the SNP data published by </w:t>
      </w:r>
      <w:r>
        <w:rPr>
          <w:rFonts w:eastAsia="Times New Roman" w:cstheme="minorHAnsi"/>
          <w:sz w:val="24"/>
          <w:szCs w:val="24"/>
        </w:rPr>
        <w:fldChar w:fldCharType="begin" w:fldLock="1"/>
      </w:r>
      <w:r w:rsidR="00896F62">
        <w:rPr>
          <w:rFonts w:eastAsia="Times New Roman" w:cstheme="minorHAnsi"/>
          <w:sz w:val="24"/>
          <w:szCs w:val="24"/>
        </w:rPr>
        <w:instrText>ADDIN CSL_CITATION {"citationItems":[{"id":"ITEM-1","itemData":{"DOI":"https://doi.org/10.5061/dryad.p4238","abstract":"Sperm are perhaps the most diverse cells in the animal kingdom, with enormous morphological variation between taxa, between species, between males and within an ejaculate. Considerable interest in sperm diversity has arisen following the realisation that sperm competition (post-copulatory sexual selection) is a powerful selective force in many organisms, and that sperm morphology has co-evolved with female reproductive tract morphology. However, the relationship between sperm morphology, sperm motility and fertilisation success is only partially understood. The extent to which between-male variation is heritable is largely unknown, and remarkably few studies have investigated the genetic architecture of sperm traits, especially sperm morphology. Here we use high-density genotyping and gene expression profiling to explore the considerable sperm trait variation that exists in the zebra finch Taeniopygia guttata. We show that nearly all of the genetic variation in sperm morphology is caused by an inversion polymorphism on the Z chromosome acting as a ‘supergene’. These results provide a striking example of two evolutionary genetic predictions. First, that in species where females are the heterogametic sex, genetic variation affecting sexually dimorphic traits will accumulate on the Z chromosome. Second, recombination suppression at the inversion allows beneficial dominant alleles to become fixed on whichever haplotype they first arise, without being exchanged onto other haplotypes. Finally, we show that the inversion polymorphism will be stably maintained by heterozygote advantage, because heterozygous males have the fastest and most successful sperm with no apparent fitness cost.","author":[{"dropping-particle":"","family":"Kim","given":"Kang - Wook","non-dropping-particle":"","parse-names":false,"suffix":""},{"dropping-particle":"","family":"Bennison","given":"Clair","non-dropping-particle":"","parse-names":false,"suffix":""},{"dropping-particle":"","family":"Hemmings","given":"Nicola","non-dropping-particle":"","parse-names":false,"suffix":""},{"dropping-particle":"","family":"Brookes","given":"Lola","non-dropping-particle":"","parse-names":false,"suffix":""},{"dropping-particle":"","family":"Hurley","given":"Laura L.","non-dropping-particle":"","parse-names":false,"suffix":""},{"dropping-particle":"","family":"Griffith","given":"Simon C.","non-dropping-particle":"","parse-names":false,"suffix":""},{"dropping-particle":"","family":"Burke","given":"Terry","non-dropping-particle":"","parse-names":false,"suffix":""},{"dropping-particle":"","family":"Birkhead","given":"Tim R.","non-dropping-particle":"","parse-names":false,"suffix":""},{"dropping-particle":"","family":"Slate","given":"Jon","non-dropping-particle":"","parse-names":false,"suffix":""}],"id":"ITEM-1","issued":{"date-parts":[["2018"]]},"publisher":"Dryad","title":"Data from: A sex-linked supergene controls sperm morphology and swimming speed in a songbird","type":"article"},"uris":["http://www.mendeley.com/documents/?uuid=1f525be8-ae8e-48ab-949a-ecb8c9d3dce2"]}],"mendeley":{"formattedCitation":"(Kim et al., 2018)","manualFormatting":"Kim et al., (2017)","plainTextFormattedCitation":"(Kim et al., 2018)","previouslyFormattedCitation":"(Kim et al., 2018)"},"properties":{"noteIndex":0},"schema":"https://github.com/citation-style-language/schema/raw/master/csl-citation.json"}</w:instrText>
      </w:r>
      <w:r>
        <w:rPr>
          <w:rFonts w:eastAsia="Times New Roman" w:cstheme="minorHAnsi"/>
          <w:sz w:val="24"/>
          <w:szCs w:val="24"/>
        </w:rPr>
        <w:fldChar w:fldCharType="separate"/>
      </w:r>
      <w:r w:rsidRPr="00F82CD1">
        <w:rPr>
          <w:rFonts w:eastAsia="Times New Roman" w:cstheme="minorHAnsi"/>
          <w:noProof/>
          <w:sz w:val="24"/>
          <w:szCs w:val="24"/>
        </w:rPr>
        <w:t xml:space="preserve">Kim </w:t>
      </w:r>
      <w:r w:rsidRPr="00F82CD1">
        <w:rPr>
          <w:rFonts w:eastAsia="Times New Roman" w:cstheme="minorHAnsi"/>
          <w:i/>
          <w:noProof/>
          <w:sz w:val="24"/>
          <w:szCs w:val="24"/>
        </w:rPr>
        <w:t>et al.</w:t>
      </w:r>
      <w:r w:rsidRPr="00F82CD1">
        <w:rPr>
          <w:rFonts w:eastAsia="Times New Roman" w:cstheme="minorHAnsi"/>
          <w:noProof/>
          <w:sz w:val="24"/>
          <w:szCs w:val="24"/>
        </w:rPr>
        <w:t xml:space="preserve">, </w:t>
      </w:r>
      <w:r>
        <w:rPr>
          <w:rFonts w:eastAsia="Times New Roman" w:cstheme="minorHAnsi"/>
          <w:noProof/>
          <w:sz w:val="24"/>
          <w:szCs w:val="24"/>
        </w:rPr>
        <w:t>(</w:t>
      </w:r>
      <w:r w:rsidRPr="00F82CD1">
        <w:rPr>
          <w:rFonts w:eastAsia="Times New Roman" w:cstheme="minorHAnsi"/>
          <w:noProof/>
          <w:sz w:val="24"/>
          <w:szCs w:val="24"/>
        </w:rPr>
        <w:t>201</w:t>
      </w:r>
      <w:r>
        <w:rPr>
          <w:rFonts w:eastAsia="Times New Roman" w:cstheme="minorHAnsi"/>
          <w:noProof/>
          <w:sz w:val="24"/>
          <w:szCs w:val="24"/>
        </w:rPr>
        <w:t>7</w:t>
      </w:r>
      <w:r w:rsidRPr="00F82CD1">
        <w:rPr>
          <w:rFonts w:eastAsia="Times New Roman" w:cstheme="minorHAnsi"/>
          <w:noProof/>
          <w:sz w:val="24"/>
          <w:szCs w:val="24"/>
        </w:rPr>
        <w:t>)</w:t>
      </w:r>
      <w:r>
        <w:rPr>
          <w:rFonts w:eastAsia="Times New Roman" w:cstheme="minorHAnsi"/>
          <w:sz w:val="24"/>
          <w:szCs w:val="24"/>
        </w:rPr>
        <w:fldChar w:fldCharType="end"/>
      </w:r>
      <w:r>
        <w:rPr>
          <w:rFonts w:eastAsia="Times New Roman" w:cstheme="minorHAnsi"/>
          <w:sz w:val="24"/>
          <w:szCs w:val="24"/>
        </w:rPr>
        <w:t xml:space="preserve"> to the current zebra finch assembly produced a genotype pattern in chromosome Z </w:t>
      </w:r>
      <w:r w:rsidR="00AB1598">
        <w:rPr>
          <w:rFonts w:eastAsia="Times New Roman" w:cstheme="minorHAnsi"/>
          <w:sz w:val="24"/>
          <w:szCs w:val="24"/>
        </w:rPr>
        <w:t xml:space="preserve">which was also </w:t>
      </w:r>
      <w:r>
        <w:rPr>
          <w:rFonts w:eastAsia="Times New Roman" w:cstheme="minorHAnsi"/>
          <w:sz w:val="24"/>
          <w:szCs w:val="24"/>
        </w:rPr>
        <w:t>seen in the transcriptomes (</w:t>
      </w:r>
      <w:r w:rsidR="002A2634">
        <w:rPr>
          <w:rFonts w:eastAsia="Times New Roman" w:cstheme="minorHAnsi"/>
          <w:sz w:val="24"/>
          <w:szCs w:val="24"/>
        </w:rPr>
        <w:t xml:space="preserve">Supplementary </w:t>
      </w:r>
      <w:r w:rsidR="007F129B">
        <w:rPr>
          <w:rFonts w:eastAsia="Times New Roman" w:cstheme="minorHAnsi"/>
          <w:sz w:val="24"/>
          <w:szCs w:val="24"/>
        </w:rPr>
        <w:t xml:space="preserve">File 1 </w:t>
      </w:r>
      <w:r w:rsidR="002A2634">
        <w:rPr>
          <w:rFonts w:eastAsia="Times New Roman" w:cstheme="minorHAnsi"/>
          <w:sz w:val="24"/>
          <w:szCs w:val="24"/>
        </w:rPr>
        <w:t xml:space="preserve">and </w:t>
      </w:r>
      <w:r w:rsidR="00991ACE">
        <w:rPr>
          <w:rFonts w:eastAsia="Times New Roman" w:cstheme="minorHAnsi"/>
          <w:sz w:val="24"/>
          <w:szCs w:val="24"/>
        </w:rPr>
        <w:t xml:space="preserve">Figure </w:t>
      </w:r>
      <w:r w:rsidR="00267A67">
        <w:rPr>
          <w:rFonts w:eastAsia="Times New Roman" w:cstheme="minorHAnsi"/>
          <w:sz w:val="24"/>
          <w:szCs w:val="24"/>
        </w:rPr>
        <w:t>S8</w:t>
      </w:r>
      <w:r w:rsidR="00D87CE0">
        <w:rPr>
          <w:rFonts w:eastAsia="Times New Roman" w:cstheme="minorHAnsi"/>
          <w:sz w:val="24"/>
          <w:szCs w:val="24"/>
        </w:rPr>
        <w:t>, S9</w:t>
      </w:r>
      <w:r>
        <w:rPr>
          <w:rFonts w:eastAsia="Times New Roman" w:cstheme="minorHAnsi"/>
          <w:sz w:val="24"/>
          <w:szCs w:val="24"/>
        </w:rPr>
        <w:t>).  Based on the pattern of pairwise LD</w:t>
      </w:r>
      <w:r w:rsidR="00683A92">
        <w:rPr>
          <w:rFonts w:eastAsia="Times New Roman" w:cstheme="minorHAnsi"/>
          <w:sz w:val="24"/>
          <w:szCs w:val="24"/>
        </w:rPr>
        <w:t xml:space="preserve"> patterns</w:t>
      </w:r>
      <w:r>
        <w:rPr>
          <w:rFonts w:eastAsia="Times New Roman" w:cstheme="minorHAnsi"/>
          <w:sz w:val="24"/>
          <w:szCs w:val="24"/>
        </w:rPr>
        <w:t xml:space="preserve"> </w:t>
      </w:r>
      <w:r w:rsidR="00D87CE0">
        <w:rPr>
          <w:rFonts w:eastAsia="Times New Roman" w:cstheme="minorHAnsi"/>
          <w:sz w:val="24"/>
          <w:szCs w:val="24"/>
        </w:rPr>
        <w:t>(Figure S9)</w:t>
      </w:r>
      <w:r w:rsidR="00D87CE0">
        <w:rPr>
          <w:rFonts w:eastAsia="Times New Roman" w:cstheme="minorHAnsi"/>
          <w:sz w:val="24"/>
          <w:szCs w:val="24"/>
        </w:rPr>
        <w:t xml:space="preserve"> </w:t>
      </w:r>
      <w:r>
        <w:rPr>
          <w:rFonts w:eastAsia="Times New Roman" w:cstheme="minorHAnsi"/>
          <w:sz w:val="24"/>
          <w:szCs w:val="24"/>
        </w:rPr>
        <w:t>and genotypes</w:t>
      </w:r>
      <w:r w:rsidR="006712A2">
        <w:rPr>
          <w:rFonts w:eastAsia="Times New Roman" w:cstheme="minorHAnsi"/>
          <w:sz w:val="24"/>
          <w:szCs w:val="24"/>
        </w:rPr>
        <w:t xml:space="preserve"> </w:t>
      </w:r>
      <w:r w:rsidR="00D87CE0">
        <w:rPr>
          <w:rFonts w:eastAsia="Times New Roman" w:cstheme="minorHAnsi"/>
          <w:sz w:val="24"/>
          <w:szCs w:val="24"/>
        </w:rPr>
        <w:t xml:space="preserve">(Figure S8) </w:t>
      </w:r>
      <w:r w:rsidR="006712A2">
        <w:rPr>
          <w:rFonts w:eastAsia="Times New Roman" w:cstheme="minorHAnsi"/>
          <w:sz w:val="24"/>
          <w:szCs w:val="24"/>
        </w:rPr>
        <w:t>in</w:t>
      </w:r>
      <w:r>
        <w:rPr>
          <w:rFonts w:eastAsia="Times New Roman" w:cstheme="minorHAnsi"/>
          <w:sz w:val="24"/>
          <w:szCs w:val="24"/>
        </w:rPr>
        <w:t xml:space="preserve"> </w:t>
      </w:r>
      <w:r w:rsidR="00FD166B">
        <w:rPr>
          <w:rFonts w:eastAsia="Times New Roman" w:cstheme="minorHAnsi"/>
          <w:sz w:val="24"/>
          <w:szCs w:val="24"/>
        </w:rPr>
        <w:fldChar w:fldCharType="begin" w:fldLock="1"/>
      </w:r>
      <w:r w:rsidR="00FD166B">
        <w:rPr>
          <w:rFonts w:eastAsia="Times New Roman" w:cstheme="minorHAnsi"/>
          <w:sz w:val="24"/>
          <w:szCs w:val="24"/>
        </w:rPr>
        <w:instrText>ADDIN CSL_CITATION {"citationItems":[{"id":"ITEM-1","itemData":{"DOI":"https://doi.org/10.5061/dryad.p4238","abstract":"Sperm are perhaps the most diverse cells in the animal kingdom, with enormous morphological variation between taxa, between species, between males and within an ejaculate. Considerable interest in sperm diversity has arisen following the realisation that sperm competition (post-copulatory sexual selection) is a powerful selective force in many organisms, and that sperm morphology has co-evolved with female reproductive tract morphology. However, the relationship between sperm morphology, sperm motility and fertilisation success is only partially understood. The extent to which between-male variation is heritable is largely unknown, and remarkably few studies have investigated the genetic architecture of sperm traits, especially sperm morphology. Here we use high-density genotyping and gene expression profiling to explore the considerable sperm trait variation that exists in the zebra finch Taeniopygia guttata. We show that nearly all of the genetic variation in sperm morphology is caused by an inversion polymorphism on the Z chromosome acting as a ‘supergene’. These results provide a striking example of two evolutionary genetic predictions. First, that in species where females are the heterogametic sex, genetic variation affecting sexually dimorphic traits will accumulate on the Z chromosome. Second, recombination suppression at the inversion allows beneficial dominant alleles to become fixed on whichever haplotype they first arise, without being exchanged onto other haplotypes. Finally, we show that the inversion polymorphism will be stably maintained by heterozygote advantage, because heterozygous males have the fastest and most successful sperm with no apparent fitness cost.","author":[{"dropping-particle":"","family":"Kim","given":"Kang - Wook","non-dropping-particle":"","parse-names":false,"suffix":""},{"dropping-particle":"","family":"Bennison","given":"Clair","non-dropping-particle":"","parse-names":false,"suffix":""},{"dropping-particle":"","family":"Hemmings","given":"Nicola","non-dropping-particle":"","parse-names":false,"suffix":""},{"dropping-particle":"","family":"Brookes","given":"Lola","non-dropping-particle":"","parse-names":false,"suffix":""},{"dropping-particle":"","family":"Hurley","given":"Laura L.","non-dropping-particle":"","parse-names":false,"suffix":""},{"dropping-particle":"","family":"Griffith","given":"Simon C.","non-dropping-particle":"","parse-names":false,"suffix":""},{"dropping-particle":"","family":"Burke","given":"Terry","non-dropping-particle":"","parse-names":false,"suffix":""},{"dropping-particle":"","family":"Birkhead","given":"Tim R.","non-dropping-particle":"","parse-names":false,"suffix":""},{"dropping-particle":"","family":"Slate","given":"Jon","non-dropping-particle":"","parse-names":false,"suffix":""}],"id":"ITEM-1","issued":{"date-parts":[["2018"]]},"publisher":"Dryad","title":"Data from: A sex-linked supergene controls sperm morphology and swimming speed in a songbird","type":"article"},"uris":["http://www.mendeley.com/documents/?uuid=1f525be8-ae8e-48ab-949a-ecb8c9d3dce2"]}],"mendeley":{"formattedCitation":"(Kim et al., 2018)","manualFormatting":"Kim et al., (2017)","plainTextFormattedCitation":"(Kim et al., 2018)","previouslyFormattedCitation":"(Kim et al., 2018)"},"properties":{"noteIndex":0},"schema":"https://github.com/citation-style-language/schema/raw/master/csl-citation.json"}</w:instrText>
      </w:r>
      <w:r w:rsidR="00FD166B">
        <w:rPr>
          <w:rFonts w:eastAsia="Times New Roman" w:cstheme="minorHAnsi"/>
          <w:sz w:val="24"/>
          <w:szCs w:val="24"/>
        </w:rPr>
        <w:fldChar w:fldCharType="separate"/>
      </w:r>
      <w:r w:rsidR="00FD166B" w:rsidRPr="00F82CD1">
        <w:rPr>
          <w:rFonts w:eastAsia="Times New Roman" w:cstheme="minorHAnsi"/>
          <w:noProof/>
          <w:sz w:val="24"/>
          <w:szCs w:val="24"/>
        </w:rPr>
        <w:t xml:space="preserve">Kim </w:t>
      </w:r>
      <w:r w:rsidR="00FD166B" w:rsidRPr="00F82CD1">
        <w:rPr>
          <w:rFonts w:eastAsia="Times New Roman" w:cstheme="minorHAnsi"/>
          <w:i/>
          <w:noProof/>
          <w:sz w:val="24"/>
          <w:szCs w:val="24"/>
        </w:rPr>
        <w:t>et al.</w:t>
      </w:r>
      <w:r w:rsidR="00FD166B" w:rsidRPr="00F82CD1">
        <w:rPr>
          <w:rFonts w:eastAsia="Times New Roman" w:cstheme="minorHAnsi"/>
          <w:noProof/>
          <w:sz w:val="24"/>
          <w:szCs w:val="24"/>
        </w:rPr>
        <w:t xml:space="preserve">, </w:t>
      </w:r>
      <w:r w:rsidR="00FD166B">
        <w:rPr>
          <w:rFonts w:eastAsia="Times New Roman" w:cstheme="minorHAnsi"/>
          <w:noProof/>
          <w:sz w:val="24"/>
          <w:szCs w:val="24"/>
        </w:rPr>
        <w:t>(</w:t>
      </w:r>
      <w:r w:rsidR="00FD166B" w:rsidRPr="00F82CD1">
        <w:rPr>
          <w:rFonts w:eastAsia="Times New Roman" w:cstheme="minorHAnsi"/>
          <w:noProof/>
          <w:sz w:val="24"/>
          <w:szCs w:val="24"/>
        </w:rPr>
        <w:t>201</w:t>
      </w:r>
      <w:r w:rsidR="00FD166B">
        <w:rPr>
          <w:rFonts w:eastAsia="Times New Roman" w:cstheme="minorHAnsi"/>
          <w:noProof/>
          <w:sz w:val="24"/>
          <w:szCs w:val="24"/>
        </w:rPr>
        <w:t>7</w:t>
      </w:r>
      <w:r w:rsidR="00FD166B" w:rsidRPr="00F82CD1">
        <w:rPr>
          <w:rFonts w:eastAsia="Times New Roman" w:cstheme="minorHAnsi"/>
          <w:noProof/>
          <w:sz w:val="24"/>
          <w:szCs w:val="24"/>
        </w:rPr>
        <w:t>)</w:t>
      </w:r>
      <w:r w:rsidR="00FD166B">
        <w:rPr>
          <w:rFonts w:eastAsia="Times New Roman" w:cstheme="minorHAnsi"/>
          <w:sz w:val="24"/>
          <w:szCs w:val="24"/>
        </w:rPr>
        <w:fldChar w:fldCharType="end"/>
      </w:r>
      <w:r w:rsidR="007F129B">
        <w:rPr>
          <w:rFonts w:eastAsia="Times New Roman" w:cstheme="minorHAnsi"/>
          <w:sz w:val="24"/>
          <w:szCs w:val="24"/>
        </w:rPr>
        <w:t xml:space="preserve"> </w:t>
      </w:r>
      <w:r w:rsidR="006712A2">
        <w:rPr>
          <w:rFonts w:eastAsia="Times New Roman" w:cstheme="minorHAnsi"/>
          <w:sz w:val="24"/>
          <w:szCs w:val="24"/>
        </w:rPr>
        <w:t xml:space="preserve">SNP </w:t>
      </w:r>
      <w:r w:rsidR="007F129B">
        <w:rPr>
          <w:rFonts w:eastAsia="Times New Roman" w:cstheme="minorHAnsi"/>
          <w:sz w:val="24"/>
          <w:szCs w:val="24"/>
        </w:rPr>
        <w:t>data</w:t>
      </w:r>
      <w:r w:rsidR="00531341">
        <w:rPr>
          <w:rFonts w:eastAsia="Times New Roman" w:cstheme="minorHAnsi"/>
          <w:sz w:val="24"/>
          <w:szCs w:val="24"/>
        </w:rPr>
        <w:t xml:space="preserve"> </w:t>
      </w:r>
      <w:r w:rsidR="006712A2">
        <w:rPr>
          <w:rFonts w:eastAsia="Times New Roman" w:cstheme="minorHAnsi"/>
          <w:sz w:val="24"/>
          <w:szCs w:val="24"/>
        </w:rPr>
        <w:t xml:space="preserve">after </w:t>
      </w:r>
      <w:r w:rsidR="00F52460">
        <w:rPr>
          <w:rFonts w:eastAsia="Times New Roman" w:cstheme="minorHAnsi"/>
          <w:sz w:val="24"/>
          <w:szCs w:val="24"/>
        </w:rPr>
        <w:t xml:space="preserve">reanalyzing </w:t>
      </w:r>
      <w:r w:rsidR="006712A2">
        <w:rPr>
          <w:rFonts w:eastAsia="Times New Roman" w:cstheme="minorHAnsi"/>
          <w:sz w:val="24"/>
          <w:szCs w:val="24"/>
        </w:rPr>
        <w:t>to the taegut1.v1</w:t>
      </w:r>
      <w:r w:rsidR="00F52460">
        <w:rPr>
          <w:rFonts w:eastAsia="Times New Roman" w:cstheme="minorHAnsi"/>
          <w:sz w:val="24"/>
          <w:szCs w:val="24"/>
        </w:rPr>
        <w:t xml:space="preserve"> assembly</w:t>
      </w:r>
      <w:r>
        <w:rPr>
          <w:rFonts w:eastAsia="Times New Roman" w:cstheme="minorHAnsi"/>
          <w:sz w:val="24"/>
          <w:szCs w:val="24"/>
        </w:rPr>
        <w:t xml:space="preserve">, potential inversion regions </w:t>
      </w:r>
      <w:r w:rsidR="00FD166B">
        <w:rPr>
          <w:rFonts w:eastAsia="Times New Roman" w:cstheme="minorHAnsi"/>
          <w:sz w:val="24"/>
          <w:szCs w:val="24"/>
        </w:rPr>
        <w:t xml:space="preserve">are plausible for </w:t>
      </w:r>
      <w:r w:rsidR="006712A2">
        <w:rPr>
          <w:rFonts w:eastAsia="Times New Roman" w:cstheme="minorHAnsi"/>
          <w:sz w:val="24"/>
          <w:szCs w:val="24"/>
        </w:rPr>
        <w:t xml:space="preserve">where we see </w:t>
      </w:r>
      <w:r w:rsidR="00FD166B">
        <w:rPr>
          <w:rFonts w:eastAsia="Times New Roman" w:cstheme="minorHAnsi"/>
          <w:sz w:val="24"/>
          <w:szCs w:val="24"/>
        </w:rPr>
        <w:t xml:space="preserve">overrepresentation </w:t>
      </w:r>
      <w:r w:rsidR="006712A2">
        <w:rPr>
          <w:rFonts w:eastAsia="Times New Roman" w:cstheme="minorHAnsi"/>
          <w:sz w:val="24"/>
          <w:szCs w:val="24"/>
        </w:rPr>
        <w:t>of differentially expressed gene in testis and liver.</w:t>
      </w:r>
      <w:r w:rsidR="00FD166B">
        <w:rPr>
          <w:rFonts w:eastAsia="Times New Roman" w:cstheme="minorHAnsi"/>
          <w:sz w:val="24"/>
          <w:szCs w:val="24"/>
        </w:rPr>
        <w:t xml:space="preserve"> In comparison to the genotype plot from transcriptomes only</w:t>
      </w:r>
      <w:r w:rsidR="00F52460">
        <w:rPr>
          <w:rFonts w:eastAsia="Times New Roman" w:cstheme="minorHAnsi"/>
          <w:sz w:val="24"/>
          <w:szCs w:val="24"/>
        </w:rPr>
        <w:t>,</w:t>
      </w:r>
      <w:r w:rsidR="00FD166B">
        <w:rPr>
          <w:rFonts w:eastAsia="Times New Roman" w:cstheme="minorHAnsi"/>
          <w:sz w:val="24"/>
          <w:szCs w:val="24"/>
        </w:rPr>
        <w:t xml:space="preserve"> the end of chromosome Z is similar to </w:t>
      </w:r>
      <w:r w:rsidR="00F52460">
        <w:rPr>
          <w:rFonts w:eastAsia="Times New Roman" w:cstheme="minorHAnsi"/>
          <w:sz w:val="24"/>
          <w:szCs w:val="24"/>
        </w:rPr>
        <w:t>the reanalyzed data from</w:t>
      </w:r>
      <w:r w:rsidR="00FD166B">
        <w:rPr>
          <w:rFonts w:eastAsia="Times New Roman" w:cstheme="minorHAnsi"/>
          <w:sz w:val="24"/>
          <w:szCs w:val="24"/>
        </w:rPr>
        <w:t xml:space="preserve"> </w:t>
      </w:r>
      <w:r w:rsidR="00FD166B">
        <w:rPr>
          <w:rFonts w:eastAsia="Times New Roman" w:cstheme="minorHAnsi"/>
          <w:sz w:val="24"/>
          <w:szCs w:val="24"/>
        </w:rPr>
        <w:fldChar w:fldCharType="begin" w:fldLock="1"/>
      </w:r>
      <w:r w:rsidR="00FD166B">
        <w:rPr>
          <w:rFonts w:eastAsia="Times New Roman" w:cstheme="minorHAnsi"/>
          <w:sz w:val="24"/>
          <w:szCs w:val="24"/>
        </w:rPr>
        <w:instrText>ADDIN CSL_CITATION {"citationItems":[{"id":"ITEM-1","itemData":{"DOI":"https://doi.org/10.5061/dryad.p4238","abstract":"Sperm are perhaps the most diverse cells in the animal kingdom, with enormous morphological variation between taxa, between species, between males and within an ejaculate. Considerable interest in sperm diversity has arisen following the realisation that sperm competition (post-copulatory sexual selection) is a powerful selective force in many organisms, and that sperm morphology has co-evolved with female reproductive tract morphology. However, the relationship between sperm morphology, sperm motility and fertilisation success is only partially understood. The extent to which between-male variation is heritable is largely unknown, and remarkably few studies have investigated the genetic architecture of sperm traits, especially sperm morphology. Here we use high-density genotyping and gene expression profiling to explore the considerable sperm trait variation that exists in the zebra finch Taeniopygia guttata. We show that nearly all of the genetic variation in sperm morphology is caused by an inversion polymorphism on the Z chromosome acting as a ‘supergene’. These results provide a striking example of two evolutionary genetic predictions. First, that in species where females are the heterogametic sex, genetic variation affecting sexually dimorphic traits will accumulate on the Z chromosome. Second, recombination suppression at the inversion allows beneficial dominant alleles to become fixed on whichever haplotype they first arise, without being exchanged onto other haplotypes. Finally, we show that the inversion polymorphism will be stably maintained by heterozygote advantage, because heterozygous males have the fastest and most successful sperm with no apparent fitness cost.","author":[{"dropping-particle":"","family":"Kim","given":"Kang - Wook","non-dropping-particle":"","parse-names":false,"suffix":""},{"dropping-particle":"","family":"Bennison","given":"Clair","non-dropping-particle":"","parse-names":false,"suffix":""},{"dropping-particle":"","family":"Hemmings","given":"Nicola","non-dropping-particle":"","parse-names":false,"suffix":""},{"dropping-particle":"","family":"Brookes","given":"Lola","non-dropping-particle":"","parse-names":false,"suffix":""},{"dropping-particle":"","family":"Hurley","given":"Laura L.","non-dropping-particle":"","parse-names":false,"suffix":""},{"dropping-particle":"","family":"Griffith","given":"Simon C.","non-dropping-particle":"","parse-names":false,"suffix":""},{"dropping-particle":"","family":"Burke","given":"Terry","non-dropping-particle":"","parse-names":false,"suffix":""},{"dropping-particle":"","family":"Birkhead","given":"Tim R.","non-dropping-particle":"","parse-names":false,"suffix":""},{"dropping-particle":"","family":"Slate","given":"Jon","non-dropping-particle":"","parse-names":false,"suffix":""}],"id":"ITEM-1","issued":{"date-parts":[["2018"]]},"publisher":"Dryad","title":"Data from: A sex-linked supergene controls sperm morphology and swimming speed in a songbird","type":"article"},"uris":["http://www.mendeley.com/documents/?uuid=1f525be8-ae8e-48ab-949a-ecb8c9d3dce2"]}],"mendeley":{"formattedCitation":"(Kim et al., 2018)","manualFormatting":"Kim et al., (2017)","plainTextFormattedCitation":"(Kim et al., 2018)","previouslyFormattedCitation":"(Kim et al., 2018)"},"properties":{"noteIndex":0},"schema":"https://github.com/citation-style-language/schema/raw/master/csl-citation.json"}</w:instrText>
      </w:r>
      <w:r w:rsidR="00FD166B">
        <w:rPr>
          <w:rFonts w:eastAsia="Times New Roman" w:cstheme="minorHAnsi"/>
          <w:sz w:val="24"/>
          <w:szCs w:val="24"/>
        </w:rPr>
        <w:fldChar w:fldCharType="separate"/>
      </w:r>
      <w:r w:rsidR="00FD166B" w:rsidRPr="00F82CD1">
        <w:rPr>
          <w:rFonts w:eastAsia="Times New Roman" w:cstheme="minorHAnsi"/>
          <w:noProof/>
          <w:sz w:val="24"/>
          <w:szCs w:val="24"/>
        </w:rPr>
        <w:t xml:space="preserve">Kim </w:t>
      </w:r>
      <w:r w:rsidR="00FD166B" w:rsidRPr="00F82CD1">
        <w:rPr>
          <w:rFonts w:eastAsia="Times New Roman" w:cstheme="minorHAnsi"/>
          <w:i/>
          <w:noProof/>
          <w:sz w:val="24"/>
          <w:szCs w:val="24"/>
        </w:rPr>
        <w:t>et al.</w:t>
      </w:r>
      <w:r w:rsidR="00FD166B" w:rsidRPr="00F82CD1">
        <w:rPr>
          <w:rFonts w:eastAsia="Times New Roman" w:cstheme="minorHAnsi"/>
          <w:noProof/>
          <w:sz w:val="24"/>
          <w:szCs w:val="24"/>
        </w:rPr>
        <w:t xml:space="preserve">, </w:t>
      </w:r>
      <w:r w:rsidR="00FD166B">
        <w:rPr>
          <w:rFonts w:eastAsia="Times New Roman" w:cstheme="minorHAnsi"/>
          <w:noProof/>
          <w:sz w:val="24"/>
          <w:szCs w:val="24"/>
        </w:rPr>
        <w:t>(</w:t>
      </w:r>
      <w:r w:rsidR="00FD166B" w:rsidRPr="00F82CD1">
        <w:rPr>
          <w:rFonts w:eastAsia="Times New Roman" w:cstheme="minorHAnsi"/>
          <w:noProof/>
          <w:sz w:val="24"/>
          <w:szCs w:val="24"/>
        </w:rPr>
        <w:t>201</w:t>
      </w:r>
      <w:r w:rsidR="00FD166B">
        <w:rPr>
          <w:rFonts w:eastAsia="Times New Roman" w:cstheme="minorHAnsi"/>
          <w:noProof/>
          <w:sz w:val="24"/>
          <w:szCs w:val="24"/>
        </w:rPr>
        <w:t>7</w:t>
      </w:r>
      <w:r w:rsidR="00FD166B" w:rsidRPr="00F82CD1">
        <w:rPr>
          <w:rFonts w:eastAsia="Times New Roman" w:cstheme="minorHAnsi"/>
          <w:noProof/>
          <w:sz w:val="24"/>
          <w:szCs w:val="24"/>
        </w:rPr>
        <w:t>)</w:t>
      </w:r>
      <w:r w:rsidR="00FD166B">
        <w:rPr>
          <w:rFonts w:eastAsia="Times New Roman" w:cstheme="minorHAnsi"/>
          <w:sz w:val="24"/>
          <w:szCs w:val="24"/>
        </w:rPr>
        <w:fldChar w:fldCharType="end"/>
      </w:r>
      <w:r w:rsidR="00FD166B">
        <w:rPr>
          <w:rFonts w:eastAsia="Times New Roman" w:cstheme="minorHAnsi"/>
          <w:sz w:val="24"/>
          <w:szCs w:val="24"/>
        </w:rPr>
        <w:t xml:space="preserve"> and separat</w:t>
      </w:r>
      <w:r w:rsidR="00F52460">
        <w:rPr>
          <w:rFonts w:eastAsia="Times New Roman" w:cstheme="minorHAnsi"/>
          <w:sz w:val="24"/>
          <w:szCs w:val="24"/>
        </w:rPr>
        <w:t>es</w:t>
      </w:r>
      <w:r w:rsidR="00FD166B">
        <w:rPr>
          <w:rFonts w:eastAsia="Times New Roman" w:cstheme="minorHAnsi"/>
          <w:sz w:val="24"/>
          <w:szCs w:val="24"/>
        </w:rPr>
        <w:t xml:space="preserve"> our samples </w:t>
      </w:r>
      <w:r w:rsidR="00F52460">
        <w:rPr>
          <w:rFonts w:eastAsia="Times New Roman" w:cstheme="minorHAnsi"/>
          <w:sz w:val="24"/>
          <w:szCs w:val="24"/>
        </w:rPr>
        <w:t>in</w:t>
      </w:r>
      <w:r w:rsidR="00FD166B">
        <w:rPr>
          <w:rFonts w:eastAsia="Times New Roman" w:cstheme="minorHAnsi"/>
          <w:sz w:val="24"/>
          <w:szCs w:val="24"/>
        </w:rPr>
        <w:t xml:space="preserve">to three groups based on the inversion </w:t>
      </w:r>
      <w:r w:rsidR="00010B7B">
        <w:rPr>
          <w:rFonts w:eastAsia="Times New Roman" w:cstheme="minorHAnsi"/>
          <w:sz w:val="24"/>
          <w:szCs w:val="24"/>
        </w:rPr>
        <w:t>karyotypes</w:t>
      </w:r>
      <w:r w:rsidR="00FD166B">
        <w:rPr>
          <w:rFonts w:eastAsia="Times New Roman" w:cstheme="minorHAnsi"/>
          <w:sz w:val="24"/>
          <w:szCs w:val="24"/>
        </w:rPr>
        <w:t>.</w:t>
      </w:r>
    </w:p>
    <w:p w14:paraId="04D6F62E" w14:textId="77777777" w:rsidR="00E65F16" w:rsidRPr="00B706DB" w:rsidRDefault="00E65F16" w:rsidP="0026221B">
      <w:pPr>
        <w:spacing w:after="0" w:line="480" w:lineRule="auto"/>
        <w:ind w:firstLine="720"/>
        <w:contextualSpacing/>
        <w:jc w:val="both"/>
        <w:rPr>
          <w:rFonts w:eastAsia="Times New Roman" w:cstheme="minorHAnsi"/>
          <w:sz w:val="24"/>
          <w:szCs w:val="24"/>
        </w:rPr>
      </w:pPr>
    </w:p>
    <w:p w14:paraId="5B2F8D53" w14:textId="77777777" w:rsidR="0026221B" w:rsidRPr="0094386E" w:rsidRDefault="0026221B" w:rsidP="0026221B">
      <w:pPr>
        <w:spacing w:after="0" w:line="480" w:lineRule="auto"/>
        <w:contextualSpacing/>
        <w:jc w:val="both"/>
        <w:rPr>
          <w:rFonts w:eastAsia="Times New Roman" w:cstheme="minorHAnsi"/>
          <w:i/>
          <w:iCs/>
          <w:sz w:val="24"/>
          <w:szCs w:val="24"/>
        </w:rPr>
      </w:pPr>
      <w:r w:rsidRPr="002356D5">
        <w:rPr>
          <w:rFonts w:eastAsia="Times New Roman" w:cstheme="minorHAnsi"/>
          <w:i/>
          <w:iCs/>
          <w:sz w:val="24"/>
          <w:szCs w:val="24"/>
        </w:rPr>
        <w:t>Transcription factor</w:t>
      </w:r>
      <w:r>
        <w:rPr>
          <w:rFonts w:eastAsia="Times New Roman" w:cstheme="minorHAnsi"/>
          <w:i/>
          <w:iCs/>
          <w:sz w:val="24"/>
          <w:szCs w:val="24"/>
        </w:rPr>
        <w:t xml:space="preserve"> motifs</w:t>
      </w:r>
    </w:p>
    <w:p w14:paraId="4A4D877D" w14:textId="1EF1C6BE" w:rsidR="0026221B" w:rsidRPr="002356D5" w:rsidRDefault="0026221B" w:rsidP="0026221B">
      <w:pPr>
        <w:spacing w:after="0" w:line="480" w:lineRule="auto"/>
        <w:ind w:firstLine="720"/>
        <w:contextualSpacing/>
        <w:jc w:val="both"/>
        <w:rPr>
          <w:rFonts w:eastAsia="Times New Roman" w:cstheme="minorHAnsi"/>
          <w:sz w:val="24"/>
          <w:szCs w:val="24"/>
        </w:rPr>
      </w:pPr>
      <w:r>
        <w:rPr>
          <w:rFonts w:eastAsia="Times New Roman" w:cstheme="minorHAnsi"/>
          <w:sz w:val="24"/>
          <w:szCs w:val="24"/>
        </w:rPr>
        <w:t xml:space="preserve">In total 14 genes were identified as differentially expressed in both tissues, and the direction of expression between the karyotypes was similar across tissues </w:t>
      </w:r>
      <w:r w:rsidRPr="002356D5">
        <w:rPr>
          <w:rFonts w:eastAsia="Times New Roman" w:cstheme="minorHAnsi"/>
          <w:sz w:val="24"/>
          <w:szCs w:val="24"/>
        </w:rPr>
        <w:t>(</w:t>
      </w:r>
      <w:r w:rsidR="00991ACE">
        <w:rPr>
          <w:rFonts w:eastAsia="Times New Roman" w:cstheme="minorHAnsi"/>
          <w:sz w:val="24"/>
          <w:szCs w:val="24"/>
        </w:rPr>
        <w:t xml:space="preserve">Table </w:t>
      </w:r>
      <w:r w:rsidR="00267A67">
        <w:rPr>
          <w:rFonts w:eastAsia="Times New Roman" w:cstheme="minorHAnsi"/>
          <w:sz w:val="24"/>
          <w:szCs w:val="24"/>
        </w:rPr>
        <w:t>S7</w:t>
      </w:r>
      <w:r w:rsidRPr="002356D5">
        <w:rPr>
          <w:rFonts w:eastAsia="Times New Roman" w:cstheme="minorHAnsi"/>
          <w:sz w:val="24"/>
          <w:szCs w:val="24"/>
        </w:rPr>
        <w:t xml:space="preserve">). </w:t>
      </w:r>
      <w:r w:rsidRPr="005B5736">
        <w:rPr>
          <w:rFonts w:eastAsia="Times New Roman" w:cstheme="minorHAnsi"/>
          <w:sz w:val="24"/>
          <w:szCs w:val="24"/>
        </w:rPr>
        <w:t>Upstream motif analysis identified 19 putative binding motifs for these genes (</w:t>
      </w:r>
      <w:r w:rsidR="00991ACE">
        <w:rPr>
          <w:rFonts w:eastAsia="Times New Roman" w:cstheme="minorHAnsi"/>
          <w:sz w:val="24"/>
          <w:szCs w:val="24"/>
        </w:rPr>
        <w:t xml:space="preserve">Table </w:t>
      </w:r>
      <w:r w:rsidR="00267A67">
        <w:rPr>
          <w:rFonts w:eastAsia="Times New Roman" w:cstheme="minorHAnsi"/>
          <w:sz w:val="24"/>
          <w:szCs w:val="24"/>
        </w:rPr>
        <w:t>S8</w:t>
      </w:r>
      <w:r w:rsidRPr="005B5736">
        <w:rPr>
          <w:rFonts w:eastAsia="Times New Roman" w:cstheme="minorHAnsi"/>
          <w:sz w:val="24"/>
          <w:szCs w:val="24"/>
        </w:rPr>
        <w:t>)</w:t>
      </w:r>
      <w:r w:rsidRPr="002356D5">
        <w:rPr>
          <w:rFonts w:eastAsia="Times New Roman" w:cstheme="minorHAnsi"/>
          <w:sz w:val="24"/>
          <w:szCs w:val="24"/>
        </w:rPr>
        <w:t>. All transcription factor genes associated to these motifs had an ortholog in the zebra finch</w:t>
      </w:r>
      <w:r>
        <w:rPr>
          <w:rFonts w:eastAsia="Times New Roman" w:cstheme="minorHAnsi"/>
          <w:sz w:val="24"/>
          <w:szCs w:val="24"/>
        </w:rPr>
        <w:t>.</w:t>
      </w:r>
      <w:r w:rsidRPr="002356D5">
        <w:rPr>
          <w:rFonts w:eastAsia="Times New Roman" w:cstheme="minorHAnsi"/>
          <w:sz w:val="24"/>
          <w:szCs w:val="24"/>
        </w:rPr>
        <w:t xml:space="preserve"> </w:t>
      </w:r>
      <w:r w:rsidRPr="00AD2888">
        <w:rPr>
          <w:rFonts w:eastAsia="Times New Roman" w:cstheme="minorHAnsi"/>
          <w:sz w:val="24"/>
          <w:szCs w:val="24"/>
        </w:rPr>
        <w:t>Of the</w:t>
      </w:r>
      <w:r w:rsidR="00F52460">
        <w:rPr>
          <w:rFonts w:eastAsia="Times New Roman" w:cstheme="minorHAnsi"/>
          <w:sz w:val="24"/>
          <w:szCs w:val="24"/>
        </w:rPr>
        <w:t xml:space="preserve"> identified </w:t>
      </w:r>
      <w:r w:rsidRPr="00AD2888">
        <w:rPr>
          <w:rFonts w:eastAsia="Times New Roman" w:cstheme="minorHAnsi"/>
          <w:sz w:val="24"/>
          <w:szCs w:val="24"/>
        </w:rPr>
        <w:t>transcription factors</w:t>
      </w:r>
      <w:r>
        <w:rPr>
          <w:rFonts w:eastAsia="Times New Roman" w:cstheme="minorHAnsi"/>
          <w:sz w:val="24"/>
          <w:szCs w:val="24"/>
        </w:rPr>
        <w:t xml:space="preserve">, </w:t>
      </w:r>
      <w:r w:rsidRPr="00AD2888">
        <w:rPr>
          <w:rFonts w:eastAsia="Times New Roman" w:cstheme="minorHAnsi"/>
          <w:sz w:val="24"/>
          <w:szCs w:val="24"/>
        </w:rPr>
        <w:t xml:space="preserve">12 were found expressed in both tissues, </w:t>
      </w:r>
      <w:r>
        <w:rPr>
          <w:rFonts w:eastAsia="Times New Roman" w:cstheme="minorHAnsi"/>
          <w:sz w:val="24"/>
          <w:szCs w:val="24"/>
        </w:rPr>
        <w:t>three</w:t>
      </w:r>
      <w:r w:rsidRPr="00AD2888">
        <w:rPr>
          <w:rFonts w:eastAsia="Times New Roman" w:cstheme="minorHAnsi"/>
          <w:sz w:val="24"/>
          <w:szCs w:val="24"/>
        </w:rPr>
        <w:t xml:space="preserve"> were only expressed in testis and </w:t>
      </w:r>
      <w:r>
        <w:rPr>
          <w:rFonts w:eastAsia="Times New Roman" w:cstheme="minorHAnsi"/>
          <w:sz w:val="24"/>
          <w:szCs w:val="24"/>
        </w:rPr>
        <w:t>four</w:t>
      </w:r>
      <w:r w:rsidRPr="00AD2888">
        <w:rPr>
          <w:rFonts w:eastAsia="Times New Roman" w:cstheme="minorHAnsi"/>
          <w:sz w:val="24"/>
          <w:szCs w:val="24"/>
        </w:rPr>
        <w:t xml:space="preserve"> were not expressed </w:t>
      </w:r>
      <w:r w:rsidR="00F52460">
        <w:rPr>
          <w:rFonts w:eastAsia="Times New Roman" w:cstheme="minorHAnsi"/>
          <w:sz w:val="24"/>
          <w:szCs w:val="24"/>
        </w:rPr>
        <w:t xml:space="preserve">in our data </w:t>
      </w:r>
      <w:r w:rsidRPr="00AD2888">
        <w:rPr>
          <w:rFonts w:eastAsia="Times New Roman" w:cstheme="minorHAnsi"/>
          <w:sz w:val="24"/>
          <w:szCs w:val="24"/>
        </w:rPr>
        <w:t>(</w:t>
      </w:r>
      <w:r w:rsidR="00991ACE">
        <w:rPr>
          <w:rFonts w:eastAsia="Times New Roman" w:cstheme="minorHAnsi"/>
          <w:sz w:val="24"/>
          <w:szCs w:val="24"/>
        </w:rPr>
        <w:t xml:space="preserve">Table </w:t>
      </w:r>
      <w:r w:rsidR="00267A67">
        <w:rPr>
          <w:rFonts w:eastAsia="Times New Roman" w:cstheme="minorHAnsi"/>
          <w:sz w:val="24"/>
          <w:szCs w:val="24"/>
        </w:rPr>
        <w:t>S8</w:t>
      </w:r>
      <w:r w:rsidRPr="00AD2888">
        <w:rPr>
          <w:rFonts w:eastAsia="Times New Roman" w:cstheme="minorHAnsi"/>
          <w:sz w:val="24"/>
          <w:szCs w:val="24"/>
        </w:rPr>
        <w:t xml:space="preserve">). </w:t>
      </w:r>
    </w:p>
    <w:p w14:paraId="31A6E6A9" w14:textId="77777777" w:rsidR="0026221B" w:rsidRDefault="0026221B" w:rsidP="00FF187D">
      <w:pPr>
        <w:spacing w:after="0" w:line="480" w:lineRule="auto"/>
        <w:ind w:firstLine="720"/>
        <w:contextualSpacing/>
        <w:jc w:val="both"/>
        <w:rPr>
          <w:rFonts w:eastAsia="Times New Roman" w:cstheme="minorHAnsi"/>
          <w:sz w:val="24"/>
          <w:szCs w:val="24"/>
        </w:rPr>
      </w:pPr>
    </w:p>
    <w:p w14:paraId="71B4C6D3" w14:textId="77777777" w:rsidR="003257A8" w:rsidRPr="002356D5" w:rsidRDefault="003257A8" w:rsidP="003257A8">
      <w:pPr>
        <w:spacing w:after="0" w:line="480" w:lineRule="auto"/>
        <w:contextualSpacing/>
        <w:jc w:val="both"/>
        <w:rPr>
          <w:rFonts w:eastAsia="Times New Roman" w:cstheme="minorHAnsi"/>
          <w:sz w:val="24"/>
          <w:szCs w:val="24"/>
        </w:rPr>
      </w:pPr>
      <w:r w:rsidRPr="002356D5">
        <w:rPr>
          <w:rFonts w:eastAsia="Times New Roman" w:cstheme="minorHAnsi"/>
          <w:b/>
          <w:bCs/>
          <w:color w:val="000000"/>
          <w:sz w:val="24"/>
          <w:szCs w:val="24"/>
        </w:rPr>
        <w:t>Discussion</w:t>
      </w:r>
    </w:p>
    <w:p w14:paraId="3F3C854A" w14:textId="58831788" w:rsidR="003257A8" w:rsidRDefault="003257A8" w:rsidP="003257A8">
      <w:pPr>
        <w:spacing w:after="0" w:line="480" w:lineRule="auto"/>
        <w:ind w:firstLine="720"/>
        <w:contextualSpacing/>
        <w:jc w:val="both"/>
        <w:rPr>
          <w:rFonts w:eastAsia="Times New Roman" w:cstheme="minorHAnsi"/>
          <w:sz w:val="24"/>
          <w:szCs w:val="24"/>
        </w:rPr>
      </w:pPr>
      <w:r>
        <w:rPr>
          <w:rFonts w:eastAsia="Times New Roman" w:cstheme="minorHAnsi"/>
          <w:sz w:val="24"/>
          <w:szCs w:val="24"/>
        </w:rPr>
        <w:t>As the various inversion karyotypes on the Z chromosome involve many genes, it is not surprising that t</w:t>
      </w:r>
      <w:r w:rsidRPr="002356D5">
        <w:rPr>
          <w:rFonts w:eastAsia="Times New Roman" w:cstheme="minorHAnsi"/>
          <w:sz w:val="24"/>
          <w:szCs w:val="24"/>
        </w:rPr>
        <w:t xml:space="preserve">he effects </w:t>
      </w:r>
      <w:r>
        <w:rPr>
          <w:rFonts w:eastAsia="Times New Roman" w:cstheme="minorHAnsi"/>
          <w:sz w:val="24"/>
          <w:szCs w:val="24"/>
        </w:rPr>
        <w:t xml:space="preserve">of the inversions </w:t>
      </w:r>
      <w:r w:rsidRPr="002356D5">
        <w:rPr>
          <w:rFonts w:eastAsia="Times New Roman" w:cstheme="minorHAnsi"/>
          <w:sz w:val="24"/>
          <w:szCs w:val="24"/>
        </w:rPr>
        <w:t xml:space="preserve">on gene expression are not just restricted to the testis but are also observed in liver. </w:t>
      </w:r>
      <w:r>
        <w:rPr>
          <w:rFonts w:eastAsia="Times New Roman" w:cstheme="minorHAnsi"/>
          <w:sz w:val="24"/>
          <w:szCs w:val="24"/>
        </w:rPr>
        <w:t xml:space="preserve">Our most striking finding was that some genes show an expression pattern more </w:t>
      </w:r>
      <w:proofErr w:type="gramStart"/>
      <w:r>
        <w:rPr>
          <w:rFonts w:eastAsia="Times New Roman" w:cstheme="minorHAnsi"/>
          <w:sz w:val="24"/>
          <w:szCs w:val="24"/>
        </w:rPr>
        <w:t>similar to</w:t>
      </w:r>
      <w:proofErr w:type="gramEnd"/>
      <w:r>
        <w:rPr>
          <w:rFonts w:eastAsia="Times New Roman" w:cstheme="minorHAnsi"/>
          <w:sz w:val="24"/>
          <w:szCs w:val="24"/>
        </w:rPr>
        <w:t xml:space="preserve"> one of the karyotypes when the individual is heterokaryotypic rather than an intermediate pattern of expression. Interestingly, this is not only toward one inversion karyotype but changes in a gene-specific manner</w:t>
      </w:r>
      <w:r w:rsidR="00F52460">
        <w:rPr>
          <w:rFonts w:eastAsia="Times New Roman" w:cstheme="minorHAnsi"/>
          <w:sz w:val="24"/>
          <w:szCs w:val="24"/>
        </w:rPr>
        <w:t xml:space="preserve"> suggesting that regulation favors the best allele, a ‘best of </w:t>
      </w:r>
      <w:r w:rsidR="00F52460">
        <w:rPr>
          <w:rFonts w:eastAsia="Times New Roman" w:cstheme="minorHAnsi"/>
          <w:sz w:val="24"/>
          <w:szCs w:val="24"/>
        </w:rPr>
        <w:lastRenderedPageBreak/>
        <w:t>both worlds’ scenario</w:t>
      </w:r>
      <w:r>
        <w:rPr>
          <w:rFonts w:eastAsia="Times New Roman" w:cstheme="minorHAnsi"/>
          <w:sz w:val="24"/>
          <w:szCs w:val="24"/>
        </w:rPr>
        <w:t>. This karyotypic expression pattern also occurs for some genes that are not on the Z chromosome which suggests a trans-regulatory role, possibly from one of the many lncRNAs on the Z chromosome</w:t>
      </w:r>
      <w:r w:rsidR="00F52460">
        <w:rPr>
          <w:rFonts w:eastAsia="Times New Roman" w:cstheme="minorHAnsi"/>
          <w:sz w:val="24"/>
          <w:szCs w:val="24"/>
        </w:rPr>
        <w:t>, some of which also have allele-specific expression by</w:t>
      </w:r>
      <w:r w:rsidR="00F52460" w:rsidRPr="00F52460">
        <w:rPr>
          <w:rFonts w:eastAsia="Times New Roman" w:cstheme="minorHAnsi"/>
          <w:sz w:val="24"/>
          <w:szCs w:val="24"/>
        </w:rPr>
        <w:t xml:space="preserve"> </w:t>
      </w:r>
      <w:r w:rsidR="00F52460">
        <w:rPr>
          <w:rFonts w:eastAsia="Times New Roman" w:cstheme="minorHAnsi"/>
          <w:sz w:val="24"/>
          <w:szCs w:val="24"/>
        </w:rPr>
        <w:t>karyotype</w:t>
      </w:r>
      <w:r>
        <w:rPr>
          <w:rFonts w:eastAsia="Times New Roman" w:cstheme="minorHAnsi"/>
          <w:sz w:val="24"/>
          <w:szCs w:val="24"/>
        </w:rPr>
        <w:t>. Additionally, it seems that one gene (</w:t>
      </w:r>
      <w:r w:rsidRPr="0094386E">
        <w:rPr>
          <w:rFonts w:eastAsia="Times New Roman" w:cstheme="minorHAnsi"/>
          <w:i/>
          <w:iCs/>
          <w:sz w:val="24"/>
          <w:szCs w:val="24"/>
        </w:rPr>
        <w:t>dmgdh</w:t>
      </w:r>
      <w:r>
        <w:rPr>
          <w:rFonts w:eastAsia="Times New Roman" w:cstheme="minorHAnsi"/>
          <w:sz w:val="24"/>
          <w:szCs w:val="24"/>
        </w:rPr>
        <w:t>) has transcripts that are only expressed from one karyotype in the testis, but transcripts from both karyotypes are expressed in the liver in the heterokaryotypic individuals.</w:t>
      </w:r>
      <w:r w:rsidR="00F52460">
        <w:rPr>
          <w:rFonts w:eastAsia="Times New Roman" w:cstheme="minorHAnsi"/>
          <w:sz w:val="24"/>
          <w:szCs w:val="24"/>
        </w:rPr>
        <w:t xml:space="preserve"> </w:t>
      </w:r>
    </w:p>
    <w:p w14:paraId="0FD22C72" w14:textId="7CD7DD49" w:rsidR="003257A8" w:rsidRPr="0038476C" w:rsidRDefault="003257A8" w:rsidP="003257A8">
      <w:pPr>
        <w:spacing w:after="0" w:line="480" w:lineRule="auto"/>
        <w:ind w:firstLine="720"/>
        <w:contextualSpacing/>
        <w:jc w:val="both"/>
        <w:rPr>
          <w:rFonts w:eastAsia="Times New Roman" w:cstheme="minorHAnsi"/>
          <w:sz w:val="24"/>
          <w:szCs w:val="24"/>
        </w:rPr>
      </w:pPr>
      <w:r>
        <w:rPr>
          <w:rFonts w:eastAsia="Times New Roman" w:cstheme="minorHAnsi"/>
          <w:sz w:val="24"/>
          <w:szCs w:val="24"/>
        </w:rPr>
        <w:t xml:space="preserve">When comparing the locations of the differentially expressed genes and genotypes called from the transcriptomes to the pattern of LD and alleles along the Z chromosome (using SNP data from </w:t>
      </w:r>
      <w:r>
        <w:rPr>
          <w:rFonts w:eastAsia="Times New Roman" w:cstheme="minorHAnsi"/>
          <w:sz w:val="24"/>
          <w:szCs w:val="24"/>
        </w:rPr>
        <w:fldChar w:fldCharType="begin" w:fldLock="1"/>
      </w:r>
      <w:r w:rsidR="00896F62">
        <w:rPr>
          <w:rFonts w:eastAsia="Times New Roman" w:cstheme="minorHAnsi"/>
          <w:sz w:val="24"/>
          <w:szCs w:val="24"/>
        </w:rPr>
        <w:instrText>ADDIN CSL_CITATION {"citationItems":[{"id":"ITEM-1","itemData":{"DOI":"https://doi.org/10.5061/dryad.p4238","abstract":"Sperm are perhaps the most diverse cells in the animal kingdom, with enormous morphological variation between taxa, between species, between males and within an ejaculate. Considerable interest in sperm diversity has arisen following the realisation that sperm competition (post-copulatory sexual selection) is a powerful selective force in many organisms, and that sperm morphology has co-evolved with female reproductive tract morphology. However, the relationship between sperm morphology, sperm motility and fertilisation success is only partially understood. The extent to which between-male variation is heritable is largely unknown, and remarkably few studies have investigated the genetic architecture of sperm traits, especially sperm morphology. Here we use high-density genotyping and gene expression profiling to explore the considerable sperm trait variation that exists in the zebra finch Taeniopygia guttata. We show that nearly all of the genetic variation in sperm morphology is caused by an inversion polymorphism on the Z chromosome acting as a ‘supergene’. These results provide a striking example of two evolutionary genetic predictions. First, that in species where females are the heterogametic sex, genetic variation affecting sexually dimorphic traits will accumulate on the Z chromosome. Second, recombination suppression at the inversion allows beneficial dominant alleles to become fixed on whichever haplotype they first arise, without being exchanged onto other haplotypes. Finally, we show that the inversion polymorphism will be stably maintained by heterozygote advantage, because heterozygous males have the fastest and most successful sperm with no apparent fitness cost.","author":[{"dropping-particle":"","family":"Kim","given":"Kang - Wook","non-dropping-particle":"","parse-names":false,"suffix":""},{"dropping-particle":"","family":"Bennison","given":"Clair","non-dropping-particle":"","parse-names":false,"suffix":""},{"dropping-particle":"","family":"Hemmings","given":"Nicola","non-dropping-particle":"","parse-names":false,"suffix":""},{"dropping-particle":"","family":"Brookes","given":"Lola","non-dropping-particle":"","parse-names":false,"suffix":""},{"dropping-particle":"","family":"Hurley","given":"Laura L.","non-dropping-particle":"","parse-names":false,"suffix":""},{"dropping-particle":"","family":"Griffith","given":"Simon C.","non-dropping-particle":"","parse-names":false,"suffix":""},{"dropping-particle":"","family":"Burke","given":"Terry","non-dropping-particle":"","parse-names":false,"suffix":""},{"dropping-particle":"","family":"Birkhead","given":"Tim R.","non-dropping-particle":"","parse-names":false,"suffix":""},{"dropping-particle":"","family":"Slate","given":"Jon","non-dropping-particle":"","parse-names":false,"suffix":""}],"id":"ITEM-1","issued":{"date-parts":[["2018"]]},"publisher":"Dryad","title":"Data from: A sex-linked supergene controls sperm morphology and swimming speed in a songbird","type":"article"},"uris":["http://www.mendeley.com/documents/?uuid=1f525be8-ae8e-48ab-949a-ecb8c9d3dce2"]}],"mendeley":{"formattedCitation":"(Kim et al., 2018)","manualFormatting":"(Kim et al., 2017)","plainTextFormattedCitation":"(Kim et al., 2018)","previouslyFormattedCitation":"(Kim et al., 2018)"},"properties":{"noteIndex":0},"schema":"https://github.com/citation-style-language/schema/raw/master/csl-citation.json"}</w:instrText>
      </w:r>
      <w:r>
        <w:rPr>
          <w:rFonts w:eastAsia="Times New Roman" w:cstheme="minorHAnsi"/>
          <w:sz w:val="24"/>
          <w:szCs w:val="24"/>
        </w:rPr>
        <w:fldChar w:fldCharType="separate"/>
      </w:r>
      <w:r w:rsidRPr="00CD147D">
        <w:rPr>
          <w:rFonts w:eastAsia="Times New Roman" w:cstheme="minorHAnsi"/>
          <w:noProof/>
          <w:sz w:val="24"/>
          <w:szCs w:val="24"/>
        </w:rPr>
        <w:t xml:space="preserve">(Kim </w:t>
      </w:r>
      <w:r w:rsidRPr="00CD147D">
        <w:rPr>
          <w:rFonts w:eastAsia="Times New Roman" w:cstheme="minorHAnsi"/>
          <w:i/>
          <w:noProof/>
          <w:sz w:val="24"/>
          <w:szCs w:val="24"/>
        </w:rPr>
        <w:t>et al.</w:t>
      </w:r>
      <w:r w:rsidRPr="00CD147D">
        <w:rPr>
          <w:rFonts w:eastAsia="Times New Roman" w:cstheme="minorHAnsi"/>
          <w:noProof/>
          <w:sz w:val="24"/>
          <w:szCs w:val="24"/>
        </w:rPr>
        <w:t>, 201</w:t>
      </w:r>
      <w:r>
        <w:rPr>
          <w:rFonts w:eastAsia="Times New Roman" w:cstheme="minorHAnsi"/>
          <w:noProof/>
          <w:sz w:val="24"/>
          <w:szCs w:val="24"/>
        </w:rPr>
        <w:t>7</w:t>
      </w:r>
      <w:r w:rsidRPr="00CD147D">
        <w:rPr>
          <w:rFonts w:eastAsia="Times New Roman" w:cstheme="minorHAnsi"/>
          <w:noProof/>
          <w:sz w:val="24"/>
          <w:szCs w:val="24"/>
        </w:rPr>
        <w:t>)</w:t>
      </w:r>
      <w:r>
        <w:rPr>
          <w:rFonts w:eastAsia="Times New Roman" w:cstheme="minorHAnsi"/>
          <w:sz w:val="24"/>
          <w:szCs w:val="24"/>
        </w:rPr>
        <w:fldChar w:fldCharType="end"/>
      </w:r>
      <w:r>
        <w:rPr>
          <w:rFonts w:eastAsia="Times New Roman" w:cstheme="minorHAnsi"/>
          <w:sz w:val="24"/>
          <w:szCs w:val="24"/>
        </w:rPr>
        <w:t>, it is plausible that the inversions contribute to the expression patterns observed between the AA, B*B* and AB* karyotypes</w:t>
      </w:r>
      <w:r w:rsidR="00F52460">
        <w:rPr>
          <w:rFonts w:eastAsia="Times New Roman" w:cstheme="minorHAnsi"/>
          <w:sz w:val="24"/>
          <w:szCs w:val="24"/>
        </w:rPr>
        <w:t xml:space="preserve"> through differences in physical location or SNP variation in regulatory motifs</w:t>
      </w:r>
      <w:r>
        <w:rPr>
          <w:rFonts w:eastAsia="Times New Roman" w:cstheme="minorHAnsi"/>
          <w:sz w:val="24"/>
          <w:szCs w:val="24"/>
        </w:rPr>
        <w:t>. Further, our transcriptome data together with SNP data</w:t>
      </w:r>
      <w:r w:rsidR="00061DBC">
        <w:rPr>
          <w:rFonts w:eastAsia="Times New Roman" w:cstheme="minorHAnsi"/>
          <w:sz w:val="24"/>
          <w:szCs w:val="24"/>
        </w:rPr>
        <w:t xml:space="preserve"> </w:t>
      </w:r>
      <w:r w:rsidR="00061DBC">
        <w:rPr>
          <w:rFonts w:eastAsia="Times New Roman" w:cstheme="minorHAnsi"/>
          <w:sz w:val="24"/>
          <w:szCs w:val="24"/>
        </w:rPr>
        <w:fldChar w:fldCharType="begin" w:fldLock="1"/>
      </w:r>
      <w:r w:rsidR="00061DBC">
        <w:rPr>
          <w:rFonts w:eastAsia="Times New Roman" w:cstheme="minorHAnsi"/>
          <w:sz w:val="24"/>
          <w:szCs w:val="24"/>
        </w:rPr>
        <w:instrText>ADDIN CSL_CITATION {"citationItems":[{"id":"ITEM-1","itemData":{"DOI":"https://doi.org/10.5061/dryad.p4238","abstract":"Sperm are perhaps the most diverse cells in the animal kingdom, with enormous morphological variation between taxa, between species, between males and within an ejaculate. Considerable interest in sperm diversity has arisen following the realisation that sperm competition (post-copulatory sexual selection) is a powerful selective force in many organisms, and that sperm morphology has co-evolved with female reproductive tract morphology. However, the relationship between sperm morphology, sperm motility and fertilisation success is only partially understood. The extent to which between-male variation is heritable is largely unknown, and remarkably few studies have investigated the genetic architecture of sperm traits, especially sperm morphology. Here we use high-density genotyping and gene expression profiling to explore the considerable sperm trait variation that exists in the zebra finch Taeniopygia guttata. We show that nearly all of the genetic variation in sperm morphology is caused by an inversion polymorphism on the Z chromosome acting as a ‘supergene’. These results provide a striking example of two evolutionary genetic predictions. First, that in species where females are the heterogametic sex, genetic variation affecting sexually dimorphic traits will accumulate on the Z chromosome. Second, recombination suppression at the inversion allows beneficial dominant alleles to become fixed on whichever haplotype they first arise, without being exchanged onto other haplotypes. Finally, we show that the inversion polymorphism will be stably maintained by heterozygote advantage, because heterozygous males have the fastest and most successful sperm with no apparent fitness cost.","author":[{"dropping-particle":"","family":"Kim","given":"Kang - Wook","non-dropping-particle":"","parse-names":false,"suffix":""},{"dropping-particle":"","family":"Bennison","given":"Clair","non-dropping-particle":"","parse-names":false,"suffix":""},{"dropping-particle":"","family":"Hemmings","given":"Nicola","non-dropping-particle":"","parse-names":false,"suffix":""},{"dropping-particle":"","family":"Brookes","given":"Lola","non-dropping-particle":"","parse-names":false,"suffix":""},{"dropping-particle":"","family":"Hurley","given":"Laura L.","non-dropping-particle":"","parse-names":false,"suffix":""},{"dropping-particle":"","family":"Griffith","given":"Simon C.","non-dropping-particle":"","parse-names":false,"suffix":""},{"dropping-particle":"","family":"Burke","given":"Terry","non-dropping-particle":"","parse-names":false,"suffix":""},{"dropping-particle":"","family":"Birkhead","given":"Tim R.","non-dropping-particle":"","parse-names":false,"suffix":""},{"dropping-particle":"","family":"Slate","given":"Jon","non-dropping-particle":"","parse-names":false,"suffix":""}],"id":"ITEM-1","issued":{"date-parts":[["2018"]]},"publisher":"Dryad","title":"Data from: A sex-linked supergene controls sperm morphology and swimming speed in a songbird","type":"article"},"uris":["http://www.mendeley.com/documents/?uuid=1f525be8-ae8e-48ab-949a-ecb8c9d3dce2"]}],"mendeley":{"formattedCitation":"(Kim et al., 2018)","plainTextFormattedCitation":"(Kim et al., 2018)","previouslyFormattedCitation":"(Kim et al., 2018)"},"properties":{"noteIndex":0},"schema":"https://github.com/citation-style-language/schema/raw/master/csl-citation.json"}</w:instrText>
      </w:r>
      <w:r w:rsidR="00061DBC">
        <w:rPr>
          <w:rFonts w:eastAsia="Times New Roman" w:cstheme="minorHAnsi"/>
          <w:sz w:val="24"/>
          <w:szCs w:val="24"/>
        </w:rPr>
        <w:fldChar w:fldCharType="separate"/>
      </w:r>
      <w:r w:rsidR="00061DBC" w:rsidRPr="001E0464">
        <w:rPr>
          <w:rFonts w:eastAsia="Times New Roman" w:cstheme="minorHAnsi"/>
          <w:noProof/>
          <w:sz w:val="24"/>
          <w:szCs w:val="24"/>
        </w:rPr>
        <w:t>(Kim et al., 2018)</w:t>
      </w:r>
      <w:r w:rsidR="00061DBC">
        <w:rPr>
          <w:rFonts w:eastAsia="Times New Roman" w:cstheme="minorHAnsi"/>
          <w:sz w:val="24"/>
          <w:szCs w:val="24"/>
        </w:rPr>
        <w:fldChar w:fldCharType="end"/>
      </w:r>
      <w:r>
        <w:rPr>
          <w:rFonts w:eastAsia="Times New Roman" w:cstheme="minorHAnsi"/>
          <w:sz w:val="24"/>
          <w:szCs w:val="24"/>
        </w:rPr>
        <w:t xml:space="preserve"> shows that the chromosome Z landscape </w:t>
      </w:r>
      <w:r w:rsidR="00CD29AD">
        <w:rPr>
          <w:rFonts w:eastAsia="Times New Roman" w:cstheme="minorHAnsi"/>
          <w:sz w:val="24"/>
          <w:szCs w:val="24"/>
        </w:rPr>
        <w:t xml:space="preserve">has a different </w:t>
      </w:r>
      <w:r>
        <w:rPr>
          <w:rFonts w:eastAsia="Times New Roman" w:cstheme="minorHAnsi"/>
          <w:sz w:val="24"/>
          <w:szCs w:val="24"/>
        </w:rPr>
        <w:t>pattern than what the old taegut3.4.2 assembly indicated.</w:t>
      </w:r>
      <w:r w:rsidRPr="002356D5">
        <w:rPr>
          <w:rFonts w:eastAsia="Times New Roman" w:cstheme="minorHAnsi"/>
          <w:sz w:val="24"/>
          <w:szCs w:val="24"/>
        </w:rPr>
        <w:t xml:space="preserve"> In general</w:t>
      </w:r>
      <w:r w:rsidR="00186811">
        <w:rPr>
          <w:rFonts w:eastAsia="Times New Roman" w:cstheme="minorHAnsi"/>
          <w:sz w:val="24"/>
          <w:szCs w:val="24"/>
        </w:rPr>
        <w:t>,</w:t>
      </w:r>
      <w:r w:rsidRPr="002356D5">
        <w:rPr>
          <w:rFonts w:eastAsia="Times New Roman" w:cstheme="minorHAnsi"/>
          <w:sz w:val="24"/>
          <w:szCs w:val="24"/>
        </w:rPr>
        <w:t xml:space="preserve"> inversions can affect gene expression in </w:t>
      </w:r>
      <w:r w:rsidR="00CD29AD">
        <w:rPr>
          <w:rFonts w:eastAsia="Times New Roman" w:cstheme="minorHAnsi"/>
          <w:sz w:val="24"/>
          <w:szCs w:val="24"/>
        </w:rPr>
        <w:t>multiple</w:t>
      </w:r>
      <w:r w:rsidR="00CD29AD" w:rsidRPr="002356D5">
        <w:rPr>
          <w:rFonts w:eastAsia="Times New Roman" w:cstheme="minorHAnsi"/>
          <w:sz w:val="24"/>
          <w:szCs w:val="24"/>
        </w:rPr>
        <w:t xml:space="preserve"> </w:t>
      </w:r>
      <w:r w:rsidRPr="002356D5">
        <w:rPr>
          <w:rFonts w:eastAsia="Times New Roman" w:cstheme="minorHAnsi"/>
          <w:sz w:val="24"/>
          <w:szCs w:val="24"/>
        </w:rPr>
        <w:t xml:space="preserve">ways: </w:t>
      </w:r>
      <w:r w:rsidR="00CD29AD">
        <w:rPr>
          <w:rFonts w:eastAsia="Times New Roman" w:cstheme="minorHAnsi"/>
          <w:i/>
          <w:iCs/>
          <w:sz w:val="24"/>
          <w:szCs w:val="24"/>
        </w:rPr>
        <w:t xml:space="preserve">e.g. </w:t>
      </w:r>
      <w:r w:rsidRPr="002356D5">
        <w:rPr>
          <w:rFonts w:eastAsia="Times New Roman" w:cstheme="minorHAnsi"/>
          <w:sz w:val="24"/>
          <w:szCs w:val="24"/>
        </w:rPr>
        <w:t>disrupting the gene sequence</w:t>
      </w:r>
      <w:r w:rsidR="00CD29AD">
        <w:rPr>
          <w:rFonts w:eastAsia="Times New Roman" w:cstheme="minorHAnsi"/>
          <w:sz w:val="24"/>
          <w:szCs w:val="24"/>
        </w:rPr>
        <w:t>,</w:t>
      </w:r>
      <w:r w:rsidRPr="002356D5">
        <w:rPr>
          <w:rFonts w:eastAsia="Times New Roman" w:cstheme="minorHAnsi"/>
          <w:sz w:val="24"/>
          <w:szCs w:val="24"/>
        </w:rPr>
        <w:t xml:space="preserve"> distorting gene regulation</w:t>
      </w:r>
      <w:r w:rsidR="00CD29AD">
        <w:rPr>
          <w:rFonts w:eastAsia="Times New Roman" w:cstheme="minorHAnsi"/>
          <w:sz w:val="24"/>
          <w:szCs w:val="24"/>
        </w:rPr>
        <w:t xml:space="preserve"> through the 3D regulatory conformation or altering chromatin landscape</w:t>
      </w:r>
      <w:r w:rsidR="00CD29AD">
        <w:rPr>
          <w:rStyle w:val="Kommentinviite"/>
        </w:rPr>
        <w:t xml:space="preserve"> </w:t>
      </w:r>
      <w:r w:rsidRPr="002356D5">
        <w:rPr>
          <w:rFonts w:eastAsia="Times New Roman" w:cstheme="minorHAnsi"/>
          <w:sz w:val="24"/>
          <w:szCs w:val="24"/>
        </w:rPr>
        <w:fldChar w:fldCharType="begin" w:fldLock="1"/>
      </w:r>
      <w:r w:rsidR="00896F62">
        <w:rPr>
          <w:rFonts w:eastAsia="Times New Roman" w:cstheme="minorHAnsi"/>
          <w:sz w:val="24"/>
          <w:szCs w:val="24"/>
        </w:rPr>
        <w:instrText>ADDIN CSL_CITATION {"citationItems":[{"id":"ITEM-1","itemData":{"DOI":"10.1093/bfgp/elv020","ISSN":"20412657","PMID":"25998059","abstract":"Polymorphic inversions are a type of structural variants that are difficult to analyze owing to their balanced nature and the location of breakpoints within complex repeated regions. So far, only a handful of inversions have been studied in detail in humans and current knowledge about their possible functional effects is still limited. However, inversions have been related to phenotypic changes and adaptation in multiple species. In this review, we summarize the evidences of the functional impact of inversions in the human genome. First, given that inversions have been shown to inhibit recombination in heterokaryotes, chromosomes displaying different orientation are expected to evolve independently and this may lead to distinct gene-expression patterns. Second, inversions have a role as disease-causing mutations both by directly affecting gene structure or regulation in different ways, and by predisposing to other secondary arrangements in the offspring of inversion carriers. Finally, several inversions show signals of being selected during human evolution. These findings illustrate the potential of inversions to have phenotypic consequences also in humans and emphasize the importance of their inclusion in genome-wide association studies.","author":[{"dropping-particle":"","family":"Puig","given":"Marta","non-dropping-particle":"","parse-names":false,"suffix":""},{"dropping-particle":"","family":"Casillas","given":"Sònia","non-dropping-particle":"","parse-names":false,"suffix":""},{"dropping-particle":"","family":"Villatoro","given":"Sergi","non-dropping-particle":"","parse-names":false,"suffix":""},{"dropping-particle":"","family":"Cáceres","given":"Mario","non-dropping-particle":"","parse-names":false,"suffix":""}],"container-title":"Briefings in Functional Genomics","id":"ITEM-1","issue":"5","issued":{"date-parts":[["2015"]]},"page":"369-379","title":"Human inversions and their functional consequences","type":"article-journal","volume":"14"},"uris":["http://www.mendeley.com/documents/?uuid=91b073bb-e5f3-36a9-8532-cbcbf746645c"]}],"mendeley":{"formattedCitation":"(Puig et al., 2015)","plainTextFormattedCitation":"(Puig et al., 2015)","previouslyFormattedCitation":"(Puig et al., 2015)"},"properties":{"noteIndex":0},"schema":"https://github.com/citation-style-language/schema/raw/master/csl-citation.json"}</w:instrText>
      </w:r>
      <w:r w:rsidRPr="002356D5">
        <w:rPr>
          <w:rFonts w:eastAsia="Times New Roman" w:cstheme="minorHAnsi"/>
          <w:sz w:val="24"/>
          <w:szCs w:val="24"/>
        </w:rPr>
        <w:fldChar w:fldCharType="separate"/>
      </w:r>
      <w:r w:rsidR="001E0464" w:rsidRPr="001E0464">
        <w:rPr>
          <w:rFonts w:eastAsia="Times New Roman" w:cstheme="minorHAnsi"/>
          <w:noProof/>
          <w:sz w:val="24"/>
          <w:szCs w:val="24"/>
        </w:rPr>
        <w:t>(Puig et al., 2015)</w:t>
      </w:r>
      <w:r w:rsidRPr="002356D5">
        <w:rPr>
          <w:rFonts w:eastAsia="Times New Roman" w:cstheme="minorHAnsi"/>
          <w:sz w:val="24"/>
          <w:szCs w:val="24"/>
        </w:rPr>
        <w:fldChar w:fldCharType="end"/>
      </w:r>
      <w:r w:rsidRPr="002356D5">
        <w:rPr>
          <w:rFonts w:eastAsia="Times New Roman" w:cstheme="minorHAnsi"/>
          <w:sz w:val="24"/>
          <w:szCs w:val="24"/>
        </w:rPr>
        <w:t xml:space="preserve">. </w:t>
      </w:r>
      <w:r w:rsidR="000F17D9">
        <w:rPr>
          <w:rFonts w:eastAsia="Times New Roman" w:cstheme="minorHAnsi"/>
          <w:sz w:val="24"/>
          <w:szCs w:val="24"/>
        </w:rPr>
        <w:t>D</w:t>
      </w:r>
      <w:r w:rsidRPr="002356D5">
        <w:rPr>
          <w:rFonts w:eastAsia="Times New Roman" w:cstheme="minorHAnsi"/>
          <w:sz w:val="24"/>
          <w:szCs w:val="24"/>
        </w:rPr>
        <w:t xml:space="preserve">istortion of gene regulation </w:t>
      </w:r>
      <w:r>
        <w:rPr>
          <w:rFonts w:eastAsia="Times New Roman" w:cstheme="minorHAnsi"/>
          <w:sz w:val="24"/>
          <w:szCs w:val="24"/>
        </w:rPr>
        <w:t>i</w:t>
      </w:r>
      <w:r w:rsidRPr="002356D5">
        <w:rPr>
          <w:rFonts w:eastAsia="Times New Roman" w:cstheme="minorHAnsi"/>
          <w:sz w:val="24"/>
          <w:szCs w:val="24"/>
        </w:rPr>
        <w:t xml:space="preserve">s the most plausible explanation for the expression patterns observed (Figure </w:t>
      </w:r>
      <w:r w:rsidR="000A3F80">
        <w:rPr>
          <w:rFonts w:eastAsia="Times New Roman" w:cstheme="minorHAnsi"/>
          <w:sz w:val="24"/>
          <w:szCs w:val="24"/>
        </w:rPr>
        <w:t>3</w:t>
      </w:r>
      <w:r w:rsidR="000A3F80" w:rsidRPr="002356D5">
        <w:rPr>
          <w:rFonts w:eastAsia="Times New Roman" w:cstheme="minorHAnsi"/>
          <w:sz w:val="24"/>
          <w:szCs w:val="24"/>
        </w:rPr>
        <w:t xml:space="preserve"> </w:t>
      </w:r>
      <w:r w:rsidRPr="002356D5">
        <w:rPr>
          <w:rFonts w:eastAsia="Times New Roman" w:cstheme="minorHAnsi"/>
          <w:sz w:val="24"/>
          <w:szCs w:val="24"/>
        </w:rPr>
        <w:t xml:space="preserve">and </w:t>
      </w:r>
      <w:r w:rsidR="000A3F80">
        <w:rPr>
          <w:rFonts w:eastAsia="Times New Roman" w:cstheme="minorHAnsi"/>
          <w:sz w:val="24"/>
          <w:szCs w:val="24"/>
        </w:rPr>
        <w:t>5</w:t>
      </w:r>
      <w:r w:rsidRPr="002356D5">
        <w:rPr>
          <w:rFonts w:eastAsia="Times New Roman" w:cstheme="minorHAnsi"/>
          <w:sz w:val="24"/>
          <w:szCs w:val="24"/>
        </w:rPr>
        <w:t>)</w:t>
      </w:r>
      <w:r>
        <w:rPr>
          <w:rFonts w:eastAsia="Times New Roman" w:cstheme="minorHAnsi"/>
          <w:sz w:val="24"/>
          <w:szCs w:val="24"/>
        </w:rPr>
        <w:t xml:space="preserve"> since if a gene is disrupted, it is likely non-functional</w:t>
      </w:r>
      <w:r w:rsidRPr="002356D5">
        <w:rPr>
          <w:rFonts w:eastAsia="Times New Roman" w:cstheme="minorHAnsi"/>
          <w:sz w:val="24"/>
          <w:szCs w:val="24"/>
        </w:rPr>
        <w:t>. Pleiotropic effects across tissues could be explained by regulators, such as transcription factors</w:t>
      </w:r>
      <w:r w:rsidRPr="00E967C8">
        <w:rPr>
          <w:rFonts w:eastAsia="Times New Roman" w:cstheme="minorHAnsi"/>
          <w:sz w:val="24"/>
          <w:szCs w:val="24"/>
        </w:rPr>
        <w:t xml:space="preserve"> </w:t>
      </w:r>
      <w:r>
        <w:rPr>
          <w:rFonts w:eastAsia="Times New Roman" w:cstheme="minorHAnsi"/>
          <w:sz w:val="24"/>
          <w:szCs w:val="24"/>
        </w:rPr>
        <w:t>or enhancers</w:t>
      </w:r>
      <w:r w:rsidRPr="002356D5">
        <w:rPr>
          <w:rFonts w:eastAsia="Times New Roman" w:cstheme="minorHAnsi"/>
          <w:sz w:val="24"/>
          <w:szCs w:val="24"/>
        </w:rPr>
        <w:t xml:space="preserve">. </w:t>
      </w:r>
      <w:r w:rsidR="0021531F">
        <w:rPr>
          <w:rFonts w:eastAsia="Times New Roman" w:cstheme="minorHAnsi"/>
          <w:sz w:val="24"/>
          <w:szCs w:val="24"/>
        </w:rPr>
        <w:t>Although we did not identify causative transcription factors from Z chromosome as upstream regulators for the 14 genes differentially expressed in both tissues</w:t>
      </w:r>
      <w:r w:rsidR="00CD29AD">
        <w:rPr>
          <w:rFonts w:eastAsia="Times New Roman" w:cstheme="minorHAnsi"/>
          <w:sz w:val="24"/>
          <w:szCs w:val="24"/>
        </w:rPr>
        <w:t>,</w:t>
      </w:r>
      <w:r w:rsidR="0021531F">
        <w:rPr>
          <w:rFonts w:eastAsia="Times New Roman" w:cstheme="minorHAnsi"/>
          <w:sz w:val="24"/>
          <w:szCs w:val="24"/>
        </w:rPr>
        <w:t xml:space="preserve"> </w:t>
      </w:r>
      <w:r w:rsidR="00A3545E">
        <w:rPr>
          <w:rFonts w:eastAsia="Times New Roman" w:cstheme="minorHAnsi"/>
          <w:sz w:val="24"/>
          <w:szCs w:val="24"/>
        </w:rPr>
        <w:t>i</w:t>
      </w:r>
      <w:r w:rsidRPr="00DA7316">
        <w:rPr>
          <w:rFonts w:eastAsia="Times New Roman" w:cstheme="minorHAnsi"/>
          <w:sz w:val="24"/>
          <w:szCs w:val="24"/>
        </w:rPr>
        <w:t>t is likely that enhancer</w:t>
      </w:r>
      <w:r>
        <w:rPr>
          <w:rFonts w:eastAsia="Times New Roman" w:cstheme="minorHAnsi"/>
          <w:sz w:val="24"/>
          <w:szCs w:val="24"/>
        </w:rPr>
        <w:t xml:space="preserve"> </w:t>
      </w:r>
      <w:r w:rsidRPr="00DA7316">
        <w:rPr>
          <w:rFonts w:eastAsia="Times New Roman" w:cstheme="minorHAnsi"/>
          <w:sz w:val="24"/>
          <w:szCs w:val="24"/>
        </w:rPr>
        <w:t>s</w:t>
      </w:r>
      <w:r>
        <w:rPr>
          <w:rFonts w:eastAsia="Times New Roman" w:cstheme="minorHAnsi"/>
          <w:sz w:val="24"/>
          <w:szCs w:val="24"/>
        </w:rPr>
        <w:t>ites</w:t>
      </w:r>
      <w:r w:rsidRPr="00DA7316">
        <w:rPr>
          <w:rFonts w:eastAsia="Times New Roman" w:cstheme="minorHAnsi"/>
          <w:sz w:val="24"/>
          <w:szCs w:val="24"/>
        </w:rPr>
        <w:t xml:space="preserve"> are </w:t>
      </w:r>
      <w:r>
        <w:rPr>
          <w:rFonts w:eastAsia="Times New Roman" w:cstheme="minorHAnsi"/>
          <w:sz w:val="24"/>
          <w:szCs w:val="24"/>
        </w:rPr>
        <w:t>more</w:t>
      </w:r>
      <w:r w:rsidRPr="00DA7316">
        <w:rPr>
          <w:rFonts w:eastAsia="Times New Roman" w:cstheme="minorHAnsi"/>
          <w:sz w:val="24"/>
          <w:szCs w:val="24"/>
        </w:rPr>
        <w:t xml:space="preserve"> important</w:t>
      </w:r>
      <w:r>
        <w:rPr>
          <w:rFonts w:eastAsia="Times New Roman" w:cstheme="minorHAnsi"/>
          <w:sz w:val="24"/>
          <w:szCs w:val="24"/>
        </w:rPr>
        <w:t xml:space="preserve"> than</w:t>
      </w:r>
      <w:r w:rsidRPr="00DA7316">
        <w:rPr>
          <w:rFonts w:eastAsia="Times New Roman" w:cstheme="minorHAnsi"/>
          <w:sz w:val="24"/>
          <w:szCs w:val="24"/>
        </w:rPr>
        <w:t xml:space="preserve"> transcription binding sites for </w:t>
      </w:r>
      <w:r w:rsidRPr="0094386E">
        <w:rPr>
          <w:rFonts w:eastAsia="Times New Roman" w:cstheme="minorHAnsi"/>
          <w:i/>
          <w:iCs/>
          <w:sz w:val="24"/>
          <w:szCs w:val="24"/>
        </w:rPr>
        <w:t>cis</w:t>
      </w:r>
      <w:r w:rsidRPr="00DA7316">
        <w:rPr>
          <w:rFonts w:eastAsia="Times New Roman" w:cstheme="minorHAnsi"/>
          <w:sz w:val="24"/>
          <w:szCs w:val="24"/>
        </w:rPr>
        <w:t>-</w:t>
      </w:r>
      <w:r>
        <w:rPr>
          <w:rFonts w:eastAsia="Times New Roman" w:cstheme="minorHAnsi"/>
          <w:sz w:val="24"/>
          <w:szCs w:val="24"/>
        </w:rPr>
        <w:t xml:space="preserve">regulatory effects due to inversions since enhancers can be very distant from the gene and are known to be important for temporal and tissue-specific gene regulation </w:t>
      </w:r>
      <w:r w:rsidRPr="00DA7316">
        <w:rPr>
          <w:rFonts w:eastAsia="Times New Roman" w:cstheme="minorHAnsi"/>
          <w:sz w:val="24"/>
          <w:szCs w:val="24"/>
        </w:rPr>
        <w:fldChar w:fldCharType="begin" w:fldLock="1"/>
      </w:r>
      <w:r w:rsidR="00896F62">
        <w:rPr>
          <w:rFonts w:eastAsia="Times New Roman" w:cstheme="minorHAnsi"/>
          <w:sz w:val="24"/>
          <w:szCs w:val="24"/>
        </w:rPr>
        <w:instrText>ADDIN CSL_CITATION {"citationItems":[{"id":"ITEM-1","itemData":{"DOI":"10.1002/ajmg.a.63063","ISSN":"15524833","PMID":"36495134","abstract":"Human chromosome inversions are types of balanced structural variations, making them difficult to analyze. Thanks to PEM (paired-end sequencing and mapping), there has been tremendous progress in studying inversions. Inversions play an important role as an evolutionary factor, contributing to the formation of gonosomes, speciation of chimpanzees and humans, and inv17q21.3 or inv8p23.1 exhibit the features of natural selection. Both inversions have been related to pathogenic phenotype by directly affecting a gene structure (e.g., inv5p15.1q14.1), regulating gene expression (e.g., inv7q21.3q35) and by predisposing to other secondary arrangements (e.g., inv7q11.23). A polymorphism of human inversions is documented by the InvFEST database (a database that stores information about clinical predictions, validations, frequency of inversions, etc.), but only a small fraction of these inversions is validated, and a detailed analysis is complicated by the frequent location of breakpoints within regions of repetitive sequences.","author":[{"dropping-particle":"","family":"Kosuthova","given":"Klara","non-dropping-particle":"","parse-names":false,"suffix":""},{"dropping-particle":"","family":"Solc","given":"Roman","non-dropping-particle":"","parse-names":false,"suffix":""}],"container-title":"American Journal of Medical Genetics, Part A","id":"ITEM-1","issued":{"date-parts":[["2022"]]},"title":"Inversions on human chromosomes","type":"article"},"uris":["http://www.mendeley.com/documents/?uuid=703ac5f7-df79-3581-a584-b779767a4344"]},{"id":"ITEM-2","itemData":{"DOI":"10.1016/j.tig.2019.03.006","ISSN":"13624555","PMID":"31005339","abstract":"The current paradigm in the field of gene regulation postulates that regulatory information for generating gene expression is organized into modules (enhancers), each containing the information for driving gene expression in a single spatiotemporal context. This modular organization is thought to facilitate the evolution of gene expression by minimizing pleiotropic effects. Here we review recent studies that provide evidence of quite the opposite: (i) enhancers can function in multiple developmental contexts, implying that enhancers can be pleiotropic, (ii) transcription factor binding sites within pleiotropic enhancers are reused in different contexts, and (iii) pleiotropy impacts the structure and evolution of enhancers. Altogether, this evidence suggests that enhancer pleiotropy is pervasive in animal genomes, challenging the commonly held view of modularity.","author":[{"dropping-particle":"","family":"Sabarís","given":"Gonzalo","non-dropping-particle":"","parse-names":false,"suffix":""},{"dropping-particle":"","family":"Laiker","given":"Ian","non-dropping-particle":"","parse-names":false,"suffix":""},{"dropping-particle":"","family":"Preger-Ben Noon","given":"Ella","non-dropping-particle":"","parse-names":false,"suffix":""},{"dropping-particle":"","family":"Frankel","given":"Nicolás","non-dropping-particle":"","parse-names":false,"suffix":""}],"container-title":"Trends in Genetics","id":"ITEM-2","issue":"6","issued":{"date-parts":[["2019"]]},"page":"423-433","publisher":"Elsevier Ltd","title":"Actors with Multiple Roles: Pleiotropic Enhancers and the Paradigm of Enhancer Modularity","type":"article-journal","volume":"35"},"uris":["http://www.mendeley.com/documents/?uuid=c251a663-321c-4faa-b017-ea90a7db9dfd"]}],"mendeley":{"formattedCitation":"(Kosuthova &amp; Solc, 2022; Sabarís et al., 2019)","plainTextFormattedCitation":"(Kosuthova &amp; Solc, 2022; Sabarís et al., 2019)","previouslyFormattedCitation":"(Kosuthova &amp; Solc, 2022; Sabarís et al., 2019)"},"properties":{"noteIndex":0},"schema":"https://github.com/citation-style-language/schema/raw/master/csl-citation.json"}</w:instrText>
      </w:r>
      <w:r w:rsidRPr="00DA7316">
        <w:rPr>
          <w:rFonts w:eastAsia="Times New Roman" w:cstheme="minorHAnsi"/>
          <w:sz w:val="24"/>
          <w:szCs w:val="24"/>
        </w:rPr>
        <w:fldChar w:fldCharType="separate"/>
      </w:r>
      <w:r w:rsidR="001E0464" w:rsidRPr="001E0464">
        <w:rPr>
          <w:rFonts w:eastAsia="Times New Roman" w:cstheme="minorHAnsi"/>
          <w:noProof/>
          <w:sz w:val="24"/>
          <w:szCs w:val="24"/>
        </w:rPr>
        <w:t>(Kosuthova &amp; Solc, 2022; Sabarís et al., 2019)</w:t>
      </w:r>
      <w:r w:rsidRPr="00DA7316">
        <w:rPr>
          <w:rFonts w:eastAsia="Times New Roman" w:cstheme="minorHAnsi"/>
          <w:sz w:val="24"/>
          <w:szCs w:val="24"/>
        </w:rPr>
        <w:fldChar w:fldCharType="end"/>
      </w:r>
      <w:r w:rsidRPr="00DA7316">
        <w:rPr>
          <w:rFonts w:eastAsia="Times New Roman" w:cstheme="minorHAnsi"/>
          <w:sz w:val="24"/>
          <w:szCs w:val="24"/>
        </w:rPr>
        <w:t xml:space="preserve">. </w:t>
      </w:r>
      <w:r>
        <w:rPr>
          <w:rFonts w:eastAsia="Times New Roman" w:cstheme="minorHAnsi"/>
          <w:sz w:val="24"/>
          <w:szCs w:val="24"/>
        </w:rPr>
        <w:t xml:space="preserve">Unfortunately, the techniques required to examine enhancers are not possible within the </w:t>
      </w:r>
      <w:r>
        <w:rPr>
          <w:rFonts w:eastAsia="Times New Roman" w:cstheme="minorHAnsi"/>
          <w:sz w:val="24"/>
          <w:szCs w:val="24"/>
        </w:rPr>
        <w:lastRenderedPageBreak/>
        <w:t xml:space="preserve">scope of this study, and </w:t>
      </w:r>
      <w:r w:rsidRPr="0038476C">
        <w:rPr>
          <w:rFonts w:eastAsia="Times New Roman" w:cstheme="minorHAnsi"/>
          <w:sz w:val="24"/>
          <w:szCs w:val="24"/>
        </w:rPr>
        <w:t xml:space="preserve">we cannot address the 3D structure and the regulatory landscape </w:t>
      </w:r>
      <w:r>
        <w:rPr>
          <w:rFonts w:eastAsia="Times New Roman" w:cstheme="minorHAnsi"/>
          <w:sz w:val="24"/>
          <w:szCs w:val="24"/>
        </w:rPr>
        <w:t>at this time</w:t>
      </w:r>
      <w:r w:rsidRPr="0038476C">
        <w:rPr>
          <w:rFonts w:eastAsia="Times New Roman" w:cstheme="minorHAnsi"/>
          <w:sz w:val="24"/>
          <w:szCs w:val="24"/>
        </w:rPr>
        <w:t xml:space="preserve"> </w:t>
      </w:r>
      <w:r w:rsidRPr="0038476C">
        <w:rPr>
          <w:rFonts w:eastAsia="Times New Roman" w:cstheme="minorHAnsi"/>
          <w:sz w:val="24"/>
          <w:szCs w:val="24"/>
        </w:rPr>
        <w:fldChar w:fldCharType="begin" w:fldLock="1"/>
      </w:r>
      <w:r w:rsidR="00896F62">
        <w:rPr>
          <w:rFonts w:eastAsia="Times New Roman" w:cstheme="minorHAnsi"/>
          <w:sz w:val="24"/>
          <w:szCs w:val="24"/>
        </w:rPr>
        <w:instrText>ADDIN CSL_CITATION {"citationItems":[{"id":"ITEM-1","itemData":{"DOI":"10.1086/426833","ISBN":"0002-9297 (Print)\\r0002-9297 (Linking)","ISSN":"00029297","PMID":"15549674","abstract":"Transcriptional control is a major mechanism for regulating gene expression. The complex machinery required to effect this control is still emerging from functional and evolutionary analysis of genomic architecture. In addition to the promoter, many other regulatory elements are required for spatiotemporally and quantitatively correct gene expression. Enhancer and repressor elements may reside in introns or up- and downstream of the transcription unit. For some genes with highly complex expression patterns--often those that function as key developmental control genes--the cis-regulatory domain can extend long distances outside the transcription unit. Some of the earliest hints of this came from disease-associated chromosomal breaks positioned well outside the relevant gene. With the availability of wide-ranging genome sequence comparisons, strong conservation of many noncoding regions became obvious. Functional studies have shown many of these conserved sites to be transcriptional regulatory elements that sometimes reside inside unrelated neighboring genes. Such sequence-conserved elements generally harbor sites for tissue-specific DNA-binding proteins. Developmentally variable chromatin conformation can control protein access to these sites and can regulate transcription. Disruption of these finely tuned mechanisms can cause disease. Some regulatory element mutations will be associated with phenotypes distinct from any identified for coding-region mutations.","author":[{"dropping-particle":"","family":"Kleinjan","given":"Dirk A.","non-dropping-particle":"","parse-names":false,"suffix":""},{"dropping-particle":"","family":"Heyningen","given":"Veronica","non-dropping-particle":"van","parse-names":false,"suffix":""}],"container-title":"The American Journal of Human Genetics","id":"ITEM-1","issue":"1","issued":{"date-parts":[["2005"]]},"page":"8-32","title":"Long-Range Control of Gene Expression: Emerging Mechanisms and Disruption in Disease","type":"article-journal","volume":"76"},"uris":["http://www.mendeley.com/documents/?uuid=5bafbbc9-5f8a-4065-89a7-efcc3e81ffd0"]}],"mendeley":{"formattedCitation":"(Kleinjan &amp; van Heyningen, 2005)","plainTextFormattedCitation":"(Kleinjan &amp; van Heyningen, 2005)","previouslyFormattedCitation":"(Kleinjan &amp; van Heyningen, 2005)"},"properties":{"noteIndex":0},"schema":"https://github.com/citation-style-language/schema/raw/master/csl-citation.json"}</w:instrText>
      </w:r>
      <w:r w:rsidRPr="0038476C">
        <w:rPr>
          <w:rFonts w:eastAsia="Times New Roman" w:cstheme="minorHAnsi"/>
          <w:sz w:val="24"/>
          <w:szCs w:val="24"/>
        </w:rPr>
        <w:fldChar w:fldCharType="separate"/>
      </w:r>
      <w:r w:rsidR="001E0464" w:rsidRPr="001E0464">
        <w:rPr>
          <w:rFonts w:eastAsia="Times New Roman" w:cstheme="minorHAnsi"/>
          <w:noProof/>
          <w:sz w:val="24"/>
          <w:szCs w:val="24"/>
        </w:rPr>
        <w:t>(Kleinjan &amp; van Heyningen, 2005)</w:t>
      </w:r>
      <w:r w:rsidRPr="0038476C">
        <w:rPr>
          <w:rFonts w:eastAsia="Times New Roman" w:cstheme="minorHAnsi"/>
          <w:sz w:val="24"/>
          <w:szCs w:val="24"/>
        </w:rPr>
        <w:fldChar w:fldCharType="end"/>
      </w:r>
      <w:r w:rsidRPr="0038476C">
        <w:rPr>
          <w:rFonts w:eastAsia="Times New Roman" w:cstheme="minorHAnsi"/>
          <w:sz w:val="24"/>
          <w:szCs w:val="24"/>
        </w:rPr>
        <w:t>.</w:t>
      </w:r>
    </w:p>
    <w:p w14:paraId="0CFFCC9C" w14:textId="2CF3006C" w:rsidR="003257A8" w:rsidRPr="002D040E" w:rsidRDefault="003257A8" w:rsidP="003257A8">
      <w:pPr>
        <w:spacing w:after="0" w:line="480" w:lineRule="auto"/>
        <w:ind w:firstLine="720"/>
        <w:contextualSpacing/>
        <w:jc w:val="both"/>
        <w:rPr>
          <w:sz w:val="24"/>
          <w:szCs w:val="24"/>
        </w:rPr>
      </w:pPr>
      <w:r w:rsidRPr="0038476C">
        <w:rPr>
          <w:sz w:val="24"/>
          <w:szCs w:val="24"/>
        </w:rPr>
        <w:t>O</w:t>
      </w:r>
      <w:r>
        <w:rPr>
          <w:sz w:val="24"/>
          <w:szCs w:val="24"/>
        </w:rPr>
        <w:t xml:space="preserve">ur results concerning </w:t>
      </w:r>
      <w:r w:rsidRPr="0038476C">
        <w:rPr>
          <w:sz w:val="24"/>
          <w:szCs w:val="24"/>
        </w:rPr>
        <w:t>allele</w:t>
      </w:r>
      <w:r>
        <w:rPr>
          <w:sz w:val="24"/>
          <w:szCs w:val="24"/>
        </w:rPr>
        <w:t>-</w:t>
      </w:r>
      <w:r w:rsidRPr="0038476C">
        <w:rPr>
          <w:sz w:val="24"/>
          <w:szCs w:val="24"/>
        </w:rPr>
        <w:t xml:space="preserve">specific expression </w:t>
      </w:r>
      <w:r>
        <w:rPr>
          <w:sz w:val="24"/>
          <w:szCs w:val="24"/>
        </w:rPr>
        <w:t xml:space="preserve">due to </w:t>
      </w:r>
      <w:r w:rsidRPr="0038476C">
        <w:rPr>
          <w:sz w:val="24"/>
          <w:szCs w:val="24"/>
        </w:rPr>
        <w:t xml:space="preserve">inversion </w:t>
      </w:r>
      <w:r w:rsidR="00896130">
        <w:rPr>
          <w:sz w:val="24"/>
          <w:szCs w:val="24"/>
        </w:rPr>
        <w:t xml:space="preserve">are </w:t>
      </w:r>
      <w:r>
        <w:rPr>
          <w:sz w:val="24"/>
          <w:szCs w:val="24"/>
        </w:rPr>
        <w:t>not unique</w:t>
      </w:r>
      <w:r w:rsidRPr="0038476C">
        <w:rPr>
          <w:sz w:val="24"/>
          <w:szCs w:val="24"/>
        </w:rPr>
        <w:t>. In seaweed fl</w:t>
      </w:r>
      <w:r>
        <w:rPr>
          <w:sz w:val="24"/>
          <w:szCs w:val="24"/>
        </w:rPr>
        <w:t>ies</w:t>
      </w:r>
      <w:r w:rsidRPr="0038476C">
        <w:rPr>
          <w:sz w:val="24"/>
          <w:szCs w:val="24"/>
        </w:rPr>
        <w:t xml:space="preserve"> (</w:t>
      </w:r>
      <w:r w:rsidRPr="00B706DB">
        <w:rPr>
          <w:i/>
          <w:iCs/>
          <w:sz w:val="24"/>
          <w:szCs w:val="24"/>
        </w:rPr>
        <w:t>Coelopa</w:t>
      </w:r>
      <w:r w:rsidRPr="0038476C">
        <w:rPr>
          <w:i/>
          <w:iCs/>
          <w:sz w:val="24"/>
          <w:szCs w:val="24"/>
        </w:rPr>
        <w:t xml:space="preserve"> frigida)</w:t>
      </w:r>
      <w:r>
        <w:rPr>
          <w:i/>
          <w:iCs/>
          <w:sz w:val="24"/>
          <w:szCs w:val="24"/>
        </w:rPr>
        <w:t>,</w:t>
      </w:r>
      <w:r w:rsidRPr="0038476C">
        <w:rPr>
          <w:sz w:val="24"/>
          <w:szCs w:val="24"/>
        </w:rPr>
        <w:t xml:space="preserve"> inversion </w:t>
      </w:r>
      <w:r w:rsidRPr="0038476C">
        <w:rPr>
          <w:i/>
          <w:iCs/>
          <w:sz w:val="24"/>
          <w:szCs w:val="24"/>
        </w:rPr>
        <w:t>Cf-Inv(1)</w:t>
      </w:r>
      <w:r w:rsidRPr="0038476C">
        <w:rPr>
          <w:sz w:val="24"/>
          <w:szCs w:val="24"/>
        </w:rPr>
        <w:t xml:space="preserve"> resulted in differential gene expression between the karyotypes across life stage and sex: both </w:t>
      </w:r>
      <w:r w:rsidRPr="0038476C">
        <w:rPr>
          <w:i/>
          <w:iCs/>
          <w:sz w:val="24"/>
          <w:szCs w:val="24"/>
        </w:rPr>
        <w:t>cis</w:t>
      </w:r>
      <w:r w:rsidRPr="0038476C">
        <w:rPr>
          <w:sz w:val="24"/>
          <w:szCs w:val="24"/>
        </w:rPr>
        <w:t xml:space="preserve">- and </w:t>
      </w:r>
      <w:r w:rsidRPr="0038476C">
        <w:rPr>
          <w:i/>
          <w:iCs/>
          <w:sz w:val="24"/>
          <w:szCs w:val="24"/>
        </w:rPr>
        <w:t>trans</w:t>
      </w:r>
      <w:r w:rsidRPr="0038476C">
        <w:rPr>
          <w:sz w:val="24"/>
          <w:szCs w:val="24"/>
        </w:rPr>
        <w:t>-regulatory effects were identified</w:t>
      </w:r>
      <w:r>
        <w:rPr>
          <w:sz w:val="24"/>
          <w:szCs w:val="24"/>
        </w:rPr>
        <w:t>,</w:t>
      </w:r>
      <w:r w:rsidRPr="0038476C">
        <w:rPr>
          <w:sz w:val="24"/>
          <w:szCs w:val="24"/>
        </w:rPr>
        <w:t xml:space="preserve"> and they differed between the sexes and life-stages </w:t>
      </w:r>
      <w:r w:rsidRPr="0038476C">
        <w:rPr>
          <w:sz w:val="24"/>
          <w:szCs w:val="24"/>
        </w:rPr>
        <w:fldChar w:fldCharType="begin" w:fldLock="1"/>
      </w:r>
      <w:r w:rsidR="00896F62">
        <w:rPr>
          <w:sz w:val="24"/>
          <w:szCs w:val="24"/>
        </w:rPr>
        <w:instrText>ADDIN CSL_CITATION {"citationItems":[{"id":"ITEM-1","itemData":{"DOI":"10.1002/evl3.260","ISSN":"2056-3744","abstract":"Inversions often underlie complex adaptive traits, but the genic targets inside them are largely unknown. Gene expression profiling provides a powerful way to link inversions with their phenotypic consequences. We examined the effects of the Cf-Inv(1) inversion in the seaweed fly Coelopa frigida on gene expression variation across sexes and life stages. Our analyses revealed that Cf-Inv(1) shapes global expression patterns, most likely via linked variation, but the extent of this effect is variable, with much stronger effects in adults than larvae. Furthermore, within adults, both common as well as sex-specific patterns were found. The vast majority of these differentially expressed genes mapped to Cf-Inv(1). However, genes that were differentially expressed in a single context (i.e., in males, females, or larvae) were more likely to be located outside of Cf-Inv(1). By combining our findings with genomic scans for environmentally associated SNPs, we were able to pinpoint candidate variants in the inversion that may underlie mechanistic pathways that determine phenotypes. Together the results of this study, combined with previous findings, support the notion that the polymorphic Cf-Inv(1) inversion in this species is a major factor shaping both coding and regulatory variation resulting in highly complex adaptive effects.","author":[{"dropping-particle":"","family":"Berdan","given":"Emma L.","non-dropping-particle":"","parse-names":false,"suffix":""},{"dropping-particle":"","family":"Mérot","given":"Claire","non-dropping-particle":"","parse-names":false,"suffix":""},{"dropping-particle":"","family":"Pavia","given":"Henrik","non-dropping-particle":"","parse-names":false,"suffix":""},{"dropping-particle":"","family":"Johannesson","given":"Kerstin","non-dropping-particle":"","parse-names":false,"suffix":""},{"dropping-particle":"","family":"Wellenreuther","given":"Maren","non-dropping-particle":"","parse-names":false,"suffix":""},{"dropping-particle":"","family":"Butlin","given":"Roger K.","non-dropping-particle":"","parse-names":false,"suffix":""}],"container-title":"Evolution Letters","id":"ITEM-1","issue":"6","issued":{"date-parts":[["2021","12","7"]]},"page":"607-624","title":"A large chromosomal inversion shapes gene expression in seaweed flies ( Coelopa frigida )","type":"article-journal","volume":"5"},"uris":["http://www.mendeley.com/documents/?uuid=c6e53446-e14f-47f0-b328-e9d5f994f91d"]}],"mendeley":{"formattedCitation":"(Berdan et al., 2021)","plainTextFormattedCitation":"(Berdan et al., 2021)","previouslyFormattedCitation":"(Berdan et al., 2021)"},"properties":{"noteIndex":0},"schema":"https://github.com/citation-style-language/schema/raw/master/csl-citation.json"}</w:instrText>
      </w:r>
      <w:r w:rsidRPr="0038476C">
        <w:rPr>
          <w:sz w:val="24"/>
          <w:szCs w:val="24"/>
        </w:rPr>
        <w:fldChar w:fldCharType="separate"/>
      </w:r>
      <w:r w:rsidR="001E0464" w:rsidRPr="001E0464">
        <w:rPr>
          <w:noProof/>
          <w:sz w:val="24"/>
          <w:szCs w:val="24"/>
        </w:rPr>
        <w:t>(Berdan et al., 2021)</w:t>
      </w:r>
      <w:r w:rsidRPr="0038476C">
        <w:rPr>
          <w:sz w:val="24"/>
          <w:szCs w:val="24"/>
        </w:rPr>
        <w:fldChar w:fldCharType="end"/>
      </w:r>
      <w:r w:rsidRPr="0038476C">
        <w:rPr>
          <w:sz w:val="24"/>
          <w:szCs w:val="24"/>
        </w:rPr>
        <w:t xml:space="preserve">. The </w:t>
      </w:r>
      <w:r w:rsidRPr="0038476C">
        <w:rPr>
          <w:i/>
          <w:iCs/>
          <w:sz w:val="24"/>
          <w:szCs w:val="24"/>
        </w:rPr>
        <w:t>Cf-</w:t>
      </w:r>
      <w:proofErr w:type="gramStart"/>
      <w:r w:rsidRPr="0038476C">
        <w:rPr>
          <w:i/>
          <w:iCs/>
          <w:sz w:val="24"/>
          <w:szCs w:val="24"/>
        </w:rPr>
        <w:t>Inv(</w:t>
      </w:r>
      <w:proofErr w:type="gramEnd"/>
      <w:r w:rsidRPr="0038476C">
        <w:rPr>
          <w:i/>
          <w:iCs/>
          <w:sz w:val="24"/>
          <w:szCs w:val="24"/>
        </w:rPr>
        <w:t>1)</w:t>
      </w:r>
      <w:r w:rsidRPr="0038476C">
        <w:rPr>
          <w:sz w:val="24"/>
          <w:szCs w:val="24"/>
        </w:rPr>
        <w:t xml:space="preserve"> inversion is similar in size to the zebra finch Z inversion that it covers most of the chromosome</w:t>
      </w:r>
      <w:r>
        <w:rPr>
          <w:sz w:val="24"/>
          <w:szCs w:val="24"/>
        </w:rPr>
        <w:t>,</w:t>
      </w:r>
      <w:r w:rsidRPr="0038476C">
        <w:rPr>
          <w:sz w:val="24"/>
          <w:szCs w:val="24"/>
        </w:rPr>
        <w:t xml:space="preserve"> but the inversion in seaweed fly </w:t>
      </w:r>
      <w:r w:rsidRPr="002D040E">
        <w:rPr>
          <w:sz w:val="24"/>
          <w:szCs w:val="24"/>
        </w:rPr>
        <w:t xml:space="preserve">is autosomal. </w:t>
      </w:r>
      <w:r>
        <w:rPr>
          <w:sz w:val="24"/>
          <w:szCs w:val="24"/>
        </w:rPr>
        <w:t xml:space="preserve">Another feature in common with our data and others is that the effect of inversion on gene expression is genome-wide and not just restricted to the chromosome containing the inversion </w:t>
      </w:r>
      <w:r>
        <w:rPr>
          <w:sz w:val="24"/>
          <w:szCs w:val="24"/>
        </w:rPr>
        <w:fldChar w:fldCharType="begin" w:fldLock="1"/>
      </w:r>
      <w:r w:rsidR="00896F62">
        <w:rPr>
          <w:sz w:val="24"/>
          <w:szCs w:val="24"/>
        </w:rPr>
        <w:instrText>ADDIN CSL_CITATION {"citationItems":[{"id":"ITEM-1","itemData":{"DOI":"10.1002/evl3.260","ISSN":"2056-3744","abstract":"Inversions often underlie complex adaptive traits, but the genic targets inside them are largely unknown. Gene expression profiling provides a powerful way to link inversions with their phenotypic consequences. We examined the effects of the Cf-Inv(1) inversion in the seaweed fly Coelopa frigida on gene expression variation across sexes and life stages. Our analyses revealed that Cf-Inv(1) shapes global expression patterns, most likely via linked variation, but the extent of this effect is variable, with much stronger effects in adults than larvae. Furthermore, within adults, both common as well as sex-specific patterns were found. The vast majority of these differentially expressed genes mapped to Cf-Inv(1). However, genes that were differentially expressed in a single context (i.e., in males, females, or larvae) were more likely to be located outside of Cf-Inv(1). By combining our findings with genomic scans for environmentally associated SNPs, we were able to pinpoint candidate variants in the inversion that may underlie mechanistic pathways that determine phenotypes. Together the results of this study, combined with previous findings, support the notion that the polymorphic Cf-Inv(1) inversion in this species is a major factor shaping both coding and regulatory variation resulting in highly complex adaptive effects.","author":[{"dropping-particle":"","family":"Berdan","given":"Emma L.","non-dropping-particle":"","parse-names":false,"suffix":""},{"dropping-particle":"","family":"Mérot","given":"Claire","non-dropping-particle":"","parse-names":false,"suffix":""},{"dropping-particle":"","family":"Pavia","given":"Henrik","non-dropping-particle":"","parse-names":false,"suffix":""},{"dropping-particle":"","family":"Johannesson","given":"Kerstin","non-dropping-particle":"","parse-names":false,"suffix":""},{"dropping-particle":"","family":"Wellenreuther","given":"Maren","non-dropping-particle":"","parse-names":false,"suffix":""},{"dropping-particle":"","family":"Butlin","given":"Roger K.","non-dropping-particle":"","parse-names":false,"suffix":""}],"container-title":"Evolution Letters","id":"ITEM-1","issue":"6","issued":{"date-parts":[["2021","12","7"]]},"page":"607-624","title":"A large chromosomal inversion shapes gene expression in seaweed flies ( Coelopa frigida )","type":"article-journal","volume":"5"},"uris":["http://www.mendeley.com/documents/?uuid=c6e53446-e14f-47f0-b328-e9d5f994f91d"]},{"id":"ITEM-2","itemData":{"DOI":"10.1371/journal.pgen.1009213","ISBN":"1111111111","ISSN":"15537404","PMID":"33270639","abstract":"Chromosomal inversions play an important role in local adaptation. Inversions can capture multiple locally adaptive functional variants in a linked block by repressing recombination. However, this recombination suppression makes it difficult to identify the genetic mechanisms underlying an inversion's role in adaptation. In this study, we used large-scale transcriptomic data to dissect the functional importance of a 13 Mb inversion locus (Inv4m) found almost exclusively in highland populations of maize (Zea mays ssp. mays). Inv4m was introgressed into highland maize from the wild relative Zea mays ssp. mexicana, also present in the highlands of Mexico, and is thought to be important for the adaptation of these populations to cultivation in highland environments. However, the specific genetic variants and traits that underlie this adaptation are not known. We created two families segregating for the standard and inverted haplotypes of Inv4m in a common genetic background and measured gene expression effects associated with the inversion across 9 tissues in two experimental conditions. With these data, we quantified both the global transcriptomic effects of the highland Inv4m haplotype, and the local cis-regulatory variation present within the locus. We found diverse physiological effects of Inv4m across the 9 tissues, including a strong effect on the expression of genes involved in photosynthesis and chloroplast physiology. Although we could not confidently identify the causal alleles within Inv4m, this research accelerates progress towards understanding this inversion and will guide future research on these important genomic features.","author":[{"dropping-particle":"","family":"Crow","given":"Taylor","non-dropping-particle":"","parse-names":false,"suffix":""},{"dropping-particle":"","family":"Ta","given":"James","non-dropping-particle":"","parse-names":false,"suffix":""},{"dropping-particle":"","family":"Nojoomi","given":"Saghi","non-dropping-particle":"","parse-names":false,"suffix":""},{"dropping-particle":"","family":"Aguilar-Rangel","given":"M. Rocío","non-dropping-particle":"","parse-names":false,"suffix":""},{"dropping-particle":"","family":"Rodríguez","given":"Jorge Vladimir Torres","non-dropping-particle":"","parse-names":false,"suffix":""},{"dropping-particle":"","family":"Gates","given":"Daniel","non-dropping-particle":"","parse-names":false,"suffix":""},{"dropping-particle":"","family":"Rellán-Álvarez","given":"Rubén","non-dropping-particle":"","parse-names":false,"suffix":""},{"dropping-particle":"","family":"Sawers","given":"Ruairidh","non-dropping-particle":"","parse-names":false,"suffix":""},{"dropping-particle":"","family":"Runcie","given":"Daniel","non-dropping-particle":"","parse-names":false,"suffix":""}],"container-title":"PLoS Genetics","id":"ITEM-2","issue":"12 December","issued":{"date-parts":[["2020"]]},"page":"1-28","title":"Gene regulatory effects of a large chromosomal inversion in highland maize","type":"article-journal","volume":"16"},"uris":["http://www.mendeley.com/documents/?uuid=ce3e901f-c29b-4e7d-a522-6e6b4039a8cf"]},{"id":"ITEM-3","itemData":{"DOI":"10.1534/g3.117.1133","ISSN":"21601836","PMID":"28916647","abstract":"Chromosomal inversions are a ubiquitous feature of genetic variation. Theoretical models describe several mechanisms by which inversions can drive adaptation and be maintained as polymorphisms. While inversions have been shown previously to be under selection, or contain genetic variation under selection, the specific phenotypic consequences of inversions leading to their maintenance remain unclear. Here we use genomic sequence and expression data from the Drosophila Genetic Reference Panel (DGRP) to explore the effects of two cosmopolitan inversions, In(2L)t and In(3R)Mo, on patterns of transcriptional variation. We demonstrate that each inversion has a significant effect on transcript abundance for hundreds of genes across the genome. Inversion-affected loci (IAL) appear both within inversions as well as on unlinked chromosomes. Importantly, IAL do not appear to be influenced by the previously reported genome-wide expression correlation structure. We found that five genes involved with sterol uptake, four of which are Niemann-Pick Type 2 orthologs, are upregulated in flies with In(3R)Mo but do not have SNPs in linkage disequilibrium (LD) with the inversion. We speculate that this upregulation is driven by genetic variation in mod(mdg4) that is in LD with In(3R)Mo. We find that there is little evidence for a regional or position effect of inversions on gene expression at the chromosomal level, but do find evidence for the distal breakpoint of In(3R)Mo interrupting one gene and possibly disassociating the two flanking genes from regulatory elements.","author":[{"dropping-particle":"","family":"Lavington","given":"Erik","non-dropping-particle":"","parse-names":false,"suffix":""},{"dropping-particle":"","family":"Kern","given":"Andrew D","non-dropping-particle":"","parse-names":false,"suffix":""}],"container-title":"G3: Genes, Genomes, Genetics","id":"ITEM-3","issue":"11","issued":{"date-parts":[["2017"]]},"page":"3659-3668","title":"The effect of common inversion polymorphisms In(2L)t and In(3R)Mo on patterns of transcriptional variation in Drosophila melanogaster","type":"article-journal","volume":"7"},"uris":["http://www.mendeley.com/documents/?uuid=f4f5ad10-3f1d-4ded-b477-f8d17a36e115"]},{"id":"ITEM-4","itemData":{"DOI":"10.1534/genetics.116.191429","ISSN":"1943-2631","PMID":"27401754","abstract":"Chromosomal rearrangements can shape the structure of genetic variation in the genome directly through alteration of genes at breakpoints or indirectly by holding combinations of genetic variants together due to reduced recombination. The third chromosome of Drosophila pseudoobscura is a model system to test hypotheses about how rearrangements are established in populations because its third chromosome is polymorphic for &amp;gt;30 gene arrangements that were generated by a series of overlapping inversion mutations. Circumstantial evidence has suggested that these gene arrangements are selected. Despite the expected homogenizing effects of extensive gene flow, the frequencies of arrangements form gradients or clines in nature, which have been stable since the system was first described &amp;gt;80 years ago. Furthermore, multiple arrangements exist at appreciable frequencies across several ecological niches providing the opportunity for heterokaryotypes to form. In this study, we tested whether genes are differentially expressed among chromosome arrangements in first instar larvae, adult females and males. In addition, we asked whether transcriptional patterns in heterokaryotypes are dominant, semidominant, overdominant, or underdominant. We find evidence for a significant abundance of differentially expressed genes across the inverted regions of the third chromosome, including an enrichment of genes involved in sensory perception for males. We find the majority of loci show additivity in heterokaryotypes. Our results suggest that multiple genes have expression differences among arrangements that were either captured by the original inversion mutation or accumulated after it reached polymorphic frequencies, providing a potential source of genetic variation for selection to act upon. These data suggest that the inversions are favored because of their indirect effect of recombination suppression t</w:instrText>
      </w:r>
      <w:r w:rsidR="00896F62" w:rsidRPr="00992466">
        <w:rPr>
          <w:sz w:val="24"/>
          <w:szCs w:val="24"/>
          <w:lang w:val="nb-NO"/>
        </w:rPr>
        <w:instrText>hat has held different combinations of differentially expressed genes together in the various gene arrangement backgrounds.","author":[{"dropping-particle":"","family":"Fuller","given":"Zachary L","non-dropping-particle":"","parse-names":false,"suffix":""},{"dropping-particle":"","family":"Haynes","given":"Gwilym D","non-dropping-particle":"","parse-names":false,"suffix":""},{"dropping-particle":"","family":"Richards","given":"Stephen","non-dropping-particle":"","parse-names":false,"suffix":""},{"dropping-particle":"","family":"Schaeffer","given":"Stephen W","non-dropping-particle":"","parse-names":false,"suffix":""}],"container-title":"Genetics","id":"ITEM-4","issue":"1","issued":{"date-parts":[["2016","9","1"]]},"page":"287-301","title":"Genomics of Natural Populations: How Differentially Expressed Genes Shape the Evolution of Chromosomal Inversions in Drosophila pseudoobscura","type":"article-journal","volume":"204"},"uris":["http://www.mendeley.com/documents/?uuid=a4f744d5-5f29-425f-b0e5-ec199364c62c"]}],"mendeley":{"formattedCitation":"(Berdan et al., 2021; Crow et al., 2020; Fuller et al., 2016; Lavington &amp; Kern, 2017)","plainTextFormattedCitation":"(Berdan et al., 2021; Crow et al., 2020; Fuller et al., 2016; Lavington &amp; Kern, 2017)","previouslyFormattedCitation":"(Berdan et al., 2021; Crow et al., 2020; Fuller et al., 2016; Lavington &amp; Kern, 2017)"},"properties":{"noteIndex":0},"schema":"https://github.com/citation-style-language/schema/raw/master/csl-citation.json"}</w:instrText>
      </w:r>
      <w:r>
        <w:rPr>
          <w:sz w:val="24"/>
          <w:szCs w:val="24"/>
        </w:rPr>
        <w:fldChar w:fldCharType="separate"/>
      </w:r>
      <w:r w:rsidR="001E0464" w:rsidRPr="001E0464">
        <w:rPr>
          <w:noProof/>
          <w:sz w:val="24"/>
          <w:szCs w:val="24"/>
          <w:lang w:val="nb-NO"/>
        </w:rPr>
        <w:t>(Berdan et al., 2021; Crow et al., 2020; Fuller et al., 2016; Lavington &amp; Kern, 2017)</w:t>
      </w:r>
      <w:r>
        <w:rPr>
          <w:sz w:val="24"/>
          <w:szCs w:val="24"/>
        </w:rPr>
        <w:fldChar w:fldCharType="end"/>
      </w:r>
      <w:r w:rsidRPr="00C314E2">
        <w:rPr>
          <w:sz w:val="24"/>
          <w:szCs w:val="24"/>
          <w:lang w:val="nb-NO"/>
        </w:rPr>
        <w:t xml:space="preserve">. </w:t>
      </w:r>
      <w:r>
        <w:rPr>
          <w:sz w:val="24"/>
          <w:szCs w:val="24"/>
        </w:rPr>
        <w:t xml:space="preserve">Studying homokaryotypes together with established hetereokaryotypes </w:t>
      </w:r>
      <w:r w:rsidR="00CD29AD">
        <w:rPr>
          <w:sz w:val="24"/>
          <w:szCs w:val="24"/>
        </w:rPr>
        <w:t>enables one</w:t>
      </w:r>
      <w:r>
        <w:rPr>
          <w:sz w:val="24"/>
          <w:szCs w:val="24"/>
        </w:rPr>
        <w:t xml:space="preserve"> to disentangle the evolutionarily novel gene expression patterns and how they result </w:t>
      </w:r>
      <w:r w:rsidR="00881FB7">
        <w:rPr>
          <w:sz w:val="24"/>
          <w:szCs w:val="24"/>
        </w:rPr>
        <w:t xml:space="preserve">from an </w:t>
      </w:r>
      <w:r>
        <w:rPr>
          <w:sz w:val="24"/>
          <w:szCs w:val="24"/>
        </w:rPr>
        <w:t xml:space="preserve">inversion </w:t>
      </w:r>
      <w:r>
        <w:rPr>
          <w:sz w:val="24"/>
          <w:szCs w:val="24"/>
        </w:rPr>
        <w:fldChar w:fldCharType="begin" w:fldLock="1"/>
      </w:r>
      <w:r w:rsidR="00896F62">
        <w:rPr>
          <w:sz w:val="24"/>
          <w:szCs w:val="24"/>
        </w:rPr>
        <w:instrText>ADDIN CSL_CITATION {"citationItems":[{"id":"ITEM-1","itemData":{"DOI":"10.1002/evl3.260","ISSN":"2056-3744","abstract":"Inversions often underlie complex adaptive traits, but the genic targets inside them are largely unknown. Gene expression profiling provides a powerful way to link inversions with their phenotypic consequences. We examined the effects of the Cf-Inv(1) inversion in the seaweed fly Coelopa frigida on gene expression variation across sexes and life stages. Our analyses revealed that Cf-Inv(1) shapes global expression patterns, most likely via linked variation, but the extent of this effect is variable, with much stronger effects in adults than larvae. Furthermore, within adults, both common as well as sex-specific patterns were found. The vast majority of these differentially expressed genes mapped to Cf-Inv(1). However, genes that were differentially expressed in a single context (i.e., in males, females, or larvae) were more likely to be located outside of Cf-Inv(1). By combining our findings with genomic scans for environmentally associated SNPs, we were able to pinpoint candidate variants in the inversion that may underlie mechanistic pathways that determine phenotypes. Together the results of this study, combined with previous findings, support the notion that the polymorphic Cf-Inv(1) inversion in this species is a major factor shaping both coding and regulatory variation resulting in highly complex adaptive effects.","author":[{"dropping-particle":"","family":"Berdan","given":"Emma L.","non-dropping-particle":"","parse-names":false,"suffix":""},{"dropping-particle":"","family":"Mérot","given":"Claire","non-dropping-particle":"","parse-names":false,"suffix":""},{"dropping-particle":"","family":"Pavia","given":"Henrik","non-dropping-particle":"","parse-names":false,"suffix":""},{"dropping-particle":"","family":"Johannesson","given":"Kerstin","non-dropping-particle":"","parse-names":false,"suffix":""},{"dropping-particle":"","family":"Wellenreuther","given":"Maren","non-dropping-particle":"","parse-names":false,"suffix":""},{"dropping-particle":"","family":"Butlin","given":"Roger K.","non-dropping-particle":"","parse-names":false,"suffix":""}],"container-title":"Evolution Letters","id":"ITEM-1","issue":"6","issued":{"date-parts":[["2021","12","7"]]},"page":"607-624","title":"A large chromosomal inversion shapes gene expression in seaweed flies ( Coelopa frigida )","type":"article-journal","volume":"5"},"uris":["http://www.mendeley.com/documents/?uuid=c6e53446-e14f-47f0-b328-e9d5f994f91d"]},{"id":"ITEM-2","itemData":{"DOI":"10.1534/genetics.116.191429","ISSN":"1943-2631","PMID":"27401754","abstract":"Chromosomal rearrangements can shape the structure of genetic variation in the genome directly through alteration of genes at breakpoints or indirectly by holding combinations of genetic variants together due to reduced recombination. The third chromosome of Drosophila pseudoobscura is a model system to test hypotheses about how rearrangements are established in populations because its third chromosome is polymorphic for &amp;gt;30 gene arrangements that were generated by a series of overlapping inversion mutations. Circumstantial evidence has suggested that these gene arrangements are selected. Despite the expected homogenizing effects of extensive gene flow, the frequencies of arrangements form gradients or clines in nature, which have been stable since the system was first described &amp;gt;80 years ago. Furthermore, multiple arrangements exist at appreciable frequencies across several ecological niches providing the opportunity for heterokaryotypes to form. In this study, we tested whether genes are differentially expressed among chromosome arrangements in first instar larvae, adult females and males. In addition, we asked whether transcriptional patterns in heterokaryotypes are dominant, semidominant, overdominant, or underdominant. We find evidence for a significant abundance of differentially expressed genes across the inverted regions of the third chromosome, including an enrichment of genes involved in sensory perception for males. We find the majority of loci show additivity in heterokaryotypes. Our results suggest that multiple genes have expression differences among arrangements that were either captured by the original inversion mutation or accumulated after it reached polymorphic frequencies, providing a potential source of genetic variation for selection to act upon. These data suggest that the inversions are favored because of their indirect effect of recombination suppression that has held different combinations of differentially expressed genes together in the various gene arrangement backgrounds.","author":[{"dropping-particle":"","family":"Fuller","given":"Zachary L","non-dropping-particle":"","parse-names":false,"suffix":""},{"dropping-particle":"","family":"Haynes","given":"Gwilym D","non-dropping-particle":"","parse-names":false,"suffix":""},{"dropping-particle":"","family":"Richards","given":"Stephen","non-dropping-particle":"","parse-names":false,"suffix":""},{"dropping-particle":"","family":"Schaeffer","given":"Stephen W","non-dropping-particle":"","parse-names":false,"suffix":""}],"container-title":"Genetics","id":"ITEM-2","issue":"1","issued":{"date-parts":[["2016","9","1"]]},"page":"287-301","title":"Genomics of Natural Populations: How Differentially Expressed Genes Shape the Evolution of Chromosomal Inversions in Drosophila pseudoobscura","type":"article-journal","volume":"204"},"uris":["http://www.mendeley.com/documents/?uuid=a4f744d5-5f29-425f-b0e5-ec199364c62c"]}],"mendeley":{"formattedCitation":"(Berdan et al., 2021; Fuller et al., 2016)","plainTextFormattedCitation":"(Berdan et al., 2021; Fuller et al., 2016)","previouslyFormattedCitation":"(Berdan et al., 2021; Fuller et al., 2016)"},"properties":{"noteIndex":0},"schema":"https://github.com/citation-style-language/schema/raw/master/csl-citation.json"}</w:instrText>
      </w:r>
      <w:r>
        <w:rPr>
          <w:sz w:val="24"/>
          <w:szCs w:val="24"/>
        </w:rPr>
        <w:fldChar w:fldCharType="separate"/>
      </w:r>
      <w:r w:rsidR="001E0464" w:rsidRPr="001E0464">
        <w:rPr>
          <w:noProof/>
          <w:sz w:val="24"/>
          <w:szCs w:val="24"/>
        </w:rPr>
        <w:t>(Berdan et al., 2021; Fuller et al., 2016)</w:t>
      </w:r>
      <w:r>
        <w:rPr>
          <w:sz w:val="24"/>
          <w:szCs w:val="24"/>
        </w:rPr>
        <w:fldChar w:fldCharType="end"/>
      </w:r>
      <w:r>
        <w:rPr>
          <w:sz w:val="24"/>
          <w:szCs w:val="24"/>
        </w:rPr>
        <w:t xml:space="preserve">, and our results </w:t>
      </w:r>
      <w:r w:rsidR="00881FB7">
        <w:rPr>
          <w:sz w:val="24"/>
          <w:szCs w:val="24"/>
        </w:rPr>
        <w:t>add further support for this approach</w:t>
      </w:r>
      <w:r>
        <w:rPr>
          <w:sz w:val="24"/>
          <w:szCs w:val="24"/>
        </w:rPr>
        <w:t>.</w:t>
      </w:r>
    </w:p>
    <w:p w14:paraId="4C59432E" w14:textId="1A0427D6" w:rsidR="003257A8" w:rsidRPr="002356D5" w:rsidRDefault="003257A8" w:rsidP="003257A8">
      <w:pPr>
        <w:spacing w:after="0" w:line="480" w:lineRule="auto"/>
        <w:ind w:firstLine="720"/>
        <w:contextualSpacing/>
        <w:jc w:val="both"/>
        <w:rPr>
          <w:rFonts w:eastAsia="Times New Roman" w:cstheme="minorHAnsi"/>
          <w:sz w:val="24"/>
          <w:szCs w:val="24"/>
        </w:rPr>
      </w:pPr>
      <w:r w:rsidRPr="002356D5">
        <w:rPr>
          <w:rFonts w:eastAsia="Times New Roman" w:cstheme="minorHAnsi"/>
          <w:sz w:val="24"/>
          <w:szCs w:val="24"/>
        </w:rPr>
        <w:t>Differences in</w:t>
      </w:r>
      <w:r>
        <w:rPr>
          <w:rFonts w:eastAsia="Times New Roman" w:cstheme="minorHAnsi"/>
          <w:sz w:val="24"/>
          <w:szCs w:val="24"/>
        </w:rPr>
        <w:t xml:space="preserve"> gene</w:t>
      </w:r>
      <w:r w:rsidRPr="002356D5">
        <w:rPr>
          <w:rFonts w:eastAsia="Times New Roman" w:cstheme="minorHAnsi"/>
          <w:sz w:val="24"/>
          <w:szCs w:val="24"/>
        </w:rPr>
        <w:t xml:space="preserve"> regulation could also result from inversion</w:t>
      </w:r>
      <w:r w:rsidR="0078176D">
        <w:rPr>
          <w:rFonts w:eastAsia="Times New Roman" w:cstheme="minorHAnsi"/>
          <w:sz w:val="24"/>
          <w:szCs w:val="24"/>
        </w:rPr>
        <w:t>s</w:t>
      </w:r>
      <w:r w:rsidRPr="002356D5">
        <w:rPr>
          <w:rFonts w:eastAsia="Times New Roman" w:cstheme="minorHAnsi"/>
          <w:sz w:val="24"/>
          <w:szCs w:val="24"/>
        </w:rPr>
        <w:t xml:space="preserve"> relocating the gene near heterochromatin which would suppress the </w:t>
      </w:r>
      <w:r w:rsidRPr="003B2FC3">
        <w:rPr>
          <w:rFonts w:eastAsia="Times New Roman" w:cstheme="minorHAnsi"/>
          <w:sz w:val="24"/>
          <w:szCs w:val="24"/>
        </w:rPr>
        <w:t xml:space="preserve">expression </w:t>
      </w:r>
      <w:r w:rsidRPr="003B2FC3">
        <w:rPr>
          <w:rFonts w:eastAsia="Times New Roman" w:cstheme="minorHAnsi"/>
          <w:sz w:val="24"/>
          <w:szCs w:val="24"/>
        </w:rPr>
        <w:fldChar w:fldCharType="begin" w:fldLock="1"/>
      </w:r>
      <w:r w:rsidR="00896F62">
        <w:rPr>
          <w:rFonts w:eastAsia="Times New Roman" w:cstheme="minorHAnsi"/>
          <w:sz w:val="24"/>
          <w:szCs w:val="24"/>
        </w:rPr>
        <w:instrText>ADDIN CSL_CITATION {"citationItems":[{"id":"ITEM-1","itemData":{"DOI":"10.1093/bfgp/elv020","ISSN":"20412657","PMID":"25998059","abstract":"Polymorphic inversions are a type of structural variants that are difficult to analyze owing to their balanced nature and the location of breakpoints within complex repeated regions. So far, only a handful of inversions have been studied in detail in humans and current knowledge about their possible functional effects is still limited. However, inversions have been related to phenotypic changes and adaptation in multiple species. In this review, we summarize the evidences of the functional impact of inversions in the human genome. First, given that inversions have been shown to inhibit recombination in heterokaryotes, chromosomes displaying different orientation are expected to evolve independently and this may lead to distinct gene-expression patterns. Second, inversions have a role as disease-causing mutations both by directly affecting gene structure or regulation in different ways, and by predisposing to other secondary arrangements in the offspring of inversion carriers. Finally, several inversions show signals of being selected during human evolution. These findings illustrate the potential of inversions to have phenotypic consequences also in humans and emphasize the importance of their inclusion in genome-wide association studies.","author":[{"dropping-particle":"","family":"Puig","given":"Marta","non-dropping-particle":"","parse-names":false,"suffix":""},{"dropping-particle":"","family":"Casillas","given":"Sònia","non-dropping-particle":"","parse-names":false,"suffix":""},{"dropping-particle":"","family":"Villatoro","given":"Sergi","non-dropping-particle":"","parse-names":false,"suffix":""},{"dropping-particle":"","family":"Cáceres","given":"Mario","non-dropping-particle":"","parse-names":false,"suffix":""}],"container-title":"Briefings in Functional Genomics","id":"ITEM-1","issue":"5","issued":{"date-parts":[["2015"]]},"page":"369-379","title":"Human inversions and their functional consequences","type":"article-journal","volume":"14"},"uris":["http://www.mendeley.com/documents/?uuid=91b073bb-e5f3-36a9-8532-cbcbf746645c"]},{"id":"ITEM-2","itemData":{"DOI":"10.1186/s12864-020-6516-1","ISBN":"1286402065161","ISSN":"1471-2164","PMID":"32000688","abstract":"Background: Three-dimensional spatial organization of chromosomes is defined by highly self-interacting regions 0.1-1 Mb in size termed Topological Associating Domains (TADs). Genetic factors that explain dynamic variation in TAD structure are not understood. We hypothesize that common structural variation (SV) in the human population can disrupt regulatory sequences and thereby influence TAD formation. To determine the effects of SVs on 3D chromatin organization, we performed chromosome conformation capture sequencing (Hi-C) of lymphoblastoid cell lines from 19 subjects for which SVs had been previously characterized in the 1000 genomes project. We tested the effects of common deletion polymorphisms on TAD structure by linear regression analysis of nearby quantitative chromatin interactions (contacts) within 240 kb of the deletion, and we specifically tested the hypothesis that deletions at TAD boundaries (TBs) could result in large-scale alterations in chromatin conformation. Results: Large (&gt; 10 kb) deletions had significant effects on long-range chromatin interactions. Deletions were associated with increased contacts that span the deleted region and this effect was driven by large deletions that were not located within a TAD boundary (nonTB). Some deletions at TBs, including a 80 kb deletion of the genes CFHR1 and CFHR3, had detectable effects on chromatin contacts. However for TB deletions overall, we did not detect a pattern of effects that was consistent in magnitude or direction. Large inversions in the population had a distinguishable signature characterized by a rearrangement of contacts that span its breakpoints. Conclusions: Our study demonstrates that common SVs in the population impact long-range chromatin structure, and deletions and inversions have distinct signatures. However, the effects that we observe are subtle and variable between loci. Genome-wide analysis of chromatin conformation in large cohorts will be needed to quantify the influence of common SVs on chromatin structure.","author":[{"dropping-particle":"","family":"Shanta","given":"Omar","non-dropping-particle":"","parse-names":false,"suffix":""},{"dropping-particle":"","family":"Noor","given":"Amina","non-dropping-particle":"","parse-names":false,"suffix":""},{"dropping-particle":"","family":"Sebat","given":"Jonathan","non-dropping-particle":"","parse-names":false,"suffix":""}],"container-title":"BMC Genomics","id":"ITEM-2","issue":"1","issued":{"date-parts":[["2020","12","30"]]},"page":"95","publisher":"BMC Genomics","title":"The effects of common structural variants on 3D chromatin structure","type":"article-journal","volume":"21"},"uris":["http://www.mendeley.com/documents/?uuid=0d36e154-de64-4f0e-b611-a1c4e362f6db"]}],"mendeley":{"formattedCitation":"(Puig et al., 2015; Shanta et al., 2020)","plainTextFormattedCitation":"(Puig et al., 2015; Shanta et al., 2020)","previouslyFormattedCitation":"(Puig et al., 2015; Shanta et al., 2020)"},"properties":{"noteIndex":0},"schema":"https://github.com/citation-style-language/schema/raw/master/csl-citation.json"}</w:instrText>
      </w:r>
      <w:r w:rsidRPr="003B2FC3">
        <w:rPr>
          <w:rFonts w:eastAsia="Times New Roman" w:cstheme="minorHAnsi"/>
          <w:sz w:val="24"/>
          <w:szCs w:val="24"/>
        </w:rPr>
        <w:fldChar w:fldCharType="separate"/>
      </w:r>
      <w:r w:rsidR="001E0464" w:rsidRPr="001E0464">
        <w:rPr>
          <w:rFonts w:eastAsia="Times New Roman" w:cstheme="minorHAnsi"/>
          <w:noProof/>
          <w:sz w:val="24"/>
          <w:szCs w:val="24"/>
        </w:rPr>
        <w:t>(Puig et al., 2015; Shanta et al., 2020)</w:t>
      </w:r>
      <w:r w:rsidRPr="003B2FC3">
        <w:rPr>
          <w:rFonts w:eastAsia="Times New Roman" w:cstheme="minorHAnsi"/>
          <w:sz w:val="24"/>
          <w:szCs w:val="24"/>
        </w:rPr>
        <w:fldChar w:fldCharType="end"/>
      </w:r>
      <w:r w:rsidRPr="003B2FC3">
        <w:rPr>
          <w:rFonts w:eastAsia="Times New Roman" w:cstheme="minorHAnsi"/>
          <w:sz w:val="24"/>
          <w:szCs w:val="24"/>
        </w:rPr>
        <w:t>. Unfortunately testing this would require knowledge of</w:t>
      </w:r>
      <w:r>
        <w:rPr>
          <w:rFonts w:eastAsia="Times New Roman" w:cstheme="minorHAnsi"/>
          <w:sz w:val="24"/>
          <w:szCs w:val="24"/>
        </w:rPr>
        <w:t>,</w:t>
      </w:r>
      <w:r w:rsidRPr="003B2FC3">
        <w:rPr>
          <w:rFonts w:eastAsia="Times New Roman" w:cstheme="minorHAnsi"/>
          <w:sz w:val="24"/>
          <w:szCs w:val="24"/>
        </w:rPr>
        <w:t xml:space="preserve"> or at least predicting</w:t>
      </w:r>
      <w:r>
        <w:rPr>
          <w:rFonts w:eastAsia="Times New Roman" w:cstheme="minorHAnsi"/>
          <w:sz w:val="24"/>
          <w:szCs w:val="24"/>
        </w:rPr>
        <w:t>,</w:t>
      </w:r>
      <w:r w:rsidRPr="003B2FC3">
        <w:rPr>
          <w:rFonts w:eastAsia="Times New Roman" w:cstheme="minorHAnsi"/>
          <w:sz w:val="24"/>
          <w:szCs w:val="24"/>
        </w:rPr>
        <w:t xml:space="preserve"> the zebra finch Topological Associating Domains (TADs) for chromosome Z</w:t>
      </w:r>
      <w:r>
        <w:rPr>
          <w:rFonts w:eastAsia="Times New Roman" w:cstheme="minorHAnsi"/>
          <w:sz w:val="24"/>
          <w:szCs w:val="24"/>
        </w:rPr>
        <w:t xml:space="preserve"> and for this reason it was out of scope for the current study</w:t>
      </w:r>
      <w:r w:rsidRPr="003B2FC3">
        <w:rPr>
          <w:rFonts w:eastAsia="Times New Roman" w:cstheme="minorHAnsi"/>
          <w:sz w:val="24"/>
          <w:szCs w:val="24"/>
        </w:rPr>
        <w:t>. Given that many long-non-coding R</w:t>
      </w:r>
      <w:r>
        <w:rPr>
          <w:rFonts w:eastAsia="Times New Roman" w:cstheme="minorHAnsi"/>
          <w:sz w:val="24"/>
          <w:szCs w:val="24"/>
        </w:rPr>
        <w:t xml:space="preserve">NA genes were also </w:t>
      </w:r>
      <w:r w:rsidR="0078176D">
        <w:rPr>
          <w:rFonts w:eastAsia="Times New Roman" w:cstheme="minorHAnsi"/>
          <w:sz w:val="24"/>
          <w:szCs w:val="24"/>
        </w:rPr>
        <w:t xml:space="preserve">differentially expressed due to </w:t>
      </w:r>
      <w:r>
        <w:rPr>
          <w:rFonts w:eastAsia="Times New Roman" w:cstheme="minorHAnsi"/>
          <w:sz w:val="24"/>
          <w:szCs w:val="24"/>
        </w:rPr>
        <w:t xml:space="preserve">the inversion </w:t>
      </w:r>
      <w:r w:rsidR="0078176D">
        <w:rPr>
          <w:rFonts w:eastAsia="Times New Roman" w:cstheme="minorHAnsi"/>
          <w:sz w:val="24"/>
          <w:szCs w:val="24"/>
        </w:rPr>
        <w:t>suggests</w:t>
      </w:r>
      <w:r>
        <w:rPr>
          <w:rFonts w:eastAsia="Times New Roman" w:cstheme="minorHAnsi"/>
          <w:sz w:val="24"/>
          <w:szCs w:val="24"/>
        </w:rPr>
        <w:t xml:space="preserve"> that they affect gene regulation in a cell specific manner</w:t>
      </w:r>
      <w:r w:rsidR="00CD29AD">
        <w:rPr>
          <w:rFonts w:eastAsia="Times New Roman" w:cstheme="minorHAnsi"/>
          <w:sz w:val="24"/>
          <w:szCs w:val="24"/>
        </w:rPr>
        <w:t>,</w:t>
      </w:r>
      <w:r>
        <w:rPr>
          <w:rFonts w:eastAsia="Times New Roman" w:cstheme="minorHAnsi"/>
          <w:sz w:val="24"/>
          <w:szCs w:val="24"/>
        </w:rPr>
        <w:t xml:space="preserve"> </w:t>
      </w:r>
      <w:r w:rsidR="000A3F80">
        <w:rPr>
          <w:rFonts w:eastAsia="Times New Roman" w:cstheme="minorHAnsi"/>
          <w:sz w:val="24"/>
          <w:szCs w:val="24"/>
        </w:rPr>
        <w:t xml:space="preserve">as </w:t>
      </w:r>
      <w:r w:rsidR="0078176D">
        <w:rPr>
          <w:rFonts w:eastAsia="Times New Roman" w:cstheme="minorHAnsi"/>
          <w:sz w:val="24"/>
          <w:szCs w:val="24"/>
        </w:rPr>
        <w:t xml:space="preserve">seen </w:t>
      </w:r>
      <w:r w:rsidR="000A3F80">
        <w:rPr>
          <w:rFonts w:eastAsia="Times New Roman" w:cstheme="minorHAnsi"/>
          <w:sz w:val="24"/>
          <w:szCs w:val="24"/>
        </w:rPr>
        <w:t xml:space="preserve">in humans </w:t>
      </w:r>
      <w:r w:rsidR="000A3F80">
        <w:rPr>
          <w:rFonts w:eastAsia="Times New Roman" w:cstheme="minorHAnsi"/>
          <w:sz w:val="24"/>
          <w:szCs w:val="24"/>
        </w:rPr>
        <w:fldChar w:fldCharType="begin" w:fldLock="1"/>
      </w:r>
      <w:r w:rsidR="004A0ABF">
        <w:rPr>
          <w:rFonts w:eastAsia="Times New Roman" w:cstheme="minorHAnsi"/>
          <w:sz w:val="24"/>
          <w:szCs w:val="24"/>
        </w:rPr>
        <w:instrText>ADDIN CSL_CITATION {"citationItems":[{"id":"ITEM-1","itemData":{"DOI":"10.1093/biolre/ioy253","ISBN":"1587902486","ISSN":"15297268","PMID":"30517597","abstract":"Increasing studies have shown that specific mRNAs and miRNAs expressed in mature sperm may be related to sperm motility. However, the expression profiles and roles of lncRNAs in sperm remain unknown. In the present study, numerous lncRNAs were identified in human sperm, and some lncRNAs were expressed exclusively in sperm and testis. Compared with those in normal sperm, the lncRNA expression profiles in asthenozoospermia (AZS) sperm showed significant differences. Gene ontology and pathway analyses showed that function of differentially expressed lncRNA targets and mRNAs between AZS and normal sperm were closely linked with many processes involved in spermatogenesis and sperm function. Furthermore, among the upregulated lncRNAs in AZS sperm, lnc32058, lnc09522, and lnc98487, which exhibited specific/enriched sperm and testicular expression, increased simultaneously in the same AZS sperm samples, and their expression levels were correlated with sperm progressive motility. This is the first systematic study of lncRNA expression profiles in human mature sperm indicating an association between lncRNA expression and sperm motility. The study provides a preliminary database for identifying lncRNAs crucial for human spermatogenesis and sperm function, and new insights into our understanding of the regulation of sperm motility and causes of male infertility.","author":[{"dropping-particle":"","family":"Zhang","given":"Xiaoning","non-dropping-particle":"","parse-names":false,"suffix":""},{"dropping-particle":"","family":"Zhang","given":"Peng","non-dropping-particle":"","parse-names":false,"suffix":""},{"dropping-particle":"","family":"Song","given":"Dandan","non-dropping-particle":"","parse-names":false,"suffix":""},{"dropping-particle":"","family":"Xiong","given":"Suping","non-dropping-particle":"","parse-names":false,"suffix":""},{"dropping-particle":"","family":"Zhang","given":"Hongyan","non-dropping-particle":"","parse-names":false,"suffix":""},{"dropping-particle":"","family":"Fu","given":"Jianbo","non-dropping-particle":"","parse-names":false,"suffix":""},{"dropping-particle":"","family":"Gao","given":"Fengxin","non-dropping-particle":"","parse-names":false,"suffix":""},{"dropping-particle":"","family":"Chen","given":"Houyang","non-dropping-particle":"","parse-names":false,"suffix":""},{"dropping-particle":"","family":"Zeng","given":"Xuhui","non-dropping-particle":"","parse-names":false,"suffix":""}],"container-title":"Biology of Reproduction","id":"ITEM-1","issue":"4","issued":{"date-parts":[["2019"]]},"page":"982-993","title":"Expression profiles and characteristics of human lncRNA in normal and asthenozoospermia sperm","type":"article-journal","volume":"100"},"uris":["http://www.mendeley.com/documents/?uuid=149055f4-9e21-42d0-b64c-98ae607282be"]}],"mendeley":{"formattedCitation":"(Zhang et al., 2019)","plainTextFormattedCitation":"(Zhang et al., 2019)","previouslyFormattedCitation":"(Zhang et al., 2019)"},"properties":{"noteIndex":0},"schema":"https://github.com/citation-style-language/schema/raw/master/csl-citation.json"}</w:instrText>
      </w:r>
      <w:r w:rsidR="000A3F80">
        <w:rPr>
          <w:rFonts w:eastAsia="Times New Roman" w:cstheme="minorHAnsi"/>
          <w:sz w:val="24"/>
          <w:szCs w:val="24"/>
        </w:rPr>
        <w:fldChar w:fldCharType="separate"/>
      </w:r>
      <w:r w:rsidR="000A3F80" w:rsidRPr="000A3F80">
        <w:rPr>
          <w:rFonts w:eastAsia="Times New Roman" w:cstheme="minorHAnsi"/>
          <w:noProof/>
          <w:sz w:val="24"/>
          <w:szCs w:val="24"/>
        </w:rPr>
        <w:t>(Zhang et al., 2019)</w:t>
      </w:r>
      <w:r w:rsidR="000A3F80">
        <w:rPr>
          <w:rFonts w:eastAsia="Times New Roman" w:cstheme="minorHAnsi"/>
          <w:sz w:val="24"/>
          <w:szCs w:val="24"/>
        </w:rPr>
        <w:fldChar w:fldCharType="end"/>
      </w:r>
      <w:r w:rsidR="000A3F80">
        <w:rPr>
          <w:rFonts w:eastAsia="Times New Roman" w:cstheme="minorHAnsi"/>
          <w:sz w:val="24"/>
          <w:szCs w:val="24"/>
        </w:rPr>
        <w:t xml:space="preserve">, or </w:t>
      </w:r>
      <w:r>
        <w:rPr>
          <w:rFonts w:eastAsia="Times New Roman" w:cstheme="minorHAnsi"/>
          <w:sz w:val="24"/>
          <w:szCs w:val="24"/>
        </w:rPr>
        <w:t xml:space="preserve">affect the epigenetic pattern of gene regulation </w:t>
      </w:r>
      <w:r>
        <w:rPr>
          <w:rFonts w:eastAsia="Times New Roman" w:cstheme="minorHAnsi"/>
          <w:sz w:val="24"/>
          <w:szCs w:val="24"/>
        </w:rPr>
        <w:fldChar w:fldCharType="begin" w:fldLock="1"/>
      </w:r>
      <w:r w:rsidR="00896F62">
        <w:rPr>
          <w:rFonts w:eastAsia="Times New Roman" w:cstheme="minorHAnsi"/>
          <w:sz w:val="24"/>
          <w:szCs w:val="24"/>
        </w:rPr>
        <w:instrText>ADDIN CSL_CITATION {"citationItems":[{"id":"ITEM-1","itemData":{"DOI":"10.3892/or.2016.5236","ISSN":"17912431","PMID":"27841002","abstract":"Epigenetics is a discipline that studies heritable changes in gene expression that do not involve altering the DNA sequence. Over the past decade, researchers have shown that epigenetic regulation plays a momentous role in cell growth, differentiation, autoimmune diseases, and cancer. The main epigenetic mechanisms include the wellunderstood phenomenon of DNA methylation, histone modifications, and regulation by non-coding RNAs, a mode of regulation that has only been identified relatively recently and is an area of intensive ongoing investigation. It is generally known that the majority of human transcripts are not translated but a large number f them nonetheless serve vital functions. Non-coding RNAs are a cluster of RNAs that do not encode functional proteins and were originally considered to merely regulate gene expression at the posttranscriptional level. However, taken together, a wide variety of recent studies have suggested that miRNAs, piRNAs, endogenous siRNAs, and long non-coding RNAs are the most common regulatory RNAs, and, significantly, there is a growing body of evidence that regulatory non-coding RNAs play an important role in epigenetic control. Therefore, these non-coding RNAs (ncRNAs) highlight the prominent role of RNA in the regulation of gene expression. Herein, we summarize recent research developments with the purpose of coming to a better understanding of non-coding RNAs and their mechanisms of action in cells, thus gaining a preliminary understanding that non-coding RNAs feed back into an epigenetic regulatory network.","author":[{"dropping-particle":"","family":"Wei","given":"Jian Wei","non-dropping-particle":"","parse-names":false,"suffix":""},{"dropping-particle":"","family":"Huang","given":"Kai","non-dropping-particle":"","parse-names":false,"suffix":""},{"dropping-particle":"","family":"Yang","given":"Chao","non-dropping-particle":"","parse-names":false,"suffix":""},{"dropping-particle":"","family":"Kang","given":"Chun Sheng","non-dropping-particle":"","parse-names":false,"suffix":""}],"container-title":"Oncology Reports","id":"ITEM-1","issue":"1","issued":{"date-parts":[["2017"]]},"page":"3-9","title":"Non-coding RNAs as regulators in epigenetics (Review)","type":"article-journal","volume":"37"},"uris":["http://www.mendeley.com/documents/?uuid=5637645b-7b0f-3c5b-9f14-ffaf2e2922bb"]},{"id":"ITEM-2","itemData":{"DOI":"10.1038/nrg3606","ISSN":"14710056","PMID":"24296535","abstract":"Genomes of multicellular organisms are characterized by the pervasive expression of different types of non-coding RNAs (ncRNAs). Long ncRNAs (lncRNAs) belong to a novel heterogeneous class of ncRNAs that includes thousands of different species. lncRNAs have crucial roles in gene expression control during both developmental and differentiation processes, and the number of lncRNA species increases in genomes of developmentally complex organisms, which highlights the importance of RNA-based levels of control in the evolution of multicellular organisms. In this Review, we describe the function of lncRNAs in developmental processes, such as in dosage compensation, genomic imprinting, cell differentiation and organogenesis, with a particular emphasis on mammalian development. © 2014 Macmillan Publishers Limited.","author":[{"dropping-particle":"","family":"Fatica","given":"Alessandro","non-dropping-particle":"","parse-names":false,"suffix":""},{"dropping-particle":"","family":"Bozzoni","given":"Irene","non-dropping-particle":"","parse-names":false,"suffix":""}],"container-title":"Nature Reviews Genetics","id":"ITEM-2","issue":"1","issued":{"date-parts":[["2014"]]},"page":"7-21","publisher":"Nature Publishing Group","title":"Long non-coding RNAs: New players in cell differentiation and development","type":"article-journal","volume":"15"},"uris":["http://www.mendeley.com/documents/?uuid=a14f2e17-be3d-42a4-92fd-c3c816add4ae"]}],"mendeley":{"formattedCitation":"(Fatica &amp; Bozzoni, 2014; Wei et al., 2017)","plainTextFormattedCitation":"(Fatica &amp; Bozzoni, 2014; Wei et al., 2017)","previouslyFormattedCitation":"(Fatica &amp; Bozzoni, 2014; Wei et al., 2017)"},"properties":{"noteIndex":0},"schema":"https://github.com/citation-style-language/schema/raw/master/csl-citation.json"}</w:instrText>
      </w:r>
      <w:r>
        <w:rPr>
          <w:rFonts w:eastAsia="Times New Roman" w:cstheme="minorHAnsi"/>
          <w:sz w:val="24"/>
          <w:szCs w:val="24"/>
        </w:rPr>
        <w:fldChar w:fldCharType="separate"/>
      </w:r>
      <w:r w:rsidR="001E0464" w:rsidRPr="001E0464">
        <w:rPr>
          <w:rFonts w:eastAsia="Times New Roman" w:cstheme="minorHAnsi"/>
          <w:noProof/>
          <w:sz w:val="24"/>
          <w:szCs w:val="24"/>
        </w:rPr>
        <w:t>(Fatica &amp; Bozzoni, 2014; Wei et al., 2017)</w:t>
      </w:r>
      <w:r>
        <w:rPr>
          <w:rFonts w:eastAsia="Times New Roman" w:cstheme="minorHAnsi"/>
          <w:sz w:val="24"/>
          <w:szCs w:val="24"/>
        </w:rPr>
        <w:fldChar w:fldCharType="end"/>
      </w:r>
      <w:r w:rsidRPr="003B2FC3">
        <w:rPr>
          <w:rFonts w:eastAsia="Times New Roman" w:cstheme="minorHAnsi"/>
          <w:sz w:val="24"/>
          <w:szCs w:val="24"/>
        </w:rPr>
        <w:t>.</w:t>
      </w:r>
      <w:r>
        <w:rPr>
          <w:rFonts w:eastAsia="Times New Roman" w:cstheme="minorHAnsi"/>
          <w:color w:val="FF0000"/>
          <w:sz w:val="24"/>
          <w:szCs w:val="24"/>
        </w:rPr>
        <w:t xml:space="preserve"> </w:t>
      </w:r>
      <w:r w:rsidRPr="002356D5">
        <w:rPr>
          <w:rFonts w:eastAsia="Times New Roman" w:cstheme="minorHAnsi"/>
          <w:sz w:val="24"/>
          <w:szCs w:val="24"/>
        </w:rPr>
        <w:t xml:space="preserve">Epigenetic regulation is also a potentially important mechanisms for differential gene expression. In humans gene expression in inversion regions is affected by </w:t>
      </w:r>
      <w:r w:rsidR="0078176D" w:rsidRPr="002356D5">
        <w:rPr>
          <w:rFonts w:eastAsia="Times New Roman" w:cstheme="minorHAnsi"/>
          <w:sz w:val="24"/>
          <w:szCs w:val="24"/>
        </w:rPr>
        <w:t>inversion</w:t>
      </w:r>
      <w:r w:rsidR="0078176D">
        <w:rPr>
          <w:rFonts w:eastAsia="Times New Roman" w:cstheme="minorHAnsi"/>
          <w:sz w:val="24"/>
          <w:szCs w:val="24"/>
        </w:rPr>
        <w:t>-</w:t>
      </w:r>
      <w:r w:rsidRPr="002356D5">
        <w:rPr>
          <w:rFonts w:eastAsia="Times New Roman" w:cstheme="minorHAnsi"/>
          <w:sz w:val="24"/>
          <w:szCs w:val="24"/>
        </w:rPr>
        <w:t xml:space="preserve">allele specific methylation which </w:t>
      </w:r>
      <w:r w:rsidR="00881FB7">
        <w:rPr>
          <w:rFonts w:eastAsia="Times New Roman" w:cstheme="minorHAnsi"/>
          <w:sz w:val="24"/>
          <w:szCs w:val="24"/>
        </w:rPr>
        <w:t>also</w:t>
      </w:r>
      <w:r w:rsidR="00881FB7" w:rsidRPr="002356D5">
        <w:rPr>
          <w:rFonts w:eastAsia="Times New Roman" w:cstheme="minorHAnsi"/>
          <w:sz w:val="24"/>
          <w:szCs w:val="24"/>
        </w:rPr>
        <w:t xml:space="preserve"> </w:t>
      </w:r>
      <w:r w:rsidRPr="002356D5">
        <w:rPr>
          <w:rFonts w:eastAsia="Times New Roman" w:cstheme="minorHAnsi"/>
          <w:sz w:val="24"/>
          <w:szCs w:val="24"/>
        </w:rPr>
        <w:t xml:space="preserve">showed tissue specific effects </w:t>
      </w:r>
      <w:r w:rsidRPr="002356D5">
        <w:rPr>
          <w:sz w:val="24"/>
          <w:szCs w:val="24"/>
        </w:rPr>
        <w:fldChar w:fldCharType="begin" w:fldLock="1"/>
      </w:r>
      <w:r w:rsidR="00896F62">
        <w:rPr>
          <w:sz w:val="24"/>
          <w:szCs w:val="24"/>
        </w:rPr>
        <w:instrText>ADDIN CSL_CITATION {"citationItems":[{"id":"ITEM-1","itemData":{"DOI":"10.1038/s42003-022-03380-2","ISSN":"23993642","PMID":"35550596","abstract":"Polymorphic genomic inversions are chromosomal variants with intrinsic variability that play important roles in evolution, environmental adaptation, and complex traits. We investigated the DNA methylation patterns of three common human inversions, at 8p23.1, 16p11.2, and 17q21.31 in 1,009 blood samples from children from the Human Early Life Exposome (HELIX) project and in 39 prenatal heart tissue samples. We found inversion-state specific methylation patterns within and nearby flanking each inversion region in both datasets. Additionally, numerous inversion-exposure interactions on methylation levels were identified from early-life exposome data comprising 64 exposures. For instance, children homozygous at inv-8p23.1 and higher meat intake were more susceptible to TDH hypermethylation (P = 3.8 × 10−22); being the inversion, exposure, and gene known risk factors for adult obesity. Inv-8p23.1 associated hypermethylation of GATA4 was also detected across numerous exposures. Our data suggests that the pleiotropic influence of inversions during development and lifetime could be substantially mediated by allele-specific methylation patterns which can be modulated by the exposome.","author":[{"dropping-particle":"","family":"Carreras-Gallo","given":"Natàlia","non-dropping-particle":"","parse-names":false,"suffix":""},{"dropping-particle":"","family":"Cáceres","given":"Alejandro","non-dropping-particle":"","parse-names":false,"suffix":""},{"dropping-particle":"","family":"Balagué-Dobón","given":"Laura","non-dropping-particle":"","parse-names":false,"suffix":""},{"dropping-particle":"","family":"Ruiz-Arenas","given":"Carlos","non-dropping-particle":"","parse-names":false,"suffix":""},{"dropping-particle":"","family":"Andrusaityte","given":"Sandra","non-dropping-particle":"","parse-names":false,"suffix":""},{"dropping-particle":"","family":"Carracedo","given":"Ángel","non-dropping-particle":"","parse-names":false,"suffix":""},{"dropping-particle":"","family":"Casas","given":"Maribel","non-dropping-particle":"","parse-names":false,"suffix":""},{"dropping-particle":"","family":"Chatzi","given":"Leda","non-dropping-particle":"","parse-names":false,"suffix":""},{"dropping-particle":"","family":"Grazuleviciene","given":"Regina","non-dropping-particle":"","parse-names":false,"suffix":""},{"dropping-particle":"","family":"Gutzkow","given":"Kristine Bjerve","non-dropping-particle":"","parse-names":false,"suffix":""},{"dropping-particle":"","family":"Lepeule","given":"Johanna","non-dropping-particle":"","parse-names":false,"suffix":""},{"dropping-particle":"","family":"Maitre","given":"Léa","non-dropping-particle":"","parse-names":false,"suffix":""},{"dropping-particle":"","family":"Nieuwenhuijsen","given":"Mark","non-dropping-particle":"","parse-names":false,"suffix":""},{"dropping-particle":"","family":"Slama","given":"Remy","non-dropping-particle":"","parse-names":false,"suffix":""},{"dropping-particle":"","family":"Stratakis","given":"Nikos","non-dropping-particle":"","parse-names":false,"suffix":""},{"dropping-particle":"","family":"Thomsen","given":"Cathrine","non-dropping-particle":"","parse-names":false,"suffix":""},{"dropping-particle":"","family":"Urquiza","given":"Jose","non-dropping-particle":"","parse-names":false,"suffix":""},{"dropping-particle":"","family":"Wright","given":"John","non-dropping-particle":"","parse-names":false,"suffix":""},{"dropping-particle":"","family":"Yang","given":"Tiffany","non-dropping-particle":"","parse-names":false,"suffix":""},{"dropping-particle":"","family":"Escaramís","given":"Geòrgia","non-dropping-particle":"","parse-names":false,"suffix":""},{"dropping-particle":"","family":"Bustamante","given":"Mariona","non-dropping-particle":"","parse-names":false,"suffix":""},{"dropping-particle":"","family":"Vrijheid","given":"Martine","non-dropping-particle":"","parse-names":false,"suffix":""},{"dropping-particle":"","family":"Pérez-Jurado","given":"Luis A","non-dropping-particle":"","parse-names":false,"suffix":""},{"dropping-particle":"","family":"González","given":"Juan R","non-dropping-particle":"","parse-names":false,"suffix":""}],"container-title":"Communications Biology","id":"ITEM-1","issue":"1","issued":{"date-parts":[["2022"]]},"title":"The early-life exposome modulates the effect of polymorphic inversions on DNA methylation","type":"article-journal","volume":"5"},"uris":["http://www.mendeley.com/documents/?uuid=75af34d7-4cc8-367f-8b88-feb1643f800a"]}],"mendeley":{"formattedCitation":"(Carreras-Gallo et al., 2022)","plainTextFormattedCitation":"(Carreras-Gallo et al., 2022)","previouslyFormattedCitation":"(Carreras-Gallo et al., 2022)"},"properties":{"noteIndex":0},"schema":"https://github.com/citation-style-language/schema/raw/master/csl-citation.json"}</w:instrText>
      </w:r>
      <w:r w:rsidRPr="002356D5">
        <w:rPr>
          <w:sz w:val="24"/>
          <w:szCs w:val="24"/>
        </w:rPr>
        <w:fldChar w:fldCharType="separate"/>
      </w:r>
      <w:r w:rsidR="001E0464" w:rsidRPr="001E0464">
        <w:rPr>
          <w:noProof/>
          <w:sz w:val="24"/>
          <w:szCs w:val="24"/>
        </w:rPr>
        <w:t>(Carreras-Gallo et al., 2022)</w:t>
      </w:r>
      <w:r w:rsidRPr="002356D5">
        <w:rPr>
          <w:sz w:val="24"/>
          <w:szCs w:val="24"/>
        </w:rPr>
        <w:fldChar w:fldCharType="end"/>
      </w:r>
      <w:r w:rsidRPr="002356D5">
        <w:rPr>
          <w:sz w:val="24"/>
          <w:szCs w:val="24"/>
        </w:rPr>
        <w:t xml:space="preserve">. </w:t>
      </w:r>
      <w:r w:rsidRPr="002356D5">
        <w:rPr>
          <w:rFonts w:eastAsia="Times New Roman" w:cstheme="minorHAnsi"/>
          <w:sz w:val="24"/>
          <w:szCs w:val="24"/>
        </w:rPr>
        <w:t xml:space="preserve">Similarly, in white-throated sparrows inversion ZAL2m showed allele-specific differential </w:t>
      </w:r>
      <w:r w:rsidRPr="002356D5">
        <w:rPr>
          <w:rFonts w:eastAsia="Times New Roman" w:cstheme="minorHAnsi"/>
          <w:sz w:val="24"/>
          <w:szCs w:val="24"/>
        </w:rPr>
        <w:lastRenderedPageBreak/>
        <w:t>methylation in cis-regulatory element of the vasoactive intestinal peptide gene which was previously shown to be differentially expressed between individuals carrying different inversion alleles</w:t>
      </w:r>
      <w:r w:rsidRPr="002356D5">
        <w:rPr>
          <w:sz w:val="24"/>
          <w:szCs w:val="24"/>
        </w:rPr>
        <w:t xml:space="preserve"> </w:t>
      </w:r>
      <w:r w:rsidRPr="002356D5">
        <w:rPr>
          <w:sz w:val="24"/>
          <w:szCs w:val="24"/>
        </w:rPr>
        <w:fldChar w:fldCharType="begin" w:fldLock="1"/>
      </w:r>
      <w:r w:rsidR="00896F62">
        <w:rPr>
          <w:sz w:val="24"/>
          <w:szCs w:val="24"/>
        </w:rPr>
        <w:instrText>ADDIN CSL_CITATION {"citationItems":[{"id":"ITEM-1","itemData":{"DOI":"10.1111/gbb.12831","ISSN":"1601183X","PMID":"36220804","abstract":"White-throated sparrows (Zonotrichia albicollis) offer a unique opportunity to connect genotype with behavioral phenotype. In this species, a rearrangement of the second chromosome is linked with territorial aggression; birds with a copy of this “supergene” rearrangement are more aggressive than those without it. The supergene has captured the gene VIP, which encodes vasoactive intestinal peptide, a neuromodulator that drives aggression in other songbirds. In white-throated sparrows, VIP expression is higher in the anterior hypothalamus of birds with the supergene than those without it, and expression of VIP in this region predicts the level of territorial aggression regardless of genotype. Here, we aimed to identify epigenetic mechanisms that could contribute to differential expression of VIP both in breeding adults, which exhibit morph differences in territorial aggression, and in nestlings, before territorial behavior develops. We extracted and bisulfite-converted DNA from samples of the hypothalamus in wild-caught adults and nestlings and used high-throughput sequencing to measure DNA methylation of a region upstream of the VIP start site. We found that the allele inside the supergene was less methylated than the alternative allele in both adults and nestlings. The differential methylation was attributed primarily to CpG sites that were shared between the alleles, not to polymorphic sites, which suggests that epigenetic regulation is occurring independently of the genetic differentiation within the supergene. This work represents an initial step toward understanding how epigenetic differentiation inside chromosomal inversions leads to the development of alternative behavioral phenotypes.","author":[{"dropping-particle":"","family":"Prichard","given":"Mackenzie R.","non-dropping-particle":"","parse-names":false,"suffix":""},{"dropping-particle":"","family":"Grogan","given":"Kathleen E.","non-dropping-particle":"","parse-names":false,"suffix":""},{"dropping-particle":"","family":"Merritt","given":"Jennifer R.","non-dropping-particle":"","parse-names":false,"suffix":""},{"dropping-particle":"","family":"Root","given":"Jessica","non-dropping-particle":"","parse-names":false,"suffix":""},{"dropping-particle":"","family":"Maney","given":"Donna L.","non-dropping-particle":"","parse-names":false,"suffix":""}],"container-title":"Genes, Brain and Behavior","id":"ITEM-1","issue":"8","issued":{"date-parts":[["2022"]]},"page":"1-12","title":"Allele-specific cis-regulatory methylation of the gene for vasoactive intestinal peptide in white-throated sparrows","type":"article-journal","volume":"21"},"uris":["http://www.mendeley.com/documents/?uuid=7ffb15fa-1352-4307-bcf5-5753789937eb"]}],"mendeley":{"formattedCitation":"(Prichard et al., 2022)","plainTextFormattedCitation":"(Prichard et al., 2022)","previouslyFormattedCitation":"(Prichard et al., 2022)"},"properties":{"noteIndex":0},"schema":"https://github.com/citation-style-language/schema/raw/master/csl-citation.json"}</w:instrText>
      </w:r>
      <w:r w:rsidRPr="002356D5">
        <w:rPr>
          <w:sz w:val="24"/>
          <w:szCs w:val="24"/>
        </w:rPr>
        <w:fldChar w:fldCharType="separate"/>
      </w:r>
      <w:r w:rsidR="001E0464" w:rsidRPr="001E0464">
        <w:rPr>
          <w:noProof/>
          <w:sz w:val="24"/>
          <w:szCs w:val="24"/>
        </w:rPr>
        <w:t>(Prichard et al., 2022)</w:t>
      </w:r>
      <w:r w:rsidRPr="002356D5">
        <w:rPr>
          <w:sz w:val="24"/>
          <w:szCs w:val="24"/>
        </w:rPr>
        <w:fldChar w:fldCharType="end"/>
      </w:r>
      <w:r w:rsidRPr="002356D5">
        <w:rPr>
          <w:sz w:val="24"/>
          <w:szCs w:val="24"/>
        </w:rPr>
        <w:t xml:space="preserve">. </w:t>
      </w:r>
    </w:p>
    <w:p w14:paraId="2F092C13" w14:textId="6BD66E4B" w:rsidR="004E5E1C" w:rsidRDefault="003257A8" w:rsidP="004E5E1C">
      <w:pPr>
        <w:spacing w:after="0" w:line="480" w:lineRule="auto"/>
        <w:ind w:firstLine="720"/>
        <w:contextualSpacing/>
        <w:jc w:val="both"/>
        <w:rPr>
          <w:rFonts w:eastAsia="Times New Roman" w:cstheme="minorHAnsi"/>
          <w:sz w:val="24"/>
          <w:szCs w:val="24"/>
        </w:rPr>
      </w:pPr>
      <w:r w:rsidRPr="002356D5">
        <w:rPr>
          <w:rFonts w:eastAsia="Times New Roman" w:cstheme="minorHAnsi"/>
          <w:sz w:val="24"/>
          <w:szCs w:val="24"/>
        </w:rPr>
        <w:t xml:space="preserve">We found </w:t>
      </w:r>
      <w:r>
        <w:rPr>
          <w:rFonts w:eastAsia="Times New Roman" w:cstheme="minorHAnsi"/>
          <w:sz w:val="24"/>
          <w:szCs w:val="24"/>
        </w:rPr>
        <w:t>more</w:t>
      </w:r>
      <w:r w:rsidRPr="002356D5">
        <w:rPr>
          <w:rFonts w:eastAsia="Times New Roman" w:cstheme="minorHAnsi"/>
          <w:sz w:val="24"/>
          <w:szCs w:val="24"/>
        </w:rPr>
        <w:t xml:space="preserve"> DE genes </w:t>
      </w:r>
      <w:r>
        <w:rPr>
          <w:rFonts w:eastAsia="Times New Roman" w:cstheme="minorHAnsi"/>
          <w:sz w:val="24"/>
          <w:szCs w:val="24"/>
        </w:rPr>
        <w:t>in</w:t>
      </w:r>
      <w:r w:rsidRPr="002356D5">
        <w:rPr>
          <w:rFonts w:eastAsia="Times New Roman" w:cstheme="minorHAnsi"/>
          <w:sz w:val="24"/>
          <w:szCs w:val="24"/>
        </w:rPr>
        <w:t xml:space="preserve"> testis </w:t>
      </w:r>
      <w:r>
        <w:rPr>
          <w:rFonts w:eastAsia="Times New Roman" w:cstheme="minorHAnsi"/>
          <w:sz w:val="24"/>
          <w:szCs w:val="24"/>
        </w:rPr>
        <w:t>than in</w:t>
      </w:r>
      <w:r w:rsidRPr="002356D5">
        <w:rPr>
          <w:rFonts w:eastAsia="Times New Roman" w:cstheme="minorHAnsi"/>
          <w:sz w:val="24"/>
          <w:szCs w:val="24"/>
        </w:rPr>
        <w:t xml:space="preserve"> </w:t>
      </w:r>
      <w:proofErr w:type="gramStart"/>
      <w:r w:rsidRPr="002356D5">
        <w:rPr>
          <w:rFonts w:eastAsia="Times New Roman" w:cstheme="minorHAnsi"/>
          <w:sz w:val="24"/>
          <w:szCs w:val="24"/>
        </w:rPr>
        <w:t>liver</w:t>
      </w:r>
      <w:r>
        <w:rPr>
          <w:rFonts w:eastAsia="Times New Roman" w:cstheme="minorHAnsi"/>
          <w:sz w:val="24"/>
          <w:szCs w:val="24"/>
        </w:rPr>
        <w:t>, and</w:t>
      </w:r>
      <w:proofErr w:type="gramEnd"/>
      <w:r>
        <w:rPr>
          <w:rFonts w:eastAsia="Times New Roman" w:cstheme="minorHAnsi"/>
          <w:sz w:val="24"/>
          <w:szCs w:val="24"/>
        </w:rPr>
        <w:t xml:space="preserve"> given the distinct sperm phenotypes among the inversion karyotypes as well as the high degree of transcriptional activity in testis, this may be expected. Although in the liver, since the timepoints were merged, there should potentially be more power to detect differences in expression among the karyotypes, which we did not observe. I</w:t>
      </w:r>
      <w:r w:rsidRPr="002356D5">
        <w:rPr>
          <w:rFonts w:eastAsia="Times New Roman" w:cstheme="minorHAnsi"/>
          <w:sz w:val="24"/>
          <w:szCs w:val="24"/>
        </w:rPr>
        <w:t>n testis</w:t>
      </w:r>
      <w:r>
        <w:rPr>
          <w:rFonts w:eastAsia="Times New Roman" w:cstheme="minorHAnsi"/>
          <w:sz w:val="24"/>
          <w:szCs w:val="24"/>
        </w:rPr>
        <w:t>,</w:t>
      </w:r>
      <w:r w:rsidRPr="002356D5">
        <w:rPr>
          <w:rFonts w:eastAsia="Times New Roman" w:cstheme="minorHAnsi"/>
          <w:sz w:val="24"/>
          <w:szCs w:val="24"/>
        </w:rPr>
        <w:t xml:space="preserve"> the</w:t>
      </w:r>
      <w:r w:rsidR="00D65999">
        <w:rPr>
          <w:rFonts w:eastAsia="Times New Roman" w:cstheme="minorHAnsi"/>
          <w:sz w:val="24"/>
          <w:szCs w:val="24"/>
        </w:rPr>
        <w:t xml:space="preserve"> DE</w:t>
      </w:r>
      <w:r w:rsidRPr="002356D5">
        <w:rPr>
          <w:rFonts w:eastAsia="Times New Roman" w:cstheme="minorHAnsi"/>
          <w:sz w:val="24"/>
          <w:szCs w:val="24"/>
        </w:rPr>
        <w:t xml:space="preserve"> genes were involved with functions related to cilium </w:t>
      </w:r>
      <w:r w:rsidR="001B63D6">
        <w:rPr>
          <w:rFonts w:eastAsia="Times New Roman" w:cstheme="minorHAnsi"/>
          <w:sz w:val="24"/>
          <w:szCs w:val="24"/>
        </w:rPr>
        <w:t>(</w:t>
      </w:r>
      <w:r w:rsidR="00C146A8" w:rsidRPr="00C146A8">
        <w:rPr>
          <w:rFonts w:eastAsia="Times New Roman" w:cstheme="minorHAnsi"/>
          <w:sz w:val="24"/>
          <w:szCs w:val="24"/>
        </w:rPr>
        <w:t>GO:0097729</w:t>
      </w:r>
      <w:r w:rsidR="00C146A8">
        <w:rPr>
          <w:rFonts w:eastAsia="Times New Roman" w:cstheme="minorHAnsi"/>
          <w:sz w:val="24"/>
          <w:szCs w:val="24"/>
        </w:rPr>
        <w:t xml:space="preserve">, </w:t>
      </w:r>
      <w:r w:rsidR="00C146A8" w:rsidRPr="00C146A8">
        <w:rPr>
          <w:rFonts w:eastAsia="Times New Roman" w:cstheme="minorHAnsi"/>
          <w:sz w:val="24"/>
          <w:szCs w:val="24"/>
        </w:rPr>
        <w:t>GO:0060294</w:t>
      </w:r>
      <w:r w:rsidR="00C146A8">
        <w:rPr>
          <w:rFonts w:eastAsia="Times New Roman" w:cstheme="minorHAnsi"/>
          <w:sz w:val="24"/>
          <w:szCs w:val="24"/>
        </w:rPr>
        <w:t xml:space="preserve">, </w:t>
      </w:r>
      <w:r w:rsidR="00C146A8" w:rsidRPr="00C146A8">
        <w:rPr>
          <w:rFonts w:eastAsia="Times New Roman" w:cstheme="minorHAnsi"/>
          <w:sz w:val="24"/>
          <w:szCs w:val="24"/>
        </w:rPr>
        <w:t>GO:0060285</w:t>
      </w:r>
      <w:r w:rsidR="001B63D6">
        <w:rPr>
          <w:rFonts w:eastAsia="Times New Roman" w:cstheme="minorHAnsi"/>
          <w:sz w:val="24"/>
          <w:szCs w:val="24"/>
        </w:rPr>
        <w:t xml:space="preserve">) </w:t>
      </w:r>
      <w:r w:rsidRPr="002356D5">
        <w:rPr>
          <w:rFonts w:eastAsia="Times New Roman" w:cstheme="minorHAnsi"/>
          <w:sz w:val="24"/>
          <w:szCs w:val="24"/>
        </w:rPr>
        <w:t xml:space="preserve">and microtubule organization </w:t>
      </w:r>
      <w:r w:rsidR="001B63D6">
        <w:rPr>
          <w:rFonts w:eastAsia="Times New Roman" w:cstheme="minorHAnsi"/>
          <w:sz w:val="24"/>
          <w:szCs w:val="24"/>
        </w:rPr>
        <w:t>(</w:t>
      </w:r>
      <w:r w:rsidR="00C146A8" w:rsidRPr="00C146A8">
        <w:rPr>
          <w:rFonts w:eastAsia="Times New Roman" w:cstheme="minorHAnsi"/>
          <w:sz w:val="24"/>
          <w:szCs w:val="24"/>
        </w:rPr>
        <w:t>GO:0005874</w:t>
      </w:r>
      <w:r w:rsidR="00C146A8">
        <w:rPr>
          <w:rFonts w:eastAsia="Times New Roman" w:cstheme="minorHAnsi"/>
          <w:sz w:val="24"/>
          <w:szCs w:val="24"/>
        </w:rPr>
        <w:t xml:space="preserve">, </w:t>
      </w:r>
      <w:r w:rsidR="00C146A8" w:rsidRPr="00C146A8">
        <w:rPr>
          <w:rFonts w:eastAsia="Times New Roman" w:cstheme="minorHAnsi"/>
          <w:sz w:val="24"/>
          <w:szCs w:val="24"/>
        </w:rPr>
        <w:t>GO:0120031</w:t>
      </w:r>
      <w:r w:rsidR="00C146A8">
        <w:rPr>
          <w:rFonts w:eastAsia="Times New Roman" w:cstheme="minorHAnsi"/>
          <w:sz w:val="24"/>
          <w:szCs w:val="24"/>
        </w:rPr>
        <w:t xml:space="preserve">, </w:t>
      </w:r>
      <w:r w:rsidR="00C146A8" w:rsidRPr="00C146A8">
        <w:rPr>
          <w:rFonts w:eastAsia="Times New Roman" w:cstheme="minorHAnsi"/>
          <w:sz w:val="24"/>
          <w:szCs w:val="24"/>
        </w:rPr>
        <w:t>GO:0007288</w:t>
      </w:r>
      <w:r w:rsidR="001B63D6">
        <w:rPr>
          <w:rFonts w:eastAsia="Times New Roman" w:cstheme="minorHAnsi"/>
          <w:sz w:val="24"/>
          <w:szCs w:val="24"/>
        </w:rPr>
        <w:t xml:space="preserve">) </w:t>
      </w:r>
      <w:r w:rsidRPr="002356D5">
        <w:rPr>
          <w:rFonts w:eastAsia="Times New Roman" w:cstheme="minorHAnsi"/>
          <w:sz w:val="24"/>
          <w:szCs w:val="24"/>
        </w:rPr>
        <w:t xml:space="preserve">and assembly </w:t>
      </w:r>
      <w:r w:rsidR="001B63D6">
        <w:rPr>
          <w:rFonts w:eastAsia="Times New Roman" w:cstheme="minorHAnsi"/>
          <w:sz w:val="24"/>
          <w:szCs w:val="24"/>
        </w:rPr>
        <w:t>(</w:t>
      </w:r>
      <w:r w:rsidR="00C146A8" w:rsidRPr="00C146A8">
        <w:rPr>
          <w:rFonts w:eastAsia="Times New Roman" w:cstheme="minorHAnsi"/>
          <w:sz w:val="24"/>
          <w:szCs w:val="24"/>
        </w:rPr>
        <w:t>GO:0035082</w:t>
      </w:r>
      <w:r w:rsidR="00C146A8">
        <w:rPr>
          <w:rFonts w:eastAsia="Times New Roman" w:cstheme="minorHAnsi"/>
          <w:sz w:val="24"/>
          <w:szCs w:val="24"/>
        </w:rPr>
        <w:t xml:space="preserve">, </w:t>
      </w:r>
      <w:r w:rsidR="00C146A8" w:rsidRPr="00C146A8">
        <w:rPr>
          <w:rFonts w:eastAsia="Times New Roman" w:cstheme="minorHAnsi"/>
          <w:sz w:val="24"/>
          <w:szCs w:val="24"/>
        </w:rPr>
        <w:t>GO:0036159</w:t>
      </w:r>
      <w:r w:rsidR="00C146A8">
        <w:rPr>
          <w:rFonts w:eastAsia="Times New Roman" w:cstheme="minorHAnsi"/>
          <w:sz w:val="24"/>
          <w:szCs w:val="24"/>
        </w:rPr>
        <w:t>,</w:t>
      </w:r>
      <w:r w:rsidR="00C146A8" w:rsidRPr="00C146A8">
        <w:t xml:space="preserve"> </w:t>
      </w:r>
      <w:r w:rsidR="00C146A8" w:rsidRPr="00C146A8">
        <w:rPr>
          <w:rFonts w:eastAsia="Times New Roman" w:cstheme="minorHAnsi"/>
          <w:sz w:val="24"/>
          <w:szCs w:val="24"/>
        </w:rPr>
        <w:t>GO:0060271</w:t>
      </w:r>
      <w:r w:rsidR="001B63D6">
        <w:rPr>
          <w:rFonts w:eastAsia="Times New Roman" w:cstheme="minorHAnsi"/>
          <w:sz w:val="24"/>
          <w:szCs w:val="24"/>
        </w:rPr>
        <w:t xml:space="preserve">), </w:t>
      </w:r>
      <w:r w:rsidRPr="002356D5">
        <w:rPr>
          <w:rFonts w:eastAsia="Times New Roman" w:cstheme="minorHAnsi"/>
          <w:sz w:val="24"/>
          <w:szCs w:val="24"/>
        </w:rPr>
        <w:t xml:space="preserve">thus relating the DE genes to cell motility </w:t>
      </w:r>
      <w:r w:rsidR="00C146A8">
        <w:rPr>
          <w:rFonts w:eastAsia="Times New Roman" w:cstheme="minorHAnsi"/>
          <w:sz w:val="24"/>
          <w:szCs w:val="24"/>
        </w:rPr>
        <w:t>(</w:t>
      </w:r>
      <w:r w:rsidR="00C146A8" w:rsidRPr="00C146A8">
        <w:rPr>
          <w:rFonts w:eastAsia="Times New Roman" w:cstheme="minorHAnsi"/>
          <w:sz w:val="24"/>
          <w:szCs w:val="24"/>
        </w:rPr>
        <w:t>GO:0048870</w:t>
      </w:r>
      <w:r w:rsidR="00C146A8">
        <w:rPr>
          <w:rFonts w:eastAsia="Times New Roman" w:cstheme="minorHAnsi"/>
          <w:sz w:val="24"/>
          <w:szCs w:val="24"/>
        </w:rPr>
        <w:t xml:space="preserve">, </w:t>
      </w:r>
      <w:r w:rsidR="00C146A8" w:rsidRPr="00C146A8">
        <w:rPr>
          <w:rFonts w:eastAsia="Times New Roman" w:cstheme="minorHAnsi"/>
          <w:sz w:val="24"/>
          <w:szCs w:val="24"/>
        </w:rPr>
        <w:t xml:space="preserve">GO:0001539 </w:t>
      </w:r>
      <w:r w:rsidR="00C146A8">
        <w:rPr>
          <w:rFonts w:eastAsia="Times New Roman" w:cstheme="minorHAnsi"/>
          <w:sz w:val="24"/>
          <w:szCs w:val="24"/>
        </w:rPr>
        <w:t xml:space="preserve">) </w:t>
      </w:r>
      <w:r w:rsidRPr="002356D5">
        <w:rPr>
          <w:rFonts w:eastAsia="Times New Roman" w:cstheme="minorHAnsi"/>
          <w:sz w:val="24"/>
          <w:szCs w:val="24"/>
        </w:rPr>
        <w:t>and more specifically to sperm motility</w:t>
      </w:r>
      <w:r w:rsidR="00C146A8">
        <w:rPr>
          <w:rFonts w:eastAsia="Times New Roman" w:cstheme="minorHAnsi"/>
          <w:sz w:val="24"/>
          <w:szCs w:val="24"/>
        </w:rPr>
        <w:t xml:space="preserve"> (</w:t>
      </w:r>
      <w:r w:rsidR="00C146A8" w:rsidRPr="00C146A8">
        <w:rPr>
          <w:rFonts w:eastAsia="Times New Roman" w:cstheme="minorHAnsi"/>
          <w:sz w:val="24"/>
          <w:szCs w:val="24"/>
        </w:rPr>
        <w:t>GO:0097722</w:t>
      </w:r>
      <w:r w:rsidR="00C146A8">
        <w:rPr>
          <w:rFonts w:eastAsia="Times New Roman" w:cstheme="minorHAnsi"/>
          <w:sz w:val="24"/>
          <w:szCs w:val="24"/>
        </w:rPr>
        <w:t xml:space="preserve">, </w:t>
      </w:r>
      <w:r w:rsidR="00C146A8" w:rsidRPr="00C146A8">
        <w:rPr>
          <w:rFonts w:eastAsia="Times New Roman" w:cstheme="minorHAnsi"/>
          <w:sz w:val="24"/>
          <w:szCs w:val="24"/>
        </w:rPr>
        <w:t>GO:0030317</w:t>
      </w:r>
      <w:r w:rsidR="00C146A8">
        <w:rPr>
          <w:rFonts w:eastAsia="Times New Roman" w:cstheme="minorHAnsi"/>
          <w:sz w:val="24"/>
          <w:szCs w:val="24"/>
        </w:rPr>
        <w:t>)</w:t>
      </w:r>
      <w:r w:rsidRPr="002356D5">
        <w:rPr>
          <w:rFonts w:eastAsia="Times New Roman" w:cstheme="minorHAnsi"/>
          <w:sz w:val="24"/>
          <w:szCs w:val="24"/>
        </w:rPr>
        <w:t xml:space="preserve"> (</w:t>
      </w:r>
      <w:r w:rsidR="00991ACE">
        <w:rPr>
          <w:rFonts w:eastAsia="Times New Roman" w:cstheme="minorHAnsi"/>
          <w:sz w:val="24"/>
          <w:szCs w:val="24"/>
        </w:rPr>
        <w:t>Table S4</w:t>
      </w:r>
      <w:r w:rsidR="001B63D6">
        <w:rPr>
          <w:rFonts w:eastAsia="Times New Roman" w:cstheme="minorHAnsi"/>
          <w:sz w:val="24"/>
          <w:szCs w:val="24"/>
        </w:rPr>
        <w:t>, S5</w:t>
      </w:r>
      <w:r w:rsidR="00F774B4">
        <w:rPr>
          <w:rFonts w:eastAsia="Times New Roman" w:cstheme="minorHAnsi"/>
          <w:sz w:val="24"/>
          <w:szCs w:val="24"/>
        </w:rPr>
        <w:t xml:space="preserve"> and Figure</w:t>
      </w:r>
      <w:r w:rsidR="00D30660">
        <w:rPr>
          <w:rFonts w:eastAsia="Times New Roman" w:cstheme="minorHAnsi"/>
          <w:sz w:val="24"/>
          <w:szCs w:val="24"/>
        </w:rPr>
        <w:t xml:space="preserve"> 3</w:t>
      </w:r>
      <w:r w:rsidRPr="002356D5">
        <w:rPr>
          <w:rFonts w:eastAsia="Times New Roman" w:cstheme="minorHAnsi"/>
          <w:sz w:val="24"/>
          <w:szCs w:val="24"/>
        </w:rPr>
        <w:t>)</w:t>
      </w:r>
      <w:r w:rsidR="0078176D">
        <w:rPr>
          <w:rFonts w:eastAsia="Times New Roman" w:cstheme="minorHAnsi"/>
          <w:sz w:val="24"/>
          <w:szCs w:val="24"/>
        </w:rPr>
        <w:t>,</w:t>
      </w:r>
      <w:r w:rsidR="00E33B0A">
        <w:rPr>
          <w:rFonts w:eastAsia="Times New Roman" w:cstheme="minorHAnsi"/>
          <w:sz w:val="24"/>
          <w:szCs w:val="24"/>
        </w:rPr>
        <w:t xml:space="preserve"> and</w:t>
      </w:r>
      <w:r w:rsidR="00D65999">
        <w:rPr>
          <w:rFonts w:eastAsia="Times New Roman" w:cstheme="minorHAnsi"/>
          <w:sz w:val="24"/>
          <w:szCs w:val="24"/>
        </w:rPr>
        <w:t xml:space="preserve"> genes involved in</w:t>
      </w:r>
      <w:r w:rsidR="00E33B0A">
        <w:rPr>
          <w:rFonts w:eastAsia="Times New Roman" w:cstheme="minorHAnsi"/>
          <w:sz w:val="24"/>
          <w:szCs w:val="24"/>
        </w:rPr>
        <w:t xml:space="preserve"> these </w:t>
      </w:r>
      <w:r w:rsidR="00D65999">
        <w:rPr>
          <w:rFonts w:eastAsia="Times New Roman" w:cstheme="minorHAnsi"/>
          <w:sz w:val="24"/>
          <w:szCs w:val="24"/>
        </w:rPr>
        <w:t>GO terms</w:t>
      </w:r>
      <w:r w:rsidR="00E33B0A">
        <w:rPr>
          <w:rFonts w:eastAsia="Times New Roman" w:cstheme="minorHAnsi"/>
          <w:sz w:val="24"/>
          <w:szCs w:val="24"/>
        </w:rPr>
        <w:t xml:space="preserve"> have also been identified to be involved in </w:t>
      </w:r>
      <w:r w:rsidR="00881FB7">
        <w:rPr>
          <w:rFonts w:eastAsia="Times New Roman" w:cstheme="minorHAnsi"/>
          <w:sz w:val="24"/>
          <w:szCs w:val="24"/>
        </w:rPr>
        <w:t xml:space="preserve">the </w:t>
      </w:r>
      <w:r w:rsidR="00E33B0A">
        <w:rPr>
          <w:rFonts w:eastAsia="Times New Roman" w:cstheme="minorHAnsi"/>
          <w:sz w:val="24"/>
          <w:szCs w:val="24"/>
        </w:rPr>
        <w:t xml:space="preserve">human sperm microtubulome </w:t>
      </w:r>
      <w:r w:rsidR="00E33B0A">
        <w:rPr>
          <w:rFonts w:eastAsia="Times New Roman" w:cstheme="minorHAnsi"/>
          <w:sz w:val="24"/>
          <w:szCs w:val="24"/>
        </w:rPr>
        <w:fldChar w:fldCharType="begin" w:fldLock="1"/>
      </w:r>
      <w:r w:rsidR="00AF6EE7">
        <w:rPr>
          <w:rFonts w:eastAsia="Times New Roman" w:cstheme="minorHAnsi"/>
          <w:sz w:val="24"/>
          <w:szCs w:val="24"/>
        </w:rPr>
        <w:instrText>ADDIN CSL_CITATION {"citationItems":[{"id":"ITEM-1","itemData":{"DOI":"10.1095/biolreprod.116.143479","ISSN":"15297268","PMID":"28395323","abstract":"Spermmotility notably depends on the structural integrity of the flagellum and the regulation ofmicrotubule dynamics. Although researchers have started to use \"omics\" techniques to characterize the human sperm's molecular landscape, the constituents responsible for the assembly, organization, and dynamics of the flagellum microtubule have yet to be fully defined. In this study, we defined a core set of 116 gene products associated with the human sperm microtubulome (including products potentially involved in abnormal ciliary phenotypes and male infertility disorders). To this end, we designed and applied an integrated genomics workflow and combined relevant proteomics, transcriptomics, and interactomics datasets to reconstruct a dynamic interactome map. By further integrating phenotypic information, we defined a disease-interaction network; this enabled us to highlight a number of novel factors potentially associated with altered sperm motility and male fertility. Lastly, we experimentally validated the expression pattern of two candidate genes (CUL3 and DCDC2C) that had never previously been associated with male germline differentiation. Our analysis suggested that CUL3 and DCDC2C's products have important roles in the sperm flagellum. Taken as a whole, our results demonstrate that an integrated genomics strategy can highlight relevant molecular factors in specific sperm components. This approach could be easily extended by including other \"omics\" data (from asthenozoospermic men, for example) and identifying other critical proteins from the human sperm microtubulome.","author":[{"dropping-particle":"","family":"Jumeau","given":"Fanny","non-dropping-particle":"","parse-names":false,"suffix":""},{"dropping-particle":"","family":"Chalmel","given":"Frédéric","non-dropping-particle":"","parse-names":false,"suffix":""},{"dropping-particle":"","family":"Fernandez-Gomez","given":"Francisco Jose","non-dropping-particle":"","parse-names":false,"suffix":""},{"dropping-particle":"","family":"Carpentier","given":"Céline","non-dropping-particle":"","parse-names":false,"suffix":""},{"dropping-particle":"","family":"Obriot","given":"Hélène","non-dropping-particle":"","parse-names":false,"suffix":""},{"dropping-particle":"","family":"Tardivel","given":"Meryem","non-dropping-particle":"","parse-names":false,"suffix":""},{"dropping-particle":"","family":"Caillet-Boudin","given":"Marie Laure","non-dropping-particle":"","parse-names":false,"suffix":""},{"dropping-particle":"","family":"Rigot","given":"Jean Marc","non-dropping-particle":"","parse-names":false,"suffix":""},{"dropping-particle":"","family":"Rives","given":"Nathalie","non-dropping-particle":"","parse-names":false,"suffix":""},{"dropping-particle":"","family":"Buée","given":"Luc","non-dropping-particle":"","parse-names":false,"suffix":""},{"dropping-particle":"","family":"Sergeant","given":"Nicolas","non-dropping-particle":"","parse-names":false,"suffix":""},{"dropping-particle":"","family":"Mitchell","given":"Valérie","non-dropping-particle":"","parse-names":false,"suffix":""}],"container-title":"Biology of Reproduction","id":"ITEM-1","issue":"1","issued":{"date-parts":[["2017"]]},"page":"93-106","title":"Defining the human sperm microtubulome: An integrated genomics approach","type":"article-journal","volume":"96"},"uris":["http://www.mendeley.com/documents/?uuid=3df2a183-2103-4e67-8da9-da47ce25d6af"]}],"mendeley":{"formattedCitation":"(Jumeau et al., 2017)","plainTextFormattedCitation":"(Jumeau et al., 2017)","previouslyFormattedCitation":"(Jumeau et al., 2017)"},"properties":{"noteIndex":0},"schema":"https://github.com/citation-style-language/schema/raw/master/csl-citation.json"}</w:instrText>
      </w:r>
      <w:r w:rsidR="00E33B0A">
        <w:rPr>
          <w:rFonts w:eastAsia="Times New Roman" w:cstheme="minorHAnsi"/>
          <w:sz w:val="24"/>
          <w:szCs w:val="24"/>
        </w:rPr>
        <w:fldChar w:fldCharType="separate"/>
      </w:r>
      <w:r w:rsidR="00E33B0A" w:rsidRPr="00E33B0A">
        <w:rPr>
          <w:rFonts w:eastAsia="Times New Roman" w:cstheme="minorHAnsi"/>
          <w:noProof/>
          <w:sz w:val="24"/>
          <w:szCs w:val="24"/>
        </w:rPr>
        <w:t>(Jumeau et al., 2017)</w:t>
      </w:r>
      <w:r w:rsidR="00E33B0A">
        <w:rPr>
          <w:rFonts w:eastAsia="Times New Roman" w:cstheme="minorHAnsi"/>
          <w:sz w:val="24"/>
          <w:szCs w:val="24"/>
        </w:rPr>
        <w:fldChar w:fldCharType="end"/>
      </w:r>
      <w:r w:rsidRPr="002356D5">
        <w:rPr>
          <w:rFonts w:eastAsia="Times New Roman" w:cstheme="minorHAnsi"/>
          <w:sz w:val="24"/>
          <w:szCs w:val="24"/>
        </w:rPr>
        <w:t>.</w:t>
      </w:r>
      <w:r w:rsidR="00361C05">
        <w:rPr>
          <w:rFonts w:eastAsia="Times New Roman" w:cstheme="minorHAnsi"/>
          <w:sz w:val="24"/>
          <w:szCs w:val="24"/>
        </w:rPr>
        <w:t xml:space="preserve"> As we set out to identify genes responsible for the sperm traits,</w:t>
      </w:r>
      <w:r w:rsidRPr="002356D5">
        <w:rPr>
          <w:rFonts w:eastAsia="Times New Roman" w:cstheme="minorHAnsi"/>
          <w:sz w:val="24"/>
          <w:szCs w:val="24"/>
        </w:rPr>
        <w:t xml:space="preserve"> </w:t>
      </w:r>
      <w:r w:rsidR="00361C05">
        <w:rPr>
          <w:rFonts w:eastAsia="Times New Roman" w:cstheme="minorHAnsi"/>
          <w:sz w:val="24"/>
          <w:szCs w:val="24"/>
        </w:rPr>
        <w:t>t</w:t>
      </w:r>
      <w:r w:rsidR="0078176D">
        <w:rPr>
          <w:rFonts w:eastAsia="Times New Roman" w:cstheme="minorHAnsi"/>
          <w:sz w:val="24"/>
          <w:szCs w:val="24"/>
        </w:rPr>
        <w:t xml:space="preserve">he observed </w:t>
      </w:r>
      <w:r w:rsidR="00EE1148" w:rsidRPr="002356D5">
        <w:rPr>
          <w:rFonts w:eastAsia="Times New Roman" w:cstheme="minorHAnsi"/>
          <w:sz w:val="24"/>
          <w:szCs w:val="24"/>
        </w:rPr>
        <w:t xml:space="preserve">functional enrichment </w:t>
      </w:r>
      <w:r w:rsidR="0078176D">
        <w:rPr>
          <w:rFonts w:eastAsia="Times New Roman" w:cstheme="minorHAnsi"/>
          <w:sz w:val="24"/>
          <w:szCs w:val="24"/>
        </w:rPr>
        <w:t>corresponds</w:t>
      </w:r>
      <w:r w:rsidR="00EE1148" w:rsidRPr="002356D5">
        <w:rPr>
          <w:rFonts w:eastAsia="Times New Roman" w:cstheme="minorHAnsi"/>
          <w:sz w:val="24"/>
          <w:szCs w:val="24"/>
        </w:rPr>
        <w:t xml:space="preserve"> </w:t>
      </w:r>
      <w:r w:rsidR="00B44EF8">
        <w:rPr>
          <w:rFonts w:eastAsia="Times New Roman" w:cstheme="minorHAnsi"/>
          <w:sz w:val="24"/>
          <w:szCs w:val="24"/>
        </w:rPr>
        <w:t xml:space="preserve">to the </w:t>
      </w:r>
      <w:r w:rsidR="00CD29AD">
        <w:rPr>
          <w:rFonts w:eastAsia="Times New Roman" w:cstheme="minorHAnsi"/>
          <w:sz w:val="24"/>
          <w:szCs w:val="24"/>
        </w:rPr>
        <w:t>described</w:t>
      </w:r>
      <w:r w:rsidR="00CD29AD" w:rsidRPr="002356D5">
        <w:rPr>
          <w:rFonts w:eastAsia="Times New Roman" w:cstheme="minorHAnsi"/>
          <w:sz w:val="24"/>
          <w:szCs w:val="24"/>
        </w:rPr>
        <w:t xml:space="preserve"> </w:t>
      </w:r>
      <w:r w:rsidR="00EE1148" w:rsidRPr="002356D5">
        <w:rPr>
          <w:rFonts w:eastAsia="Times New Roman" w:cstheme="minorHAnsi"/>
          <w:sz w:val="24"/>
          <w:szCs w:val="24"/>
        </w:rPr>
        <w:t xml:space="preserve">differences </w:t>
      </w:r>
      <w:r w:rsidR="00CD29AD">
        <w:rPr>
          <w:rFonts w:eastAsia="Times New Roman" w:cstheme="minorHAnsi"/>
          <w:sz w:val="24"/>
          <w:szCs w:val="24"/>
        </w:rPr>
        <w:t>of</w:t>
      </w:r>
      <w:r w:rsidR="00CD29AD" w:rsidRPr="002356D5">
        <w:rPr>
          <w:rFonts w:eastAsia="Times New Roman" w:cstheme="minorHAnsi"/>
          <w:sz w:val="24"/>
          <w:szCs w:val="24"/>
        </w:rPr>
        <w:t xml:space="preserve"> </w:t>
      </w:r>
      <w:r w:rsidR="00EE1148" w:rsidRPr="002356D5">
        <w:rPr>
          <w:rFonts w:eastAsia="Times New Roman" w:cstheme="minorHAnsi"/>
          <w:sz w:val="24"/>
          <w:szCs w:val="24"/>
        </w:rPr>
        <w:t xml:space="preserve">sperm characteristics of the different inversions </w:t>
      </w:r>
      <w:r w:rsidR="00EE1148" w:rsidRPr="002356D5">
        <w:rPr>
          <w:rFonts w:eastAsia="Times New Roman" w:cstheme="minorHAnsi"/>
          <w:sz w:val="24"/>
          <w:szCs w:val="24"/>
        </w:rPr>
        <w:fldChar w:fldCharType="begin" w:fldLock="1"/>
      </w:r>
      <w:r w:rsidR="00EE1148">
        <w:rPr>
          <w:rFonts w:eastAsia="Times New Roman" w:cstheme="minorHAnsi"/>
          <w:sz w:val="24"/>
          <w:szCs w:val="24"/>
        </w:rPr>
        <w:instrText>ADDIN CSL_CITATION {"citationItems":[{"id":"ITEM-1","itemData":{"DOI":"10.1038/s41559-017-0236-1","ISSN":"2397-334X","PMID":"29046576","abstract":"Male reproductive success depends on the competitive ability of sperm to fertilize the ova, which should lead to strong selection on sperm characteristics. This raises the question of how heritable variation in sperm traits is maintained. Here we show that in zebra finches (Taeniopygia guttata) nearly half of the variance in sperm morphology is explained by an inversion on the Z chromosome with a 40% allele frequency in the wild. The sperm of males that are heterozygous for the inversion had the longest midpieces and the highest velocity. Furthermore, such males achieved the highest fertility and the highest siring success, both within-pair and extra-pair. Males homozygous for the derived allele show detrimental sperm characteristics and the lowest siring success. Our results suggest heterozygote advantage as the mechanism that maintains the inversion polymorphism and hence variance in sperm design and in fitness.","author":[{"dropping-particle":"","family":"Knief","given":"Ulrich","non-dropping-particle":"","parse-names":false,"suffix":""},{"dropping-particle":"","family":"Forstmeier","given":"Wolfgang","non-dropping-particle":"","parse-names":false,"suffix":""},{"dropping-particle":"","family":"Pei","given":"Yifan","non-dropping-particle":"","parse-names":false,"suffix":""},{"dropping-particle":"","family":"Ihle","given":"Malika","non-dropping-particle":"","parse-names":false,"suffix":""},{"dropping-particle":"","family":"Wang","given":"Daiping","non-dropping-particle":"","parse-names":false,"suffix":""},{"dropping-particle":"","family":"Martin","given":"Katrin","non-dropping-particle":"","parse-names":false,"suffix":""},{"dropping-particle":"","family":"Opatová","given":"Pavlína","non-dropping-particle":"","parse-names":false,"suffix":""},{"dropping-particle":"","family":"Albrechtová","given":"Jana","non-dropping-particle":"","parse-names":false,"suffix":""},{"dropping-particle":"","family":"Wittig","given":"Michael","non-dropping-particle":"","parse-names":false,"suffix":""},{"dropping-particle":"","family":"Franke","given":"Andre","non-dropping-particle":"","parse-names":false,"suffix":""},{"dropping-particle":"","family":"Albrecht","given":"Tomáš","non-dropping-particle":"","parse-names":false,"suffix":""},{"dropping-particle":"","family":"Kempenaers","given":"Bart","non-dropping-particle":"","parse-names":false,"suffix":""}],"container-title":"Nature Ecology &amp; Evolution","id":"ITEM-1","issue":"8","issued":{"date-parts":[["2017","7","17"]]},"page":"1177-1184","title":"A sex-chromosome inversion causes strong overdominance for sperm traits that affect siring success","type":"article-journal","volume":"1"},"uris":["http://www.mendeley.com/documents/?uuid=3efe8240-b58b-3012-b842-e07f5aec233d"]},{"id":"ITEM-2","itemData":{"DOI":"10.1038/s41559-017-0235-2","ISSN":"2397334X","PMID":"29046578","abstract":"Sperm competition is an important selective force in many organisms. As a result, sperm have evolved to be among the most diverse cells in the animal kingdom. However, the relationship between sperm morphology, sperm motility and fertilization success is only partially understood. The extent to which between-male variation is heritable is largely unknown, and remarkably few studies have investigated the genetic architecture of sperm traits, especially sperm morphology. Here we use high-density genotyping and gene expression profiling to explore the considerable sperm trait variation that exists in the zebra finch Taeniopygia guttata. We show that nearly all of the genetic variation in sperm morphology is caused by an inversion polymorphism on the Z chromosome acting as a 'supergene'. These results provide a striking example of two evolutionary genetic predictions. First, that in species where females are the heterogametic sex, genetic variation affecting sexually dimorphic traits will accumulate on the Z chromosome. Second, recombination suppression at the inversion allows beneficial dominant alleles to become fixed on whichever haplotype they first arise, without being exchanged onto other haplotypes. Finally, we show that the inversion polymorphism will be stably maintained by heterozygote advantage, because heterozygous males have the fastest and most successful sperm.","author":[{"dropping-particle":"","family":"Kim","given":"Kang - Wook","non-dropping-particle":"","parse-names":false,"suffix":""},{"dropping-particle":"","family":"Bennison","given":"Clair","non-dropping-particle":"","parse-names":false,"suffix":""},{"dropping-particle":"","family":"Hemmings","given":"Nicola","non-dropping-particle":"","parse-names":false,"suffix":""},{"dropping-particle":"","family":"Brookes","given":"Lola","non-dropping-particle":"","parse-names":false,"suffix":""},{"dropping-particle":"","family":"Hurley","given":"Laura L.","non-dropping-particle":"","parse-names":false,"suffix":""},{"dropping-particle":"","family":"Griffith","given":"Simon C.","non-dropping-particle":"","parse-names":false,"suffix":""},{"dropping-particle":"","family":"Burke","given":"Terry","non-dropping-particle":"","parse-names":false,"suffix":""},{"dropping-particle":"","family":"Birkhead","given":"Tim R.","non-dropping-particle":"","parse-names":false,"suffix":""},{"dropping-particle":"","family":"Slate","given":"Jon","non-dropping-particle":"","parse-names":false,"suffix":""}],"container-title":"Nature Ecology and Evolution","id":"ITEM-2","issue":"8","issued":{"date-parts":[["2017","8","17"]]},"page":"1168-1176","title":"A sex-linked supergene controls sperm morphology and swimming speed in a songbird","type":"article-journal","volume":"1"},"uris":["http://www.mendeley.com/documents/?uuid=6c697130-ac69-3614-af3f-e03480e4aa2c"]}],"mendeley":{"formattedCitation":"(Kim et al., 2017; Knief et al., 2017)","plainTextFormattedCitation":"(Kim et al., 2017; Knief et al., 2017)","previouslyFormattedCitation":"(Kim et al., 2017; Knief et al., 2017)"},"properties":{"noteIndex":0},"schema":"https://github.com/citation-style-language/schema/raw/master/csl-citation.json"}</w:instrText>
      </w:r>
      <w:r w:rsidR="00EE1148" w:rsidRPr="002356D5">
        <w:rPr>
          <w:rFonts w:eastAsia="Times New Roman" w:cstheme="minorHAnsi"/>
          <w:sz w:val="24"/>
          <w:szCs w:val="24"/>
        </w:rPr>
        <w:fldChar w:fldCharType="separate"/>
      </w:r>
      <w:r w:rsidR="00EE1148" w:rsidRPr="001E0464">
        <w:rPr>
          <w:rFonts w:eastAsia="Times New Roman" w:cstheme="minorHAnsi"/>
          <w:noProof/>
          <w:sz w:val="24"/>
          <w:szCs w:val="24"/>
        </w:rPr>
        <w:t>(Kim et al., 2017; Knief et al., 2017)</w:t>
      </w:r>
      <w:r w:rsidR="00EE1148" w:rsidRPr="002356D5">
        <w:rPr>
          <w:rFonts w:eastAsia="Times New Roman" w:cstheme="minorHAnsi"/>
          <w:sz w:val="24"/>
          <w:szCs w:val="24"/>
        </w:rPr>
        <w:fldChar w:fldCharType="end"/>
      </w:r>
      <w:r w:rsidR="00361C05">
        <w:rPr>
          <w:rFonts w:eastAsia="Times New Roman" w:cstheme="minorHAnsi"/>
          <w:sz w:val="24"/>
          <w:szCs w:val="24"/>
        </w:rPr>
        <w:t>.</w:t>
      </w:r>
      <w:r w:rsidR="00EE1148">
        <w:rPr>
          <w:rFonts w:eastAsia="Times New Roman" w:cstheme="minorHAnsi"/>
          <w:sz w:val="24"/>
          <w:szCs w:val="24"/>
        </w:rPr>
        <w:t xml:space="preserve"> </w:t>
      </w:r>
      <w:r w:rsidR="00361C05">
        <w:rPr>
          <w:rFonts w:eastAsia="Times New Roman" w:cstheme="minorHAnsi"/>
          <w:sz w:val="24"/>
          <w:szCs w:val="24"/>
        </w:rPr>
        <w:t>Furthermore, the functions identified from our DE genes in testis match those identified in</w:t>
      </w:r>
      <w:r w:rsidR="00EE1148" w:rsidRPr="00466BDE">
        <w:rPr>
          <w:rFonts w:eastAsia="Times New Roman" w:cstheme="minorHAnsi"/>
          <w:sz w:val="24"/>
          <w:szCs w:val="24"/>
        </w:rPr>
        <w:t xml:space="preserve"> </w:t>
      </w:r>
      <w:r w:rsidR="00EE1148">
        <w:rPr>
          <w:rFonts w:eastAsia="Times New Roman" w:cstheme="minorHAnsi"/>
          <w:sz w:val="24"/>
          <w:szCs w:val="24"/>
        </w:rPr>
        <w:t xml:space="preserve">a previous transcriptome analysis </w:t>
      </w:r>
      <w:r w:rsidR="00B03084">
        <w:rPr>
          <w:rFonts w:eastAsia="Times New Roman" w:cstheme="minorHAnsi"/>
          <w:sz w:val="24"/>
          <w:szCs w:val="24"/>
        </w:rPr>
        <w:t>comparing</w:t>
      </w:r>
      <w:r w:rsidR="00EE1148">
        <w:rPr>
          <w:rFonts w:eastAsia="Times New Roman" w:cstheme="minorHAnsi"/>
          <w:sz w:val="24"/>
          <w:szCs w:val="24"/>
        </w:rPr>
        <w:t xml:space="preserve"> long and short sperm phenotypes. </w:t>
      </w:r>
      <w:r w:rsidR="00EE1148" w:rsidRPr="00466BDE">
        <w:rPr>
          <w:rFonts w:eastAsia="Times New Roman" w:cstheme="minorHAnsi"/>
          <w:sz w:val="24"/>
          <w:szCs w:val="24"/>
        </w:rPr>
        <w:fldChar w:fldCharType="begin" w:fldLock="1"/>
      </w:r>
      <w:r w:rsidR="00EE1148">
        <w:rPr>
          <w:rFonts w:eastAsia="Times New Roman" w:cstheme="minorHAnsi"/>
          <w:sz w:val="24"/>
          <w:szCs w:val="24"/>
        </w:rPr>
        <w:instrText>ADDIN CSL_CITATION {"citationItems":[{"id":"ITEM-1","itemData":{"DOI":"10.1038/s41559-017-0235-2","ISSN":"2397334X","PMID":"29046578","abstract":"Sperm competition is an important selective force in many organisms. As a result, sperm have evolved to be among the most diverse cells in the animal kingdom. However, the relationship between sperm morphology, sperm motility and fertilization success is only partially understood. The extent to which between-male variation is heritable is largely unknown, and remarkably few studies have investigated the genetic architecture of sperm traits, especially sperm morphology. Here we use high-density genotyping and gene expression profiling to explore the considerable sperm trait variation that exists in the zebra finch Taeniopygia guttata. We show that nearly all of the genetic variation in sperm morphology is caused by an inversion polymorphism on the Z chromosome acting as a 'supergene'. These results provide a striking example of two evolutionary genetic predictions. First, that in species where females are the heterogametic sex, genetic variation affecting sexually dimorphic traits will accumulate on the Z chromosome. Second, recombination suppression at the inversion allows beneficial dominant alleles to become fixed on whichever haplotype they first arise, without being exchanged onto other haplotypes. Finally, we show that the inversion polymorphism will be stably maintained by heterozygote advantage, because heterozygous males have the fastest and most successful sperm.","author":[{"dropping-particle":"","family":"Kim","given":"Kang - Wook","non-dropping-particle":"","parse-names":false,"suffix":""},{"dropping-particle":"","family":"Bennison","given":"Clair","non-dropping-particle":"","parse-names":false,"suffix":""},{"dropping-particle":"","family":"Hemmings","given":"Nicola","non-dropping-particle":"","parse-names":false,"suffix":""},{"dropping-particle":"","family":"Brookes","given":"Lola","non-dropping-particle":"","parse-names":false,"suffix":""},{"dropping-particle":"","family":"Hurley","given":"Laura L.","non-dropping-particle":"","parse-names":false,"suffix":""},{"dropping-particle":"","family":"Griffith","given":"Simon C.","non-dropping-particle":"","parse-names":false,"suffix":""},{"dropping-particle":"","family":"Burke","given":"Terry","non-dropping-particle":"","parse-names":false,"suffix":""},{"dropping-particle":"","family":"Birkhead","given":"Tim R.","non-dropping-particle":"","parse-names":false,"suffix":""},{"dropping-particle":"","family":"Slate","given":"Jon","non-dropping-particle":"","parse-names":false,"suffix":""}],"container-title":"Nature Ecology and Evolution","id":"ITEM-1","issue":"8","issued":{"date-parts":[["2017","8","17"]]},"page":"1168-1176","title":"A sex-linked supergene controls sperm morphology and swimming speed in a songbird","type":"article-journal","volume":"1"},"uris":["http://www.mendeley.com/documents/?uuid=6c697130-ac69-3614-af3f-e03480e4aa2c"]}],"mendeley":{"formattedCitation":"(Kim et al., 2017)","plainTextFormattedCitation":"(Kim et al., 2017)","previouslyFormattedCitation":"(Kim et al., 2017)"},"properties":{"noteIndex":0},"schema":"https://github.com/citation-style-language/schema/raw/master/csl-citation.json"}</w:instrText>
      </w:r>
      <w:r w:rsidR="00EE1148" w:rsidRPr="00466BDE">
        <w:rPr>
          <w:rFonts w:eastAsia="Times New Roman" w:cstheme="minorHAnsi"/>
          <w:sz w:val="24"/>
          <w:szCs w:val="24"/>
        </w:rPr>
        <w:fldChar w:fldCharType="separate"/>
      </w:r>
      <w:r w:rsidR="00EE1148" w:rsidRPr="001E0464">
        <w:rPr>
          <w:rFonts w:eastAsia="Times New Roman" w:cstheme="minorHAnsi"/>
          <w:noProof/>
          <w:sz w:val="24"/>
          <w:szCs w:val="24"/>
        </w:rPr>
        <w:t>(Kim et al., 2017)</w:t>
      </w:r>
      <w:r w:rsidR="00EE1148" w:rsidRPr="00466BDE">
        <w:rPr>
          <w:rFonts w:eastAsia="Times New Roman" w:cstheme="minorHAnsi"/>
          <w:sz w:val="24"/>
          <w:szCs w:val="24"/>
        </w:rPr>
        <w:fldChar w:fldCharType="end"/>
      </w:r>
      <w:r w:rsidR="00EE1148" w:rsidRPr="00466BDE">
        <w:rPr>
          <w:rFonts w:eastAsia="Times New Roman" w:cstheme="minorHAnsi"/>
          <w:sz w:val="24"/>
          <w:szCs w:val="24"/>
        </w:rPr>
        <w:t xml:space="preserve">. </w:t>
      </w:r>
      <w:r w:rsidR="00EE1148">
        <w:rPr>
          <w:rFonts w:eastAsia="Times New Roman" w:cstheme="minorHAnsi"/>
          <w:sz w:val="24"/>
          <w:szCs w:val="24"/>
        </w:rPr>
        <w:t>Regardless of the functional overlap</w:t>
      </w:r>
      <w:r w:rsidR="0078176D">
        <w:rPr>
          <w:rFonts w:eastAsia="Times New Roman" w:cstheme="minorHAnsi"/>
          <w:sz w:val="24"/>
          <w:szCs w:val="24"/>
        </w:rPr>
        <w:t>,</w:t>
      </w:r>
      <w:r w:rsidR="00EE1148">
        <w:rPr>
          <w:rFonts w:eastAsia="Times New Roman" w:cstheme="minorHAnsi"/>
          <w:sz w:val="24"/>
          <w:szCs w:val="24"/>
        </w:rPr>
        <w:t xml:space="preserve"> hardly any significant genes were in common between our</w:t>
      </w:r>
      <w:r w:rsidR="0078176D">
        <w:rPr>
          <w:rFonts w:eastAsia="Times New Roman" w:cstheme="minorHAnsi"/>
          <w:sz w:val="24"/>
          <w:szCs w:val="24"/>
        </w:rPr>
        <w:t xml:space="preserve"> data </w:t>
      </w:r>
      <w:r w:rsidR="00EE1148">
        <w:rPr>
          <w:rFonts w:eastAsia="Times New Roman" w:cstheme="minorHAnsi"/>
          <w:sz w:val="24"/>
          <w:szCs w:val="24"/>
        </w:rPr>
        <w:t xml:space="preserve">and </w:t>
      </w:r>
      <w:r w:rsidR="0078176D">
        <w:rPr>
          <w:rFonts w:eastAsia="Times New Roman" w:cstheme="minorHAnsi"/>
          <w:sz w:val="24"/>
          <w:szCs w:val="24"/>
        </w:rPr>
        <w:t>that of</w:t>
      </w:r>
      <w:r w:rsidR="00EE1148">
        <w:rPr>
          <w:rFonts w:eastAsia="Times New Roman" w:cstheme="minorHAnsi"/>
          <w:sz w:val="24"/>
          <w:szCs w:val="24"/>
        </w:rPr>
        <w:t xml:space="preserve"> </w:t>
      </w:r>
      <w:r w:rsidR="00EE1148" w:rsidRPr="00466BDE">
        <w:rPr>
          <w:rFonts w:eastAsia="Times New Roman" w:cstheme="minorHAnsi"/>
          <w:sz w:val="24"/>
          <w:szCs w:val="24"/>
        </w:rPr>
        <w:fldChar w:fldCharType="begin" w:fldLock="1"/>
      </w:r>
      <w:r w:rsidR="00EE1148">
        <w:rPr>
          <w:rFonts w:eastAsia="Times New Roman" w:cstheme="minorHAnsi"/>
          <w:sz w:val="24"/>
          <w:szCs w:val="24"/>
        </w:rPr>
        <w:instrText>ADDIN CSL_CITATION {"citationItems":[{"id":"ITEM-1","itemData":{"DOI":"10.1038/s41559-017-0235-2","ISSN":"2397334X","PMID":"29046578","abstract":"Sperm competition is an important selective force in many organisms. As a result, sperm have evolved to be among the most diverse cells in the animal kingdom. However, the relationship between sperm morphology, sperm motility and fertilization success is only partially understood. The extent to which between-male variation is heritable is largely unknown, and remarkably few studies have investigated the genetic architecture of sperm traits, especially sperm morphology. Here we use high-density genotyping and gene expression profiling to explore the considerable sperm trait variation that exists in the zebra finch Taeniopygia guttata. We show that nearly all of the genetic variation in sperm morphology is caused by an inversion polymorphism on the Z chromosome acting as a 'supergene'. These results provide a striking example of two evolutionary genetic predictions. First, that in species where females are the heterogametic sex, genetic variation affecting sexually dimorphic traits will accumulate on the Z chromosome. Second, recombination suppression at the inversion allows beneficial dominant alleles to become fixed on whichever haplotype they first arise, without being exchanged onto other haplotypes. Finally, we show that the inversion polymorphism will be stably maintained by heterozygote advantage, because heterozygous males have the fastest and most successful sperm.","author":[{"dropping-particle":"","family":"Kim","given":"Kang - Wook","non-dropping-particle":"","parse-names":false,"suffix":""},{"dropping-particle":"","family":"Bennison","given":"Clair","non-dropping-particle":"","parse-names":false,"suffix":""},{"dropping-particle":"","family":"Hemmings","given":"Nicola","non-dropping-particle":"","parse-names":false,"suffix":""},{"dropping-particle":"","family":"Brookes","given":"Lola","non-dropping-particle":"","parse-names":false,"suffix":""},{"dropping-particle":"","family":"Hurley","given":"Laura L.","non-dropping-particle":"","parse-names":false,"suffix":""},{"dropping-particle":"","family":"Griffith","given":"Simon C.","non-dropping-particle":"","parse-names":false,"suffix":""},{"dropping-particle":"","family":"Burke","given":"Terry","non-dropping-particle":"","parse-names":false,"suffix":""},{"dropping-particle":"","family":"Birkhead","given":"Tim R.","non-dropping-particle":"","parse-names":false,"suffix":""},{"dropping-particle":"","family":"Slate","given":"Jon","non-dropping-particle":"","parse-names":false,"suffix":""}],"container-title":"Nature Ecology and Evolution","id":"ITEM-1","issue":"8","issued":{"date-parts":[["2017","8","17"]]},"page":"1168-1176","title":"A sex-linked supergene controls sperm morphology and swimming speed in a songbird","type":"article-journal","volume":"1"},"uris":["http://www.mendeley.com/documents/?uuid=6c697130-ac69-3614-af3f-e03480e4aa2c"]}],"mendeley":{"formattedCitation":"(Kim et al., 2017)","plainTextFormattedCitation":"(Kim et al., 2017)","previouslyFormattedCitation":"(Kim et al., 2017)"},"properties":{"noteIndex":0},"schema":"https://github.com/citation-style-language/schema/raw/master/csl-citation.json"}</w:instrText>
      </w:r>
      <w:r w:rsidR="00EE1148" w:rsidRPr="00466BDE">
        <w:rPr>
          <w:rFonts w:eastAsia="Times New Roman" w:cstheme="minorHAnsi"/>
          <w:sz w:val="24"/>
          <w:szCs w:val="24"/>
        </w:rPr>
        <w:fldChar w:fldCharType="separate"/>
      </w:r>
      <w:r w:rsidR="00EE1148" w:rsidRPr="001E0464">
        <w:rPr>
          <w:rFonts w:eastAsia="Times New Roman" w:cstheme="minorHAnsi"/>
          <w:noProof/>
          <w:sz w:val="24"/>
          <w:szCs w:val="24"/>
        </w:rPr>
        <w:t>(Kim et al., 2017)</w:t>
      </w:r>
      <w:r w:rsidR="00EE1148" w:rsidRPr="00466BDE">
        <w:rPr>
          <w:rFonts w:eastAsia="Times New Roman" w:cstheme="minorHAnsi"/>
          <w:sz w:val="24"/>
          <w:szCs w:val="24"/>
        </w:rPr>
        <w:fldChar w:fldCharType="end"/>
      </w:r>
      <w:r w:rsidR="00EE1148">
        <w:rPr>
          <w:rFonts w:eastAsia="Times New Roman" w:cstheme="minorHAnsi"/>
          <w:sz w:val="24"/>
          <w:szCs w:val="24"/>
        </w:rPr>
        <w:t>.</w:t>
      </w:r>
      <w:r w:rsidR="00EE1148" w:rsidRPr="00466BDE">
        <w:rPr>
          <w:rFonts w:eastAsia="Times New Roman" w:cstheme="minorHAnsi"/>
          <w:sz w:val="24"/>
          <w:szCs w:val="24"/>
        </w:rPr>
        <w:t xml:space="preserve"> </w:t>
      </w:r>
    </w:p>
    <w:p w14:paraId="6B1090DB" w14:textId="2EA7DB80" w:rsidR="000631E5" w:rsidRDefault="00FB5BF7" w:rsidP="004E5E1C">
      <w:pPr>
        <w:spacing w:after="0" w:line="480" w:lineRule="auto"/>
        <w:ind w:firstLine="720"/>
        <w:contextualSpacing/>
        <w:jc w:val="both"/>
        <w:rPr>
          <w:rFonts w:eastAsia="Times New Roman" w:cstheme="minorHAnsi"/>
          <w:sz w:val="24"/>
          <w:szCs w:val="24"/>
        </w:rPr>
      </w:pPr>
      <w:r>
        <w:rPr>
          <w:rFonts w:eastAsia="Times New Roman" w:cstheme="minorHAnsi"/>
          <w:sz w:val="24"/>
          <w:szCs w:val="24"/>
        </w:rPr>
        <w:t>M</w:t>
      </w:r>
      <w:r w:rsidR="00EE1148">
        <w:rPr>
          <w:rFonts w:eastAsia="Times New Roman" w:cstheme="minorHAnsi"/>
          <w:sz w:val="24"/>
          <w:szCs w:val="24"/>
        </w:rPr>
        <w:t>any</w:t>
      </w:r>
      <w:r w:rsidR="001B101E">
        <w:rPr>
          <w:rFonts w:eastAsia="Times New Roman" w:cstheme="minorHAnsi"/>
          <w:sz w:val="24"/>
          <w:szCs w:val="24"/>
        </w:rPr>
        <w:t xml:space="preserve"> </w:t>
      </w:r>
      <w:r>
        <w:rPr>
          <w:rFonts w:eastAsia="Times New Roman" w:cstheme="minorHAnsi"/>
          <w:sz w:val="24"/>
          <w:szCs w:val="24"/>
        </w:rPr>
        <w:t xml:space="preserve">of the </w:t>
      </w:r>
      <w:r w:rsidR="001B101E">
        <w:rPr>
          <w:rFonts w:eastAsia="Times New Roman" w:cstheme="minorHAnsi"/>
          <w:sz w:val="24"/>
          <w:szCs w:val="24"/>
        </w:rPr>
        <w:t>g</w:t>
      </w:r>
      <w:r w:rsidR="00DF1669">
        <w:rPr>
          <w:rFonts w:eastAsia="Times New Roman" w:cstheme="minorHAnsi"/>
          <w:sz w:val="24"/>
          <w:szCs w:val="24"/>
        </w:rPr>
        <w:t xml:space="preserve">enes </w:t>
      </w:r>
      <w:r w:rsidR="00F045C1">
        <w:rPr>
          <w:rFonts w:eastAsia="Times New Roman" w:cstheme="minorHAnsi"/>
          <w:sz w:val="24"/>
          <w:szCs w:val="24"/>
        </w:rPr>
        <w:t>associated</w:t>
      </w:r>
      <w:r w:rsidR="00DF1669">
        <w:rPr>
          <w:rFonts w:eastAsia="Times New Roman" w:cstheme="minorHAnsi"/>
          <w:sz w:val="24"/>
          <w:szCs w:val="24"/>
        </w:rPr>
        <w:t xml:space="preserve"> to</w:t>
      </w:r>
      <w:r w:rsidR="001B63D6">
        <w:rPr>
          <w:rFonts w:eastAsia="Times New Roman" w:cstheme="minorHAnsi"/>
          <w:sz w:val="24"/>
          <w:szCs w:val="24"/>
        </w:rPr>
        <w:t xml:space="preserve"> </w:t>
      </w:r>
      <w:r w:rsidR="0078176D">
        <w:rPr>
          <w:rFonts w:eastAsia="Times New Roman" w:cstheme="minorHAnsi"/>
          <w:sz w:val="24"/>
          <w:szCs w:val="24"/>
        </w:rPr>
        <w:t xml:space="preserve">the </w:t>
      </w:r>
      <w:r w:rsidR="00EE1148">
        <w:rPr>
          <w:rFonts w:eastAsia="Times New Roman" w:cstheme="minorHAnsi"/>
          <w:sz w:val="24"/>
          <w:szCs w:val="24"/>
        </w:rPr>
        <w:t>above</w:t>
      </w:r>
      <w:r w:rsidR="0078176D">
        <w:rPr>
          <w:rFonts w:eastAsia="Times New Roman" w:cstheme="minorHAnsi"/>
          <w:sz w:val="24"/>
          <w:szCs w:val="24"/>
        </w:rPr>
        <w:t>-</w:t>
      </w:r>
      <w:r w:rsidR="00EE1148">
        <w:rPr>
          <w:rFonts w:eastAsia="Times New Roman" w:cstheme="minorHAnsi"/>
          <w:sz w:val="24"/>
          <w:szCs w:val="24"/>
        </w:rPr>
        <w:t xml:space="preserve">mentioned </w:t>
      </w:r>
      <w:r w:rsidR="001B63D6">
        <w:rPr>
          <w:rFonts w:eastAsia="Times New Roman" w:cstheme="minorHAnsi"/>
          <w:sz w:val="24"/>
          <w:szCs w:val="24"/>
        </w:rPr>
        <w:t>GO</w:t>
      </w:r>
      <w:r w:rsidR="004E5E1C">
        <w:rPr>
          <w:rFonts w:eastAsia="Times New Roman" w:cstheme="minorHAnsi"/>
          <w:sz w:val="24"/>
          <w:szCs w:val="24"/>
        </w:rPr>
        <w:t xml:space="preserve"> </w:t>
      </w:r>
      <w:r w:rsidR="001B63D6">
        <w:rPr>
          <w:rFonts w:eastAsia="Times New Roman" w:cstheme="minorHAnsi"/>
          <w:sz w:val="24"/>
          <w:szCs w:val="24"/>
        </w:rPr>
        <w:t>terms</w:t>
      </w:r>
      <w:r w:rsidR="00B03084">
        <w:rPr>
          <w:rFonts w:eastAsia="Times New Roman" w:cstheme="minorHAnsi"/>
          <w:sz w:val="24"/>
          <w:szCs w:val="24"/>
        </w:rPr>
        <w:t xml:space="preserve"> </w:t>
      </w:r>
      <w:r w:rsidR="009073B8">
        <w:rPr>
          <w:rFonts w:eastAsia="Times New Roman" w:cstheme="minorHAnsi"/>
          <w:sz w:val="24"/>
          <w:szCs w:val="24"/>
        </w:rPr>
        <w:t>are</w:t>
      </w:r>
      <w:r w:rsidR="00283500">
        <w:rPr>
          <w:rFonts w:eastAsia="Times New Roman" w:cstheme="minorHAnsi"/>
          <w:sz w:val="24"/>
          <w:szCs w:val="24"/>
        </w:rPr>
        <w:t xml:space="preserve"> </w:t>
      </w:r>
      <w:r w:rsidR="00EE1148">
        <w:rPr>
          <w:rFonts w:eastAsia="Times New Roman" w:cstheme="minorHAnsi"/>
          <w:sz w:val="24"/>
          <w:szCs w:val="24"/>
        </w:rPr>
        <w:t>related to defects in sperm mobility</w:t>
      </w:r>
      <w:r w:rsidR="00D771C2">
        <w:rPr>
          <w:rFonts w:eastAsia="Times New Roman" w:cstheme="minorHAnsi"/>
          <w:sz w:val="24"/>
          <w:szCs w:val="24"/>
        </w:rPr>
        <w:t>,</w:t>
      </w:r>
      <w:r w:rsidR="00EE1148">
        <w:rPr>
          <w:rFonts w:eastAsia="Times New Roman" w:cstheme="minorHAnsi"/>
          <w:sz w:val="24"/>
          <w:szCs w:val="24"/>
        </w:rPr>
        <w:t xml:space="preserve"> </w:t>
      </w:r>
      <w:r w:rsidR="002A2EB9">
        <w:rPr>
          <w:rFonts w:eastAsia="Times New Roman" w:cstheme="minorHAnsi"/>
          <w:sz w:val="24"/>
          <w:szCs w:val="24"/>
        </w:rPr>
        <w:t xml:space="preserve">such as </w:t>
      </w:r>
      <w:r w:rsidR="00DA5E32" w:rsidRPr="00DA5E32">
        <w:rPr>
          <w:rFonts w:eastAsia="Times New Roman" w:cstheme="minorHAnsi"/>
          <w:sz w:val="24"/>
          <w:szCs w:val="24"/>
        </w:rPr>
        <w:t xml:space="preserve">CCDC65 </w:t>
      </w:r>
      <w:r w:rsidR="006F612B">
        <w:rPr>
          <w:rFonts w:eastAsia="Times New Roman" w:cstheme="minorHAnsi"/>
          <w:sz w:val="24"/>
          <w:szCs w:val="24"/>
        </w:rPr>
        <w:fldChar w:fldCharType="begin" w:fldLock="1"/>
      </w:r>
      <w:r w:rsidR="00C07ABD">
        <w:rPr>
          <w:rFonts w:eastAsia="Times New Roman" w:cstheme="minorHAnsi"/>
          <w:sz w:val="24"/>
          <w:szCs w:val="24"/>
        </w:rPr>
        <w:instrText>ADDIN CSL_CITATION {"citationItems":[{"id":"ITEM-1","itemData":{"DOI":"10.1091/mbc.E17-08-0510","ISSN":"19394586","PMID":"29167384","abstract":"The nexin–dynein regulatory complex (N-DRC) plays a central role in the regulation of ciliary and flagellar motility. In most species, the N-DRC contains at least 11 subunits, but the specific function of each subunit is unknown. Mutations in three subunits (DRC1, DRC2/CCDC65, DRC4/GAS8) have been linked to defects in ciliary motility in humans and lead to a ciliopathy known as primary ciliary dyskinesia (PCD). Here we characterize the biochemical, structural, and motility phenotypes of two mutations in the DRC2 gene of Chlamydomonas. Using high-resolution proteomic and structural approaches, we find that the C-terminal region of DRC2 is critical for the coassembly of DRC2 and DRC1 to form the base plate of N-DRC and its attachment to the outer doublet microtubule. Loss of DRC2 in drc2 mutants disrupts the assembly of several other N-DRC subunits and also destabilizes the assembly of several closely associated structures such as the inner dynein arms, the radial spokes, and the calmodulin- and spoke-associated complex. Our study provides new insights into the range of ciliary defects that can lead to PCD.","author":[{"dropping-particle":"","family":"Bower","given":"Raqual","non-dropping-particle":"","parse-names":false,"suffix":""},{"dropping-particle":"","family":"Tritschler","given":"Douglas","non-dropping-particle":"","parse-names":false,"suffix":""},{"dropping-particle":"","family":"VanderWaal Mills","given":"Kristyn","non-dropping-particle":"","parse-names":false,"suffix":""},{"dropping-particle":"","family":"Heuser","given":"Thomas","non-dropping-particle":"","parse-names":false,"suffix":""},{"dropping-particle":"","family":"Nicastro","given":"Daniela","non-dropping-particle":"","parse-names":false,"suffix":""},{"dropping-particle":"","family":"Portera","given":"Mary E.","non-dropping-particle":"","parse-names":false,"suffix":""}],"container-title":"Molecular Biology of the Cell","id":"ITEM-1","issue":"2","issued":{"date-parts":[["2018"]]},"page":"137-153","title":"DRC2/CCDC65 is a central hub for assembly of the nexin–dynein regulatory complex and other regulators of ciliary and flagellar motility","type":"article-journal","volume":"29"},"uris":["http://www.mendeley.com/documents/?uuid=45f4c6f5-d11d-49fa-bdba-2ecde8747c2c"]}],"mendeley":{"formattedCitation":"(Bower et al., 2018)","plainTextFormattedCitation":"(Bower et al., 2018)","previouslyFormattedCitation":"(Bower et al., 2018)"},"properties":{"noteIndex":0},"schema":"https://github.com/citation-style-language/schema/raw/master/csl-citation.json"}</w:instrText>
      </w:r>
      <w:r w:rsidR="006F612B">
        <w:rPr>
          <w:rFonts w:eastAsia="Times New Roman" w:cstheme="minorHAnsi"/>
          <w:sz w:val="24"/>
          <w:szCs w:val="24"/>
        </w:rPr>
        <w:fldChar w:fldCharType="separate"/>
      </w:r>
      <w:r w:rsidR="006F612B" w:rsidRPr="006F612B">
        <w:rPr>
          <w:rFonts w:eastAsia="Times New Roman" w:cstheme="minorHAnsi"/>
          <w:noProof/>
          <w:sz w:val="24"/>
          <w:szCs w:val="24"/>
        </w:rPr>
        <w:t>(Bower et al., 2018)</w:t>
      </w:r>
      <w:r w:rsidR="006F612B">
        <w:rPr>
          <w:rFonts w:eastAsia="Times New Roman" w:cstheme="minorHAnsi"/>
          <w:sz w:val="24"/>
          <w:szCs w:val="24"/>
        </w:rPr>
        <w:fldChar w:fldCharType="end"/>
      </w:r>
      <w:r w:rsidR="00DA5E32">
        <w:rPr>
          <w:rFonts w:eastAsia="Times New Roman" w:cstheme="minorHAnsi"/>
          <w:sz w:val="24"/>
          <w:szCs w:val="24"/>
        </w:rPr>
        <w:t xml:space="preserve">, </w:t>
      </w:r>
      <w:r w:rsidR="00EE1148">
        <w:rPr>
          <w:rFonts w:eastAsia="Times New Roman" w:cstheme="minorHAnsi"/>
          <w:sz w:val="24"/>
          <w:szCs w:val="24"/>
        </w:rPr>
        <w:t xml:space="preserve">and flagellum </w:t>
      </w:r>
      <w:r w:rsidR="00DA5E32" w:rsidRPr="008F0714">
        <w:rPr>
          <w:rFonts w:eastAsia="Times New Roman" w:cstheme="minorHAnsi"/>
          <w:sz w:val="24"/>
          <w:szCs w:val="24"/>
        </w:rPr>
        <w:t>MEIG1</w:t>
      </w:r>
      <w:r w:rsidR="00AF6EE7">
        <w:rPr>
          <w:rFonts w:eastAsia="Times New Roman" w:cstheme="minorHAnsi"/>
          <w:sz w:val="24"/>
          <w:szCs w:val="24"/>
        </w:rPr>
        <w:t xml:space="preserve"> </w:t>
      </w:r>
      <w:r w:rsidR="00AF6EE7">
        <w:rPr>
          <w:rFonts w:eastAsia="Times New Roman" w:cstheme="minorHAnsi"/>
          <w:sz w:val="24"/>
          <w:szCs w:val="24"/>
        </w:rPr>
        <w:fldChar w:fldCharType="begin" w:fldLock="1"/>
      </w:r>
      <w:r w:rsidR="00AF6EE7">
        <w:rPr>
          <w:rFonts w:eastAsia="Times New Roman" w:cstheme="minorHAnsi"/>
          <w:sz w:val="24"/>
          <w:szCs w:val="24"/>
        </w:rPr>
        <w:instrText>ADDIN CSL_CITATION {"citationItems":[{"id":"ITEM-1","itemData":{"DOI":"10.1016/j.ydbio.2009.11.028","ISSN":"1095564X","PMID":"20004656","abstract":"Meig1 is a mouse gene, abundantly expressed in the testis. It encodes two alternative transcripts that are expressed differentially in the somatic and germinal compartments of the testis. These transcripts share the same coding region but differ in their 5′ un-translated regions, due to alternative promoters. Here we show that MEIG1 is a highly conserved short metazoan protein with a conserved core of 81 residues. It is present from chordates to radial symmetry animals, with an intriguing absence in insects and nematodes. It is also present in two earlier diverging protist lineages. To elucidate the role of MEIG1 during gamete production we established a knockout mouse line by eliminating the common coding region. Our results identified Meig1 as a critical spermatogenic gene, whose absence results in complete male infertility. Seminiferous tubules in Meig1-null males contained all early stages of spermatogenesis, up to elongating spermatids, but mature elongated spermatids were absent. Accordingly, the caudal epididymis was apparently missing spermatozoa, and the very few spermatozoa-like cells that were obtained were immotile and exhibited a wide range of severe morphological abnormalities. These results point at late spermiogenesis as the differentiative stage at which MEIG1's function is crucial. Nevertheless, delayed kinetics of earlier meiotic stages together with increased apoptosis of meiotic spermatocytes and haploid round spermadids in Meig1 knockout males, suggest involvement of MEIG1 in meiotic stages as well. © 2009 Elsevier Inc. All rights reserved.","author":[{"dropping-particle":"","family":"Salzberg","given":"Yehuda","non-dropping-particle":"","parse-names":false,"suffix":""},{"dropping-particle":"","family":"Eldar","given":"Tali","non-dropping-particle":"","parse-names":false,"suffix":""},{"dropping-particle":"","family":"Karminsky","given":"Orit Diana","non-dropping-particle":"","parse-names":false,"suffix":""},{"dropping-particle":"","family":"Itach","given":"Sarit Bar Sheshet","non-dropping-particle":"","parse-names":false,"suffix":""},{"dropping-particle":"","family":"Pietrokovski","given":"Shmuel","non-dropping-particle":"","parse-names":false,"suffix":""},{"dropping-particle":"","family":"Don","given":"Jeremy","non-dropping-particle":"","parse-names":false,"suffix":""}],"container-title":"Developmental Biology","id":"ITEM-1","issue":"2","issued":{"date-parts":[["2010"]]},"page":"158-167","publisher":"Elsevier Inc.","title":"Meig1 deficiency causes a severe defect in mouse spermatogenesis","type":"article-journal","volume":"338"},"uris":["http://www.mendeley.com/documents/?uuid=eebc3de2-dbb1-4a9d-adf2-2bd9c7b69292"]}],"mendeley":{"formattedCitation":"(Salzberg et al., 2010)","plainTextFormattedCitation":"(Salzberg et al., 2010)","previouslyFormattedCitation":"(Salzberg et al., 2010)"},"properties":{"noteIndex":0},"schema":"https://github.com/citation-style-language/schema/raw/master/csl-citation.json"}</w:instrText>
      </w:r>
      <w:r w:rsidR="00AF6EE7">
        <w:rPr>
          <w:rFonts w:eastAsia="Times New Roman" w:cstheme="minorHAnsi"/>
          <w:sz w:val="24"/>
          <w:szCs w:val="24"/>
        </w:rPr>
        <w:fldChar w:fldCharType="separate"/>
      </w:r>
      <w:r w:rsidR="00AF6EE7" w:rsidRPr="00AF6EE7">
        <w:rPr>
          <w:rFonts w:eastAsia="Times New Roman" w:cstheme="minorHAnsi"/>
          <w:noProof/>
          <w:sz w:val="24"/>
          <w:szCs w:val="24"/>
        </w:rPr>
        <w:t>(Salzberg et al., 2010)</w:t>
      </w:r>
      <w:r w:rsidR="00AF6EE7">
        <w:rPr>
          <w:rFonts w:eastAsia="Times New Roman" w:cstheme="minorHAnsi"/>
          <w:sz w:val="24"/>
          <w:szCs w:val="24"/>
        </w:rPr>
        <w:fldChar w:fldCharType="end"/>
      </w:r>
      <w:r w:rsidR="00D771C2">
        <w:t xml:space="preserve"> and </w:t>
      </w:r>
      <w:r w:rsidR="008F0714" w:rsidRPr="008F0714">
        <w:rPr>
          <w:rFonts w:eastAsia="Times New Roman" w:cstheme="minorHAnsi"/>
          <w:sz w:val="24"/>
          <w:szCs w:val="24"/>
        </w:rPr>
        <w:t>TEKT2</w:t>
      </w:r>
      <w:r w:rsidR="00AF6EE7">
        <w:rPr>
          <w:rFonts w:eastAsia="Times New Roman" w:cstheme="minorHAnsi"/>
          <w:sz w:val="24"/>
          <w:szCs w:val="24"/>
        </w:rPr>
        <w:t xml:space="preserve"> </w:t>
      </w:r>
      <w:r w:rsidR="00AF6EE7" w:rsidRPr="0078176D">
        <w:rPr>
          <w:rFonts w:eastAsia="Times New Roman" w:cstheme="minorHAnsi"/>
          <w:sz w:val="24"/>
          <w:szCs w:val="24"/>
        </w:rPr>
        <w:fldChar w:fldCharType="begin" w:fldLock="1"/>
      </w:r>
      <w:r w:rsidR="006F612B" w:rsidRPr="0078176D">
        <w:rPr>
          <w:rFonts w:eastAsia="Times New Roman" w:cstheme="minorHAnsi"/>
          <w:sz w:val="24"/>
          <w:szCs w:val="24"/>
        </w:rPr>
        <w:instrText>ADDIN CSL_CITATION {"citationItems":[{"id":"ITEM-1","itemData":{"DOI":"10.2108/zsj.27.755","ISSN":"02890003","PMID":"20822404","abstract":"Tektins are evolutionarily conserved filament-forming proteins localized in flagella and cilia, and have been reported to be involved in the stability and structural complexity of axonemal microtubules. Five mammalian Tektins (Tektin15) have been reported. Of these, Tektin2 (TEKT2) has been found to be required for normal flagellum structure and function. Tekt2-null sperm display flagellum bending and reduced motility, probably due to disruption of the dynein inner arm. However, the subcellular localization of TEKT2 in spermatozoa has not been clarified at the ultrastructural level. To elucidate the molecular localization of TEKT2 in flagella of rat spermatozoa, we performed confocal laser scanning microscopy, extraction of flagella followed by immunoblot analysis, and immunogold electron microscopy. Extraction of sperm flagella by SDS-EDTA resulted in complete extraction of axonemal tubulins, while TEKT2 was only partially released from flagella, suggesting that TEKT2 might be present in the peri-axonemal component, not directly associated with axonemal tubulins. Confocal laser scanning microscopy and pre-embedding immunoelectron microscopy revealed that TEKT2 is associated with the surface of outer dense fibers (ODFs). TEKT2 may function as an ODF-affiliated molecule required for flagellum stability and sperm motility. © 2010 Zoological Society of Japan.","author":[{"dropping-particle":"","family":"Shimasaki","given":"Sayaka","non-dropping-particle":"","parse-names":false,"suffix":""},{"dropping-particle":"","family":"Yamamoto","given":"Etsuko","non-dropping-particle":"","parse-names":false,"suffix":""},{"dropping-particle":"","family":"Murayama","given":"Emi","non-dropping-particle":"","parse-names":false,"suffix":""},{"dropping-particle":"","family":"Kurio","given":"Hitoshi","non-dropping-particle":"","parse-names":false,"suffix":""},{"dropping-particle":"","family":"Kaneko","given":"Takane","non-dropping-particle":"","parse-names":false,"suffix":""},{"dropping-particle":"","family":"Shibata","given":"Yosaburo","non-dropping-particle":"","parse-names":false,"suffix":""},{"dropping-particle":"","family":"Inai","given":"Tetsuichiro","non-dropping-particle":"","parse-names":false,"suffix":""},{"dropping-particle":"","family":"Iida","given":"Hiroshi","non-dropping-particle":"","parse-names":false,"suffix":""}],"container-title":"Zoological Science","id":"ITEM-1","issue":"9","issued":{"date-parts":[["2010"]]},"page":"755-761","title":"Subcellular localization of Tektin2 in rat sperm flagellum","type":"article-journal","volume":"27"},"uris":["http://www.mendeley.com/documents/?uuid=aae2fedd-a3b8-4212-810b-a7db2f52617b"]}],"mendeley":{"formattedCitation":"(Shimasaki et al., 2010)","plainTextFormattedCitation":"(Shimasaki et al., 2010)","previouslyFormattedCitation":"(Shimasaki et al., 2010)"},"properties":{"noteIndex":0},"schema":"https://github.com/citation-style-language/schema/raw/master/csl-citation.json"}</w:instrText>
      </w:r>
      <w:r w:rsidR="00AF6EE7" w:rsidRPr="0078176D">
        <w:rPr>
          <w:rFonts w:eastAsia="Times New Roman" w:cstheme="minorHAnsi"/>
          <w:sz w:val="24"/>
          <w:szCs w:val="24"/>
        </w:rPr>
        <w:fldChar w:fldCharType="separate"/>
      </w:r>
      <w:r w:rsidR="00AF6EE7" w:rsidRPr="0078176D">
        <w:rPr>
          <w:rFonts w:eastAsia="Times New Roman" w:cstheme="minorHAnsi"/>
          <w:noProof/>
          <w:sz w:val="24"/>
          <w:szCs w:val="24"/>
        </w:rPr>
        <w:t>(Shimasaki et al., 2010)</w:t>
      </w:r>
      <w:r w:rsidR="00AF6EE7" w:rsidRPr="0078176D">
        <w:rPr>
          <w:rFonts w:eastAsia="Times New Roman" w:cstheme="minorHAnsi"/>
          <w:sz w:val="24"/>
          <w:szCs w:val="24"/>
        </w:rPr>
        <w:fldChar w:fldCharType="end"/>
      </w:r>
      <w:r w:rsidR="0078176D" w:rsidRPr="0078176D">
        <w:rPr>
          <w:rFonts w:eastAsia="Times New Roman" w:cstheme="minorHAnsi"/>
          <w:sz w:val="24"/>
          <w:szCs w:val="24"/>
        </w:rPr>
        <w:t xml:space="preserve"> </w:t>
      </w:r>
      <w:r w:rsidR="001B101E" w:rsidRPr="0078176D">
        <w:rPr>
          <w:rFonts w:eastAsia="Times New Roman" w:cstheme="minorHAnsi"/>
          <w:sz w:val="24"/>
          <w:szCs w:val="24"/>
        </w:rPr>
        <w:t>in human</w:t>
      </w:r>
      <w:r w:rsidR="00EE1148" w:rsidRPr="0078176D">
        <w:rPr>
          <w:rFonts w:eastAsia="Times New Roman" w:cstheme="minorHAnsi"/>
          <w:sz w:val="24"/>
          <w:szCs w:val="24"/>
        </w:rPr>
        <w:t xml:space="preserve"> </w:t>
      </w:r>
      <w:r w:rsidR="001B101E" w:rsidRPr="0078176D">
        <w:rPr>
          <w:rFonts w:eastAsia="Times New Roman" w:cstheme="minorHAnsi"/>
          <w:sz w:val="24"/>
          <w:szCs w:val="24"/>
        </w:rPr>
        <w:t>and mouse</w:t>
      </w:r>
      <w:r w:rsidR="00283500" w:rsidRPr="0078176D">
        <w:rPr>
          <w:rFonts w:eastAsia="Times New Roman" w:cstheme="minorHAnsi"/>
          <w:sz w:val="24"/>
          <w:szCs w:val="24"/>
        </w:rPr>
        <w:t xml:space="preserve">. </w:t>
      </w:r>
      <w:r w:rsidR="00F82086" w:rsidRPr="0078176D">
        <w:rPr>
          <w:rFonts w:eastAsia="Times New Roman" w:cstheme="minorHAnsi"/>
          <w:sz w:val="24"/>
          <w:szCs w:val="24"/>
        </w:rPr>
        <w:t>These</w:t>
      </w:r>
      <w:r w:rsidRPr="0078176D">
        <w:rPr>
          <w:rFonts w:eastAsia="Times New Roman" w:cstheme="minorHAnsi"/>
          <w:sz w:val="24"/>
          <w:szCs w:val="24"/>
        </w:rPr>
        <w:t xml:space="preserve"> </w:t>
      </w:r>
      <w:r w:rsidR="00283500" w:rsidRPr="0078176D">
        <w:rPr>
          <w:rFonts w:eastAsia="Times New Roman" w:cstheme="minorHAnsi"/>
          <w:sz w:val="24"/>
          <w:szCs w:val="24"/>
        </w:rPr>
        <w:t xml:space="preserve">genes </w:t>
      </w:r>
      <w:r w:rsidR="00D771C2">
        <w:rPr>
          <w:rFonts w:eastAsia="Times New Roman" w:cstheme="minorHAnsi"/>
          <w:sz w:val="24"/>
          <w:szCs w:val="24"/>
        </w:rPr>
        <w:t>cause</w:t>
      </w:r>
      <w:r w:rsidR="00283500" w:rsidRPr="0078176D">
        <w:rPr>
          <w:rFonts w:eastAsia="Times New Roman" w:cstheme="minorHAnsi"/>
          <w:sz w:val="24"/>
          <w:szCs w:val="24"/>
        </w:rPr>
        <w:t xml:space="preserve"> </w:t>
      </w:r>
      <w:r w:rsidR="00F82086" w:rsidRPr="0078176D">
        <w:rPr>
          <w:rFonts w:eastAsia="Times New Roman" w:cstheme="minorHAnsi"/>
          <w:sz w:val="24"/>
          <w:szCs w:val="24"/>
        </w:rPr>
        <w:t>‘</w:t>
      </w:r>
      <w:r w:rsidR="009D41BC" w:rsidRPr="00B44EF8">
        <w:rPr>
          <w:sz w:val="24"/>
          <w:szCs w:val="24"/>
        </w:rPr>
        <w:t>primary ciliary dyskinesia</w:t>
      </w:r>
      <w:r w:rsidR="00F82086" w:rsidRPr="002A2EB9">
        <w:rPr>
          <w:sz w:val="24"/>
          <w:szCs w:val="24"/>
        </w:rPr>
        <w:t>’</w:t>
      </w:r>
      <w:r w:rsidRPr="002A2EB9">
        <w:rPr>
          <w:sz w:val="24"/>
          <w:szCs w:val="24"/>
        </w:rPr>
        <w:t xml:space="preserve"> </w:t>
      </w:r>
      <w:r w:rsidR="004E5E1C" w:rsidRPr="007E1B2F">
        <w:rPr>
          <w:sz w:val="24"/>
          <w:szCs w:val="24"/>
        </w:rPr>
        <w:t>(OMIM entry #244400)</w:t>
      </w:r>
      <w:r w:rsidR="004E5E1C">
        <w:rPr>
          <w:sz w:val="24"/>
          <w:szCs w:val="24"/>
        </w:rPr>
        <w:t xml:space="preserve"> </w:t>
      </w:r>
      <w:r w:rsidRPr="002A2EB9">
        <w:rPr>
          <w:sz w:val="24"/>
          <w:szCs w:val="24"/>
        </w:rPr>
        <w:t xml:space="preserve">which </w:t>
      </w:r>
      <w:r w:rsidR="00F82086" w:rsidRPr="002A2EB9">
        <w:rPr>
          <w:sz w:val="24"/>
          <w:szCs w:val="24"/>
        </w:rPr>
        <w:t xml:space="preserve">is characterized by </w:t>
      </w:r>
      <w:r w:rsidR="00F82086" w:rsidRPr="0078176D">
        <w:rPr>
          <w:rFonts w:eastAsia="Times New Roman" w:cstheme="minorHAnsi"/>
          <w:sz w:val="24"/>
          <w:szCs w:val="24"/>
        </w:rPr>
        <w:t xml:space="preserve">defects in motile cilium </w:t>
      </w:r>
      <w:r w:rsidR="00CD29AD">
        <w:rPr>
          <w:sz w:val="24"/>
          <w:szCs w:val="24"/>
        </w:rPr>
        <w:t>and</w:t>
      </w:r>
      <w:r w:rsidR="00F82086" w:rsidRPr="002A2EB9">
        <w:rPr>
          <w:sz w:val="24"/>
          <w:szCs w:val="24"/>
        </w:rPr>
        <w:t xml:space="preserve"> decreased sperm motility in males</w:t>
      </w:r>
      <w:r w:rsidR="001B101E" w:rsidRPr="0078176D">
        <w:rPr>
          <w:rFonts w:eastAsia="Times New Roman" w:cstheme="minorHAnsi"/>
          <w:sz w:val="24"/>
          <w:szCs w:val="24"/>
        </w:rPr>
        <w:t xml:space="preserve">. </w:t>
      </w:r>
      <w:r w:rsidR="00DA5E32" w:rsidRPr="0078176D">
        <w:rPr>
          <w:rFonts w:eastAsia="Times New Roman" w:cstheme="minorHAnsi"/>
          <w:sz w:val="24"/>
          <w:szCs w:val="24"/>
        </w:rPr>
        <w:t>From the point of sperm movement</w:t>
      </w:r>
      <w:r w:rsidR="00D771C2">
        <w:rPr>
          <w:rFonts w:eastAsia="Times New Roman" w:cstheme="minorHAnsi"/>
          <w:sz w:val="24"/>
          <w:szCs w:val="24"/>
        </w:rPr>
        <w:t>,</w:t>
      </w:r>
      <w:r w:rsidR="00DA5E32" w:rsidRPr="0078176D">
        <w:rPr>
          <w:rFonts w:eastAsia="Times New Roman" w:cstheme="minorHAnsi"/>
          <w:sz w:val="24"/>
          <w:szCs w:val="24"/>
        </w:rPr>
        <w:t xml:space="preserve"> genes</w:t>
      </w:r>
      <w:r w:rsidR="00DA5E32" w:rsidRPr="002A2EB9">
        <w:rPr>
          <w:sz w:val="24"/>
          <w:szCs w:val="24"/>
        </w:rPr>
        <w:t xml:space="preserve"> </w:t>
      </w:r>
      <w:r w:rsidR="00DA5E32" w:rsidRPr="0078176D">
        <w:rPr>
          <w:rFonts w:eastAsia="Times New Roman" w:cstheme="minorHAnsi"/>
          <w:sz w:val="24"/>
          <w:szCs w:val="24"/>
        </w:rPr>
        <w:t>RSPH9</w:t>
      </w:r>
      <w:r w:rsidR="00D771C2">
        <w:rPr>
          <w:rFonts w:eastAsia="Times New Roman" w:cstheme="minorHAnsi"/>
          <w:sz w:val="24"/>
          <w:szCs w:val="24"/>
        </w:rPr>
        <w:t xml:space="preserve"> and</w:t>
      </w:r>
      <w:r w:rsidR="00DA5E32" w:rsidRPr="0078176D">
        <w:rPr>
          <w:rFonts w:eastAsia="Times New Roman" w:cstheme="minorHAnsi"/>
          <w:sz w:val="24"/>
          <w:szCs w:val="24"/>
        </w:rPr>
        <w:t xml:space="preserve"> ODAD2 </w:t>
      </w:r>
      <w:r w:rsidR="00D771C2">
        <w:rPr>
          <w:rFonts w:eastAsia="Times New Roman" w:cstheme="minorHAnsi"/>
          <w:sz w:val="24"/>
          <w:szCs w:val="24"/>
        </w:rPr>
        <w:t xml:space="preserve">are related </w:t>
      </w:r>
      <w:r w:rsidR="00D771C2">
        <w:rPr>
          <w:rFonts w:eastAsia="Times New Roman" w:cstheme="minorHAnsi"/>
          <w:sz w:val="24"/>
          <w:szCs w:val="24"/>
        </w:rPr>
        <w:lastRenderedPageBreak/>
        <w:t>to</w:t>
      </w:r>
      <w:r w:rsidR="00DA5E32" w:rsidRPr="0078176D">
        <w:rPr>
          <w:rFonts w:eastAsia="Times New Roman" w:cstheme="minorHAnsi"/>
          <w:sz w:val="24"/>
          <w:szCs w:val="24"/>
        </w:rPr>
        <w:t xml:space="preserve"> ciliary beat pattern</w:t>
      </w:r>
      <w:r w:rsidR="00E33B0A" w:rsidRPr="0078176D">
        <w:rPr>
          <w:rFonts w:eastAsia="Times New Roman" w:cstheme="minorHAnsi"/>
          <w:sz w:val="24"/>
          <w:szCs w:val="24"/>
        </w:rPr>
        <w:t>.</w:t>
      </w:r>
      <w:r w:rsidR="00DA5E32" w:rsidRPr="0078176D">
        <w:rPr>
          <w:rFonts w:eastAsia="Times New Roman" w:cstheme="minorHAnsi"/>
          <w:sz w:val="24"/>
          <w:szCs w:val="24"/>
        </w:rPr>
        <w:t xml:space="preserve"> </w:t>
      </w:r>
      <w:r w:rsidR="00A93573">
        <w:rPr>
          <w:rFonts w:eastAsia="Times New Roman" w:cstheme="minorHAnsi"/>
          <w:sz w:val="24"/>
          <w:szCs w:val="24"/>
        </w:rPr>
        <w:t xml:space="preserve">The </w:t>
      </w:r>
      <w:r w:rsidR="00A93573">
        <w:rPr>
          <w:rFonts w:eastAsia="Times New Roman" w:cstheme="minorHAnsi"/>
          <w:i/>
          <w:iCs/>
          <w:sz w:val="24"/>
          <w:szCs w:val="24"/>
        </w:rPr>
        <w:t>r</w:t>
      </w:r>
      <w:r w:rsidR="00DA5E32" w:rsidRPr="002A2EB9">
        <w:rPr>
          <w:rFonts w:eastAsia="Times New Roman" w:cstheme="minorHAnsi"/>
          <w:i/>
          <w:iCs/>
          <w:sz w:val="24"/>
          <w:szCs w:val="24"/>
        </w:rPr>
        <w:t>ose-comb</w:t>
      </w:r>
      <w:r w:rsidR="00DA5E32" w:rsidRPr="0078176D">
        <w:rPr>
          <w:rFonts w:eastAsia="Times New Roman" w:cstheme="minorHAnsi"/>
          <w:sz w:val="24"/>
          <w:szCs w:val="24"/>
        </w:rPr>
        <w:t xml:space="preserve"> mutation in chickens results from</w:t>
      </w:r>
      <w:r w:rsidR="00A93573">
        <w:rPr>
          <w:rFonts w:eastAsia="Times New Roman" w:cstheme="minorHAnsi"/>
          <w:sz w:val="24"/>
          <w:szCs w:val="24"/>
        </w:rPr>
        <w:t xml:space="preserve"> an</w:t>
      </w:r>
      <w:r w:rsidR="00DA5E32" w:rsidRPr="0078176D">
        <w:rPr>
          <w:rFonts w:eastAsia="Times New Roman" w:cstheme="minorHAnsi"/>
          <w:sz w:val="24"/>
          <w:szCs w:val="24"/>
        </w:rPr>
        <w:t xml:space="preserve"> inversion on chromosome 7</w:t>
      </w:r>
      <w:r w:rsidR="00E33B0A" w:rsidRPr="0078176D">
        <w:rPr>
          <w:rFonts w:eastAsia="Times New Roman" w:cstheme="minorHAnsi"/>
          <w:sz w:val="24"/>
          <w:szCs w:val="24"/>
        </w:rPr>
        <w:t xml:space="preserve"> </w:t>
      </w:r>
      <w:r w:rsidR="006E2B61">
        <w:rPr>
          <w:rFonts w:eastAsia="Times New Roman" w:cstheme="minorHAnsi"/>
          <w:sz w:val="24"/>
          <w:szCs w:val="24"/>
        </w:rPr>
        <w:t xml:space="preserve">which </w:t>
      </w:r>
      <w:r w:rsidR="006E2B61" w:rsidRPr="0078176D">
        <w:rPr>
          <w:rFonts w:eastAsia="Times New Roman" w:cstheme="minorHAnsi"/>
          <w:sz w:val="24"/>
          <w:szCs w:val="24"/>
        </w:rPr>
        <w:t>distort</w:t>
      </w:r>
      <w:r w:rsidR="006E2B61">
        <w:rPr>
          <w:rFonts w:eastAsia="Times New Roman" w:cstheme="minorHAnsi"/>
          <w:sz w:val="24"/>
          <w:szCs w:val="24"/>
        </w:rPr>
        <w:t>s</w:t>
      </w:r>
      <w:r w:rsidR="006E2B61" w:rsidRPr="0078176D">
        <w:rPr>
          <w:rFonts w:eastAsia="Times New Roman" w:cstheme="minorHAnsi"/>
          <w:sz w:val="24"/>
          <w:szCs w:val="24"/>
        </w:rPr>
        <w:t xml:space="preserve"> </w:t>
      </w:r>
      <w:r w:rsidR="00E33B0A" w:rsidRPr="0078176D">
        <w:rPr>
          <w:rFonts w:eastAsia="Times New Roman" w:cstheme="minorHAnsi"/>
          <w:sz w:val="24"/>
          <w:szCs w:val="24"/>
        </w:rPr>
        <w:t>the expression pattern of CFAP65</w:t>
      </w:r>
      <w:r w:rsidR="006E2B61">
        <w:rPr>
          <w:rFonts w:eastAsia="Times New Roman" w:cstheme="minorHAnsi"/>
          <w:sz w:val="24"/>
          <w:szCs w:val="24"/>
        </w:rPr>
        <w:t xml:space="preserve"> further causing structural change</w:t>
      </w:r>
      <w:r w:rsidR="009D41BC">
        <w:rPr>
          <w:rFonts w:eastAsia="Times New Roman" w:cstheme="minorHAnsi"/>
          <w:sz w:val="24"/>
          <w:szCs w:val="24"/>
        </w:rPr>
        <w:t>s in cilia and flagellum</w:t>
      </w:r>
      <w:r w:rsidR="006E2B61">
        <w:rPr>
          <w:rFonts w:eastAsia="Times New Roman" w:cstheme="minorHAnsi"/>
          <w:sz w:val="24"/>
          <w:szCs w:val="24"/>
        </w:rPr>
        <w:t xml:space="preserve"> leading to the typical comb pattern but</w:t>
      </w:r>
      <w:r w:rsidR="00CD29AD">
        <w:rPr>
          <w:rFonts w:eastAsia="Times New Roman" w:cstheme="minorHAnsi"/>
          <w:sz w:val="24"/>
          <w:szCs w:val="24"/>
        </w:rPr>
        <w:t xml:space="preserve"> </w:t>
      </w:r>
      <w:r w:rsidR="00DA5E32" w:rsidRPr="0078176D">
        <w:rPr>
          <w:rFonts w:eastAsia="Times New Roman" w:cstheme="minorHAnsi"/>
          <w:sz w:val="24"/>
          <w:szCs w:val="24"/>
        </w:rPr>
        <w:t xml:space="preserve">also </w:t>
      </w:r>
      <w:r w:rsidR="009D41BC">
        <w:rPr>
          <w:rFonts w:eastAsia="Times New Roman" w:cstheme="minorHAnsi"/>
          <w:sz w:val="24"/>
          <w:szCs w:val="24"/>
        </w:rPr>
        <w:t>in reduced</w:t>
      </w:r>
      <w:r w:rsidR="00DA5E32" w:rsidRPr="0078176D">
        <w:rPr>
          <w:rFonts w:eastAsia="Times New Roman" w:cstheme="minorHAnsi"/>
          <w:sz w:val="24"/>
          <w:szCs w:val="24"/>
        </w:rPr>
        <w:t xml:space="preserve"> sperm motility</w:t>
      </w:r>
      <w:r w:rsidR="009D41BC">
        <w:rPr>
          <w:rFonts w:eastAsia="Times New Roman" w:cstheme="minorHAnsi"/>
          <w:sz w:val="24"/>
          <w:szCs w:val="24"/>
        </w:rPr>
        <w:t xml:space="preserve"> </w:t>
      </w:r>
      <w:r w:rsidR="00E33B0A" w:rsidRPr="0078176D">
        <w:rPr>
          <w:rFonts w:eastAsia="Times New Roman" w:cstheme="minorHAnsi"/>
          <w:sz w:val="24"/>
          <w:szCs w:val="24"/>
        </w:rPr>
        <w:fldChar w:fldCharType="begin" w:fldLock="1"/>
      </w:r>
      <w:r w:rsidR="00382B6A">
        <w:rPr>
          <w:rFonts w:eastAsia="Times New Roman" w:cstheme="minorHAnsi"/>
          <w:sz w:val="24"/>
          <w:szCs w:val="24"/>
        </w:rPr>
        <w:instrText>ADDIN CSL_CITATION {"citationItems":[{"id":"ITEM-1","itemData":{"DOI":"10.1371/journal.pgen.1002775","ISSN":"15537390","PMID":"22761584","abstract":"Rose-comb, a classical monogenic trait of chickens, is characterized by a drastically altered comb morphology compared to the single-combed wild-type. Here we show that Rose-comb is caused by a 7.4 Mb inversion on chromosome 7 and that a second Rose-comb allele arose by unequal crossing over between a Rose-comb and wild-type chromosome. The comb phenotype is caused by the relocalization of the MNR2 homeodomain protein gene leading to transient ectopic expression of MNR2 during comb development. We also provide a molecular explanation for the first example of epistatic interaction reported by Bateson and Punnett 104 years ago, namely that walnut-comb is caused by the combined effects of the Rose-comb and Pea-comb alleles. Transient ectopic expression of MNR2 and SOX5 (causing the Pea-comb phenotype) occurs in the same population of mesenchymal cells and with at least partially overlapping expression in individual cells in the comb primordium. Rose-comb has pleiotropic effects, as homozygosity in males has been associated with poor sperm motility. We postulate that this is caused by the disruption of the CCDC108 gene located at one of the inversion breakpoints. CCDC108 is a poorly characterized protein, but it contains a MSP (major sperm protein) domain and is expressed in testis. The study illustrates several characteristic features of the genetic diversity present in domestic animals, including the evolution of alleles by two or more consecutive mutations and the fact that structural changes have contributed to fast phenotypic evolution. © 2012 Imsland et al.","author":[{"dropping-particle":"","family":"Imsland","given":"Freyja","non-dropping-particle":"","parse-names":false,"suffix":""},{"dropping-particle":"","family":"Feng","given":"Chungang","non-dropping-particle":"","parse-names":false,"suffix":""},{"dropping-particle":"","family":"Boije","given":"Henrik","non-dropping-particle":"","parse-names":false,"suffix":""},{"dropping-particle":"","family":"Bed'hom","given":"Bertrand","non-dropping-particle":"","parse-names":false,"suffix":""},{"dropping-particle":"","family":"Fillon","given":"Valérie","non-dropping-particle":"","parse-names":false,"suffix":""},{"dropping-particle":"","family":"Dorshorst","given":"Ben","non-dropping-particle":"","parse-names":false,"suffix":""},{"dropping-particle":"","family":"Rubin","given":"Carl Johan","non-dropping-particle":"","parse-names":false,"suffix":""},{"dropping-particle":"","family":"Liu","given":"Ranran","non-dropping-particle":"","parse-names":false,"suffix":""},{"dropping-particle":"","family":"Gao","given":"Yu","non-dropping-particle":"","parse-names":false,"suffix":""},{"dropping-particle":"","family":"Gu","given":"Xiaorong","non-dropping-particle":"","parse-names":false,"suffix":""},{"dropping-particle":"","family":"Wang","given":"Yanqiang","non-dropping-particle":"","parse-names":false,"suffix":""},{"dropping-particle":"","family":"Gourichon","given":"David","non-dropping-particle":"","parse-names":false,"suffix":""},{"dropping-particle":"","family":"Zody","given":"Michael C.","non-dropping-particle":"","parse-names":false,"suffix":""},{"dropping-particle":"","family":"Zecchin","given":"William","non-dropping-particle":"","parse-names":false,"suffix":""},{"dropping-particle":"","family":"Vieaud","given":"Agathe","non-dropping-particle":"","parse-names":false,"suffix":""},{"dropping-particle":"","family":"Tixier-Boichard","given":"Michèle","non-dropping-particle":"","parse-names":false,"suffix":""},{"dropping-particle":"","family":"Hu","given":"Xiaoxiang","non-dropping-particle":"","parse-names":false,"suffix":""},{"dropping-particle":"","family":"Hallböök","given":"Finn","non-dropping-particle":"","parse-names":false,"suffix":""},{"dropping-particle":"","family":"Li","given":"Ning","non-dropping-particle":"","parse-names":false,"suffix":""},{"dropping-particle":"","family":"Andersson","given":"Leif","non-dropping-particle":"","parse-names":false,"suffix":""}],"container-title":"PLoS Genetics","id":"ITEM-1","issue":"6","issued":{"date-parts":[["2012"]]},"title":"The Rose-comb mutation in chickens constitutes a structural rearrangement causing both altered comb morphology and defective a strcutucal change in which affects the comb sperm motility","type":"article-journal","volume":"8"},"uris":["http://www.mendeley.com/documents/?uuid=92868188-156c-4beb-aa51-79820bd086d1"]}],"mendeley":{"formattedCitation":"(Imsland et al., 2012)","plainTextFormattedCitation":"(Imsland et al., 2012)","previouslyFormattedCitation":"(Imsland et al., 2012)"},"properties":{"noteIndex":0},"schema":"https://github.com/citation-style-language/schema/raw/master/csl-citation.json"}</w:instrText>
      </w:r>
      <w:r w:rsidR="00E33B0A" w:rsidRPr="0078176D">
        <w:rPr>
          <w:rFonts w:eastAsia="Times New Roman" w:cstheme="minorHAnsi"/>
          <w:sz w:val="24"/>
          <w:szCs w:val="24"/>
        </w:rPr>
        <w:fldChar w:fldCharType="separate"/>
      </w:r>
      <w:r w:rsidR="00E33B0A" w:rsidRPr="0078176D">
        <w:rPr>
          <w:rFonts w:eastAsia="Times New Roman" w:cstheme="minorHAnsi"/>
          <w:noProof/>
          <w:sz w:val="24"/>
          <w:szCs w:val="24"/>
        </w:rPr>
        <w:t>(Imsland et al., 2012)</w:t>
      </w:r>
      <w:r w:rsidR="00E33B0A" w:rsidRPr="0078176D">
        <w:rPr>
          <w:rFonts w:eastAsia="Times New Roman" w:cstheme="minorHAnsi"/>
          <w:sz w:val="24"/>
          <w:szCs w:val="24"/>
        </w:rPr>
        <w:fldChar w:fldCharType="end"/>
      </w:r>
      <w:r w:rsidR="00E33B0A" w:rsidRPr="0078176D">
        <w:rPr>
          <w:rFonts w:eastAsia="Times New Roman" w:cstheme="minorHAnsi"/>
          <w:sz w:val="24"/>
          <w:szCs w:val="24"/>
        </w:rPr>
        <w:t>.</w:t>
      </w:r>
      <w:r w:rsidR="000631E5">
        <w:rPr>
          <w:rFonts w:eastAsia="Times New Roman" w:cstheme="minorHAnsi"/>
          <w:sz w:val="24"/>
          <w:szCs w:val="24"/>
        </w:rPr>
        <w:t xml:space="preserve"> </w:t>
      </w:r>
    </w:p>
    <w:p w14:paraId="177312A1" w14:textId="3D8EB822" w:rsidR="003257A8" w:rsidRPr="00B303B1" w:rsidRDefault="00342E9F" w:rsidP="004E5E1C">
      <w:pPr>
        <w:spacing w:after="0" w:line="480" w:lineRule="auto"/>
        <w:ind w:firstLine="720"/>
        <w:contextualSpacing/>
        <w:jc w:val="both"/>
        <w:rPr>
          <w:rFonts w:eastAsia="Times New Roman" w:cstheme="minorHAnsi"/>
          <w:sz w:val="24"/>
          <w:szCs w:val="24"/>
        </w:rPr>
      </w:pPr>
      <w:r w:rsidRPr="0078176D">
        <w:rPr>
          <w:rFonts w:eastAsia="Times New Roman" w:cstheme="minorHAnsi"/>
          <w:sz w:val="24"/>
          <w:szCs w:val="24"/>
        </w:rPr>
        <w:t>M</w:t>
      </w:r>
      <w:r w:rsidR="003257A8" w:rsidRPr="002356D5">
        <w:rPr>
          <w:rFonts w:eastAsia="Times New Roman" w:cstheme="minorHAnsi"/>
          <w:sz w:val="24"/>
          <w:szCs w:val="24"/>
        </w:rPr>
        <w:t xml:space="preserve">ost of the DE genes </w:t>
      </w:r>
      <w:r w:rsidR="00804974">
        <w:rPr>
          <w:rFonts w:eastAsia="Times New Roman" w:cstheme="minorHAnsi"/>
          <w:sz w:val="24"/>
          <w:szCs w:val="24"/>
        </w:rPr>
        <w:t xml:space="preserve">in testis </w:t>
      </w:r>
      <w:r w:rsidR="003257A8" w:rsidRPr="002356D5">
        <w:rPr>
          <w:rFonts w:eastAsia="Times New Roman" w:cstheme="minorHAnsi"/>
          <w:sz w:val="24"/>
          <w:szCs w:val="24"/>
        </w:rPr>
        <w:t xml:space="preserve">were identified </w:t>
      </w:r>
      <w:r w:rsidR="00077DF1">
        <w:rPr>
          <w:rFonts w:eastAsia="Times New Roman" w:cstheme="minorHAnsi"/>
          <w:sz w:val="24"/>
          <w:szCs w:val="24"/>
        </w:rPr>
        <w:t>in</w:t>
      </w:r>
      <w:r w:rsidR="00077DF1" w:rsidRPr="002356D5">
        <w:rPr>
          <w:rFonts w:eastAsia="Times New Roman" w:cstheme="minorHAnsi"/>
          <w:sz w:val="24"/>
          <w:szCs w:val="24"/>
        </w:rPr>
        <w:t xml:space="preserve"> </w:t>
      </w:r>
      <w:r w:rsidR="003257A8" w:rsidRPr="002356D5">
        <w:rPr>
          <w:rFonts w:eastAsia="Times New Roman" w:cstheme="minorHAnsi"/>
          <w:sz w:val="24"/>
          <w:szCs w:val="24"/>
        </w:rPr>
        <w:t>the</w:t>
      </w:r>
      <w:r w:rsidR="003257A8">
        <w:rPr>
          <w:rFonts w:eastAsia="Times New Roman" w:cstheme="minorHAnsi"/>
          <w:sz w:val="24"/>
          <w:szCs w:val="24"/>
        </w:rPr>
        <w:t xml:space="preserve"> AA and AB* </w:t>
      </w:r>
      <w:r w:rsidR="00077DF1">
        <w:rPr>
          <w:rFonts w:eastAsia="Times New Roman" w:cstheme="minorHAnsi"/>
          <w:sz w:val="24"/>
          <w:szCs w:val="24"/>
        </w:rPr>
        <w:t>comparison</w:t>
      </w:r>
      <w:r w:rsidR="003257A8">
        <w:rPr>
          <w:rFonts w:eastAsia="Times New Roman" w:cstheme="minorHAnsi"/>
          <w:sz w:val="24"/>
          <w:szCs w:val="24"/>
        </w:rPr>
        <w:t xml:space="preserve"> in </w:t>
      </w:r>
      <w:r w:rsidR="00CD29AD">
        <w:rPr>
          <w:rFonts w:eastAsia="Times New Roman" w:cstheme="minorHAnsi"/>
          <w:sz w:val="24"/>
          <w:szCs w:val="24"/>
        </w:rPr>
        <w:t xml:space="preserve">the </w:t>
      </w:r>
      <w:r w:rsidR="003257A8" w:rsidRPr="002356D5">
        <w:rPr>
          <w:rFonts w:eastAsia="Times New Roman" w:cstheme="minorHAnsi"/>
          <w:sz w:val="24"/>
          <w:szCs w:val="24"/>
        </w:rPr>
        <w:t xml:space="preserve">accelerating I </w:t>
      </w:r>
      <w:r w:rsidR="003257A8">
        <w:rPr>
          <w:rFonts w:eastAsia="Times New Roman" w:cstheme="minorHAnsi"/>
          <w:sz w:val="24"/>
          <w:szCs w:val="24"/>
        </w:rPr>
        <w:t>stage.</w:t>
      </w:r>
      <w:r w:rsidR="003257A8" w:rsidRPr="002356D5">
        <w:rPr>
          <w:rFonts w:eastAsia="Times New Roman" w:cstheme="minorHAnsi"/>
          <w:sz w:val="24"/>
          <w:szCs w:val="24"/>
        </w:rPr>
        <w:t xml:space="preserve"> </w:t>
      </w:r>
      <w:r w:rsidR="003257A8">
        <w:rPr>
          <w:rFonts w:eastAsia="Times New Roman" w:cstheme="minorHAnsi"/>
          <w:sz w:val="24"/>
          <w:szCs w:val="24"/>
        </w:rPr>
        <w:t>T</w:t>
      </w:r>
      <w:r w:rsidR="003257A8" w:rsidRPr="002356D5">
        <w:rPr>
          <w:rFonts w:eastAsia="Times New Roman" w:cstheme="minorHAnsi"/>
          <w:sz w:val="24"/>
          <w:szCs w:val="24"/>
        </w:rPr>
        <w:t xml:space="preserve">hese genes were also </w:t>
      </w:r>
      <w:r w:rsidR="006E2B61" w:rsidRPr="002356D5">
        <w:rPr>
          <w:rFonts w:eastAsia="Times New Roman" w:cstheme="minorHAnsi"/>
          <w:sz w:val="24"/>
          <w:szCs w:val="24"/>
        </w:rPr>
        <w:t>enriched</w:t>
      </w:r>
      <w:r w:rsidR="003257A8" w:rsidRPr="002356D5">
        <w:rPr>
          <w:rFonts w:eastAsia="Times New Roman" w:cstheme="minorHAnsi"/>
          <w:sz w:val="24"/>
          <w:szCs w:val="24"/>
        </w:rPr>
        <w:t xml:space="preserve"> for cilium and microtubule organization and assembly as well as to sperm motility and </w:t>
      </w:r>
      <w:r w:rsidR="003257A8" w:rsidRPr="00F52086">
        <w:rPr>
          <w:rFonts w:eastAsia="Times New Roman" w:cstheme="minorHAnsi"/>
          <w:sz w:val="24"/>
          <w:szCs w:val="24"/>
        </w:rPr>
        <w:t>axonemal assembly (</w:t>
      </w:r>
      <w:r w:rsidR="00991ACE">
        <w:rPr>
          <w:rFonts w:eastAsia="Times New Roman" w:cstheme="minorHAnsi"/>
          <w:sz w:val="24"/>
          <w:szCs w:val="24"/>
        </w:rPr>
        <w:t>Table S5</w:t>
      </w:r>
      <w:r w:rsidR="00EE1148">
        <w:rPr>
          <w:rFonts w:eastAsia="Times New Roman" w:cstheme="minorHAnsi"/>
          <w:sz w:val="24"/>
          <w:szCs w:val="24"/>
        </w:rPr>
        <w:t>, Figure 3</w:t>
      </w:r>
      <w:r w:rsidR="003257A8" w:rsidRPr="00F52086">
        <w:rPr>
          <w:rFonts w:eastAsia="Times New Roman" w:cstheme="minorHAnsi"/>
          <w:sz w:val="24"/>
          <w:szCs w:val="24"/>
        </w:rPr>
        <w:t xml:space="preserve">). </w:t>
      </w:r>
      <w:r>
        <w:rPr>
          <w:rFonts w:eastAsia="Times New Roman" w:cstheme="minorHAnsi"/>
          <w:sz w:val="24"/>
          <w:szCs w:val="24"/>
        </w:rPr>
        <w:t>When looking</w:t>
      </w:r>
      <w:r w:rsidR="0090167B">
        <w:rPr>
          <w:rFonts w:eastAsia="Times New Roman" w:cstheme="minorHAnsi"/>
          <w:sz w:val="24"/>
          <w:szCs w:val="24"/>
        </w:rPr>
        <w:t xml:space="preserve"> at </w:t>
      </w:r>
      <w:r w:rsidR="00A50143">
        <w:rPr>
          <w:rFonts w:eastAsia="Times New Roman" w:cstheme="minorHAnsi"/>
          <w:sz w:val="24"/>
          <w:szCs w:val="24"/>
        </w:rPr>
        <w:t>expression</w:t>
      </w:r>
      <w:r>
        <w:rPr>
          <w:rFonts w:eastAsia="Times New Roman" w:cstheme="minorHAnsi"/>
          <w:sz w:val="24"/>
          <w:szCs w:val="24"/>
        </w:rPr>
        <w:t xml:space="preserve"> across the sampled developmental stages in testis</w:t>
      </w:r>
      <w:r w:rsidR="00804974">
        <w:rPr>
          <w:rFonts w:eastAsia="Times New Roman" w:cstheme="minorHAnsi"/>
          <w:sz w:val="24"/>
          <w:szCs w:val="24"/>
        </w:rPr>
        <w:t>,</w:t>
      </w:r>
      <w:r>
        <w:rPr>
          <w:rFonts w:eastAsia="Times New Roman" w:cstheme="minorHAnsi"/>
          <w:sz w:val="24"/>
          <w:szCs w:val="24"/>
        </w:rPr>
        <w:t xml:space="preserve"> </w:t>
      </w:r>
      <w:r w:rsidR="00CD29AD">
        <w:rPr>
          <w:rFonts w:eastAsia="Times New Roman" w:cstheme="minorHAnsi"/>
          <w:sz w:val="24"/>
          <w:szCs w:val="24"/>
        </w:rPr>
        <w:t xml:space="preserve">genes for cilium and flagellum are mostly expressed in the two later timepoints, namely the accelerating II and active timepoints, but in the accelerating I timepoint, AA stands out by having expression pattern </w:t>
      </w:r>
      <w:r w:rsidR="00192E74">
        <w:rPr>
          <w:rFonts w:eastAsia="Times New Roman" w:cstheme="minorHAnsi"/>
          <w:sz w:val="24"/>
          <w:szCs w:val="24"/>
        </w:rPr>
        <w:t xml:space="preserve">more </w:t>
      </w:r>
      <w:proofErr w:type="gramStart"/>
      <w:r w:rsidR="00CD29AD">
        <w:rPr>
          <w:rFonts w:eastAsia="Times New Roman" w:cstheme="minorHAnsi"/>
          <w:sz w:val="24"/>
          <w:szCs w:val="24"/>
        </w:rPr>
        <w:t>similar to</w:t>
      </w:r>
      <w:proofErr w:type="gramEnd"/>
      <w:r w:rsidR="00CD29AD">
        <w:rPr>
          <w:rFonts w:eastAsia="Times New Roman" w:cstheme="minorHAnsi"/>
          <w:sz w:val="24"/>
          <w:szCs w:val="24"/>
        </w:rPr>
        <w:t xml:space="preserve"> the </w:t>
      </w:r>
      <w:r w:rsidR="00192E74">
        <w:rPr>
          <w:rFonts w:eastAsia="Times New Roman" w:cstheme="minorHAnsi"/>
          <w:sz w:val="24"/>
          <w:szCs w:val="24"/>
        </w:rPr>
        <w:t xml:space="preserve">later timepoints in the other karyotypes </w:t>
      </w:r>
      <w:r>
        <w:rPr>
          <w:rFonts w:eastAsia="Times New Roman" w:cstheme="minorHAnsi"/>
          <w:sz w:val="24"/>
          <w:szCs w:val="24"/>
        </w:rPr>
        <w:t>(Figure 3B and 3C).</w:t>
      </w:r>
      <w:r w:rsidR="00F008E9">
        <w:rPr>
          <w:rFonts w:eastAsia="Times New Roman" w:cstheme="minorHAnsi"/>
          <w:sz w:val="24"/>
          <w:szCs w:val="24"/>
        </w:rPr>
        <w:t xml:space="preserve"> </w:t>
      </w:r>
      <w:r w:rsidR="00CD29AD">
        <w:rPr>
          <w:rFonts w:eastAsia="Times New Roman" w:cstheme="minorHAnsi"/>
          <w:sz w:val="24"/>
          <w:szCs w:val="24"/>
        </w:rPr>
        <w:t xml:space="preserve">In </w:t>
      </w:r>
      <w:r w:rsidR="00192E74">
        <w:rPr>
          <w:rFonts w:eastAsia="Times New Roman" w:cstheme="minorHAnsi"/>
          <w:sz w:val="24"/>
          <w:szCs w:val="24"/>
        </w:rPr>
        <w:t xml:space="preserve">the </w:t>
      </w:r>
      <w:r w:rsidR="00F008E9" w:rsidRPr="002356D5">
        <w:rPr>
          <w:rFonts w:eastAsia="Times New Roman" w:cstheme="minorHAnsi"/>
          <w:sz w:val="24"/>
          <w:szCs w:val="24"/>
        </w:rPr>
        <w:t>accelerating I</w:t>
      </w:r>
      <w:r w:rsidR="00F008E9">
        <w:rPr>
          <w:rFonts w:eastAsia="Times New Roman" w:cstheme="minorHAnsi"/>
          <w:sz w:val="24"/>
          <w:szCs w:val="24"/>
        </w:rPr>
        <w:t xml:space="preserve"> stage,</w:t>
      </w:r>
      <w:r w:rsidR="00F008E9" w:rsidRPr="00F52086">
        <w:rPr>
          <w:rFonts w:eastAsia="Times New Roman" w:cstheme="minorHAnsi"/>
          <w:sz w:val="24"/>
          <w:szCs w:val="24"/>
        </w:rPr>
        <w:t xml:space="preserve"> which is characterized </w:t>
      </w:r>
      <w:r w:rsidR="00CD29AD">
        <w:rPr>
          <w:rFonts w:eastAsia="Times New Roman" w:cstheme="minorHAnsi"/>
          <w:sz w:val="24"/>
          <w:szCs w:val="24"/>
        </w:rPr>
        <w:t>by</w:t>
      </w:r>
      <w:r w:rsidR="00CD29AD" w:rsidRPr="00F52086">
        <w:rPr>
          <w:rFonts w:eastAsia="Times New Roman" w:cstheme="minorHAnsi"/>
          <w:sz w:val="24"/>
          <w:szCs w:val="24"/>
        </w:rPr>
        <w:t xml:space="preserve"> </w:t>
      </w:r>
      <w:r w:rsidR="00F008E9" w:rsidRPr="00662E79">
        <w:rPr>
          <w:sz w:val="24"/>
          <w:szCs w:val="24"/>
          <w:lang w:val="en-GB"/>
        </w:rPr>
        <w:t>the primary spermatocytes in meiotic division and some round spermatids, but no elongating spermatids or</w:t>
      </w:r>
      <w:r w:rsidR="00F008E9" w:rsidRPr="00715CE4">
        <w:rPr>
          <w:sz w:val="24"/>
          <w:szCs w:val="24"/>
          <w:lang w:val="en-GB"/>
        </w:rPr>
        <w:t xml:space="preserve"> sperm cells</w:t>
      </w:r>
      <w:r w:rsidR="00F008E9">
        <w:rPr>
          <w:lang w:val="en-GB"/>
        </w:rPr>
        <w:t>,</w:t>
      </w:r>
      <w:r w:rsidR="00F008E9" w:rsidRPr="0046319A">
        <w:rPr>
          <w:rFonts w:eastAsia="Times New Roman" w:cstheme="minorHAnsi"/>
          <w:sz w:val="24"/>
          <w:szCs w:val="24"/>
        </w:rPr>
        <w:t xml:space="preserve"> </w:t>
      </w:r>
      <w:r w:rsidR="00CD29AD">
        <w:rPr>
          <w:rFonts w:eastAsia="Times New Roman" w:cstheme="minorHAnsi"/>
          <w:sz w:val="24"/>
          <w:szCs w:val="24"/>
        </w:rPr>
        <w:t xml:space="preserve">the enriched functions </w:t>
      </w:r>
      <w:r w:rsidR="00CD29AD" w:rsidRPr="009D5BA0">
        <w:rPr>
          <w:rFonts w:eastAsia="Times New Roman" w:cstheme="minorHAnsi"/>
          <w:sz w:val="24"/>
          <w:szCs w:val="24"/>
        </w:rPr>
        <w:t xml:space="preserve">match with previous studies on </w:t>
      </w:r>
      <w:r w:rsidR="00CD29AD">
        <w:rPr>
          <w:rFonts w:eastAsia="Times New Roman" w:cstheme="minorHAnsi"/>
          <w:sz w:val="24"/>
          <w:szCs w:val="24"/>
        </w:rPr>
        <w:t>the</w:t>
      </w:r>
      <w:r w:rsidR="00CD29AD" w:rsidRPr="009D5BA0">
        <w:rPr>
          <w:rFonts w:eastAsia="Times New Roman" w:cstheme="minorHAnsi"/>
          <w:sz w:val="24"/>
          <w:szCs w:val="24"/>
        </w:rPr>
        <w:t xml:space="preserve"> stage</w:t>
      </w:r>
      <w:r w:rsidR="00CD29AD">
        <w:rPr>
          <w:rFonts w:eastAsia="Times New Roman" w:cstheme="minorHAnsi"/>
          <w:sz w:val="24"/>
          <w:szCs w:val="24"/>
        </w:rPr>
        <w:t>s</w:t>
      </w:r>
      <w:r w:rsidR="00CD29AD" w:rsidRPr="009D5BA0">
        <w:rPr>
          <w:rFonts w:eastAsia="Times New Roman" w:cstheme="minorHAnsi"/>
          <w:sz w:val="24"/>
          <w:szCs w:val="24"/>
        </w:rPr>
        <w:t xml:space="preserve"> of spermatogenesis </w:t>
      </w:r>
      <w:r w:rsidR="00F008E9" w:rsidRPr="0046319A">
        <w:rPr>
          <w:rFonts w:eastAsia="Times New Roman" w:cstheme="minorHAnsi"/>
          <w:sz w:val="24"/>
          <w:szCs w:val="24"/>
        </w:rPr>
        <w:fldChar w:fldCharType="begin" w:fldLock="1"/>
      </w:r>
      <w:r w:rsidR="00F008E9">
        <w:rPr>
          <w:rFonts w:eastAsia="Times New Roman" w:cstheme="minorHAnsi"/>
          <w:sz w:val="24"/>
          <w:szCs w:val="24"/>
        </w:rPr>
        <w:instrText>ADDIN CSL_CITATION {"citationItems":[{"id":"ITEM-1","itemData":{"DOI":"10.1371/journal.pone.0061558","ISSN":"19326203","PMID":"23613874","abstract":"Correct gene expression patterns form the basis for male germ cell differentiation and male fertility. Although previous studies have elucidated the importance of testis specific gene expression, the exact transcripts and comprehensive gene expression patterns remain unknown. Large scale sequencing techniques have enabled cost effective analysis of gene expression and isoform studies. Using the SOLiD 4 next-generation sequencing platform we have investigated the gene expression patterns at five different time points during the first wave on murine spermatogenesis. Our results highlight the upregulation of spermatogenesis related biological processes and associated cellular components. Elucidation of differential gene expression at important time points during the sperm development emphasizes the importance of correct timing of gene expression within biological processes. Differential gene level expression was analyzed with R/Bioconductor's Limma package and isoform analysis was conducted with the Cufflinks pipeline. At gene level total of 2494 differentially expressed genes were identified and Cufflinks characterized over 160 000 gene isoforms, of which 29% were novel transcripts assigned to known genes. Isoforms were detected for 57% of expressed genes and in a total over 26 000 genes were expressed in the testis. Differential promoter and transcription start site usage appears also to play a role in regulation of gene expression during spermatogenesis. Furthermore, we identified 947 upregulated long non-coding RNAs during the first wave of spermatogenesis. These RNAs appeared to be highly specific to different time points. Transcriptomic analysis of testis tissue samples is highly informative due to the large number of expressed genes and identified isoforms. Our study provides a very valuable basis for investigation of gene isoforms and regulation and factors contributing to male fertility. © 2013 Laiho et al.","author":[{"dropping-particle":"","family":"Laiho","given":"Asta","non-dropping-particle":"","parse-names":false,"suffix":""},{"dropping-particle":"","family":"Kotaja","given":"Noora","non-dropping-particle":"","parse-names":false,"suffix":""},{"dropping-particle":"","family":"Gyenesei","given":"Attila","non-dropping-particle":"","parse-names":false,"suffix":""},{"dropping-particle":"","family":"Sironen","given":"Anu","non-dropping-particle":"","parse-names":false,"suffix":""}],"container-title":"PLoS ONE","id":"ITEM-1","issue":"4","issued":{"date-parts":[["2013"]]},"title":"Transcriptome Profiling of the Murine Testis during the First Wave of Spermatogenesis","type":"article-journal","volume":"8"},"uris":["http://www.mendeley.com/documents/?uuid=3dfc2d20-8d0d-478d-b044-d315ad7dcd5e"]}],"mendeley":{"formattedCitation":"(Laiho et al., 2013)","plainTextFormattedCitation":"(Laiho et al., 2013)","previouslyFormattedCitation":"(Laiho et al., 2013)"},"properties":{"noteIndex":0},"schema":"https://github.com/citation-style-language/schema/raw/master/csl-citation.json"}</w:instrText>
      </w:r>
      <w:r w:rsidR="00F008E9" w:rsidRPr="0046319A">
        <w:rPr>
          <w:rFonts w:eastAsia="Times New Roman" w:cstheme="minorHAnsi"/>
          <w:sz w:val="24"/>
          <w:szCs w:val="24"/>
        </w:rPr>
        <w:fldChar w:fldCharType="separate"/>
      </w:r>
      <w:r w:rsidR="00F008E9" w:rsidRPr="001E0464">
        <w:rPr>
          <w:rFonts w:eastAsia="Times New Roman" w:cstheme="minorHAnsi"/>
          <w:noProof/>
          <w:sz w:val="24"/>
          <w:szCs w:val="24"/>
        </w:rPr>
        <w:t>(Laiho et al., 2013)</w:t>
      </w:r>
      <w:r w:rsidR="00F008E9" w:rsidRPr="0046319A">
        <w:rPr>
          <w:rFonts w:eastAsia="Times New Roman" w:cstheme="minorHAnsi"/>
          <w:sz w:val="24"/>
          <w:szCs w:val="24"/>
        </w:rPr>
        <w:fldChar w:fldCharType="end"/>
      </w:r>
      <w:r w:rsidR="00F008E9">
        <w:rPr>
          <w:rFonts w:eastAsia="Times New Roman" w:cstheme="minorHAnsi"/>
          <w:sz w:val="24"/>
          <w:szCs w:val="24"/>
        </w:rPr>
        <w:t xml:space="preserve">. </w:t>
      </w:r>
      <w:r w:rsidR="00192E74">
        <w:rPr>
          <w:rFonts w:eastAsia="Times New Roman" w:cstheme="minorHAnsi"/>
          <w:sz w:val="24"/>
          <w:szCs w:val="24"/>
        </w:rPr>
        <w:t xml:space="preserve">However, a </w:t>
      </w:r>
      <w:r w:rsidR="008F0714">
        <w:rPr>
          <w:rFonts w:eastAsia="Times New Roman" w:cstheme="minorHAnsi"/>
          <w:sz w:val="24"/>
          <w:szCs w:val="24"/>
        </w:rPr>
        <w:t>few genes have the opposite pattern</w:t>
      </w:r>
      <w:r w:rsidR="00F008E9">
        <w:rPr>
          <w:rFonts w:eastAsia="Times New Roman" w:cstheme="minorHAnsi"/>
          <w:sz w:val="24"/>
          <w:szCs w:val="24"/>
        </w:rPr>
        <w:t xml:space="preserve"> with high</w:t>
      </w:r>
      <w:r w:rsidR="00CD29AD">
        <w:rPr>
          <w:rFonts w:eastAsia="Times New Roman" w:cstheme="minorHAnsi"/>
          <w:sz w:val="24"/>
          <w:szCs w:val="24"/>
        </w:rPr>
        <w:t>er</w:t>
      </w:r>
      <w:r w:rsidR="00F008E9">
        <w:rPr>
          <w:rFonts w:eastAsia="Times New Roman" w:cstheme="minorHAnsi"/>
          <w:sz w:val="24"/>
          <w:szCs w:val="24"/>
        </w:rPr>
        <w:t xml:space="preserve"> expression in AB* </w:t>
      </w:r>
      <w:r w:rsidR="00CC586B">
        <w:rPr>
          <w:rFonts w:eastAsia="Times New Roman" w:cstheme="minorHAnsi"/>
          <w:sz w:val="24"/>
          <w:szCs w:val="24"/>
        </w:rPr>
        <w:t xml:space="preserve">and B*B* </w:t>
      </w:r>
      <w:r w:rsidR="00F008E9">
        <w:rPr>
          <w:rFonts w:eastAsia="Times New Roman" w:cstheme="minorHAnsi"/>
          <w:sz w:val="24"/>
          <w:szCs w:val="24"/>
        </w:rPr>
        <w:t>in the accelerating I stage:</w:t>
      </w:r>
      <w:r w:rsidR="008F0714">
        <w:rPr>
          <w:rFonts w:eastAsia="Times New Roman" w:cstheme="minorHAnsi"/>
          <w:sz w:val="24"/>
          <w:szCs w:val="24"/>
        </w:rPr>
        <w:t xml:space="preserve"> </w:t>
      </w:r>
      <w:r w:rsidR="008F0714" w:rsidRPr="008F0714">
        <w:rPr>
          <w:rFonts w:eastAsia="Times New Roman" w:cstheme="minorHAnsi"/>
          <w:sz w:val="24"/>
          <w:szCs w:val="24"/>
        </w:rPr>
        <w:t>DCX</w:t>
      </w:r>
      <w:r w:rsidR="008F0714">
        <w:rPr>
          <w:rFonts w:eastAsia="Times New Roman" w:cstheme="minorHAnsi"/>
          <w:sz w:val="24"/>
          <w:szCs w:val="24"/>
        </w:rPr>
        <w:t xml:space="preserve"> and MYO10 in the </w:t>
      </w:r>
      <w:r w:rsidR="00815D8F">
        <w:rPr>
          <w:rFonts w:eastAsia="Times New Roman" w:cstheme="minorHAnsi"/>
          <w:sz w:val="24"/>
          <w:szCs w:val="24"/>
        </w:rPr>
        <w:t>axoneme</w:t>
      </w:r>
      <w:r w:rsidR="008F0714">
        <w:rPr>
          <w:rFonts w:eastAsia="Times New Roman" w:cstheme="minorHAnsi"/>
          <w:sz w:val="24"/>
          <w:szCs w:val="24"/>
        </w:rPr>
        <w:t xml:space="preserve">, dynein and cilium assembly cluster (Figure 3C) and </w:t>
      </w:r>
      <w:r w:rsidR="000508A0" w:rsidRPr="000508A0">
        <w:rPr>
          <w:rFonts w:eastAsia="Times New Roman" w:cstheme="minorHAnsi"/>
          <w:sz w:val="24"/>
          <w:szCs w:val="24"/>
        </w:rPr>
        <w:t>DND1</w:t>
      </w:r>
      <w:r w:rsidR="009B4558">
        <w:rPr>
          <w:rFonts w:eastAsia="Times New Roman" w:cstheme="minorHAnsi"/>
          <w:sz w:val="24"/>
          <w:szCs w:val="24"/>
        </w:rPr>
        <w:t xml:space="preserve"> </w:t>
      </w:r>
      <w:r w:rsidR="000508A0">
        <w:rPr>
          <w:rFonts w:eastAsia="Times New Roman" w:cstheme="minorHAnsi"/>
          <w:sz w:val="24"/>
          <w:szCs w:val="24"/>
        </w:rPr>
        <w:t>and</w:t>
      </w:r>
      <w:r w:rsidR="009B4558" w:rsidRPr="009B4558">
        <w:t xml:space="preserve"> </w:t>
      </w:r>
      <w:r w:rsidR="009B4558" w:rsidRPr="009B4558">
        <w:rPr>
          <w:rFonts w:eastAsia="Times New Roman" w:cstheme="minorHAnsi"/>
          <w:sz w:val="24"/>
          <w:szCs w:val="24"/>
        </w:rPr>
        <w:t>WNT4</w:t>
      </w:r>
      <w:r w:rsidR="009B4558">
        <w:rPr>
          <w:rFonts w:eastAsia="Times New Roman" w:cstheme="minorHAnsi"/>
          <w:sz w:val="24"/>
          <w:szCs w:val="24"/>
        </w:rPr>
        <w:t xml:space="preserve"> i</w:t>
      </w:r>
      <w:r w:rsidR="000508A0">
        <w:rPr>
          <w:rFonts w:eastAsia="Times New Roman" w:cstheme="minorHAnsi"/>
          <w:sz w:val="24"/>
          <w:szCs w:val="24"/>
        </w:rPr>
        <w:t xml:space="preserve">n spermatid development (Figure </w:t>
      </w:r>
      <w:r w:rsidR="00CC586B">
        <w:rPr>
          <w:rFonts w:eastAsia="Times New Roman" w:cstheme="minorHAnsi"/>
          <w:sz w:val="24"/>
          <w:szCs w:val="24"/>
        </w:rPr>
        <w:t>3A</w:t>
      </w:r>
      <w:r w:rsidR="000508A0">
        <w:rPr>
          <w:rFonts w:eastAsia="Times New Roman" w:cstheme="minorHAnsi"/>
          <w:sz w:val="24"/>
          <w:szCs w:val="24"/>
        </w:rPr>
        <w:t xml:space="preserve">). </w:t>
      </w:r>
      <w:r w:rsidR="00AF6EE7">
        <w:rPr>
          <w:rFonts w:eastAsia="Times New Roman" w:cstheme="minorHAnsi"/>
          <w:sz w:val="24"/>
          <w:szCs w:val="24"/>
        </w:rPr>
        <w:t>DCX</w:t>
      </w:r>
      <w:r w:rsidR="009B4558">
        <w:rPr>
          <w:rFonts w:eastAsia="Times New Roman" w:cstheme="minorHAnsi"/>
          <w:sz w:val="24"/>
          <w:szCs w:val="24"/>
        </w:rPr>
        <w:t xml:space="preserve"> </w:t>
      </w:r>
      <w:r w:rsidR="0036291F">
        <w:rPr>
          <w:rFonts w:eastAsia="Times New Roman" w:cstheme="minorHAnsi"/>
          <w:sz w:val="24"/>
          <w:szCs w:val="24"/>
        </w:rPr>
        <w:t>likely has a role in microtubule dynamics</w:t>
      </w:r>
      <w:r w:rsidR="00C07ABD">
        <w:rPr>
          <w:rFonts w:eastAsia="Times New Roman" w:cstheme="minorHAnsi"/>
          <w:sz w:val="24"/>
          <w:szCs w:val="24"/>
        </w:rPr>
        <w:t xml:space="preserve"> in sperm flagellum </w:t>
      </w:r>
      <w:r w:rsidR="00C07ABD">
        <w:rPr>
          <w:rFonts w:eastAsia="Times New Roman" w:cstheme="minorHAnsi"/>
          <w:sz w:val="24"/>
          <w:szCs w:val="24"/>
        </w:rPr>
        <w:fldChar w:fldCharType="begin" w:fldLock="1"/>
      </w:r>
      <w:r w:rsidR="00F008E9">
        <w:rPr>
          <w:rFonts w:eastAsia="Times New Roman" w:cstheme="minorHAnsi"/>
          <w:sz w:val="24"/>
          <w:szCs w:val="24"/>
        </w:rPr>
        <w:instrText>ADDIN CSL_CITATION {"citationItems":[{"id":"ITEM-1","itemData":{"DOI":"10.1095/biolreprod.116.143479","ISSN":"15297268","PMID":"28395323","abstract":"Spermmotility notably depends on the structural integrity of the flagellum and the regulation ofmicrotubule dynamics. Although researchers have started to use \"omics\" techniques to characterize the human sperm's molecular landscape, the constituents responsible for the assembly, organization, and dynamics of the flagellum microtubule have yet to be fully defined. In this study, we defined a core set of 116 gene products associated with the human sperm microtubulome (including products potentially involved in abnormal ciliary phenotypes and male infertility disorders). To this end, we designed and applied an integrated genomics workflow and combined relevant proteomics, transcriptomics, and interactomics datasets to reconstruct a dynamic interactome map. By further integrating phenotypic information, we defined a disease-interaction network; this enabled us to highlight a number of novel factors potentially associated with altered sperm motility and male fertility. Lastly, we experimentally validated the expression pattern of two candidate genes (CUL3 and DCDC2C) that had never previously been associated with male germline differentiation. Our analysis suggested that CUL3 and DCDC2C's products have important roles in the sperm flagellum. Taken as a whole, our results demonstrate that an integrated genomics strategy can highlight relevant molecular factors in specific sperm components. This approach could be easily extended by including other \"omics\" data (from asthenozoospermic men, for example) and identifying other critical proteins from the human sperm microtubulome.","author":[{"dropping-particle":"","family":"Jumeau","given":"Fanny","non-dropping-particle":"","parse-names":false,"suffix":""},{"dropping-particle":"","family":"Chalmel","given":"Frédéric","non-dropping-particle":"","parse-names":false,"suffix":""},{"dropping-particle":"","family":"Fernandez-Gomez","given":"Francisco Jose","non-dropping-particle":"","parse-names":false,"suffix":""},{"dropping-particle":"","family":"Carpentier","given":"Céline","non-dropping-particle":"","parse-names":false,"suffix":""},{"dropping-particle":"","family":"Obriot","given":"Hélène","non-dropping-particle":"","parse-names":false,"suffix":""},{"dropping-particle":"","family":"Tardivel","given":"Meryem","non-dropping-particle":"","parse-names":false,"suffix":""},{"dropping-particle":"","family":"Caillet-Boudin","given":"Marie Laure","non-dropping-particle":"","parse-names":false,"suffix":""},{"dropping-particle":"","family":"Rigot","given":"Jean Marc","non-dropping-particle":"","parse-names":false,"suffix":""},{"dropping-particle":"","family":"Rives","given":"Nathalie","non-dropping-particle":"","parse-names":false,"suffix":""},{"dropping-particle":"","family":"Buée","given":"Luc","non-dropping-particle":"","parse-names":false,"suffix":""},{"dropping-particle":"","family":"Sergeant","given":"Nicolas","non-dropping-particle":"","parse-names":false,"suffix":""},{"dropping-particle":"","family":"Mitchell","given":"Valérie","non-dropping-particle":"","parse-names":false,"suffix":""}],"container-title":"Biology of Reproduction","id":"ITEM-1","issue":"1","issued":{"date-parts":[["2017"]]},"page":"93-106","title":"Defining the human sperm microtubulome: An integrated genomics approach","type":"article-journal","volume":"96"},"uris":["http://www.mendeley.com/documents/?uuid=3df2a183-2103-4e67-8da9-da47ce25d6af"]}],"mendeley":{"formattedCitation":"(Jumeau et al., 2017)","plainTextFormattedCitation":"(Jumeau et al., 2017)","previouslyFormattedCitation":"(Jumeau et al., 2017)"},"properties":{"noteIndex":0},"schema":"https://github.com/citation-style-language/schema/raw/master/csl-citation.json"}</w:instrText>
      </w:r>
      <w:r w:rsidR="00C07ABD">
        <w:rPr>
          <w:rFonts w:eastAsia="Times New Roman" w:cstheme="minorHAnsi"/>
          <w:sz w:val="24"/>
          <w:szCs w:val="24"/>
        </w:rPr>
        <w:fldChar w:fldCharType="separate"/>
      </w:r>
      <w:r w:rsidR="00C07ABD" w:rsidRPr="00C07ABD">
        <w:rPr>
          <w:rFonts w:eastAsia="Times New Roman" w:cstheme="minorHAnsi"/>
          <w:noProof/>
          <w:sz w:val="24"/>
          <w:szCs w:val="24"/>
        </w:rPr>
        <w:t>(Jumeau et al., 2017)</w:t>
      </w:r>
      <w:r w:rsidR="00C07ABD">
        <w:rPr>
          <w:rFonts w:eastAsia="Times New Roman" w:cstheme="minorHAnsi"/>
          <w:sz w:val="24"/>
          <w:szCs w:val="24"/>
        </w:rPr>
        <w:fldChar w:fldCharType="end"/>
      </w:r>
      <w:r w:rsidR="00AF6EE7">
        <w:rPr>
          <w:rFonts w:eastAsia="Times New Roman" w:cstheme="minorHAnsi"/>
          <w:sz w:val="24"/>
          <w:szCs w:val="24"/>
        </w:rPr>
        <w:t xml:space="preserve"> whereas MYO10 is </w:t>
      </w:r>
      <w:r w:rsidR="00192E74">
        <w:rPr>
          <w:rFonts w:eastAsia="Times New Roman" w:cstheme="minorHAnsi"/>
          <w:sz w:val="24"/>
          <w:szCs w:val="24"/>
        </w:rPr>
        <w:t xml:space="preserve">expressed in Lydig cells, Sertoli cells, and spermatogonia in humans </w:t>
      </w:r>
      <w:r w:rsidR="00192E74">
        <w:rPr>
          <w:rFonts w:eastAsia="Times New Roman" w:cstheme="minorHAnsi"/>
          <w:sz w:val="24"/>
          <w:szCs w:val="24"/>
        </w:rPr>
        <w:fldChar w:fldCharType="begin" w:fldLock="1"/>
      </w:r>
      <w:r w:rsidR="00192E74">
        <w:rPr>
          <w:rFonts w:eastAsia="Times New Roman" w:cstheme="minorHAnsi"/>
          <w:sz w:val="24"/>
          <w:szCs w:val="24"/>
        </w:rPr>
        <w:instrText>ADDIN CSL_CITATION {"citationItems":[{"id":"ITEM-1","itemData":{"DOI":"10.1126/science.1260419","ISSN":"10959203","PMID":"25613900","abstract":"Resolving the molecular details of proteome variation in the different tissues and organs of the human body will greatly increase our knowledge of human biology and disease. Here, we present a map of the human tissue proteome based on an integrated omics approach that involves quantitative transcriptomics at the tissue and organ level, combined with tissue microarray-based immunohistochemistry, to achieve spatial localization of proteins down to the single-cell level. Our tissue-based analysis detected more than 90% of the putative protein-coding genes.We used this approach to explore the human secretome, the membrane proteome, the druggable proteome, the cancer proteome, and the metabolic functions in 32 different tissues and organs. All the data are integrated in an interactive Web-based database that allows exploration of individual proteins, as well as navigation of global expression patterns, in all major tissues and organs in the human body.","author":[{"dropping-particle":"","family":"Uhlén","given":"Mathias","non-dropping-particle":"","parse-names":false,"suffix":""},{"dropping-particle":"","family":"Fagerberg","given":"Linn","non-dropping-particle":"","parse-names":false,"suffix":""},{"dropping-particle":"","family":"Hallström","given":"Bjö M.","non-dropping-particle":"","parse-names":false,"suffix":""},{"dropping-particle":"","family":"Lindskog","given":"Cecilia","non-dropping-particle":"","parse-names":false,"suffix":""},{"dropping-particle":"","family":"Oksvold","given":"Per","non-dropping-particle":"","parse-names":false,"suffix":""},{"dropping-particle":"","family":"Mardinoglu","given":"Adil","non-dropping-particle":"","parse-names":false,"suffix":""},{"dropping-particle":"","family":"Sivertsson","given":"Åsa","non-dropping-particle":"","parse-names":false,"suffix":""},{"dropping-particle":"","family":"Kampf","given":"Caroline","non-dropping-particle":"","parse-names":false,"suffix":""},{"dropping-particle":"","family":"Sjöstedt","given":"Evelina","non-dropping-particle":"","parse-names":false,"suffix":""},{"dropping-particle":"","family":"Asplund","given":"Anna","non-dropping-particle":"","parse-names":false,"suffix":""},{"dropping-particle":"","family":"Olsson","given":"Ing Marie","non-dropping-particle":"","parse-names":false,"suffix":""},{"dropping-particle":"","family":"Edlund","given":"Karolina","non-dropping-particle":"","parse-names":false,"suffix":""},{"dropping-particle":"","family":"Lundberg","given":"Emma","non-dropping-particle":"","parse-names":false,"suffix":""},{"dropping-particle":"","family":"Navani","given":"Sanjay","non-dropping-particle":"","parse-names":false,"suffix":""},{"dropping-particle":"","family":"Szigyarto","given":"Cristina Al Khalili","non-dropping-particle":"","parse-names":false,"suffix":""},{"dropping-particle":"","family":"Odeberg","given":"Jacob","non-dropping-particle":"","parse-names":false,"suffix":""},{"dropping-particle":"","family":"Djureinovic","given":"Dijana","non-dropping-particle":"","parse-names":false,"suffix":""},{"dropping-particle":"","family":"Takanen","given":"Jenny Ottosson","non-dropping-particle":"","parse-names":false,"suffix":""},{"dropping-particle":"","family":"Hober","given":"Sophia","non-dropping-particle":"","parse-names":false,"suffix":""},{"dropping-particle":"","family":"Alm","given":"Tove","non-dropping-particle":"","parse-names":false,"suffix":""},{"dropping-particle":"","family":"Edqvist","given":"Per Henrik","non-dropping-particle":"","parse-names":false,"suffix":""},{"dropping-particle":"","family":"Berling","given":"Holger","non-dropping-particle":"","parse-names":false,"suffix":""},{"dropping-particle":"","family":"Tegel","given":"Hanna","non-dropping-particle":"","parse-names":false,"suffix":""},{"dropping-particle":"","family":"Mulder","given":"Jan","non-dropping-particle":"","parse-names":false,"suffix":""},{"dropping-particle":"","family":"Rockberg","given":"Johan","non-dropping-particle":"","parse-names":false,"suffix":""},{"dropping-particle":"","family":"Nilsson","given":"Peter","non-dropping-particle":"","parse-names":false,"suffix":""},{"dropping-particle":"","family":"Schwenk","given":"Jochen M.","non-dropping-particle":"","parse-names":false,"suffix":""},{"dropping-particle":"","family":"Hamsten","given":"Marica","non-dropping-particle":"","parse-names":false,"suffix":""},{"dropping-particle":"","family":"Feilitzen","given":"Kalle","non-dropping-particle":"Von","parse-names":false,"suffix":""},{"dropping-particle":"","family":"Forsberg","given":"Mattias","non-dropping-particle":"","parse-names":false,"suffix":""},{"dropping-particle":"","family":"Persson","given":"Lukas","non-dropping-particle":"","parse-names":false,"suffix":""},{"dropping-particle":"","family":"Johansson","given":"Fredric","non-dropping-particle":"","parse-names":false,"suffix":""},{"dropping-particle":"","family":"Zwahlen","given":"Martin","non-dropping-particle":"","parse-names":false,"suffix":""},{"dropping-particle":"","family":"Heijne","given":"Gunnar","non-dropping-particle":"Von","parse-names":false,"suffix":""},{"dropping-particle":"","family":"Nielsen","given":"Jens","non-dropping-particle":"","parse-names":false,"suffix":""},{"dropping-particle":"","family":"Pontén","given":"Fredrik","non-dropping-particle":"","parse-names":false,"suffix":""}],"container-title":"Science","id":"ITEM-1","issue":"6220","issued":{"date-parts":[["2015"]]},"title":"Tissue-based map of the human proteome","type":"article-journal","volume":"347"},"uris":["http://www.mendeley.com/documents/?uuid=e477eae8-2f03-46aa-a9da-03c22f710bdf"]}],"mendeley":{"formattedCitation":"(Uhlén et al., 2015)","plainTextFormattedCitation":"(Uhlén et al., 2015)","previouslyFormattedCitation":"(Uhlén et al., 2015)"},"properties":{"noteIndex":0},"schema":"https://github.com/citation-style-language/schema/raw/master/csl-citation.json"}</w:instrText>
      </w:r>
      <w:r w:rsidR="00192E74">
        <w:rPr>
          <w:rFonts w:eastAsia="Times New Roman" w:cstheme="minorHAnsi"/>
          <w:sz w:val="24"/>
          <w:szCs w:val="24"/>
        </w:rPr>
        <w:fldChar w:fldCharType="separate"/>
      </w:r>
      <w:r w:rsidR="00192E74" w:rsidRPr="00986520">
        <w:rPr>
          <w:rFonts w:eastAsia="Times New Roman" w:cstheme="minorHAnsi"/>
          <w:noProof/>
          <w:sz w:val="24"/>
          <w:szCs w:val="24"/>
        </w:rPr>
        <w:t>(Uhlén et al., 2015)</w:t>
      </w:r>
      <w:r w:rsidR="00192E74">
        <w:rPr>
          <w:rFonts w:eastAsia="Times New Roman" w:cstheme="minorHAnsi"/>
          <w:sz w:val="24"/>
          <w:szCs w:val="24"/>
        </w:rPr>
        <w:fldChar w:fldCharType="end"/>
      </w:r>
      <w:r w:rsidR="00192E74">
        <w:rPr>
          <w:rFonts w:eastAsia="Times New Roman" w:cstheme="minorHAnsi"/>
          <w:sz w:val="24"/>
          <w:szCs w:val="24"/>
        </w:rPr>
        <w:t xml:space="preserve">. Despite the relevant expression in human gamete formation, no specific function is attributed to spermatogenesis. However, MYO10 is involved in </w:t>
      </w:r>
      <w:r w:rsidR="00AF6EE7">
        <w:rPr>
          <w:rFonts w:eastAsia="Times New Roman" w:cstheme="minorHAnsi"/>
          <w:sz w:val="24"/>
          <w:szCs w:val="24"/>
        </w:rPr>
        <w:t xml:space="preserve">promoting germline-somatic contact in </w:t>
      </w:r>
      <w:r w:rsidR="009B4558">
        <w:rPr>
          <w:rFonts w:eastAsia="Times New Roman" w:cstheme="minorHAnsi"/>
          <w:sz w:val="24"/>
          <w:szCs w:val="24"/>
        </w:rPr>
        <w:t>developing oocytes</w:t>
      </w:r>
      <w:r w:rsidR="0036291F">
        <w:rPr>
          <w:rFonts w:eastAsia="Times New Roman" w:cstheme="minorHAnsi"/>
          <w:sz w:val="24"/>
          <w:szCs w:val="24"/>
        </w:rPr>
        <w:t xml:space="preserve"> </w:t>
      </w:r>
      <w:r w:rsidR="00AF6EE7">
        <w:rPr>
          <w:rFonts w:eastAsia="Times New Roman" w:cstheme="minorHAnsi"/>
          <w:sz w:val="24"/>
          <w:szCs w:val="24"/>
        </w:rPr>
        <w:t xml:space="preserve"> </w:t>
      </w:r>
      <w:r w:rsidR="00AF6EE7">
        <w:rPr>
          <w:rFonts w:eastAsia="Times New Roman" w:cstheme="minorHAnsi"/>
          <w:sz w:val="24"/>
          <w:szCs w:val="24"/>
        </w:rPr>
        <w:fldChar w:fldCharType="begin" w:fldLock="1"/>
      </w:r>
      <w:r w:rsidR="00AF6EE7">
        <w:rPr>
          <w:rFonts w:eastAsia="Times New Roman" w:cstheme="minorHAnsi"/>
          <w:sz w:val="24"/>
          <w:szCs w:val="24"/>
        </w:rPr>
        <w:instrText>ADDIN CSL_CITATION {"citationItems":[{"id":"ITEM-1","itemData":{"DOI":"10.1093/biolre/ioac078","ISSN":"15297268","PMID":"35470858","abstract":"Granulosa cells of growing ovarian follicles elaborate filopodia-like structures termed transzonal projections (TZPs) that supply the enclosed oocyte with factors essential for its development. Little is known, however, of the mechanisms underlying the generation of TZPs. We show in mouse and human that filopodia, defined by an actin backbone, emerge from granulosa cells in early stage primary follicles and that actin-rich TZPs become detectable as soon as a space corresponding to the zona pellucida appears. mRNA encoding Myosin10 (MYO10), a motor protein that accumulates at the base and tips of filopodia and has been implicated in their initiation and elongation, is present in granulosa cells and oocytes of growing follicles. MYO10 protein accumulates in foci located mainly between the oocyte and innermost layer of granulosa cells, where it colocalizes with actin. In both mouse and human, the number of MYO10 foci increases as oocytes grow, corresponding to the increase in the number of actin-TZPs. RNAi-mediated depletion of MYO10 in cultured mouse granulosa cell-oocyte complexes is associated with a 52% reduction in the number of MYO10 foci and a 28% reduction in the number of actin-TZPs. Moreover, incubation of cumulus-oocyte complexes in the presence of epidermal growth factor, which triggers a 93% reduction in the number of actin-TZPs, is associated with a 55% reduction in the number of MYO10 foci. These results suggest that granulosa cells possess an ability to elaborate filopodia, which when directed toward the oocyte become actin-TZPs, and that MYO10 increases the efficiency of formation or maintenance of actin-TZPs.","author":[{"dropping-particle":"","family":"Granados-Aparici","given":"Sofia","non-dropping-particle":"","parse-names":false,"suffix":""},{"dropping-particle":"","family":"Volodarsky-Perel","given":"Alexander","non-dropping-particle":"","parse-names":false,"suffix":""},{"dropping-particle":"","family":"Yang","given":"Qin","non-dropping-particle":"","parse-names":false,"suffix":""},{"dropping-particle":"","family":"Anam","given":"Sibat","non-dropping-particle":"","parse-names":false,"suffix":""},{"dropping-particle":"","family":"Tulandi","given":"Togas","non-dropping-particle":"","parse-names":false,"suffix":""},{"dropping-particle":"","family":"Buckett","given":"William","non-dropping-particle":"","parse-names":false,"suffix":""},{"dropping-particle":"","family":"Son","given":"Weon Young","non-dropping-particle":"","parse-names":false,"suffix":""},{"dropping-particle":"","family":"Younes","given":"Grace","non-dropping-particle":"","parse-names":false,"suffix":""},{"dropping-particle":"","family":"Chung","given":"Jin Tae","non-dropping-particle":"","parse-names":false,"suffix":""},{"dropping-particle":"","family":"Jin","given":"Shaoguang","non-dropping-particle":"","parse-names":false,"suffix":""},{"dropping-particle":"","family":"Terret","given":"Marie Emilie","non-dropping-particle":"","parse-names":false,"suffix":""},{"dropping-particle":"","family":"Clarke","given":"Hugh J.","non-dropping-particle":"","parse-names":false,"suffix":""}],"container-title":"Biology of Reproduction","id":"ITEM-1","issue":"2","issued":{"date-parts":[["2022"]]},"page":"474-487","title":"MYO10 promotes transzonal projection-dependent germ line-somatic contact during mammalian folliculogenesis","type":"article-journal","volume":"107"},"uris":["http://www.mendeley.com/documents/?uuid=dc9928e1-88e7-46c1-9ae1-46f384c9b862"]}],"mendeley":{"formattedCitation":"(Granados-Aparici et al., 2022)","plainTextFormattedCitation":"(Granados-Aparici et al., 2022)","previouslyFormattedCitation":"(Granados-Aparici et al., 2022)"},"properties":{"noteIndex":0},"schema":"https://github.com/citation-style-language/schema/raw/master/csl-citation.json"}</w:instrText>
      </w:r>
      <w:r w:rsidR="00AF6EE7">
        <w:rPr>
          <w:rFonts w:eastAsia="Times New Roman" w:cstheme="minorHAnsi"/>
          <w:sz w:val="24"/>
          <w:szCs w:val="24"/>
        </w:rPr>
        <w:fldChar w:fldCharType="separate"/>
      </w:r>
      <w:r w:rsidR="00AF6EE7" w:rsidRPr="00AF6EE7">
        <w:rPr>
          <w:rFonts w:eastAsia="Times New Roman" w:cstheme="minorHAnsi"/>
          <w:noProof/>
          <w:sz w:val="24"/>
          <w:szCs w:val="24"/>
        </w:rPr>
        <w:t>(Granados-Aparici et al., 2022)</w:t>
      </w:r>
      <w:r w:rsidR="00AF6EE7">
        <w:rPr>
          <w:rFonts w:eastAsia="Times New Roman" w:cstheme="minorHAnsi"/>
          <w:sz w:val="24"/>
          <w:szCs w:val="24"/>
        </w:rPr>
        <w:fldChar w:fldCharType="end"/>
      </w:r>
      <w:r w:rsidR="0090167B">
        <w:rPr>
          <w:rFonts w:eastAsia="Times New Roman" w:cstheme="minorHAnsi"/>
          <w:sz w:val="24"/>
          <w:szCs w:val="24"/>
        </w:rPr>
        <w:t xml:space="preserve"> </w:t>
      </w:r>
      <w:r w:rsidR="00A11B3D">
        <w:rPr>
          <w:rFonts w:eastAsia="Times New Roman" w:cstheme="minorHAnsi"/>
          <w:sz w:val="24"/>
          <w:szCs w:val="24"/>
        </w:rPr>
        <w:t xml:space="preserve">and is involved in cytoskeleton remodeling </w:t>
      </w:r>
      <w:r w:rsidR="00192E74">
        <w:rPr>
          <w:rFonts w:eastAsia="Times New Roman" w:cstheme="minorHAnsi"/>
          <w:sz w:val="24"/>
          <w:szCs w:val="24"/>
        </w:rPr>
        <w:t>in cervical cancer</w:t>
      </w:r>
      <w:r w:rsidR="00715CE4">
        <w:rPr>
          <w:rFonts w:eastAsia="Times New Roman" w:cstheme="minorHAnsi"/>
          <w:sz w:val="24"/>
          <w:szCs w:val="24"/>
        </w:rPr>
        <w:t xml:space="preserve"> </w:t>
      </w:r>
      <w:r w:rsidR="00A11B3D">
        <w:rPr>
          <w:rFonts w:eastAsia="Times New Roman" w:cstheme="minorHAnsi"/>
          <w:sz w:val="24"/>
          <w:szCs w:val="24"/>
        </w:rPr>
        <w:fldChar w:fldCharType="begin" w:fldLock="1"/>
      </w:r>
      <w:r w:rsidR="00986520">
        <w:rPr>
          <w:rFonts w:eastAsia="Times New Roman" w:cstheme="minorHAnsi"/>
          <w:sz w:val="24"/>
          <w:szCs w:val="24"/>
        </w:rPr>
        <w:instrText>ADDIN CSL_CITATION {"citationItems":[{"id":"ITEM-1","itemData":{"DOI":"10.1177/1533033820936773","ISBN":"1533033820936","ISSN":"15330338","PMID":"32618228","abstract":"MYO10, recognized as an important regulator of cytoskeleton remodeling, has been reported to be associated with tumorigenesis. However, its functional implication in cervical cancer and potential mechanism still remain to be undetermined currently. MYO10 level in cervical cancer tissues was analyzed by using data retrieved from The Cancer Genome Atlas and ONCOMINE databases. Messenger RNA and protein expression levels were determined by quantitative real-time polymerase chain reaction and Western blotting. Small-interfering RNA and overexpressing plasmid were used for MYO10 silencing and overexpression, and cell proliferation was analyzed by CCK-8. Transwell assays were performed to investigate the ability of cell migration and invasion. MYO10 was upregulated in cervical cancer tissues and cells when compared to normal controls, and survival analysis showed patients with high MYO10 expression had worse overall survival. Moreover, knockdown/overexpression of MYO10 significantly inhibited/enhanced the proliferation, invasion, and migration capabilities of cervical cells transfected with siRNAs/overexpressing plasmid. Additionally, MYO10 silencing inhibited PI3K/Akt signaling pathway by decreasing the phosphorylation status of PI3K and AKT. Data from the present study indicated that MYO10 were overexpressed in patients with cervical cancer and positively linked with poor prognosis. Experimental results suggested that MYO10 induced a significant encouraging effect in cervical cancer cell proliferation, invasion, and migration, linked with involvement of PI3K/Akt signaling. Collectively, these results emphasize a novel role for MYO10 overexpression in cervical cancer and provide a potent therapeutic strategy against cervical cancer.","author":[{"dropping-particle":"","family":"He","given":"Jian Hui","non-dropping-particle":"","parse-names":false,"suffix":""},{"dropping-particle":"","family":"Chen","given":"Jian Guo","non-dropping-particle":"","parse-names":false,"suffix":""},{"dropping-particle":"","family":"Zhang","given":"Bin","non-dropping-particle":"","parse-names":false,"suffix":""},{"dropping-particle":"","family":"Chen","given":"Jing","non-dropping-particle":"","parse-names":false,"suffix":""},{"dropping-particle":"","family":"You","given":"Ke Li","non-dropping-particle":"","parse-names":false,"suffix":""},{"dropping-particle":"","family":"Hu","given":"Jie Mei","non-dropping-particle":"","parse-names":false,"suffix":""},{"dropping-particle":"","family":"Xu","given":"Jia Wen","non-dropping-particle":"","parse-names":false,"suffix":""},{"dropping-particle":"","family":"Chen","given":"Le","non-dropping-particle":"","parse-names":false,"suffix":""}],"container-title":"Technology in Cancer Research and Treatment","id":"ITEM-1","issue":"106","issued":{"date-parts":[["2020"]]},"page":"1-9","title":"Elevated MYO10 Predicts Poor Prognosis and its Deletion Hampers Proliferation and Migration Potentials of Cells Through Rewiring PI3K/Akt Signaling in Cervical Cancer","type":"article-journal","volume":"19"},"uris":["http://www.mendeley.com/documents/?uuid=b097af67-d476-4ef0-a2a1-50a847b78cdc"]}],"mendeley":{"formattedCitation":"(He et al., 2020)","plainTextFormattedCitation":"(He et al., 2020)","previouslyFormattedCitation":"(He et al., 2020)"},"properties":{"noteIndex":0},"schema":"https://github.com/citation-style-language/schema/raw/master/csl-citation.json"}</w:instrText>
      </w:r>
      <w:r w:rsidR="00A11B3D">
        <w:rPr>
          <w:rFonts w:eastAsia="Times New Roman" w:cstheme="minorHAnsi"/>
          <w:sz w:val="24"/>
          <w:szCs w:val="24"/>
        </w:rPr>
        <w:fldChar w:fldCharType="separate"/>
      </w:r>
      <w:r w:rsidR="00A11B3D" w:rsidRPr="00A11B3D">
        <w:rPr>
          <w:rFonts w:eastAsia="Times New Roman" w:cstheme="minorHAnsi"/>
          <w:noProof/>
          <w:sz w:val="24"/>
          <w:szCs w:val="24"/>
        </w:rPr>
        <w:t>(He et al., 2020)</w:t>
      </w:r>
      <w:r w:rsidR="00A11B3D">
        <w:rPr>
          <w:rFonts w:eastAsia="Times New Roman" w:cstheme="minorHAnsi"/>
          <w:sz w:val="24"/>
          <w:szCs w:val="24"/>
        </w:rPr>
        <w:fldChar w:fldCharType="end"/>
      </w:r>
      <w:r w:rsidR="00192E74">
        <w:rPr>
          <w:rFonts w:eastAsia="Times New Roman" w:cstheme="minorHAnsi"/>
          <w:sz w:val="24"/>
          <w:szCs w:val="24"/>
        </w:rPr>
        <w:t xml:space="preserve"> and both of these functions would also be relevant for sperm development</w:t>
      </w:r>
      <w:r w:rsidR="00CC586B">
        <w:rPr>
          <w:rFonts w:eastAsia="Times New Roman" w:cstheme="minorHAnsi"/>
          <w:sz w:val="24"/>
          <w:szCs w:val="24"/>
        </w:rPr>
        <w:t xml:space="preserve"> in the testis</w:t>
      </w:r>
      <w:r w:rsidR="00192E74">
        <w:rPr>
          <w:rFonts w:eastAsia="Times New Roman" w:cstheme="minorHAnsi"/>
          <w:sz w:val="24"/>
          <w:szCs w:val="24"/>
        </w:rPr>
        <w:t>.</w:t>
      </w:r>
      <w:r w:rsidR="00A11B3D">
        <w:rPr>
          <w:rFonts w:eastAsia="Times New Roman" w:cstheme="minorHAnsi"/>
          <w:sz w:val="24"/>
          <w:szCs w:val="24"/>
        </w:rPr>
        <w:t xml:space="preserve"> </w:t>
      </w:r>
      <w:r w:rsidR="000508A0">
        <w:rPr>
          <w:rFonts w:eastAsia="Times New Roman" w:cstheme="minorHAnsi"/>
          <w:sz w:val="24"/>
          <w:szCs w:val="24"/>
        </w:rPr>
        <w:t>DND1 is a RNA binding enzyme which inhibits microRNA-mediated repression especially in germline for many genes</w:t>
      </w:r>
      <w:r w:rsidR="006E2B61">
        <w:rPr>
          <w:rFonts w:eastAsia="Times New Roman" w:cstheme="minorHAnsi"/>
          <w:sz w:val="24"/>
          <w:szCs w:val="24"/>
        </w:rPr>
        <w:t xml:space="preserve"> and causes defects in sperm development if its </w:t>
      </w:r>
      <w:r w:rsidR="006E2B61">
        <w:rPr>
          <w:rFonts w:eastAsia="Times New Roman" w:cstheme="minorHAnsi"/>
          <w:sz w:val="24"/>
          <w:szCs w:val="24"/>
        </w:rPr>
        <w:lastRenderedPageBreak/>
        <w:t>expression is disrupted</w:t>
      </w:r>
      <w:r w:rsidR="000508A0">
        <w:rPr>
          <w:rFonts w:eastAsia="Times New Roman" w:cstheme="minorHAnsi"/>
          <w:sz w:val="24"/>
          <w:szCs w:val="24"/>
        </w:rPr>
        <w:t xml:space="preserve"> </w:t>
      </w:r>
      <w:r w:rsidR="00AF6EE7">
        <w:rPr>
          <w:rFonts w:eastAsia="Times New Roman" w:cstheme="minorHAnsi"/>
          <w:sz w:val="24"/>
          <w:szCs w:val="24"/>
        </w:rPr>
        <w:fldChar w:fldCharType="begin" w:fldLock="1"/>
      </w:r>
      <w:r w:rsidR="00382B6A">
        <w:rPr>
          <w:rFonts w:eastAsia="Times New Roman" w:cstheme="minorHAnsi"/>
          <w:sz w:val="24"/>
          <w:szCs w:val="24"/>
        </w:rPr>
        <w:instrText>ADDIN CSL_CITATION {"citationItems":[{"id":"ITEM-1","itemData":{"DOI":"10.4161/cc.7.7.5644","ISSN":"15514005","PMID":"18414021","abstract":"MicroRNAs (miRNAs) are genes involved in normal development and cancer. They inhibit gene expression by associating with 3′-Untranslated regions (3′UTRs) of messenger RNAs (mRNAs), and are thought to regulate a large proportion of protein coding genes. However, it is becoming apparent that miRNA activity is not necessarily always determined by its expression in the cell. MiRNA activity can be affected by RNA-binding proteins (RBPs). For example, the RNA-binding protein HuR associates with the 3′UTR of the CAT1 mRNA after stress, counteracting the effect of miR-122.1 Second, we found that the expression of an RNA-binding protein called Dead end (Dnd1) prohibits the function of several miRNAs by blocking the accessibility of target mRNAs. 2 Dnd1 function is essential for proper development of primordial germ cells (PGCs) in zebrafish and mammals, indicating a crucial role for RBP/miRNA interplay on 3′UTRs of mRNAs in developmental decisions. In this review we discuss the interplay between RBPs and miRNAs in the context of germ cells and review current observations implicating RBPs in miRNA function. ©2008 Landes Bioscience.","author":[{"dropping-particle":"","family":"Kedde","given":"Martijn","non-dropping-particle":"","parse-names":false,"suffix":""},{"dropping-particle":"","family":"Agami","given":"Reuven","non-dropping-particle":"","parse-names":false,"suffix":""}],"container-title":"Cell Cycle","id":"ITEM-1","issue":"7","issued":{"date-parts":[["2008"]]},"page":"899-903","title":"Interplay between microRNAs and RNA-binding proteins determines developmental processes","type":"article-journal","volume":"7"},"uris":["http://www.mendeley.com/documents/?uuid=9f893630-ab35-4b88-92c8-95d744d3210e"]},{"id":"ITEM-2","itemData":{"DOI":"10.1093/humrep/dead031","ISBN":"0000000327459","ISSN":"0268-1161","PMID":"36807972","author":[{"dropping-particle":"","family":"Westerich","given":"Kim Joana","non-dropping-particle":"","parse-names":false,"suffix":""},{"dropping-particle":"","family":"Reinecke","given":"Solveig","non-dropping-particle":"","parse-names":false,"suffix":""},{"dropping-particle":"","family":"Emich","given":"Jana","non-dropping-particle":"","parse-names":false,"suffix":""},{"dropping-particle":"","family":"Wyrwoll","given":"Margot Julia","non-dropping-particle":"","parse-names":false,"suffix":""},{"dropping-particle":"","family":"Stallmeyer","given":"Birgit","non-dropping-particle":"","parse-names":false,"suffix":""},{"dropping-particle":"","family":"Meyer","given":"Matthias","non-dropping-particle":"","parse-names":false,"suffix":""},{"dropping-particle":"","family":"Oud","given":"Manon S","non-dropping-particle":"","parse-names":false,"suffix":""},{"dropping-particle":"","family":"Fietz","given":"Daniela","non-dropping-particle":"","parse-names":false,"suffix":""},{"dropping-particle":"","family":"Pilatz","given":"Adrian","non-dropping-particle":"","parse-names":false,"suffix":""},{"dropping-particle":"","family":"Kliesch","given":"Sabine","non-dropping-particle":"","parse-names":false,"suffix":""},{"dropping-particle":"","family":"Reichman-Fried","given":"Michal","non-dropping-particle":"","parse-names":false,"suffix":""},{"dropping-particle":"","family":"Tarbashevich","given":"Katsiaryna","non-dropping-particle":"","parse-names":false,"suffix":""},{"dropping-particle":"","family":"Limon","given":"Tamara","non-dropping-particle":"","parse-names":false,"suffix":""},{"dropping-particle":"","family":"Stehling","given":"Martin","non-dropping-particle":"","parse-names":false,"suffix":""},{"dropping-particle":"","family":"Friedrich","given":"Corinna","non-dropping-particle":"","parse-names":false,"suffix":""},{"dropping-particle":"","family":"Tüttelmann","given":"Frank","non-dropping-particle":"","parse-names":false,"suffix":""},{"dropping-particle":"","family":"Raz","given":"Erez","non-dropping-particle":"","parse-names":false,"suffix":""}],"container-title":"Human Reproduction","id":"ITEM-2","issue":"4","issued":{"date-parts":[["2023"]]},"page":"655-670","title":"Linking human Dead end 1 (DND1) variants to male infertility employing zebrafish embryos","type":"article-journal","volume":"38"},"uris":["http://www.mendeley.com/documents/?uuid=dbe3fbd5-6346-4fc7-abcd-3a63c6b31e59"]}],"mendeley":{"formattedCitation":"(Kedde &amp; Agami, 2008; Westerich et al., 2023)","plainTextFormattedCitation":"(Kedde &amp; Agami, 2008; Westerich et al., 2023)","previouslyFormattedCitation":"(Kedde &amp; Agami, 2008; Westerich et al., 2023)"},"properties":{"noteIndex":0},"schema":"https://github.com/citation-style-language/schema/raw/master/csl-citation.json"}</w:instrText>
      </w:r>
      <w:r w:rsidR="00AF6EE7">
        <w:rPr>
          <w:rFonts w:eastAsia="Times New Roman" w:cstheme="minorHAnsi"/>
          <w:sz w:val="24"/>
          <w:szCs w:val="24"/>
        </w:rPr>
        <w:fldChar w:fldCharType="separate"/>
      </w:r>
      <w:r w:rsidR="0090167B" w:rsidRPr="0090167B">
        <w:rPr>
          <w:rFonts w:eastAsia="Times New Roman" w:cstheme="minorHAnsi"/>
          <w:noProof/>
          <w:sz w:val="24"/>
          <w:szCs w:val="24"/>
        </w:rPr>
        <w:t>(Kedde &amp; Agami, 2008; Westerich et al., 2023)</w:t>
      </w:r>
      <w:r w:rsidR="00AF6EE7">
        <w:rPr>
          <w:rFonts w:eastAsia="Times New Roman" w:cstheme="minorHAnsi"/>
          <w:sz w:val="24"/>
          <w:szCs w:val="24"/>
        </w:rPr>
        <w:fldChar w:fldCharType="end"/>
      </w:r>
      <w:r w:rsidR="000508A0">
        <w:rPr>
          <w:rFonts w:eastAsia="Times New Roman" w:cstheme="minorHAnsi"/>
          <w:sz w:val="24"/>
          <w:szCs w:val="24"/>
        </w:rPr>
        <w:t xml:space="preserve">. </w:t>
      </w:r>
      <w:r w:rsidR="009B4558">
        <w:rPr>
          <w:rFonts w:eastAsia="Times New Roman" w:cstheme="minorHAnsi"/>
          <w:sz w:val="24"/>
          <w:szCs w:val="24"/>
        </w:rPr>
        <w:t xml:space="preserve">WNT4 is a </w:t>
      </w:r>
      <w:r w:rsidR="00D771C2">
        <w:rPr>
          <w:rFonts w:eastAsia="Times New Roman" w:cstheme="minorHAnsi"/>
          <w:sz w:val="24"/>
          <w:szCs w:val="24"/>
        </w:rPr>
        <w:t>well-known</w:t>
      </w:r>
      <w:r w:rsidR="00F008E9">
        <w:rPr>
          <w:rFonts w:eastAsia="Times New Roman" w:cstheme="minorHAnsi"/>
          <w:sz w:val="24"/>
          <w:szCs w:val="24"/>
        </w:rPr>
        <w:t xml:space="preserve"> signaling gene involved in</w:t>
      </w:r>
      <w:r w:rsidR="009B4558">
        <w:rPr>
          <w:rFonts w:eastAsia="Times New Roman" w:cstheme="minorHAnsi"/>
          <w:sz w:val="24"/>
          <w:szCs w:val="24"/>
        </w:rPr>
        <w:t xml:space="preserve"> sex-determination </w:t>
      </w:r>
      <w:r w:rsidR="00F008E9">
        <w:rPr>
          <w:rFonts w:eastAsia="Times New Roman" w:cstheme="minorHAnsi"/>
          <w:sz w:val="24"/>
          <w:szCs w:val="24"/>
        </w:rPr>
        <w:fldChar w:fldCharType="begin" w:fldLock="1"/>
      </w:r>
      <w:r w:rsidR="0026443B">
        <w:rPr>
          <w:rFonts w:eastAsia="Times New Roman" w:cstheme="minorHAnsi"/>
          <w:sz w:val="24"/>
          <w:szCs w:val="24"/>
        </w:rPr>
        <w:instrText>ADDIN CSL_CITATION {"citationItems":[{"id":"ITEM-1","itemData":{"DOI":"10.1111/j.1742-4658.2011.08032.x","ISSN":"1742464X","PMID":"21281451","abstract":"The sex of birds is determined by the inheritance of sex chromosomes (ZZ male and ZW female). Genes carried on one or both of these sex chromosomes control sexual differentiation during embryonic life, producing testes in males (ZZ) and ovaries in females (ZW). This minireview summarizes our current understanding of avian sex determination and gonadal development. Most recently, it has been shown that sex is cell autonomous in birds. Evidence from gynandromorphic chickens (male on one side, female on the other) points to the likelihood that sex is determined directly in each cell of the body, independently of, or in addition to, hormonal signalling. Hence, sex-determining genes may operate not only in the gonads, to produce testes or ovaries, but also throughout cells of the body. In the chicken, as in other birds, the gonads develop into ovaries or testes during embryonic life, a process that must be triggered by sex-determining genes. This process involves the Z-linked DMRT1 gene. If DMRT1 gene activity is experimentally reduced, the gonads of male embryos (ZZ) are feminized, with ovarian-type structure, downregulation of male markers and activation of female markers. DMRT1 is currently the best candidate gene thought to regulate gonadal sex differentiation. However, if sex is cell autonomous, DMRT1 cannot be the master regulator, as its expression is confined to the urogenital system. Female development in the avian model appears to be shared with mammals; both the FOXL2 and RSPO1/WNT4 pathways are implicated in ovarian differentiation. © 2011 The Authors Journal compilation © 2011 FEBS.","author":[{"dropping-particle":"","family":"Chue","given":"Justin","non-dropping-particle":"","parse-names":false,"suffix":""},{"dropping-particle":"","family":"Smith","given":"Craig A.","non-dropping-particle":"","parse-names":false,"suffix":""}],"container-title":"FEBS Journal","id":"ITEM-1","issue":"7","issued":{"date-parts":[["2011"]]},"page":"1027-1034","title":"Sex determination and sexual differentiation in the avian model","type":"article-journal","volume":"278"},"uris":["http://www.mendeley.com/documents/?uuid=0b3e3d5a-9667-4a58-a112-c2586e179fe4"]}],"mendeley":{"formattedCitation":"(Chue &amp; Smith, 2011)","plainTextFormattedCitation":"(Chue &amp; Smith, 2011)","previouslyFormattedCitation":"(Chue &amp; Smith, 2011)"},"properties":{"noteIndex":0},"schema":"https://github.com/citation-style-language/schema/raw/master/csl-citation.json"}</w:instrText>
      </w:r>
      <w:r w:rsidR="00F008E9">
        <w:rPr>
          <w:rFonts w:eastAsia="Times New Roman" w:cstheme="minorHAnsi"/>
          <w:sz w:val="24"/>
          <w:szCs w:val="24"/>
        </w:rPr>
        <w:fldChar w:fldCharType="separate"/>
      </w:r>
      <w:r w:rsidR="00F008E9" w:rsidRPr="00F008E9">
        <w:rPr>
          <w:rFonts w:eastAsia="Times New Roman" w:cstheme="minorHAnsi"/>
          <w:noProof/>
          <w:sz w:val="24"/>
          <w:szCs w:val="24"/>
        </w:rPr>
        <w:t>(Chue &amp; Smith, 2011)</w:t>
      </w:r>
      <w:r w:rsidR="00F008E9">
        <w:rPr>
          <w:rFonts w:eastAsia="Times New Roman" w:cstheme="minorHAnsi"/>
          <w:sz w:val="24"/>
          <w:szCs w:val="24"/>
        </w:rPr>
        <w:fldChar w:fldCharType="end"/>
      </w:r>
      <w:r w:rsidR="00D771C2">
        <w:rPr>
          <w:rFonts w:eastAsia="Times New Roman" w:cstheme="minorHAnsi"/>
          <w:sz w:val="24"/>
          <w:szCs w:val="24"/>
        </w:rPr>
        <w:t>,</w:t>
      </w:r>
      <w:r w:rsidR="00F008E9">
        <w:rPr>
          <w:rFonts w:eastAsia="Times New Roman" w:cstheme="minorHAnsi"/>
          <w:sz w:val="24"/>
          <w:szCs w:val="24"/>
        </w:rPr>
        <w:t xml:space="preserve"> but it</w:t>
      </w:r>
      <w:r w:rsidR="0026443B">
        <w:rPr>
          <w:rFonts w:eastAsia="Times New Roman" w:cstheme="minorHAnsi"/>
          <w:sz w:val="24"/>
          <w:szCs w:val="24"/>
        </w:rPr>
        <w:t xml:space="preserve">s correct expression </w:t>
      </w:r>
      <w:r w:rsidR="00F008E9">
        <w:rPr>
          <w:rFonts w:eastAsia="Times New Roman" w:cstheme="minorHAnsi"/>
          <w:sz w:val="24"/>
          <w:szCs w:val="24"/>
        </w:rPr>
        <w:t xml:space="preserve">is also important for </w:t>
      </w:r>
      <w:r w:rsidR="0026443B">
        <w:rPr>
          <w:rFonts w:eastAsia="Times New Roman" w:cstheme="minorHAnsi"/>
          <w:sz w:val="24"/>
          <w:szCs w:val="24"/>
        </w:rPr>
        <w:t xml:space="preserve">proper sperm development </w:t>
      </w:r>
      <w:r w:rsidR="0026443B">
        <w:rPr>
          <w:rFonts w:eastAsia="Times New Roman" w:cstheme="minorHAnsi"/>
          <w:sz w:val="24"/>
          <w:szCs w:val="24"/>
        </w:rPr>
        <w:fldChar w:fldCharType="begin" w:fldLock="1"/>
      </w:r>
      <w:r w:rsidR="009617D1">
        <w:rPr>
          <w:rFonts w:eastAsia="Times New Roman" w:cstheme="minorHAnsi"/>
          <w:sz w:val="24"/>
          <w:szCs w:val="24"/>
        </w:rPr>
        <w:instrText>ADDIN CSL_CITATION {"citationItems":[{"id":"ITEM-1","itemData":{"DOI":"10.1016/j.ydbio.2012.06.009","ISSN":"1095564X","PMID":"22705479","abstract":"The bipotential gonad expresses genes associated with both the male and female pathways. Adoption of the male testicular fate is associated with the repression of many female genes including Wnt4. However, the importance of repression of Wnt4 to the establishment of male development was not previously determined. Deletion of either Fgf9 or Fgfr2 in an XY gonad resulted in up-regulation of Wnt4 and male-to-female sex reversal. We investigated whether the deletion if Wnt4 could rescue sex reversal in Fgf9 and Fgfr2 mutants. XY Fgf9/Wnt4 and Fgfr2/Wnt4 double mutants developed testes with male somatic and germ cells present, suggesting that the primary role of Fgf signaling is the repression of female-promoting genes. Thus, the decision to adopt the male fate is based not only on whether male genes, such as Sox9, are expressed, but also on the active repression of female genes, such as Wnt4. Because loss of Wnt4 results in the up-regulation of Fgf9, we also tested the possibility that derepression of Fgf9 was responsible for the aspects of male development observed in XX Wnt4 mutants. However, we found that the relationship between these two signaling factors is not symmetric: loss of Fgf9 in XX Wnt4-/- gonads does not rescue their partial female-to-male sex-reversal. © 2012 Elsevier Inc.","author":[{"dropping-particle":"","family":"Jameson","given":"Samantha A.","non-dropping-particle":"","parse-names":false,"suffix":""},{"dropping-particle":"","family":"Lin","given":"Yi Tzu","non-dropping-particle":"","parse-names":false,"suffix":""},{"dropping-particle":"","family":"Capel","given":"Blanche","non-dropping-particle":"","parse-names":false,"suffix":""}],"container-title":"Developmental Biology","id":"ITEM-1","issue":"1","issued":{"date-parts":[["2012"]]},"page":"24-32","publisher":"Elsevier","title":"Testis development requires the repression of Wnt4 by Fgf signaling","type":"article-journal","volume":"370"},"uris":["http://www.mendeley.com/documents/?uuid=8b2d9166-3f61-4731-9df6-79102235e43a"]},{"id":"ITEM-2","itemData":{"DOI":"10.1371/journal.pgen.1003645","ISSN":"15537390","PMID":"23935527","abstract":"Azoospermia is one of the major reproductive disorders which cause male infertility in humans; however, the etiology of this disease is largely unknown. In the present study, six missense mutations of WT1 gene were detected in 529 human patients with non-obstructive azoospermia (NOA), indicating a strong association between WT1 mutation and NOA. The Wilms tumor gene, Wt1, is specifically expressed in Sertoli cells (SCs) which support spermatogenesis. To examine the functions of this gene in spermatogenesis, Wt1 was deleted in adult testis using Wt1flox and Cre-ERTM mice strains. We found that inactivation of Wt1 resulted in massive germ cell death and only SCs were present in most of the seminiferous tubules which was very similar to NOA in humans. In investigating the potential mechanism for this, histological studies revealed that the blood-testis barrier (BTB) was disrupted in Wt1 deficient testes. In vitro studies demonstrated that Wt1 was essential for cell polarity maintenance in SCs. Further studies found that the expression of cell polarity associated genes (Par6b and E-cadherin) and Wnt signaling genes (Wnt4, Wnt11) were downregulated in Wt1 deficient SCs, and that the expression of Par6b and E-cadherin was regulated by Wnt4. Our findings suggest that Wt1 is important in spermatogenesis by regulating the polarity of SCs via Wnt signaling pathway and that WT1 mutation is one of the genetic causes of NOA in humans. © 2013 Wang et al.","author":[{"dropping-particle":"","family":"Wang","given":"Xiao Na","non-dropping-particle":"","parse-names":false,"suffix":""},{"dropping-particle":"","family":"Li","given":"Ze Song","non-dropping-particle":"","parse-names":false,"suffix":""},{"dropping-particle":"","family":"Ren","given":"Yu","non-dropping-particle":"","parse-names":false,"suffix":""},{"dropping-particle":"","family":"Jiang","given":"Tao","non-dropping-particle":"","parse-names":false,"suffix":""},{"dropping-particle":"","family":"Wang","given":"Ya Qing","non-dropping-particle":"","parse-names":false,"suffix":""},{"dropping-particle":"","family":"Chen","given":"Min","non-dropping-particle":"","parse-names":false,"suffix":""},{"dropping-particle":"","family":"Zhang","given":"Jun","non-dropping-particle":"","parse-names":false,"suffix":""},{"dropping-particle":"","family":"Hao","given":"Jian Xiu","non-dropping-particle":"","parse-names":false,"suffix":""},{"dropping-particle":"","family":"Wang","given":"Yan Bo","non-dropping-particle":"","parse-names":false,"suffix":""},{"dropping-particle":"","family":"Sha","given":"Ri Na","non-dropping-particle":"","parse-names":false,"suffix":""},{"dropping-particle":"","family":"Huang","given":"Yi","non-dropping-particle":"","parse-names":false,"suffix":""},{"dropping-particle":"","family":"Liu","given":"Xiao","non-dropping-particle":"","parse-names":false,"suffix":""},{"dropping-particle":"","family":"Hu","given":"Jing Chu","non-dropping-particle":"","parse-names":false,"suffix":""},{"dropping-particle":"","family":"Sun","given":"Guang Qing","non-dropping-particle":"","parse-names":false,"suffix":""},{"dropping-particle":"","family":"Li","given":"Hong Gang","non-dropping-particle":"","parse-names":false,"suffix":""},{"dropping-particle":"","family":"Xiong","given":"Cheng Liang","non-dropping-particle":"","parse-names":false,"suffix":""},{"dropping-particle":"","family":"Xie","given":"Jun","non-dropping-particle":"","parse-names":false,"suffix":""},{"dropping-particle":"","family":"Jiang","given":"Zhi Mao","non-dropping-particle":"","parse-names":false,"suffix":""},{"dropping-particle":"","family":"Cai","given":"Zhi Ming","non-dropping-particle":"","parse-names":false,"suffix":""},{"dropping-particle":"","family":"Wang","given":"Jun","non-dropping-particle":"","parse-names":false,"suffix":""},{"dropping-particle":"","family":"Wang","given":"Jian","non-dropping-particle":"","parse-names":false,"suffix":""},{"dropping-particle":"","family":"Huff","given":"Vicki","non-dropping-particle":"","parse-names":false,"suffix":""},{"dropping-particle":"","family":"Gui","given":"Yao Ting","non-dropping-particle":"","parse-names":false,"suffix":""},{"dropping-particle":"","family":"Gao","given":"Fei","non-dropping-particle":"","parse-names":false,"suffix":""}],"container-title":"PLoS Genetics","id":"ITEM-2","issue":"8","issued":{"date-parts":[["2013"]]},"title":"The Wilms Tumor Gene, Wt1, Is Critical for Mouse Spermatogenesis via Regulation of Sertoli Cell Polarity and Is Associated with Non-Obstructive Azoospermia in Humans","type":"article-journal","volume":"9"},"uris":["http://www.mendeley.com/documents/?uuid=845c2e9d-519e-4f28-b81b-ca861f118dbf"]}],"mendeley":{"formattedCitation":"(Jameson et al., 2012; Wang et al., 2013)","plainTextFormattedCitation":"(Jameson et al., 2012; Wang et al., 2013)","previouslyFormattedCitation":"(Jameson et al., 2012; Wang et al., 2013)"},"properties":{"noteIndex":0},"schema":"https://github.com/citation-style-language/schema/raw/master/csl-citation.json"}</w:instrText>
      </w:r>
      <w:r w:rsidR="0026443B">
        <w:rPr>
          <w:rFonts w:eastAsia="Times New Roman" w:cstheme="minorHAnsi"/>
          <w:sz w:val="24"/>
          <w:szCs w:val="24"/>
        </w:rPr>
        <w:fldChar w:fldCharType="separate"/>
      </w:r>
      <w:r w:rsidR="0026443B" w:rsidRPr="0026443B">
        <w:rPr>
          <w:rFonts w:eastAsia="Times New Roman" w:cstheme="minorHAnsi"/>
          <w:noProof/>
          <w:sz w:val="24"/>
          <w:szCs w:val="24"/>
        </w:rPr>
        <w:t>(Jameson et al., 2012; Wang et al., 2013)</w:t>
      </w:r>
      <w:r w:rsidR="0026443B">
        <w:rPr>
          <w:rFonts w:eastAsia="Times New Roman" w:cstheme="minorHAnsi"/>
          <w:sz w:val="24"/>
          <w:szCs w:val="24"/>
        </w:rPr>
        <w:fldChar w:fldCharType="end"/>
      </w:r>
      <w:r w:rsidR="0026443B">
        <w:rPr>
          <w:rFonts w:eastAsia="Times New Roman" w:cstheme="minorHAnsi"/>
          <w:sz w:val="24"/>
          <w:szCs w:val="24"/>
        </w:rPr>
        <w:t xml:space="preserve">. From the expression patterns </w:t>
      </w:r>
      <w:r w:rsidR="00CC586B">
        <w:rPr>
          <w:rFonts w:eastAsia="Times New Roman" w:cstheme="minorHAnsi"/>
          <w:sz w:val="24"/>
          <w:szCs w:val="24"/>
        </w:rPr>
        <w:t xml:space="preserve">among </w:t>
      </w:r>
      <w:r w:rsidR="0026443B">
        <w:rPr>
          <w:rFonts w:eastAsia="Times New Roman" w:cstheme="minorHAnsi"/>
          <w:sz w:val="24"/>
          <w:szCs w:val="24"/>
        </w:rPr>
        <w:t>the karyotypes</w:t>
      </w:r>
      <w:r w:rsidR="00CC586B">
        <w:rPr>
          <w:rFonts w:eastAsia="Times New Roman" w:cstheme="minorHAnsi"/>
          <w:sz w:val="24"/>
          <w:szCs w:val="24"/>
        </w:rPr>
        <w:t xml:space="preserve"> for </w:t>
      </w:r>
      <w:r w:rsidR="0026443B">
        <w:rPr>
          <w:rFonts w:eastAsia="Times New Roman" w:cstheme="minorHAnsi"/>
          <w:sz w:val="24"/>
          <w:szCs w:val="24"/>
        </w:rPr>
        <w:t>these 4 genes</w:t>
      </w:r>
      <w:r w:rsidR="00CC586B">
        <w:rPr>
          <w:rFonts w:eastAsia="Times New Roman" w:cstheme="minorHAnsi"/>
          <w:sz w:val="24"/>
          <w:szCs w:val="24"/>
        </w:rPr>
        <w:t>, it seems that AA is not expressing these gene</w:t>
      </w:r>
      <w:r w:rsidR="00EC72F8">
        <w:rPr>
          <w:rFonts w:eastAsia="Times New Roman" w:cstheme="minorHAnsi"/>
          <w:sz w:val="24"/>
          <w:szCs w:val="24"/>
        </w:rPr>
        <w:t xml:space="preserve">s as much </w:t>
      </w:r>
      <w:r w:rsidR="00CC586B">
        <w:rPr>
          <w:rFonts w:eastAsia="Times New Roman" w:cstheme="minorHAnsi"/>
          <w:sz w:val="24"/>
          <w:szCs w:val="24"/>
        </w:rPr>
        <w:t>at the accelerating I stage</w:t>
      </w:r>
      <w:r w:rsidR="00715CE4">
        <w:rPr>
          <w:rFonts w:eastAsia="Times New Roman" w:cstheme="minorHAnsi"/>
          <w:sz w:val="24"/>
          <w:szCs w:val="24"/>
        </w:rPr>
        <w:t>,</w:t>
      </w:r>
      <w:r w:rsidR="0026443B">
        <w:rPr>
          <w:rFonts w:eastAsia="Times New Roman" w:cstheme="minorHAnsi"/>
          <w:sz w:val="24"/>
          <w:szCs w:val="24"/>
        </w:rPr>
        <w:t xml:space="preserve"> </w:t>
      </w:r>
      <w:r w:rsidR="00CC586B">
        <w:rPr>
          <w:rFonts w:eastAsia="Times New Roman" w:cstheme="minorHAnsi"/>
          <w:sz w:val="24"/>
          <w:szCs w:val="24"/>
        </w:rPr>
        <w:t xml:space="preserve">and thus variation in the duration of expression temporally is another way which could account for </w:t>
      </w:r>
      <w:r w:rsidR="00EC72F8">
        <w:rPr>
          <w:rFonts w:eastAsia="Times New Roman" w:cstheme="minorHAnsi"/>
          <w:sz w:val="24"/>
          <w:szCs w:val="24"/>
        </w:rPr>
        <w:t xml:space="preserve">phenotypic differences in sperm, in this case midpiece length which is longer in </w:t>
      </w:r>
      <w:r w:rsidR="00715CE4">
        <w:rPr>
          <w:rFonts w:eastAsia="Times New Roman" w:cstheme="minorHAnsi"/>
          <w:sz w:val="24"/>
          <w:szCs w:val="24"/>
        </w:rPr>
        <w:t>AB</w:t>
      </w:r>
      <w:r w:rsidR="00EC72F8">
        <w:rPr>
          <w:rFonts w:eastAsia="Times New Roman" w:cstheme="minorHAnsi"/>
          <w:sz w:val="24"/>
          <w:szCs w:val="24"/>
        </w:rPr>
        <w:t>* and B*B* compared to AA.</w:t>
      </w:r>
    </w:p>
    <w:p w14:paraId="2BB454A3" w14:textId="5EF9E4D2" w:rsidR="00DF1669" w:rsidRDefault="003257A8" w:rsidP="00DF1669">
      <w:pPr>
        <w:spacing w:after="0" w:line="480" w:lineRule="auto"/>
        <w:ind w:firstLine="720"/>
        <w:contextualSpacing/>
        <w:jc w:val="both"/>
        <w:rPr>
          <w:rFonts w:eastAsia="Times New Roman" w:cstheme="minorHAnsi"/>
          <w:sz w:val="24"/>
          <w:szCs w:val="24"/>
        </w:rPr>
      </w:pPr>
      <w:r>
        <w:rPr>
          <w:rFonts w:eastAsia="Times New Roman" w:cstheme="minorHAnsi"/>
          <w:sz w:val="24"/>
          <w:szCs w:val="24"/>
        </w:rPr>
        <w:t xml:space="preserve">Although the pattern of differential expression was driven by the </w:t>
      </w:r>
      <w:proofErr w:type="gramStart"/>
      <w:r w:rsidRPr="002356D5">
        <w:rPr>
          <w:rFonts w:eastAsia="Times New Roman" w:cstheme="minorHAnsi"/>
          <w:sz w:val="24"/>
          <w:szCs w:val="24"/>
        </w:rPr>
        <w:t>accelerating</w:t>
      </w:r>
      <w:proofErr w:type="gramEnd"/>
      <w:r w:rsidRPr="002356D5">
        <w:rPr>
          <w:rFonts w:eastAsia="Times New Roman" w:cstheme="minorHAnsi"/>
          <w:sz w:val="24"/>
          <w:szCs w:val="24"/>
        </w:rPr>
        <w:t xml:space="preserve"> I</w:t>
      </w:r>
      <w:r>
        <w:rPr>
          <w:rFonts w:eastAsia="Times New Roman" w:cstheme="minorHAnsi"/>
          <w:sz w:val="24"/>
          <w:szCs w:val="24"/>
        </w:rPr>
        <w:t xml:space="preserve"> stage in testis with </w:t>
      </w:r>
      <w:r w:rsidR="00D771C2">
        <w:rPr>
          <w:rFonts w:eastAsia="Times New Roman" w:cstheme="minorHAnsi"/>
          <w:sz w:val="24"/>
          <w:szCs w:val="24"/>
        </w:rPr>
        <w:t xml:space="preserve">the </w:t>
      </w:r>
      <w:r>
        <w:rPr>
          <w:rFonts w:eastAsia="Times New Roman" w:cstheme="minorHAnsi"/>
          <w:sz w:val="24"/>
          <w:szCs w:val="24"/>
        </w:rPr>
        <w:t xml:space="preserve">majority of the DE genes observed between </w:t>
      </w:r>
      <w:r w:rsidR="00C301F1">
        <w:rPr>
          <w:rFonts w:eastAsia="Times New Roman" w:cstheme="minorHAnsi"/>
          <w:sz w:val="24"/>
          <w:szCs w:val="24"/>
        </w:rPr>
        <w:t xml:space="preserve">the </w:t>
      </w:r>
      <w:r>
        <w:rPr>
          <w:rFonts w:eastAsia="Times New Roman" w:cstheme="minorHAnsi"/>
          <w:sz w:val="24"/>
          <w:szCs w:val="24"/>
        </w:rPr>
        <w:t xml:space="preserve">AA-AB* contrast, in </w:t>
      </w:r>
      <w:r w:rsidR="00C301F1">
        <w:rPr>
          <w:rFonts w:eastAsia="Times New Roman" w:cstheme="minorHAnsi"/>
          <w:sz w:val="24"/>
          <w:szCs w:val="24"/>
        </w:rPr>
        <w:t xml:space="preserve">the </w:t>
      </w:r>
      <w:r w:rsidRPr="002356D5">
        <w:rPr>
          <w:rFonts w:eastAsia="Times New Roman" w:cstheme="minorHAnsi"/>
          <w:sz w:val="24"/>
          <w:szCs w:val="24"/>
        </w:rPr>
        <w:t>accelerating I</w:t>
      </w:r>
      <w:r>
        <w:rPr>
          <w:rFonts w:eastAsia="Times New Roman" w:cstheme="minorHAnsi"/>
          <w:sz w:val="24"/>
          <w:szCs w:val="24"/>
        </w:rPr>
        <w:t>I and active stages</w:t>
      </w:r>
      <w:r w:rsidR="00C301F1">
        <w:rPr>
          <w:rFonts w:eastAsia="Times New Roman" w:cstheme="minorHAnsi"/>
          <w:sz w:val="24"/>
          <w:szCs w:val="24"/>
        </w:rPr>
        <w:t xml:space="preserve"> the</w:t>
      </w:r>
      <w:r>
        <w:rPr>
          <w:rFonts w:eastAsia="Times New Roman" w:cstheme="minorHAnsi"/>
          <w:sz w:val="24"/>
          <w:szCs w:val="24"/>
        </w:rPr>
        <w:t xml:space="preserve"> DE genes are mainly found in the AA-B*B* and AB*-B*B* contrasts (Figure 3) which is also the case in liver (Figure 6). From the viewpoint of progression of onset of spermatogenesis in our sampling design</w:t>
      </w:r>
      <w:r w:rsidR="00E22709">
        <w:rPr>
          <w:rFonts w:eastAsia="Times New Roman" w:cstheme="minorHAnsi"/>
          <w:sz w:val="24"/>
          <w:szCs w:val="24"/>
        </w:rPr>
        <w:t>,</w:t>
      </w:r>
      <w:r>
        <w:rPr>
          <w:rFonts w:eastAsia="Times New Roman" w:cstheme="minorHAnsi"/>
          <w:sz w:val="24"/>
          <w:szCs w:val="24"/>
        </w:rPr>
        <w:t xml:space="preserve"> the first two </w:t>
      </w:r>
      <w:r w:rsidR="00E22709">
        <w:rPr>
          <w:rFonts w:eastAsia="Times New Roman" w:cstheme="minorHAnsi"/>
          <w:sz w:val="24"/>
          <w:szCs w:val="24"/>
        </w:rPr>
        <w:t>timepoints</w:t>
      </w:r>
      <w:r>
        <w:rPr>
          <w:rFonts w:eastAsia="Times New Roman" w:cstheme="minorHAnsi"/>
          <w:sz w:val="24"/>
          <w:szCs w:val="24"/>
        </w:rPr>
        <w:t xml:space="preserve"> mainly contain early sperm cell stages whereas </w:t>
      </w:r>
      <w:r w:rsidR="00E22709">
        <w:rPr>
          <w:rFonts w:eastAsia="Times New Roman" w:cstheme="minorHAnsi"/>
          <w:sz w:val="24"/>
          <w:szCs w:val="24"/>
        </w:rPr>
        <w:t xml:space="preserve">the </w:t>
      </w:r>
      <w:r>
        <w:rPr>
          <w:rFonts w:eastAsia="Times New Roman" w:cstheme="minorHAnsi"/>
          <w:sz w:val="24"/>
          <w:szCs w:val="24"/>
        </w:rPr>
        <w:t xml:space="preserve">active stage contains cell types from all of the previous stages as well </w:t>
      </w:r>
      <w:r>
        <w:rPr>
          <w:rFonts w:eastAsia="Times New Roman" w:cstheme="minorHAnsi"/>
          <w:sz w:val="24"/>
          <w:szCs w:val="24"/>
        </w:rPr>
        <w:fldChar w:fldCharType="begin" w:fldLock="1"/>
      </w:r>
      <w:r w:rsidR="00A11B3D">
        <w:rPr>
          <w:rFonts w:eastAsia="Times New Roman" w:cstheme="minorHAnsi"/>
          <w:sz w:val="24"/>
          <w:szCs w:val="24"/>
        </w:rPr>
        <w:instrText>ADDIN CSL_CITATION {"citationItems":[{"id":"ITEM-1","itemData":{"DOI":"10.4161/spmg.34346","ISSN":"2156-5554","author":[{"dropping-particle":"","family":"Aire","given":"Tom A","non-dropping-particle":"","parse-names":false,"suffix":""}],"container-title":"Spermatogenesis","id":"ITEM-1","issue":"1","issued":{"date-parts":[["2014"]]},"page":"e34346","title":"Spermiogenesis in Birds","type":"article-journal","volume":"4"},"uris":["http://www.mendeley.com/documents/?uuid=ab47c267-4143-4593-b561-50c48b8da051"]}],"mendeley":{"formattedCitation":"(Aire, 2014)","plainTextFormattedCitation":"(Aire, 2014)","previouslyFormattedCitation":"(Aire, 2014)"},"properties":{"noteIndex":0},"schema":"https://github.com/citation-style-language/schema/raw/master/csl-citation.json"}</w:instrText>
      </w:r>
      <w:r>
        <w:rPr>
          <w:rFonts w:eastAsia="Times New Roman" w:cstheme="minorHAnsi"/>
          <w:sz w:val="24"/>
          <w:szCs w:val="24"/>
        </w:rPr>
        <w:fldChar w:fldCharType="separate"/>
      </w:r>
      <w:r w:rsidR="00C301F1" w:rsidRPr="00C301F1">
        <w:rPr>
          <w:rFonts w:eastAsia="Times New Roman" w:cstheme="minorHAnsi"/>
          <w:noProof/>
          <w:sz w:val="24"/>
          <w:szCs w:val="24"/>
        </w:rPr>
        <w:t>(Aire, 2014)</w:t>
      </w:r>
      <w:r>
        <w:rPr>
          <w:rFonts w:eastAsia="Times New Roman" w:cstheme="minorHAnsi"/>
          <w:sz w:val="24"/>
          <w:szCs w:val="24"/>
        </w:rPr>
        <w:fldChar w:fldCharType="end"/>
      </w:r>
      <w:r w:rsidR="00D771C2">
        <w:rPr>
          <w:rFonts w:eastAsia="Times New Roman" w:cstheme="minorHAnsi"/>
          <w:sz w:val="24"/>
          <w:szCs w:val="24"/>
        </w:rPr>
        <w:t>, although genes seen for the first time in stage 4 should be involved in the final stages of sperm cell maturation</w:t>
      </w:r>
      <w:r>
        <w:rPr>
          <w:rFonts w:eastAsia="Times New Roman" w:cstheme="minorHAnsi"/>
          <w:sz w:val="24"/>
          <w:szCs w:val="24"/>
        </w:rPr>
        <w:t xml:space="preserve">. Although our analysis does not have the resolution of a single-cell analysis, we can discriminate differences in expression which likely </w:t>
      </w:r>
      <w:r w:rsidR="00D771C2">
        <w:rPr>
          <w:rFonts w:eastAsia="Times New Roman" w:cstheme="minorHAnsi"/>
          <w:sz w:val="24"/>
          <w:szCs w:val="24"/>
        </w:rPr>
        <w:t xml:space="preserve">reflect </w:t>
      </w:r>
      <w:r>
        <w:rPr>
          <w:rFonts w:eastAsia="Times New Roman" w:cstheme="minorHAnsi"/>
          <w:sz w:val="24"/>
          <w:szCs w:val="24"/>
        </w:rPr>
        <w:t xml:space="preserve">the different developmental status of cells along spermatogenesis in the inversion karyotypes. This is also indicated in the </w:t>
      </w:r>
      <w:r w:rsidR="00F774B4">
        <w:rPr>
          <w:rFonts w:eastAsia="Times New Roman" w:cstheme="minorHAnsi"/>
          <w:sz w:val="24"/>
          <w:szCs w:val="24"/>
        </w:rPr>
        <w:t xml:space="preserve">heatmaps (Figure </w:t>
      </w:r>
      <w:r w:rsidR="00117584">
        <w:rPr>
          <w:rFonts w:eastAsia="Times New Roman" w:cstheme="minorHAnsi"/>
          <w:sz w:val="24"/>
          <w:szCs w:val="24"/>
        </w:rPr>
        <w:t>1</w:t>
      </w:r>
      <w:r w:rsidR="00F774B4">
        <w:rPr>
          <w:rFonts w:eastAsia="Times New Roman" w:cstheme="minorHAnsi"/>
          <w:sz w:val="24"/>
          <w:szCs w:val="24"/>
        </w:rPr>
        <w:t xml:space="preserve"> and </w:t>
      </w:r>
      <w:r w:rsidR="00117584">
        <w:rPr>
          <w:rFonts w:eastAsia="Times New Roman" w:cstheme="minorHAnsi"/>
          <w:sz w:val="24"/>
          <w:szCs w:val="24"/>
        </w:rPr>
        <w:t>Figure 2</w:t>
      </w:r>
      <w:r w:rsidR="00F774B4">
        <w:rPr>
          <w:rFonts w:eastAsia="Times New Roman" w:cstheme="minorHAnsi"/>
          <w:sz w:val="24"/>
          <w:szCs w:val="24"/>
        </w:rPr>
        <w:t>)</w:t>
      </w:r>
      <w:r>
        <w:rPr>
          <w:rFonts w:eastAsia="Times New Roman" w:cstheme="minorHAnsi"/>
          <w:sz w:val="24"/>
          <w:szCs w:val="24"/>
        </w:rPr>
        <w:t xml:space="preserve"> where testis samples form a continuum </w:t>
      </w:r>
      <w:r w:rsidR="00334D95">
        <w:rPr>
          <w:rFonts w:eastAsia="Times New Roman" w:cstheme="minorHAnsi"/>
          <w:sz w:val="24"/>
          <w:szCs w:val="24"/>
        </w:rPr>
        <w:t xml:space="preserve">of </w:t>
      </w:r>
      <w:r w:rsidR="00D771C2">
        <w:rPr>
          <w:rFonts w:eastAsia="Times New Roman" w:cstheme="minorHAnsi"/>
          <w:sz w:val="24"/>
          <w:szCs w:val="24"/>
        </w:rPr>
        <w:t xml:space="preserve">changing </w:t>
      </w:r>
      <w:r w:rsidR="00334D95">
        <w:rPr>
          <w:rFonts w:eastAsia="Times New Roman" w:cstheme="minorHAnsi"/>
          <w:sz w:val="24"/>
          <w:szCs w:val="24"/>
        </w:rPr>
        <w:t xml:space="preserve">gene expression </w:t>
      </w:r>
      <w:r>
        <w:rPr>
          <w:rFonts w:eastAsia="Times New Roman" w:cstheme="minorHAnsi"/>
          <w:sz w:val="24"/>
          <w:szCs w:val="24"/>
        </w:rPr>
        <w:t xml:space="preserve">across the sampled timepoints from inactive to active </w:t>
      </w:r>
      <w:r w:rsidR="009F16A8">
        <w:rPr>
          <w:rFonts w:eastAsia="Times New Roman" w:cstheme="minorHAnsi"/>
          <w:sz w:val="24"/>
          <w:szCs w:val="24"/>
        </w:rPr>
        <w:t xml:space="preserve">in contrast to the pattern in the </w:t>
      </w:r>
      <w:r>
        <w:rPr>
          <w:rFonts w:eastAsia="Times New Roman" w:cstheme="minorHAnsi"/>
          <w:sz w:val="24"/>
          <w:szCs w:val="24"/>
        </w:rPr>
        <w:t xml:space="preserve">liver </w:t>
      </w:r>
      <w:r w:rsidR="00117584">
        <w:rPr>
          <w:rFonts w:eastAsia="Times New Roman" w:cstheme="minorHAnsi"/>
          <w:sz w:val="24"/>
          <w:szCs w:val="24"/>
        </w:rPr>
        <w:t>(Figure 4)</w:t>
      </w:r>
      <w:r>
        <w:rPr>
          <w:rFonts w:eastAsia="Times New Roman" w:cstheme="minorHAnsi"/>
          <w:sz w:val="24"/>
          <w:szCs w:val="24"/>
        </w:rPr>
        <w:t>.</w:t>
      </w:r>
    </w:p>
    <w:p w14:paraId="12D99773" w14:textId="17582266" w:rsidR="003257A8" w:rsidRPr="00E06DD2" w:rsidRDefault="003257A8" w:rsidP="00DF1669">
      <w:pPr>
        <w:spacing w:after="0" w:line="480" w:lineRule="auto"/>
        <w:ind w:firstLine="720"/>
        <w:contextualSpacing/>
        <w:jc w:val="both"/>
        <w:rPr>
          <w:sz w:val="24"/>
          <w:szCs w:val="24"/>
        </w:rPr>
      </w:pPr>
      <w:r>
        <w:rPr>
          <w:rFonts w:eastAsia="Times New Roman" w:cstheme="minorHAnsi"/>
          <w:sz w:val="24"/>
          <w:szCs w:val="24"/>
        </w:rPr>
        <w:fldChar w:fldCharType="begin" w:fldLock="1"/>
      </w:r>
      <w:r w:rsidR="00896F62">
        <w:rPr>
          <w:rFonts w:eastAsia="Times New Roman" w:cstheme="minorHAnsi"/>
          <w:sz w:val="24"/>
          <w:szCs w:val="24"/>
        </w:rPr>
        <w:instrText>ADDIN CSL_CITATION {"citationItems":[{"id":"ITEM-1","itemData":{"DOI":"10.1038/s41559-017-0235-2","ISSN":"2397334X","PMID":"29046578","abstract":"Sperm competition is an important selective force in many organisms. As a result, sperm have evolved to be among the most diverse cells in the animal kingdom. However, the relationship between sperm morphology, sperm motility and fertilization success is only partially understood. The extent to which between-male variation is heritable is largely unknown, and remarkably few studies have investigated the genetic architecture of sperm traits, especially sperm morphology. Here we use high-density genotyping and gene expression profiling to explore the considerable sperm trait variation that exists in the zebra finch Taeniopygia guttata. We show that nearly all of the genetic variation in sperm morphology is caused by an inversion polymorphism on the Z chromosome acting as a 'supergene'. These results provide a striking example of two evolutionary genetic predictions. First, that in species where females are the heterogametic sex, genetic variation affecting sexually dimorphic traits will accumulate on the Z chromosome. Second, recombination suppression at the inversion allows beneficial dominant alleles to become fixed on whichever haplotype they first arise, without being exchanged onto other haplotypes. Finally, we show that the inversion polymorphism will be stably maintained by heterozygote advantage, because heterozygous males have the fastest and most successful sperm.","author":[{"dropping-particle":"","family":"Kim","given":"Kang - Wook","non-dropping-particle":"","parse-names":false,"suffix":""},{"dropping-particle":"","family":"Bennison","given":"Clair","non-dropping-particle":"","parse-names":false,"suffix":""},{"dropping-particle":"","family":"Hemmings","given":"Nicola","non-dropping-particle":"","parse-names":false,"suffix":""},{"dropping-particle":"","family":"Brookes","given":"Lola","non-dropping-particle":"","parse-names":false,"suffix":""},{"dropping-particle":"","family":"Hurley","given":"Laura L.","non-dropping-particle":"","parse-names":false,"suffix":""},{"dropping-particle":"","family":"Griffith","given":"Simon C.","non-dropping-particle":"","parse-names":false,"suffix":""},{"dropping-particle":"","family":"Burke","given":"Terry","non-dropping-particle":"","parse-names":false,"suffix":""},{"dropping-particle":"","family":"Birkhead","given":"Tim R.","non-dropping-particle":"","parse-names":false,"suffix":""},{"dropping-particle":"","family":"Slate","given":"Jon","non-dropping-particle":"","parse-names":false,"suffix":""}],"container-title":"Nature Ecology and Evolution","id":"ITEM-1","issue":"8","issued":{"date-parts":[["2017","8","17"]]},"page":"1168-1176","title":"A sex-linked supergene controls sperm morphology and swimming speed in a songbird","type":"article-journal","volume":"1"},"uris":["http://www.mendeley.com/documents/?uuid=6c697130-ac69-3614-af3f-e03480e4aa2c"]}],"mendeley":{"formattedCitation":"(Kim et al., 2017)","manualFormatting":"Kim et al., (2017)","plainTextFormattedCitation":"(Kim et al., 2017)","previouslyFormattedCitation":"(Kim et al., 2017)"},"properties":{"noteIndex":0},"schema":"https://github.com/citation-style-language/schema/raw/master/csl-citation.json"}</w:instrText>
      </w:r>
      <w:r>
        <w:rPr>
          <w:rFonts w:eastAsia="Times New Roman" w:cstheme="minorHAnsi"/>
          <w:sz w:val="24"/>
          <w:szCs w:val="24"/>
        </w:rPr>
        <w:fldChar w:fldCharType="separate"/>
      </w:r>
      <w:r w:rsidRPr="00BB5C53">
        <w:rPr>
          <w:rFonts w:eastAsia="Times New Roman" w:cstheme="minorHAnsi"/>
          <w:noProof/>
          <w:sz w:val="24"/>
          <w:szCs w:val="24"/>
        </w:rPr>
        <w:t xml:space="preserve">Kim </w:t>
      </w:r>
      <w:r w:rsidRPr="00BB5C53">
        <w:rPr>
          <w:rFonts w:eastAsia="Times New Roman" w:cstheme="minorHAnsi"/>
          <w:i/>
          <w:noProof/>
          <w:sz w:val="24"/>
          <w:szCs w:val="24"/>
        </w:rPr>
        <w:t>et al.</w:t>
      </w:r>
      <w:r w:rsidRPr="00BB5C53">
        <w:rPr>
          <w:rFonts w:eastAsia="Times New Roman" w:cstheme="minorHAnsi"/>
          <w:noProof/>
          <w:sz w:val="24"/>
          <w:szCs w:val="24"/>
        </w:rPr>
        <w:t xml:space="preserve">, </w:t>
      </w:r>
      <w:r>
        <w:rPr>
          <w:rFonts w:eastAsia="Times New Roman" w:cstheme="minorHAnsi"/>
          <w:noProof/>
          <w:sz w:val="24"/>
          <w:szCs w:val="24"/>
        </w:rPr>
        <w:t>(</w:t>
      </w:r>
      <w:r w:rsidRPr="00BB5C53">
        <w:rPr>
          <w:rFonts w:eastAsia="Times New Roman" w:cstheme="minorHAnsi"/>
          <w:noProof/>
          <w:sz w:val="24"/>
          <w:szCs w:val="24"/>
        </w:rPr>
        <w:t>2017)</w:t>
      </w:r>
      <w:r>
        <w:rPr>
          <w:rFonts w:eastAsia="Times New Roman" w:cstheme="minorHAnsi"/>
          <w:sz w:val="24"/>
          <w:szCs w:val="24"/>
        </w:rPr>
        <w:fldChar w:fldCharType="end"/>
      </w:r>
      <w:r w:rsidRPr="00756CD7">
        <w:rPr>
          <w:rFonts w:eastAsia="Times New Roman" w:cstheme="minorHAnsi"/>
          <w:sz w:val="24"/>
          <w:szCs w:val="24"/>
        </w:rPr>
        <w:t xml:space="preserve"> found </w:t>
      </w:r>
      <w:r>
        <w:rPr>
          <w:rFonts w:eastAsia="Times New Roman" w:cstheme="minorHAnsi"/>
          <w:sz w:val="24"/>
          <w:szCs w:val="24"/>
        </w:rPr>
        <w:t>eight</w:t>
      </w:r>
      <w:r w:rsidRPr="00756CD7">
        <w:rPr>
          <w:rFonts w:eastAsia="Times New Roman" w:cstheme="minorHAnsi"/>
          <w:sz w:val="24"/>
          <w:szCs w:val="24"/>
        </w:rPr>
        <w:t xml:space="preserve"> genes </w:t>
      </w:r>
      <w:r>
        <w:rPr>
          <w:rFonts w:eastAsia="Times New Roman" w:cstheme="minorHAnsi"/>
          <w:sz w:val="24"/>
          <w:szCs w:val="24"/>
        </w:rPr>
        <w:t xml:space="preserve">in GWAS </w:t>
      </w:r>
      <w:r w:rsidRPr="00756CD7">
        <w:rPr>
          <w:rFonts w:eastAsia="Times New Roman" w:cstheme="minorHAnsi"/>
          <w:sz w:val="24"/>
          <w:szCs w:val="24"/>
        </w:rPr>
        <w:t>from the</w:t>
      </w:r>
      <w:r>
        <w:rPr>
          <w:rFonts w:eastAsia="Times New Roman" w:cstheme="minorHAnsi"/>
          <w:sz w:val="24"/>
          <w:szCs w:val="24"/>
        </w:rPr>
        <w:t xml:space="preserve"> Z</w:t>
      </w:r>
      <w:r w:rsidRPr="00756CD7">
        <w:rPr>
          <w:rFonts w:eastAsia="Times New Roman" w:cstheme="minorHAnsi"/>
          <w:sz w:val="24"/>
          <w:szCs w:val="24"/>
        </w:rPr>
        <w:t xml:space="preserve"> inversion which were found associated to sperm morphology</w:t>
      </w:r>
      <w:r>
        <w:rPr>
          <w:rFonts w:eastAsia="Times New Roman" w:cstheme="minorHAnsi"/>
          <w:sz w:val="24"/>
          <w:szCs w:val="24"/>
        </w:rPr>
        <w:t xml:space="preserve">: </w:t>
      </w:r>
      <w:r w:rsidRPr="00756CD7">
        <w:rPr>
          <w:rFonts w:eastAsia="Times New Roman" w:cstheme="minorHAnsi"/>
          <w:sz w:val="24"/>
          <w:szCs w:val="24"/>
        </w:rPr>
        <w:t>GADD45G, LRRC2, C9orf3, FBXL17 (associated with midpiece length), DMRT2, LINGO2, ZNF462 and RAD23B</w:t>
      </w:r>
      <w:r>
        <w:rPr>
          <w:rFonts w:eastAsia="Times New Roman" w:cstheme="minorHAnsi"/>
          <w:sz w:val="24"/>
          <w:szCs w:val="24"/>
        </w:rPr>
        <w:t xml:space="preserve">. None of these eight genes were differentially expressed in our testis data or in liver. In the same study </w:t>
      </w:r>
      <w:r>
        <w:rPr>
          <w:rFonts w:eastAsia="Times New Roman" w:cstheme="minorHAnsi"/>
          <w:sz w:val="24"/>
          <w:szCs w:val="24"/>
        </w:rPr>
        <w:fldChar w:fldCharType="begin" w:fldLock="1"/>
      </w:r>
      <w:r w:rsidR="00896F62">
        <w:rPr>
          <w:rFonts w:eastAsia="Times New Roman" w:cstheme="minorHAnsi"/>
          <w:sz w:val="24"/>
          <w:szCs w:val="24"/>
        </w:rPr>
        <w:instrText>ADDIN CSL_CITATION {"citationItems":[{"id":"ITEM-1","itemData":{"DOI":"10.1038/s41559-017-0235-2","ISSN":"2397334X","PMID":"29046578","abstract":"Sperm competition is an important selective force in many organisms. As a result, sperm have evolved to be among the most diverse cells in the animal kingdom. However, the relationship between sperm morphology, sperm motility and fertilization success is only partially understood. The extent to which between-male variation is heritable is largely unknown, and remarkably few studies have investigated the genetic architecture of sperm traits, especially sperm morphology. Here we use high-density genotyping and gene expression profiling to explore the considerable sperm trait variation that exists in the zebra finch Taeniopygia guttata. We show that nearly all of the genetic variation in sperm morphology is caused by an inversion polymorphism on the Z chromosome acting as a 'supergene'. These results provide a striking example of two evolutionary genetic predictions. First, that in species where females are the heterogametic sex, genetic variation affecting sexually dimorphic traits will accumulate on the Z chromosome. Second, recombination suppression at the inversion allows beneficial dominant alleles to become fixed on whichever haplotype they first arise, without being exchanged onto other haplotypes. Finally, we show that the inversion polymorphism will be stably maintained by heterozygote advantage, because heterozygous males have the fastest and most successful sperm.","author":[{"dropping-particle":"","family":"Kim","given":"Kang - Wook","non-dropping-particle":"","parse-names":false,"suffix":""},{"dropping-particle":"","family":"Bennison","given":"Clair","non-dropping-particle":"","parse-names":false,"suffix":""},{"dropping-particle":"","family":"Hemmings","given":"Nicola","non-dropping-particle":"","parse-names":false,"suffix":""},{"dropping-particle":"","family":"Brookes","given":"Lola","non-dropping-particle":"","parse-names":false,"suffix":""},{"dropping-particle":"","family":"Hurley","given":"Laura L.","non-dropping-particle":"","parse-names":false,"suffix":""},{"dropping-particle":"","family":"Griffith","given":"Simon C.","non-dropping-particle":"","parse-names":false,"suffix":""},{"dropping-particle":"","family":"Burke","given":"Terry","non-dropping-particle":"","parse-names":false,"suffix":""},{"dropping-particle":"","family":"Birkhead","given":"Tim R.","non-dropping-particle":"","parse-names":false,"suffix":""},{"dropping-particle":"","family":"Slate","given":"Jon","non-dropping-particle":"","parse-names":false,"suffix":""}],"container-title":"Nature Ecology and Evolution","id":"ITEM-1","issue":"8","issued":{"date-parts":[["2017","8","17"]]},"page":"1168-1176","title":"A sex-linked supergene controls sperm morphology and swimming speed in a songbird","type":"article-journal","volume":"1"},"uris":["http://www.mendeley.com/documents/?uuid=6c697130-ac69-3614-af3f-e03480e4aa2c"]}],"mendeley":{"formattedCitation":"(Kim et al., 2017)","manualFormatting":"Kim et al., (2017)","plainTextFormattedCitation":"(Kim et al., 2017)","previouslyFormattedCitation":"(Kim et al., 2017)"},"properties":{"noteIndex":0},"schema":"https://github.com/citation-style-language/schema/raw/master/csl-citation.json"}</w:instrText>
      </w:r>
      <w:r>
        <w:rPr>
          <w:rFonts w:eastAsia="Times New Roman" w:cstheme="minorHAnsi"/>
          <w:sz w:val="24"/>
          <w:szCs w:val="24"/>
        </w:rPr>
        <w:fldChar w:fldCharType="separate"/>
      </w:r>
      <w:r w:rsidRPr="00BB5C53">
        <w:rPr>
          <w:rFonts w:eastAsia="Times New Roman" w:cstheme="minorHAnsi"/>
          <w:noProof/>
          <w:sz w:val="24"/>
          <w:szCs w:val="24"/>
        </w:rPr>
        <w:t xml:space="preserve">Kim </w:t>
      </w:r>
      <w:r w:rsidRPr="00BB5C53">
        <w:rPr>
          <w:rFonts w:eastAsia="Times New Roman" w:cstheme="minorHAnsi"/>
          <w:i/>
          <w:noProof/>
          <w:sz w:val="24"/>
          <w:szCs w:val="24"/>
        </w:rPr>
        <w:t>et al.</w:t>
      </w:r>
      <w:r w:rsidRPr="00BB5C53">
        <w:rPr>
          <w:rFonts w:eastAsia="Times New Roman" w:cstheme="minorHAnsi"/>
          <w:noProof/>
          <w:sz w:val="24"/>
          <w:szCs w:val="24"/>
        </w:rPr>
        <w:t xml:space="preserve">, </w:t>
      </w:r>
      <w:r>
        <w:rPr>
          <w:rFonts w:eastAsia="Times New Roman" w:cstheme="minorHAnsi"/>
          <w:noProof/>
          <w:sz w:val="24"/>
          <w:szCs w:val="24"/>
        </w:rPr>
        <w:t>(</w:t>
      </w:r>
      <w:r w:rsidRPr="00BB5C53">
        <w:rPr>
          <w:rFonts w:eastAsia="Times New Roman" w:cstheme="minorHAnsi"/>
          <w:noProof/>
          <w:sz w:val="24"/>
          <w:szCs w:val="24"/>
        </w:rPr>
        <w:t>2017)</w:t>
      </w:r>
      <w:r>
        <w:rPr>
          <w:rFonts w:eastAsia="Times New Roman" w:cstheme="minorHAnsi"/>
          <w:sz w:val="24"/>
          <w:szCs w:val="24"/>
        </w:rPr>
        <w:fldChar w:fldCharType="end"/>
      </w:r>
      <w:r>
        <w:rPr>
          <w:rFonts w:eastAsia="Times New Roman" w:cstheme="minorHAnsi"/>
          <w:sz w:val="24"/>
          <w:szCs w:val="24"/>
        </w:rPr>
        <w:t xml:space="preserve"> identified over 100 DE genes between </w:t>
      </w:r>
      <w:r w:rsidRPr="002356D5">
        <w:rPr>
          <w:rFonts w:eastAsia="Times New Roman" w:cstheme="minorHAnsi"/>
          <w:sz w:val="24"/>
          <w:szCs w:val="24"/>
        </w:rPr>
        <w:t>long</w:t>
      </w:r>
      <w:r>
        <w:rPr>
          <w:rFonts w:eastAsia="Times New Roman" w:cstheme="minorHAnsi"/>
          <w:sz w:val="24"/>
          <w:szCs w:val="24"/>
        </w:rPr>
        <w:t xml:space="preserve"> (AA, AB or AC karyotypes)</w:t>
      </w:r>
      <w:r w:rsidRPr="002356D5">
        <w:rPr>
          <w:rFonts w:eastAsia="Times New Roman" w:cstheme="minorHAnsi"/>
          <w:sz w:val="24"/>
          <w:szCs w:val="24"/>
        </w:rPr>
        <w:t xml:space="preserve"> and short </w:t>
      </w:r>
      <w:r>
        <w:rPr>
          <w:rFonts w:eastAsia="Times New Roman" w:cstheme="minorHAnsi"/>
          <w:sz w:val="24"/>
          <w:szCs w:val="24"/>
        </w:rPr>
        <w:t xml:space="preserve">(BB karyotype) </w:t>
      </w:r>
      <w:r w:rsidRPr="002356D5">
        <w:rPr>
          <w:rFonts w:eastAsia="Times New Roman" w:cstheme="minorHAnsi"/>
          <w:sz w:val="24"/>
          <w:szCs w:val="24"/>
        </w:rPr>
        <w:t>sperm phenotypes</w:t>
      </w:r>
      <w:r>
        <w:rPr>
          <w:rFonts w:eastAsia="Times New Roman" w:cstheme="minorHAnsi"/>
          <w:sz w:val="24"/>
          <w:szCs w:val="24"/>
        </w:rPr>
        <w:t xml:space="preserve"> using a </w:t>
      </w:r>
      <w:r>
        <w:rPr>
          <w:rFonts w:eastAsia="Times New Roman" w:cstheme="minorHAnsi"/>
          <w:sz w:val="24"/>
          <w:szCs w:val="24"/>
        </w:rPr>
        <w:lastRenderedPageBreak/>
        <w:t>microarray</w:t>
      </w:r>
      <w:r w:rsidR="00C301F1">
        <w:rPr>
          <w:rFonts w:eastAsia="Times New Roman" w:cstheme="minorHAnsi"/>
          <w:sz w:val="24"/>
          <w:szCs w:val="24"/>
        </w:rPr>
        <w:t>,</w:t>
      </w:r>
      <w:r>
        <w:rPr>
          <w:rFonts w:eastAsia="Times New Roman" w:cstheme="minorHAnsi"/>
          <w:sz w:val="24"/>
          <w:szCs w:val="24"/>
        </w:rPr>
        <w:t xml:space="preserve"> but of these, only six were differentially expressed in our testis transcripts. O</w:t>
      </w:r>
      <w:r w:rsidRPr="00DA01DC">
        <w:rPr>
          <w:rFonts w:eastAsia="Times New Roman" w:cstheme="minorHAnsi"/>
          <w:sz w:val="24"/>
          <w:szCs w:val="24"/>
        </w:rPr>
        <w:t xml:space="preserve">ur </w:t>
      </w:r>
      <w:r>
        <w:rPr>
          <w:rFonts w:eastAsia="Times New Roman" w:cstheme="minorHAnsi"/>
          <w:sz w:val="24"/>
          <w:szCs w:val="24"/>
        </w:rPr>
        <w:t>final timepoint (active)</w:t>
      </w:r>
      <w:r w:rsidRPr="00DA01DC">
        <w:rPr>
          <w:rFonts w:eastAsia="Times New Roman" w:cstheme="minorHAnsi"/>
          <w:sz w:val="24"/>
          <w:szCs w:val="24"/>
        </w:rPr>
        <w:t xml:space="preserve"> is comparable to</w:t>
      </w:r>
      <w:r>
        <w:rPr>
          <w:rFonts w:eastAsia="Times New Roman" w:cstheme="minorHAnsi"/>
          <w:sz w:val="24"/>
          <w:szCs w:val="24"/>
        </w:rPr>
        <w:t xml:space="preserve"> other studies which are looking at mature testis where spermatogenesis is ongoing</w:t>
      </w:r>
      <w:r w:rsidR="00C32DAB">
        <w:rPr>
          <w:rFonts w:eastAsia="Times New Roman" w:cstheme="minorHAnsi"/>
          <w:sz w:val="24"/>
          <w:szCs w:val="24"/>
        </w:rPr>
        <w:t xml:space="preserve"> and thus contains a mixture of cells at different developmental stages </w:t>
      </w:r>
      <w:r w:rsidR="00C32DAB">
        <w:rPr>
          <w:rFonts w:eastAsia="Times New Roman" w:cstheme="minorHAnsi"/>
          <w:sz w:val="24"/>
          <w:szCs w:val="24"/>
        </w:rPr>
        <w:fldChar w:fldCharType="begin" w:fldLock="1"/>
      </w:r>
      <w:r w:rsidR="009617D1">
        <w:rPr>
          <w:rFonts w:eastAsia="Times New Roman" w:cstheme="minorHAnsi"/>
          <w:sz w:val="24"/>
          <w:szCs w:val="24"/>
        </w:rPr>
        <w:instrText>ADDIN CSL_CITATION {"citationItems":[{"id":"ITEM-1","itemData":{"DOI":"10.4161/spmg.34346","ISSN":"2156-5554","author":[{"dropping-particle":"","family":"Aire","given":"Tom A","non-dropping-particle":"","parse-names":false,"suffix":""}],"container-title":"Spermatogenesis","id":"ITEM-1","issue":"1","issued":{"date-parts":[["2014"]]},"page":"e34346","title":"Spermiogenesis in Birds","type":"article-journal","volume":"4"},"uris":["http://www.mendeley.com/documents/?uuid=ab47c267-4143-4593-b561-50c48b8da051"]}],"mendeley":{"formattedCitation":"(Aire, 2014)","plainTextFormattedCitation":"(Aire, 2014)","previouslyFormattedCitation":"(Aire, 2014)"},"properties":{"noteIndex":0},"schema":"https://github.com/citation-style-language/schema/raw/master/csl-citation.json"}</w:instrText>
      </w:r>
      <w:r w:rsidR="00C32DAB">
        <w:rPr>
          <w:rFonts w:eastAsia="Times New Roman" w:cstheme="minorHAnsi"/>
          <w:sz w:val="24"/>
          <w:szCs w:val="24"/>
        </w:rPr>
        <w:fldChar w:fldCharType="separate"/>
      </w:r>
      <w:r w:rsidR="009617D1" w:rsidRPr="009617D1">
        <w:rPr>
          <w:rFonts w:eastAsia="Times New Roman" w:cstheme="minorHAnsi"/>
          <w:noProof/>
          <w:sz w:val="24"/>
          <w:szCs w:val="24"/>
        </w:rPr>
        <w:t>(Aire, 2014)</w:t>
      </w:r>
      <w:r w:rsidR="00C32DAB">
        <w:rPr>
          <w:rFonts w:eastAsia="Times New Roman" w:cstheme="minorHAnsi"/>
          <w:sz w:val="24"/>
          <w:szCs w:val="24"/>
        </w:rPr>
        <w:fldChar w:fldCharType="end"/>
      </w:r>
      <w:r w:rsidRPr="00DA01DC">
        <w:rPr>
          <w:rFonts w:eastAsia="Times New Roman" w:cstheme="minorHAnsi"/>
          <w:sz w:val="24"/>
          <w:szCs w:val="24"/>
        </w:rPr>
        <w:t>.</w:t>
      </w:r>
      <w:r>
        <w:rPr>
          <w:rFonts w:eastAsia="Times New Roman" w:cstheme="minorHAnsi"/>
          <w:sz w:val="24"/>
          <w:szCs w:val="24"/>
        </w:rPr>
        <w:t xml:space="preserve"> Although we did not have large overlap between</w:t>
      </w:r>
      <w:r w:rsidR="00C301F1">
        <w:rPr>
          <w:rFonts w:eastAsia="Times New Roman" w:cstheme="minorHAnsi"/>
          <w:sz w:val="24"/>
          <w:szCs w:val="24"/>
        </w:rPr>
        <w:t xml:space="preserve"> the</w:t>
      </w:r>
      <w:r>
        <w:rPr>
          <w:rFonts w:eastAsia="Times New Roman" w:cstheme="minorHAnsi"/>
          <w:sz w:val="24"/>
          <w:szCs w:val="24"/>
        </w:rPr>
        <w:t xml:space="preserve"> DE genes identified by </w:t>
      </w:r>
      <w:r>
        <w:rPr>
          <w:rFonts w:eastAsia="Times New Roman" w:cstheme="minorHAnsi"/>
          <w:sz w:val="24"/>
          <w:szCs w:val="24"/>
        </w:rPr>
        <w:fldChar w:fldCharType="begin" w:fldLock="1"/>
      </w:r>
      <w:r w:rsidR="00896F62">
        <w:rPr>
          <w:rFonts w:eastAsia="Times New Roman" w:cstheme="minorHAnsi"/>
          <w:sz w:val="24"/>
          <w:szCs w:val="24"/>
        </w:rPr>
        <w:instrText>ADDIN CSL_CITATION {"citationItems":[{"id":"ITEM-1","itemData":{"DOI":"10.1038/s41559-017-0235-2","ISSN":"2397334X","PMID":"29046578","abstract":"Sperm competition is an important selective force in many organisms. As a result, sperm have evolved to be among the most diverse cells in the animal kingdom. However, the relationship between sperm morphology, sperm motility and fertilization success is only partially understood. The extent to which between-male variation is heritable is largely unknown, and remarkably few studies have investigated the genetic architecture of sperm traits, especially sperm morphology. Here we use high-density genotyping and gene expression profiling to explore the considerable sperm trait variation that exists in the zebra finch Taeniopygia guttata. We show that nearly all of the genetic variation in sperm morphology is caused by an inversion polymorphism on the Z chromosome acting as a 'supergene'. These results provide a striking example of two evolutionary genetic predictions. First, that in species where females are the heterogametic sex, genetic variation affecting sexually dimorphic traits will accumulate on the Z chromosome. Second, recombination suppression at the inversion allows beneficial dominant alleles to become fixed on whichever haplotype they first arise, without being exchanged onto other haplotypes. Finally, we show that the inversion polymorphism will be stably maintained by heterozygote advantage, because heterozygous males have the fastest and most successful sperm.","author":[{"dropping-particle":"","family":"Kim","given":"Kang - Wook","non-dropping-particle":"","parse-names":false,"suffix":""},{"dropping-particle":"","family":"Bennison","given":"Clair","non-dropping-particle":"","parse-names":false,"suffix":""},{"dropping-particle":"","family":"Hemmings","given":"Nicola","non-dropping-particle":"","parse-names":false,"suffix":""},{"dropping-particle":"","family":"Brookes","given":"Lola","non-dropping-particle":"","parse-names":false,"suffix":""},{"dropping-particle":"","family":"Hurley","given":"Laura L.","non-dropping-particle":"","parse-names":false,"suffix":""},{"dropping-particle":"","family":"Griffith","given":"Simon C.","non-dropping-particle":"","parse-names":false,"suffix":""},{"dropping-particle":"","family":"Burke","given":"Terry","non-dropping-particle":"","parse-names":false,"suffix":""},{"dropping-particle":"","family":"Birkhead","given":"Tim R.","non-dropping-particle":"","parse-names":false,"suffix":""},{"dropping-particle":"","family":"Slate","given":"Jon","non-dropping-particle":"","parse-names":false,"suffix":""}],"container-title":"Nature Ecology and Evolution","id":"ITEM-1","issue":"8","issued":{"date-parts":[["2017","8","17"]]},"page":"1168-1176","title":"A sex-linked supergene controls sperm morphology and swimming speed in a songbird","type":"article-journal","volume":"1"},"uris":["http://www.mendeley.com/documents/?uuid=6c697130-ac69-3614-af3f-e03480e4aa2c"]}],"mendeley":{"formattedCitation":"(Kim et al., 2017)","manualFormatting":"Kim et al., (2017)","plainTextFormattedCitation":"(Kim et al., 2017)","previouslyFormattedCitation":"(Kim et al., 2017)"},"properties":{"noteIndex":0},"schema":"https://github.com/citation-style-language/schema/raw/master/csl-citation.json"}</w:instrText>
      </w:r>
      <w:r>
        <w:rPr>
          <w:rFonts w:eastAsia="Times New Roman" w:cstheme="minorHAnsi"/>
          <w:sz w:val="24"/>
          <w:szCs w:val="24"/>
        </w:rPr>
        <w:fldChar w:fldCharType="separate"/>
      </w:r>
      <w:r w:rsidRPr="00756CD7">
        <w:rPr>
          <w:rFonts w:eastAsia="Times New Roman" w:cstheme="minorHAnsi"/>
          <w:noProof/>
          <w:sz w:val="24"/>
          <w:szCs w:val="24"/>
        </w:rPr>
        <w:t xml:space="preserve">Kim </w:t>
      </w:r>
      <w:r w:rsidRPr="00756CD7">
        <w:rPr>
          <w:rFonts w:eastAsia="Times New Roman" w:cstheme="minorHAnsi"/>
          <w:i/>
          <w:noProof/>
          <w:sz w:val="24"/>
          <w:szCs w:val="24"/>
        </w:rPr>
        <w:t>et al.</w:t>
      </w:r>
      <w:r w:rsidRPr="00756CD7">
        <w:rPr>
          <w:rFonts w:eastAsia="Times New Roman" w:cstheme="minorHAnsi"/>
          <w:noProof/>
          <w:sz w:val="24"/>
          <w:szCs w:val="24"/>
        </w:rPr>
        <w:t xml:space="preserve">, </w:t>
      </w:r>
      <w:r>
        <w:rPr>
          <w:rFonts w:eastAsia="Times New Roman" w:cstheme="minorHAnsi"/>
          <w:noProof/>
          <w:sz w:val="24"/>
          <w:szCs w:val="24"/>
        </w:rPr>
        <w:t>(</w:t>
      </w:r>
      <w:r w:rsidRPr="00756CD7">
        <w:rPr>
          <w:rFonts w:eastAsia="Times New Roman" w:cstheme="minorHAnsi"/>
          <w:noProof/>
          <w:sz w:val="24"/>
          <w:szCs w:val="24"/>
        </w:rPr>
        <w:t>2017)</w:t>
      </w:r>
      <w:r>
        <w:rPr>
          <w:rFonts w:eastAsia="Times New Roman" w:cstheme="minorHAnsi"/>
          <w:sz w:val="24"/>
          <w:szCs w:val="24"/>
        </w:rPr>
        <w:fldChar w:fldCharType="end"/>
      </w:r>
      <w:r>
        <w:rPr>
          <w:rFonts w:eastAsia="Times New Roman" w:cstheme="minorHAnsi"/>
          <w:sz w:val="24"/>
          <w:szCs w:val="24"/>
        </w:rPr>
        <w:t xml:space="preserve">, they </w:t>
      </w:r>
      <w:r w:rsidRPr="002356D5">
        <w:rPr>
          <w:rFonts w:eastAsia="Times New Roman" w:cstheme="minorHAnsi"/>
          <w:sz w:val="24"/>
          <w:szCs w:val="24"/>
        </w:rPr>
        <w:t xml:space="preserve">found </w:t>
      </w:r>
      <w:r w:rsidR="000A71CE">
        <w:rPr>
          <w:rFonts w:eastAsia="Times New Roman" w:cstheme="minorHAnsi"/>
          <w:i/>
          <w:iCs/>
          <w:sz w:val="24"/>
          <w:szCs w:val="24"/>
        </w:rPr>
        <w:t>DMGDH</w:t>
      </w:r>
      <w:r w:rsidR="000A71CE" w:rsidRPr="002356D5">
        <w:rPr>
          <w:rFonts w:eastAsia="Times New Roman" w:cstheme="minorHAnsi"/>
          <w:sz w:val="24"/>
          <w:szCs w:val="24"/>
        </w:rPr>
        <w:t xml:space="preserve"> </w:t>
      </w:r>
      <w:r w:rsidRPr="002356D5">
        <w:rPr>
          <w:rFonts w:eastAsia="Times New Roman" w:cstheme="minorHAnsi"/>
          <w:sz w:val="24"/>
          <w:szCs w:val="24"/>
        </w:rPr>
        <w:t>as the most differentially expressed</w:t>
      </w:r>
      <w:r>
        <w:rPr>
          <w:rFonts w:eastAsia="Times New Roman" w:cstheme="minorHAnsi"/>
          <w:sz w:val="24"/>
          <w:szCs w:val="24"/>
        </w:rPr>
        <w:t xml:space="preserve"> gene</w:t>
      </w:r>
      <w:r w:rsidRPr="002356D5">
        <w:rPr>
          <w:rFonts w:eastAsia="Times New Roman" w:cstheme="minorHAnsi"/>
          <w:sz w:val="24"/>
          <w:szCs w:val="24"/>
        </w:rPr>
        <w:t xml:space="preserve"> between the long</w:t>
      </w:r>
      <w:r>
        <w:rPr>
          <w:rFonts w:eastAsia="Times New Roman" w:cstheme="minorHAnsi"/>
          <w:sz w:val="24"/>
          <w:szCs w:val="24"/>
        </w:rPr>
        <w:t xml:space="preserve"> (AA, AB or AC karyotypes)</w:t>
      </w:r>
      <w:r w:rsidRPr="002356D5">
        <w:rPr>
          <w:rFonts w:eastAsia="Times New Roman" w:cstheme="minorHAnsi"/>
          <w:sz w:val="24"/>
          <w:szCs w:val="24"/>
        </w:rPr>
        <w:t xml:space="preserve"> and short </w:t>
      </w:r>
      <w:r>
        <w:rPr>
          <w:rFonts w:eastAsia="Times New Roman" w:cstheme="minorHAnsi"/>
          <w:sz w:val="24"/>
          <w:szCs w:val="24"/>
        </w:rPr>
        <w:t xml:space="preserve">(BB karyotype) </w:t>
      </w:r>
      <w:r w:rsidRPr="002356D5">
        <w:rPr>
          <w:rFonts w:eastAsia="Times New Roman" w:cstheme="minorHAnsi"/>
          <w:sz w:val="24"/>
          <w:szCs w:val="24"/>
        </w:rPr>
        <w:t>sperm phenotypes</w:t>
      </w:r>
      <w:r w:rsidR="00C32DAB">
        <w:rPr>
          <w:rFonts w:eastAsia="Times New Roman" w:cstheme="minorHAnsi"/>
          <w:sz w:val="24"/>
          <w:szCs w:val="24"/>
        </w:rPr>
        <w:t xml:space="preserve"> sampled from adult males</w:t>
      </w:r>
      <w:r w:rsidRPr="002356D5">
        <w:rPr>
          <w:rFonts w:eastAsia="Times New Roman" w:cstheme="minorHAnsi"/>
          <w:sz w:val="24"/>
          <w:szCs w:val="24"/>
        </w:rPr>
        <w:t xml:space="preserve">. Our results corroborate this finding although </w:t>
      </w:r>
      <w:r w:rsidR="000A71CE">
        <w:rPr>
          <w:rFonts w:eastAsia="Times New Roman" w:cstheme="minorHAnsi"/>
          <w:i/>
          <w:iCs/>
          <w:sz w:val="24"/>
          <w:szCs w:val="24"/>
        </w:rPr>
        <w:t xml:space="preserve">DMGDH </w:t>
      </w:r>
      <w:r w:rsidRPr="002356D5">
        <w:rPr>
          <w:rFonts w:eastAsia="Times New Roman" w:cstheme="minorHAnsi"/>
          <w:sz w:val="24"/>
          <w:szCs w:val="24"/>
        </w:rPr>
        <w:t xml:space="preserve">was not the most strongly </w:t>
      </w:r>
      <w:r>
        <w:rPr>
          <w:rFonts w:eastAsia="Times New Roman" w:cstheme="minorHAnsi"/>
          <w:sz w:val="24"/>
          <w:szCs w:val="24"/>
        </w:rPr>
        <w:t>differentially expressed gene</w:t>
      </w:r>
      <w:r w:rsidRPr="002356D5">
        <w:rPr>
          <w:rFonts w:eastAsia="Times New Roman" w:cstheme="minorHAnsi"/>
          <w:sz w:val="24"/>
          <w:szCs w:val="24"/>
        </w:rPr>
        <w:t xml:space="preserve"> in our analysis in testis</w:t>
      </w:r>
      <w:r>
        <w:rPr>
          <w:rFonts w:eastAsia="Times New Roman" w:cstheme="minorHAnsi"/>
          <w:sz w:val="24"/>
          <w:szCs w:val="24"/>
        </w:rPr>
        <w:t>, but in the active stage</w:t>
      </w:r>
      <w:r w:rsidR="007742F8">
        <w:rPr>
          <w:rFonts w:eastAsia="Times New Roman" w:cstheme="minorHAnsi"/>
          <w:sz w:val="24"/>
          <w:szCs w:val="24"/>
        </w:rPr>
        <w:t>,</w:t>
      </w:r>
      <w:r w:rsidR="00C32DAB">
        <w:rPr>
          <w:rFonts w:eastAsia="Times New Roman" w:cstheme="minorHAnsi"/>
          <w:sz w:val="24"/>
          <w:szCs w:val="24"/>
        </w:rPr>
        <w:t xml:space="preserve"> which would match Kim et al (2017),</w:t>
      </w:r>
      <w:r>
        <w:rPr>
          <w:rFonts w:eastAsia="Times New Roman" w:cstheme="minorHAnsi"/>
          <w:sz w:val="24"/>
          <w:szCs w:val="24"/>
        </w:rPr>
        <w:t xml:space="preserve"> the expression difference between AA and AB* was not very large (log2 FC 0.82, </w:t>
      </w:r>
      <w:r w:rsidR="00991ACE">
        <w:rPr>
          <w:rFonts w:eastAsia="Times New Roman" w:cstheme="minorHAnsi"/>
          <w:sz w:val="24"/>
          <w:szCs w:val="24"/>
        </w:rPr>
        <w:t>Table S2</w:t>
      </w:r>
      <w:r>
        <w:rPr>
          <w:rFonts w:eastAsia="Times New Roman" w:cstheme="minorHAnsi"/>
          <w:sz w:val="24"/>
          <w:szCs w:val="24"/>
        </w:rPr>
        <w:t xml:space="preserve">) whereas to B*B* the difference was much larger (log2 FC 3.9, </w:t>
      </w:r>
      <w:r w:rsidR="00991ACE">
        <w:rPr>
          <w:rFonts w:eastAsia="Times New Roman" w:cstheme="minorHAnsi"/>
          <w:sz w:val="24"/>
          <w:szCs w:val="24"/>
        </w:rPr>
        <w:t>Table S2</w:t>
      </w:r>
      <w:r>
        <w:rPr>
          <w:rFonts w:eastAsia="Times New Roman" w:cstheme="minorHAnsi"/>
          <w:sz w:val="24"/>
          <w:szCs w:val="24"/>
        </w:rPr>
        <w:t>)</w:t>
      </w:r>
      <w:r w:rsidRPr="002356D5">
        <w:rPr>
          <w:rFonts w:eastAsia="Times New Roman" w:cstheme="minorHAnsi"/>
          <w:sz w:val="24"/>
          <w:szCs w:val="24"/>
        </w:rPr>
        <w:t xml:space="preserve">. </w:t>
      </w:r>
      <w:proofErr w:type="spellStart"/>
      <w:r w:rsidRPr="002356D5">
        <w:rPr>
          <w:rFonts w:eastAsia="Times New Roman" w:cstheme="minorHAnsi"/>
          <w:sz w:val="24"/>
          <w:szCs w:val="24"/>
        </w:rPr>
        <w:t>GOterms</w:t>
      </w:r>
      <w:proofErr w:type="spellEnd"/>
      <w:r>
        <w:rPr>
          <w:rFonts w:eastAsia="Times New Roman" w:cstheme="minorHAnsi"/>
          <w:sz w:val="24"/>
          <w:szCs w:val="24"/>
        </w:rPr>
        <w:t xml:space="preserve"> associated to</w:t>
      </w:r>
      <w:r w:rsidRPr="002356D5" w:rsidDel="00591AFB">
        <w:rPr>
          <w:rFonts w:eastAsia="Times New Roman" w:cstheme="minorHAnsi"/>
          <w:sz w:val="24"/>
          <w:szCs w:val="24"/>
        </w:rPr>
        <w:t xml:space="preserve"> </w:t>
      </w:r>
      <w:r w:rsidR="000A71CE">
        <w:rPr>
          <w:rFonts w:eastAsia="Times New Roman" w:cstheme="minorHAnsi"/>
          <w:i/>
          <w:iCs/>
          <w:sz w:val="24"/>
          <w:szCs w:val="24"/>
        </w:rPr>
        <w:t>DMGDH</w:t>
      </w:r>
      <w:r w:rsidR="000A71CE" w:rsidRPr="002356D5">
        <w:rPr>
          <w:rFonts w:eastAsia="Times New Roman" w:cstheme="minorHAnsi"/>
          <w:sz w:val="24"/>
          <w:szCs w:val="24"/>
        </w:rPr>
        <w:t xml:space="preserve"> </w:t>
      </w:r>
      <w:r>
        <w:rPr>
          <w:rFonts w:eastAsia="Times New Roman" w:cstheme="minorHAnsi"/>
          <w:sz w:val="24"/>
          <w:szCs w:val="24"/>
        </w:rPr>
        <w:t xml:space="preserve">contain </w:t>
      </w:r>
      <w:r w:rsidRPr="002356D5">
        <w:rPr>
          <w:rFonts w:eastAsia="Times New Roman" w:cstheme="minorHAnsi"/>
          <w:sz w:val="24"/>
          <w:szCs w:val="24"/>
        </w:rPr>
        <w:t>GO:0042426 choline catabolic process and GO:0047865 dimethylglycine dehydrogenase activity</w:t>
      </w:r>
      <w:r>
        <w:rPr>
          <w:rFonts w:eastAsia="Times New Roman" w:cstheme="minorHAnsi"/>
          <w:sz w:val="24"/>
          <w:szCs w:val="24"/>
        </w:rPr>
        <w:t xml:space="preserve"> </w:t>
      </w:r>
      <w:r w:rsidR="00C32DAB">
        <w:rPr>
          <w:rFonts w:eastAsia="Times New Roman" w:cstheme="minorHAnsi"/>
          <w:sz w:val="24"/>
          <w:szCs w:val="24"/>
        </w:rPr>
        <w:t xml:space="preserve">indicating that if </w:t>
      </w:r>
      <w:r>
        <w:rPr>
          <w:rFonts w:eastAsia="Times New Roman" w:cstheme="minorHAnsi"/>
          <w:i/>
          <w:iCs/>
          <w:sz w:val="24"/>
          <w:szCs w:val="24"/>
        </w:rPr>
        <w:t xml:space="preserve">dmgdh </w:t>
      </w:r>
      <w:r>
        <w:rPr>
          <w:rFonts w:eastAsia="Times New Roman" w:cstheme="minorHAnsi"/>
          <w:sz w:val="24"/>
          <w:szCs w:val="24"/>
        </w:rPr>
        <w:t xml:space="preserve">is </w:t>
      </w:r>
      <w:r w:rsidRPr="002356D5">
        <w:rPr>
          <w:rFonts w:eastAsia="Times New Roman" w:cstheme="minorHAnsi"/>
          <w:sz w:val="24"/>
          <w:szCs w:val="24"/>
        </w:rPr>
        <w:t>important for sperm function</w:t>
      </w:r>
      <w:r>
        <w:rPr>
          <w:rFonts w:eastAsia="Times New Roman" w:cstheme="minorHAnsi"/>
          <w:sz w:val="24"/>
          <w:szCs w:val="24"/>
        </w:rPr>
        <w:t xml:space="preserve"> </w:t>
      </w:r>
      <w:r w:rsidR="00C32DAB">
        <w:rPr>
          <w:rFonts w:eastAsia="Times New Roman" w:cstheme="minorHAnsi"/>
          <w:sz w:val="24"/>
          <w:szCs w:val="24"/>
        </w:rPr>
        <w:t xml:space="preserve">it is </w:t>
      </w:r>
      <w:r>
        <w:rPr>
          <w:rFonts w:eastAsia="Times New Roman" w:cstheme="minorHAnsi"/>
          <w:sz w:val="24"/>
          <w:szCs w:val="24"/>
        </w:rPr>
        <w:t xml:space="preserve">likely through the </w:t>
      </w:r>
      <w:r w:rsidRPr="002356D5">
        <w:rPr>
          <w:rFonts w:eastAsia="Times New Roman" w:cstheme="minorHAnsi"/>
          <w:sz w:val="24"/>
          <w:szCs w:val="24"/>
        </w:rPr>
        <w:t xml:space="preserve">choline </w:t>
      </w:r>
      <w:r>
        <w:rPr>
          <w:rFonts w:eastAsia="Times New Roman" w:cstheme="minorHAnsi"/>
          <w:sz w:val="24"/>
          <w:szCs w:val="24"/>
        </w:rPr>
        <w:t>pathway. I</w:t>
      </w:r>
      <w:r>
        <w:rPr>
          <w:sz w:val="24"/>
          <w:szCs w:val="24"/>
        </w:rPr>
        <w:t>n a human study, a variant in</w:t>
      </w:r>
      <w:r w:rsidR="00EC5645" w:rsidRPr="00EC5645">
        <w:t xml:space="preserve"> </w:t>
      </w:r>
      <w:r w:rsidR="00C301F1">
        <w:t xml:space="preserve">the </w:t>
      </w:r>
      <w:r w:rsidR="00EC5645" w:rsidRPr="00EC5645">
        <w:rPr>
          <w:sz w:val="24"/>
          <w:szCs w:val="24"/>
        </w:rPr>
        <w:t>choline dehydrogenase</w:t>
      </w:r>
      <w:r w:rsidR="00EC5645">
        <w:rPr>
          <w:sz w:val="24"/>
          <w:szCs w:val="24"/>
        </w:rPr>
        <w:t>,</w:t>
      </w:r>
      <w:r>
        <w:rPr>
          <w:sz w:val="24"/>
          <w:szCs w:val="24"/>
        </w:rPr>
        <w:t xml:space="preserve"> </w:t>
      </w:r>
      <w:r w:rsidR="000A71CE">
        <w:rPr>
          <w:i/>
          <w:iCs/>
          <w:sz w:val="24"/>
          <w:szCs w:val="24"/>
        </w:rPr>
        <w:t>CHDH</w:t>
      </w:r>
      <w:r w:rsidR="00EC5645">
        <w:rPr>
          <w:i/>
          <w:iCs/>
          <w:sz w:val="24"/>
          <w:szCs w:val="24"/>
        </w:rPr>
        <w:t>,</w:t>
      </w:r>
      <w:r>
        <w:rPr>
          <w:sz w:val="24"/>
          <w:szCs w:val="24"/>
        </w:rPr>
        <w:t xml:space="preserve"> lead to decreased expression which affected sperm function and </w:t>
      </w:r>
      <w:r w:rsidRPr="00E06DD2">
        <w:rPr>
          <w:sz w:val="24"/>
          <w:szCs w:val="24"/>
        </w:rPr>
        <w:t xml:space="preserve">mobility </w:t>
      </w:r>
      <w:r>
        <w:rPr>
          <w:sz w:val="24"/>
          <w:szCs w:val="24"/>
        </w:rPr>
        <w:t>through reduced ATP concentration</w:t>
      </w:r>
      <w:r w:rsidRPr="00E06DD2">
        <w:rPr>
          <w:sz w:val="24"/>
          <w:szCs w:val="24"/>
        </w:rPr>
        <w:t xml:space="preserve"> </w:t>
      </w:r>
      <w:r>
        <w:rPr>
          <w:sz w:val="24"/>
          <w:szCs w:val="24"/>
        </w:rPr>
        <w:fldChar w:fldCharType="begin" w:fldLock="1"/>
      </w:r>
      <w:r w:rsidR="00896F62">
        <w:rPr>
          <w:sz w:val="24"/>
          <w:szCs w:val="24"/>
        </w:rPr>
        <w:instrText>ADDIN CSL_CITATION {"citationItems":[{"id":"ITEM-1","itemData":{"DOI":"10.1371/journal.pone.0036047","ISSN":"19326203","PMID":"22558321","abstract":"Approximately 15% of couples are affected by infertility and up to half of these cases arise from male factor infertility. Unidentified genetic aberrations such as chromosomal deletions, translocations and single nucleotide polymorphisms (SNPs) may be the underlying cause of many cases of idiopathic male infertility. Deletion of the choline dehydrogenase (Chdh) gene in mice results in decreased male fertility due to diminished sperm motility; sperm from Chdh-/- males have decreased ATP concentrations likely stemming from abnormal sperm mitochondrial morphology and function in these cells. Several SNPs have been identified in the human CHDH gene that may result in altered CHDH enzymatic activity. rs12676 (G233T), a non-synonymous SNP located in the CHDH coding region, is associated with increased susceptibility to dietary choline deficiency and risk of breast cancer. We now report evidence that this SNP is also associated with altered sperm motility patterns and dysmorphic mitochondrial structure in sperm. Sperm produced by men who are GT or TT for rs12676 have 40% and 73% lower ATP concentrations, respectively, in their sperm. rs12676 is associated with decreased CHDH protein in sperm and hepatocytes. A second SNP located in the coding region of IL17BR, rs1025689, is linked to altered sperm motility characteristics and changes in choline metabolite concentrations in sperm. © 2012 Johnson et al.","author":[{"dropping-particle":"","family":"Johnson","given":"Amy R.","non-dropping-particle":"","parse-names":false,"suffix":""},{"dropping-particle":"","family":"Lao","given":"Sai","non-dropping-particle":"","parse-names":false,"suffix":""},{"dropping-particle":"","family":"Wang","given":"Tongwen","non-dropping-particle":"","parse-names":false,"suffix":""},{"dropping-particle":"","family":"Galanko","given":"Joseph A.","non-dropping-particle":"","parse-names":false,"suffix":""},{"dropping-particle":"","family":"Zeisel","given":"Steven H.","non-dropping-particle":"","parse-names":false,"suffix":""}],"container-title":"PLoS ONE","id":"ITEM-1","issue":"4","issued":{"date-parts":[["2012"]]},"page":"1-12","title":"Choline dehydrogenase polymorphism rs12676 is a functional variation and is associated with changes in human sperm cell function","type":"article-journal","volume":"7"},"uris":["http://www.mendeley.com/documents/?uuid=a938b427-0697-4b39-88ef-54077c172ca2"]}],"mendeley":{"formattedCitation":"(Johnson et al., 2012)","plainTextFormattedCitation":"(Johnson et al., 2012)","previouslyFormattedCitation":"(Johnson et al., 2012)"},"properties":{"noteIndex":0},"schema":"https://github.com/citation-style-language/schema/raw/master/csl-citation.json"}</w:instrText>
      </w:r>
      <w:r>
        <w:rPr>
          <w:sz w:val="24"/>
          <w:szCs w:val="24"/>
        </w:rPr>
        <w:fldChar w:fldCharType="separate"/>
      </w:r>
      <w:r w:rsidR="001E0464" w:rsidRPr="001E0464">
        <w:rPr>
          <w:noProof/>
          <w:sz w:val="24"/>
          <w:szCs w:val="24"/>
        </w:rPr>
        <w:t>(Johnson et al., 2012)</w:t>
      </w:r>
      <w:r>
        <w:rPr>
          <w:sz w:val="24"/>
          <w:szCs w:val="24"/>
        </w:rPr>
        <w:fldChar w:fldCharType="end"/>
      </w:r>
      <w:r w:rsidRPr="00E06DD2">
        <w:rPr>
          <w:sz w:val="24"/>
          <w:szCs w:val="24"/>
        </w:rPr>
        <w:t xml:space="preserve">. So, </w:t>
      </w:r>
      <w:r>
        <w:rPr>
          <w:sz w:val="24"/>
          <w:szCs w:val="24"/>
        </w:rPr>
        <w:t xml:space="preserve">there may be a functional link between increased </w:t>
      </w:r>
      <w:r w:rsidR="000A71CE">
        <w:rPr>
          <w:i/>
          <w:iCs/>
          <w:sz w:val="24"/>
          <w:szCs w:val="24"/>
        </w:rPr>
        <w:t>DMGDH</w:t>
      </w:r>
      <w:r w:rsidR="000A71CE">
        <w:rPr>
          <w:sz w:val="24"/>
          <w:szCs w:val="24"/>
        </w:rPr>
        <w:t xml:space="preserve"> </w:t>
      </w:r>
      <w:r>
        <w:rPr>
          <w:sz w:val="24"/>
          <w:szCs w:val="24"/>
        </w:rPr>
        <w:t>expression and increased sperm motility in AB* karyotype individuals through the choline metabolism pathway.</w:t>
      </w:r>
      <w:r w:rsidR="0064743A">
        <w:rPr>
          <w:sz w:val="24"/>
          <w:szCs w:val="24"/>
        </w:rPr>
        <w:t xml:space="preserve"> </w:t>
      </w:r>
      <w:r w:rsidR="00343C04">
        <w:rPr>
          <w:sz w:val="24"/>
          <w:szCs w:val="24"/>
        </w:rPr>
        <w:t>G</w:t>
      </w:r>
      <w:r w:rsidR="00730CE5">
        <w:rPr>
          <w:sz w:val="24"/>
          <w:szCs w:val="24"/>
        </w:rPr>
        <w:t>iven that</w:t>
      </w:r>
      <w:r w:rsidR="00343C04">
        <w:rPr>
          <w:sz w:val="24"/>
          <w:szCs w:val="24"/>
        </w:rPr>
        <w:t xml:space="preserve"> </w:t>
      </w:r>
      <w:r w:rsidR="000A71CE">
        <w:rPr>
          <w:i/>
          <w:iCs/>
          <w:sz w:val="24"/>
          <w:szCs w:val="24"/>
        </w:rPr>
        <w:t>DMGDH</w:t>
      </w:r>
      <w:r w:rsidR="00730CE5">
        <w:rPr>
          <w:sz w:val="24"/>
          <w:szCs w:val="24"/>
        </w:rPr>
        <w:t xml:space="preserve"> gene expression in liver is</w:t>
      </w:r>
      <w:r w:rsidR="00B063ED">
        <w:rPr>
          <w:sz w:val="24"/>
          <w:szCs w:val="24"/>
        </w:rPr>
        <w:t xml:space="preserve"> stably</w:t>
      </w:r>
      <w:r w:rsidR="00730CE5">
        <w:rPr>
          <w:sz w:val="24"/>
          <w:szCs w:val="24"/>
        </w:rPr>
        <w:t xml:space="preserve"> higher than in testis (Figure 4)</w:t>
      </w:r>
      <w:r w:rsidR="00B063ED">
        <w:rPr>
          <w:sz w:val="24"/>
          <w:szCs w:val="24"/>
        </w:rPr>
        <w:t>,</w:t>
      </w:r>
      <w:r w:rsidR="00730CE5">
        <w:rPr>
          <w:sz w:val="24"/>
          <w:szCs w:val="24"/>
        </w:rPr>
        <w:t xml:space="preserve"> the true involvement of </w:t>
      </w:r>
      <w:r w:rsidR="000A71CE">
        <w:rPr>
          <w:i/>
          <w:iCs/>
          <w:sz w:val="24"/>
          <w:szCs w:val="24"/>
        </w:rPr>
        <w:t>DMGDH</w:t>
      </w:r>
      <w:r w:rsidR="00730CE5">
        <w:rPr>
          <w:sz w:val="24"/>
          <w:szCs w:val="24"/>
        </w:rPr>
        <w:t xml:space="preserve"> </w:t>
      </w:r>
      <w:r w:rsidR="00B063ED">
        <w:rPr>
          <w:sz w:val="24"/>
          <w:szCs w:val="24"/>
        </w:rPr>
        <w:t xml:space="preserve">for </w:t>
      </w:r>
      <w:r w:rsidR="00C301F1">
        <w:rPr>
          <w:sz w:val="24"/>
          <w:szCs w:val="24"/>
        </w:rPr>
        <w:t>“</w:t>
      </w:r>
      <w:r w:rsidR="00B063ED">
        <w:rPr>
          <w:sz w:val="24"/>
          <w:szCs w:val="24"/>
        </w:rPr>
        <w:t>super sperm</w:t>
      </w:r>
      <w:r w:rsidR="00C301F1">
        <w:rPr>
          <w:sz w:val="24"/>
          <w:szCs w:val="24"/>
        </w:rPr>
        <w:t>”</w:t>
      </w:r>
      <w:r w:rsidR="00B063ED">
        <w:rPr>
          <w:sz w:val="24"/>
          <w:szCs w:val="24"/>
        </w:rPr>
        <w:t xml:space="preserve"> in zebra finch remains un</w:t>
      </w:r>
      <w:r w:rsidR="007742F8">
        <w:rPr>
          <w:sz w:val="24"/>
          <w:szCs w:val="24"/>
        </w:rPr>
        <w:t>re</w:t>
      </w:r>
      <w:r w:rsidR="00B063ED">
        <w:rPr>
          <w:sz w:val="24"/>
          <w:szCs w:val="24"/>
        </w:rPr>
        <w:t xml:space="preserve">solved </w:t>
      </w:r>
      <w:r w:rsidR="00B44EF8">
        <w:rPr>
          <w:sz w:val="24"/>
          <w:szCs w:val="24"/>
        </w:rPr>
        <w:t>as its function in sperm has not been clearly discerned.</w:t>
      </w:r>
    </w:p>
    <w:p w14:paraId="783F9E3C" w14:textId="6E95FE7F" w:rsidR="00670D8B" w:rsidRDefault="003257A8" w:rsidP="00670D8B">
      <w:pPr>
        <w:spacing w:after="0" w:line="480" w:lineRule="auto"/>
        <w:ind w:firstLine="720"/>
        <w:contextualSpacing/>
        <w:jc w:val="both"/>
        <w:rPr>
          <w:rFonts w:eastAsia="Times New Roman" w:cstheme="minorHAnsi"/>
          <w:sz w:val="24"/>
          <w:szCs w:val="24"/>
        </w:rPr>
      </w:pPr>
      <w:r>
        <w:rPr>
          <w:rFonts w:eastAsia="Times New Roman" w:cstheme="minorHAnsi"/>
          <w:sz w:val="24"/>
          <w:szCs w:val="24"/>
        </w:rPr>
        <w:t xml:space="preserve">Our data provide verification to </w:t>
      </w:r>
      <w:r w:rsidR="004E3D9B">
        <w:rPr>
          <w:rFonts w:eastAsia="Times New Roman" w:cstheme="minorHAnsi"/>
          <w:sz w:val="24"/>
          <w:szCs w:val="24"/>
        </w:rPr>
        <w:t xml:space="preserve">the </w:t>
      </w:r>
      <w:r>
        <w:rPr>
          <w:rFonts w:eastAsia="Times New Roman" w:cstheme="minorHAnsi"/>
          <w:sz w:val="24"/>
          <w:szCs w:val="24"/>
        </w:rPr>
        <w:t xml:space="preserve">previous study </w:t>
      </w:r>
      <w:r>
        <w:rPr>
          <w:rFonts w:eastAsia="Times New Roman" w:cstheme="minorHAnsi"/>
          <w:sz w:val="24"/>
          <w:szCs w:val="24"/>
        </w:rPr>
        <w:fldChar w:fldCharType="begin" w:fldLock="1"/>
      </w:r>
      <w:r w:rsidR="00896F62">
        <w:rPr>
          <w:rFonts w:eastAsia="Times New Roman" w:cstheme="minorHAnsi"/>
          <w:sz w:val="24"/>
          <w:szCs w:val="24"/>
        </w:rPr>
        <w:instrText>ADDIN CSL_CITATION {"citationItems":[{"id":"ITEM-1","itemData":{"DOI":"10.1038/s41559-017-0235-2","ISSN":"2397334X","PMID":"29046578","abstract":"Sperm competition is an important selective force in many organisms. As a result, sperm have evolved to be among the most diverse cells in the animal kingdom. However, the relationship between sperm morphology, sperm motility and fertilization success is only partially understood. The extent to which between-male variation is heritable is largely unknown, and remarkably few studies have investigated the genetic architecture of sperm traits, especially sperm morphology. Here we use high-density genotyping and gene expression profiling to explore the considerable sperm trait variation that exists in the zebra finch Taeniopygia guttata. We show that nearly all of the genetic variation in sperm morphology is caused by an inversion polymorphism on the Z chromosome acting as a 'supergene'. These results provide a striking example of two evolutionary genetic predictions. First, that in species where females are the heterogametic sex, genetic variation affecting sexually dimorphic traits will accumulate on the Z chromosome. Second, recombination suppression at the inversion allows beneficial dominant alleles to become fixed on whichever haplotype they first arise, without being exchanged onto other haplotypes. Finally, we show that the inversion polymorphism will be stably maintained by heterozygote advantage, because heterozygous males have the fastest and most successful sperm.","author":[{"dropping-particle":"","family":"Kim","given":"Kang - Wook","non-dropping-particle":"","parse-names":false,"suffix":""},{"dropping-particle":"","family":"Bennison","given":"Clair","non-dropping-particle":"","parse-names":false,"suffix":""},{"dropping-particle":"","family":"Hemmings","given":"Nicola","non-dropping-particle":"","parse-names":false,"suffix":""},{"dropping-particle":"","family":"Brookes","given":"Lola","non-dropping-particle":"","parse-names":false,"suffix":""},{"dropping-particle":"","family":"Hurley","given":"Laura L.","non-dropping-particle":"","parse-names":false,"suffix":""},{"dropping-particle":"","family":"Griffith","given":"Simon C.","non-dropping-particle":"","parse-names":false,"suffix":""},{"dropping-particle":"","family":"Burke","given":"Terry","non-dropping-particle":"","parse-names":false,"suffix":""},{"dropping-particle":"","family":"Birkhead","given":"Tim R.","non-dropping-particle":"","parse-names":false,"suffix":""},{"dropping-particle":"","family":"Slate","given":"Jon","non-dropping-particle":"","parse-names":false,"suffix":""}],"container-title":"Nature Ecology and Evolution","id":"ITEM-1","issue":"8","issued":{"date-parts":[["2017","8","17"]]},"page":"1168-1176","title":"A sex-linked supergene controls sperm morphology and swimming speed in a songbird","type":"article-journal","volume":"1"},"uris":["http://www.mendeley.com/documents/?uuid=6c697130-ac69-3614-af3f-e03480e4aa2c"]}],"mendeley":{"formattedCitation":"(Kim et al., 2017)","plainTextFormattedCitation":"(Kim et al., 2017)","previouslyFormattedCitation":"(Kim et al., 2017)"},"properties":{"noteIndex":0},"schema":"https://github.com/citation-style-language/schema/raw/master/csl-citation.json"}</w:instrText>
      </w:r>
      <w:r>
        <w:rPr>
          <w:rFonts w:eastAsia="Times New Roman" w:cstheme="minorHAnsi"/>
          <w:sz w:val="24"/>
          <w:szCs w:val="24"/>
        </w:rPr>
        <w:fldChar w:fldCharType="separate"/>
      </w:r>
      <w:r w:rsidR="001E0464" w:rsidRPr="001E0464">
        <w:rPr>
          <w:rFonts w:eastAsia="Times New Roman" w:cstheme="minorHAnsi"/>
          <w:noProof/>
          <w:sz w:val="24"/>
          <w:szCs w:val="24"/>
        </w:rPr>
        <w:t>(Kim et al., 2017)</w:t>
      </w:r>
      <w:r>
        <w:rPr>
          <w:rFonts w:eastAsia="Times New Roman" w:cstheme="minorHAnsi"/>
          <w:sz w:val="24"/>
          <w:szCs w:val="24"/>
        </w:rPr>
        <w:fldChar w:fldCharType="end"/>
      </w:r>
      <w:r>
        <w:rPr>
          <w:rFonts w:eastAsia="Times New Roman" w:cstheme="minorHAnsi"/>
          <w:sz w:val="24"/>
          <w:szCs w:val="24"/>
        </w:rPr>
        <w:t xml:space="preserve"> but also provide novel aspects to </w:t>
      </w:r>
      <w:r w:rsidR="004E3D9B">
        <w:rPr>
          <w:rFonts w:eastAsia="Times New Roman" w:cstheme="minorHAnsi"/>
          <w:sz w:val="24"/>
          <w:szCs w:val="24"/>
        </w:rPr>
        <w:t>tissue-</w:t>
      </w:r>
      <w:r>
        <w:rPr>
          <w:rFonts w:eastAsia="Times New Roman" w:cstheme="minorHAnsi"/>
          <w:sz w:val="24"/>
          <w:szCs w:val="24"/>
        </w:rPr>
        <w:t>specific effects of the zebra finch Z chromosome inversion</w:t>
      </w:r>
      <w:r w:rsidR="004E3D9B">
        <w:rPr>
          <w:rFonts w:eastAsia="Times New Roman" w:cstheme="minorHAnsi"/>
          <w:sz w:val="24"/>
          <w:szCs w:val="24"/>
        </w:rPr>
        <w:t>s. Due to the focus on testis development, we also provide insight into</w:t>
      </w:r>
      <w:r>
        <w:rPr>
          <w:rFonts w:eastAsia="Times New Roman" w:cstheme="minorHAnsi"/>
          <w:sz w:val="24"/>
          <w:szCs w:val="24"/>
        </w:rPr>
        <w:t xml:space="preserve"> the </w:t>
      </w:r>
      <w:r w:rsidR="004E3D9B">
        <w:rPr>
          <w:rFonts w:eastAsia="Times New Roman" w:cstheme="minorHAnsi"/>
          <w:sz w:val="24"/>
          <w:szCs w:val="24"/>
        </w:rPr>
        <w:t xml:space="preserve">potential </w:t>
      </w:r>
      <w:r>
        <w:rPr>
          <w:rFonts w:eastAsia="Times New Roman" w:cstheme="minorHAnsi"/>
          <w:sz w:val="24"/>
          <w:szCs w:val="24"/>
        </w:rPr>
        <w:t xml:space="preserve">mechanism behind the overdominance of the heterokaryotypic sperm morphology and function. </w:t>
      </w:r>
      <w:r w:rsidR="004E3D9B">
        <w:rPr>
          <w:rFonts w:eastAsia="Times New Roman" w:cstheme="minorHAnsi"/>
          <w:sz w:val="24"/>
          <w:szCs w:val="24"/>
        </w:rPr>
        <w:t xml:space="preserve">However, our </w:t>
      </w:r>
      <w:r>
        <w:rPr>
          <w:rFonts w:eastAsia="Times New Roman" w:cstheme="minorHAnsi"/>
          <w:sz w:val="24"/>
          <w:szCs w:val="24"/>
        </w:rPr>
        <w:t>data contain</w:t>
      </w:r>
      <w:r w:rsidR="007742F8">
        <w:rPr>
          <w:rFonts w:eastAsia="Times New Roman" w:cstheme="minorHAnsi"/>
          <w:sz w:val="24"/>
          <w:szCs w:val="24"/>
        </w:rPr>
        <w:t xml:space="preserve"> some</w:t>
      </w:r>
      <w:r>
        <w:rPr>
          <w:rFonts w:eastAsia="Times New Roman" w:cstheme="minorHAnsi"/>
          <w:sz w:val="24"/>
          <w:szCs w:val="24"/>
        </w:rPr>
        <w:t xml:space="preserve"> limitations due to </w:t>
      </w:r>
      <w:r w:rsidR="007742F8">
        <w:rPr>
          <w:rFonts w:eastAsia="Times New Roman" w:cstheme="minorHAnsi"/>
          <w:sz w:val="24"/>
          <w:szCs w:val="24"/>
        </w:rPr>
        <w:t xml:space="preserve">the difficulty identifying </w:t>
      </w:r>
      <w:r w:rsidR="007742F8" w:rsidRPr="002356D5">
        <w:rPr>
          <w:rFonts w:eastAsia="Times New Roman" w:cstheme="minorHAnsi"/>
          <w:sz w:val="24"/>
          <w:szCs w:val="24"/>
        </w:rPr>
        <w:t xml:space="preserve">the spermatogenesis stage without </w:t>
      </w:r>
      <w:r w:rsidR="004E3D9B">
        <w:rPr>
          <w:rFonts w:eastAsia="Times New Roman" w:cstheme="minorHAnsi"/>
          <w:sz w:val="24"/>
          <w:szCs w:val="24"/>
        </w:rPr>
        <w:lastRenderedPageBreak/>
        <w:t>histology</w:t>
      </w:r>
      <w:r w:rsidR="00795C7E">
        <w:rPr>
          <w:rFonts w:eastAsia="Times New Roman" w:cstheme="minorHAnsi"/>
          <w:sz w:val="24"/>
          <w:szCs w:val="24"/>
        </w:rPr>
        <w:t>,</w:t>
      </w:r>
      <w:r w:rsidR="007742F8">
        <w:rPr>
          <w:rFonts w:eastAsia="Times New Roman" w:cstheme="minorHAnsi"/>
          <w:sz w:val="24"/>
          <w:szCs w:val="24"/>
        </w:rPr>
        <w:t xml:space="preserve"> since </w:t>
      </w:r>
      <w:r>
        <w:rPr>
          <w:rFonts w:eastAsia="Times New Roman" w:cstheme="minorHAnsi"/>
          <w:sz w:val="24"/>
          <w:szCs w:val="24"/>
        </w:rPr>
        <w:t>calendar age is not an accurate indicator of spermatogenesis stage</w:t>
      </w:r>
      <w:r w:rsidR="00F16775">
        <w:rPr>
          <w:rFonts w:eastAsia="Times New Roman" w:cstheme="minorHAnsi"/>
          <w:sz w:val="24"/>
          <w:szCs w:val="24"/>
        </w:rPr>
        <w:t xml:space="preserve">. </w:t>
      </w:r>
      <w:r w:rsidR="007742F8">
        <w:rPr>
          <w:rFonts w:eastAsia="Times New Roman" w:cstheme="minorHAnsi"/>
          <w:sz w:val="24"/>
          <w:szCs w:val="24"/>
        </w:rPr>
        <w:t xml:space="preserve">We tried to limit the number of birds sacrificed for the experiment, and this resulted in small sample sizes in the inactive and accelerating I stages for some karyotypes. </w:t>
      </w:r>
      <w:r w:rsidR="004E3D9B">
        <w:rPr>
          <w:rFonts w:eastAsia="Times New Roman" w:cstheme="minorHAnsi"/>
          <w:sz w:val="24"/>
          <w:szCs w:val="24"/>
        </w:rPr>
        <w:t>Another confounding factor is identifying</w:t>
      </w:r>
      <w:r w:rsidR="00795C7E">
        <w:rPr>
          <w:rFonts w:eastAsia="Times New Roman" w:cstheme="minorHAnsi"/>
          <w:sz w:val="24"/>
          <w:szCs w:val="24"/>
        </w:rPr>
        <w:t xml:space="preserve"> the Z chromosome inversion breakpoints</w:t>
      </w:r>
      <w:r w:rsidR="003521D2">
        <w:rPr>
          <w:rFonts w:eastAsia="Times New Roman" w:cstheme="minorHAnsi"/>
          <w:sz w:val="24"/>
          <w:szCs w:val="24"/>
        </w:rPr>
        <w:t>.</w:t>
      </w:r>
      <w:r w:rsidR="00795C7E">
        <w:rPr>
          <w:rFonts w:eastAsia="Times New Roman" w:cstheme="minorHAnsi"/>
          <w:sz w:val="24"/>
          <w:szCs w:val="24"/>
        </w:rPr>
        <w:t xml:space="preserve"> </w:t>
      </w:r>
      <w:r w:rsidR="003521D2">
        <w:rPr>
          <w:rFonts w:eastAsia="Times New Roman" w:cstheme="minorHAnsi"/>
          <w:sz w:val="24"/>
          <w:szCs w:val="24"/>
        </w:rPr>
        <w:t>O</w:t>
      </w:r>
      <w:r w:rsidR="004E3D9B">
        <w:rPr>
          <w:rFonts w:eastAsia="Times New Roman" w:cstheme="minorHAnsi"/>
          <w:sz w:val="24"/>
          <w:szCs w:val="24"/>
        </w:rPr>
        <w:t>ur SNP data from the transcriptomes provide some resolution for identifying distinct patterns of homozygosity</w:t>
      </w:r>
      <w:r w:rsidR="003521D2">
        <w:rPr>
          <w:rFonts w:eastAsia="Times New Roman" w:cstheme="minorHAnsi"/>
          <w:sz w:val="24"/>
          <w:szCs w:val="24"/>
        </w:rPr>
        <w:t>/heterozygosity</w:t>
      </w:r>
      <w:r w:rsidR="004E3D9B">
        <w:rPr>
          <w:rFonts w:eastAsia="Times New Roman" w:cstheme="minorHAnsi"/>
          <w:sz w:val="24"/>
          <w:szCs w:val="24"/>
        </w:rPr>
        <w:t xml:space="preserve"> along the Z chromosome, but the density of SNPs and the read depth within the transcriptomes is limited</w:t>
      </w:r>
      <w:r w:rsidR="003521D2">
        <w:rPr>
          <w:rFonts w:eastAsia="Times New Roman" w:cstheme="minorHAnsi"/>
          <w:sz w:val="24"/>
          <w:szCs w:val="24"/>
        </w:rPr>
        <w:t>.</w:t>
      </w:r>
      <w:r w:rsidR="00275697">
        <w:rPr>
          <w:rFonts w:eastAsia="Times New Roman" w:cstheme="minorHAnsi"/>
          <w:sz w:val="24"/>
          <w:szCs w:val="24"/>
        </w:rPr>
        <w:t xml:space="preserve"> Since we were unable to unequivocally distinguish between the AB or AC heterokaryotype in our data, we retain caution in our interpretation and retain a similar strategy to that of </w:t>
      </w:r>
      <w:r w:rsidR="00275697">
        <w:rPr>
          <w:rFonts w:eastAsia="Times New Roman" w:cstheme="minorHAnsi"/>
          <w:sz w:val="24"/>
          <w:szCs w:val="24"/>
        </w:rPr>
        <w:fldChar w:fldCharType="begin" w:fldLock="1"/>
      </w:r>
      <w:r w:rsidR="003A1559">
        <w:rPr>
          <w:rFonts w:eastAsia="Times New Roman" w:cstheme="minorHAnsi"/>
          <w:sz w:val="24"/>
          <w:szCs w:val="24"/>
        </w:rPr>
        <w:instrText>ADDIN CSL_CITATION {"citationItems":[{"id":"ITEM-1","itemData":{"DOI":"10.1038/s41559-017-0236-1","ISSN":"2397-334X","PMID":"29046576","abstract":"Male reproductive success depends on the competitive ability of sperm to fertilize the ova, which should lead to strong selection on sperm characteristics. This raises the question of how heritable variation in sperm traits is maintained. Here we show that in zebra finches (Taeniopygia guttata) nearly half of the variance in sperm morphology is explained by an inversion on the Z chromosome with a 40% allele frequency in the wild. The sperm of males that are heterozygous for the inversion had the longest midpieces and the highest velocity. Furthermore, such males achieved the highest fertility and the highest siring success, both within-pair and extra-pair. Males homozygous for the derived allele show detrimental sperm characteristics and the lowest siring success. Our results suggest heterozygote advantage as the mechanism that maintains the inversion polymorphism and hence variance in sperm design and in fitness.","author":[{"dropping-particle":"","family":"Knief","given":"Ulrich","non-dropping-particle":"","parse-names":false,"suffix":""},{"dropping-particle":"","family":"Forstmeier","given":"Wolfgang","non-dropping-particle":"","parse-names":false,"suffix":""},{"dropping-particle":"","family":"Pei","given":"Yifan","non-dropping-particle":"","parse-names":false,"suffix":""},{"dropping-particle":"","family":"Ihle","given":"Malika","non-dropping-particle":"","parse-names":false,"suffix":""},{"dropping-particle":"","family":"Wang","given":"Daiping","non-dropping-particle":"","parse-names":false,"suffix":""},{"dropping-particle":"","family":"Martin","given":"Katrin","non-dropping-particle":"","parse-names":false,"suffix":""},{"dropping-particle":"","family":"Opatová","given":"Pavlína","non-dropping-particle":"","parse-names":false,"suffix":""},{"dropping-particle":"","family":"Albrechtová","given":"Jana","non-dropping-particle":"","parse-names":false,"suffix":""},{"dropping-particle":"","family":"Wittig","given":"Michael","non-dropping-particle":"","parse-names":false,"suffix":""},{"dropping-particle":"","family":"Franke","given":"Andre","non-dropping-particle":"","parse-names":false,"suffix":""},{"dropping-particle":"","family":"Albrecht","given":"Tomáš","non-dropping-particle":"","parse-names":false,"suffix":""},{"dropping-particle":"","family":"Kempenaers","given":"Bart","non-dropping-particle":"","parse-names":false,"suffix":""}],"container-title":"Nature Ecology &amp; Evolution","id":"ITEM-1","issue":"8","issued":{"date-parts":[["2017","7","17"]]},"page":"1177-1184","title":"A sex-chromosome inversion causes strong overdominance for sperm traits that affect siring success","type":"article-journal","volume":"1"},"uris":["http://www.mendeley.com/documents/?uuid=3efe8240-b58b-3012-b842-e07f5aec233d"]}],"mendeley":{"formattedCitation":"(Knief et al., 2017)","plainTextFormattedCitation":"(Knief et al., 2017)","previouslyFormattedCitation":"(Knief et al., 2017)"},"properties":{"noteIndex":0},"schema":"https://github.com/citation-style-language/schema/raw/master/csl-citation.json"}</w:instrText>
      </w:r>
      <w:r w:rsidR="00275697">
        <w:rPr>
          <w:rFonts w:eastAsia="Times New Roman" w:cstheme="minorHAnsi"/>
          <w:sz w:val="24"/>
          <w:szCs w:val="24"/>
        </w:rPr>
        <w:fldChar w:fldCharType="separate"/>
      </w:r>
      <w:r w:rsidR="00275697" w:rsidRPr="00275697">
        <w:rPr>
          <w:rFonts w:eastAsia="Times New Roman" w:cstheme="minorHAnsi"/>
          <w:noProof/>
          <w:sz w:val="24"/>
          <w:szCs w:val="24"/>
        </w:rPr>
        <w:t>(Knief et al., 2017)</w:t>
      </w:r>
      <w:r w:rsidR="00275697">
        <w:rPr>
          <w:rFonts w:eastAsia="Times New Roman" w:cstheme="minorHAnsi"/>
          <w:sz w:val="24"/>
          <w:szCs w:val="24"/>
        </w:rPr>
        <w:fldChar w:fldCharType="end"/>
      </w:r>
      <w:r w:rsidR="00275697">
        <w:rPr>
          <w:rFonts w:eastAsia="Times New Roman" w:cstheme="minorHAnsi"/>
          <w:sz w:val="24"/>
          <w:szCs w:val="24"/>
        </w:rPr>
        <w:t xml:space="preserve"> such that the main comparison with the heterokaryotypes is the effect of carrying one ancestral and one derived inversion in comparison to homozygotes. Future exploration of the effects of inversions shaping the regulatory landscape and gene expression patterns in hetereokaryotypes would require characterizing the sequence and gene order of the different inversion types A, B, C and D, preferably in females where there is no need to phase the haplotypes. </w:t>
      </w:r>
    </w:p>
    <w:p w14:paraId="584CAF91" w14:textId="5F8BA0F8" w:rsidR="000A71CE" w:rsidRDefault="00AA3993" w:rsidP="00382B6A">
      <w:pPr>
        <w:spacing w:after="0" w:line="480" w:lineRule="auto"/>
        <w:ind w:firstLine="720"/>
        <w:contextualSpacing/>
        <w:jc w:val="both"/>
        <w:rPr>
          <w:rFonts w:eastAsia="Times New Roman" w:cstheme="minorHAnsi"/>
          <w:sz w:val="24"/>
          <w:szCs w:val="24"/>
        </w:rPr>
      </w:pPr>
      <w:r w:rsidRPr="00AA3993">
        <w:rPr>
          <w:rFonts w:eastAsia="Times New Roman" w:cstheme="minorHAnsi"/>
          <w:sz w:val="24"/>
          <w:szCs w:val="24"/>
        </w:rPr>
        <w:t>In conclusion, our unique sampling of zebra finch Z chromosome inversion karyotypes in two different tissues across testis development revealed a pleiotropic regulatory effect due to the inversion. Many genes involved in spermatogenesis were differentially expressed among the karyotypes demonstrating that the inversion alters the regulatory machinery among the karyotypes. The gene enrichment coincides with gene functions that would be strong candidates for the phenotypic differences observed in the sperm, i.e., flagellum and midpiece length. Additionally, we identify several hundred differentially expressed genes in the liver resulting from the various inversion karyotypes.  These genes may be influencing some of the physiological phenotypes previously observed such as fat deposition rates and body mass (</w:t>
      </w:r>
      <w:proofErr w:type="spellStart"/>
      <w:r w:rsidRPr="00AA3993">
        <w:rPr>
          <w:rFonts w:eastAsia="Times New Roman" w:cstheme="minorHAnsi"/>
          <w:sz w:val="24"/>
          <w:szCs w:val="24"/>
        </w:rPr>
        <w:t>Knief</w:t>
      </w:r>
      <w:proofErr w:type="spellEnd"/>
      <w:r w:rsidRPr="00AA3993">
        <w:rPr>
          <w:rFonts w:eastAsia="Times New Roman" w:cstheme="minorHAnsi"/>
          <w:sz w:val="24"/>
          <w:szCs w:val="24"/>
        </w:rPr>
        <w:t xml:space="preserve"> et al. 2016) since some of the enriched functions from the semantic similarity clustering are related to regulation of metabolic processes and fatty acid metabolism. Further investigation into specific karyotypes should allow for </w:t>
      </w:r>
      <w:r w:rsidRPr="00AA3993">
        <w:rPr>
          <w:rFonts w:eastAsia="Times New Roman" w:cstheme="minorHAnsi"/>
          <w:sz w:val="24"/>
          <w:szCs w:val="24"/>
        </w:rPr>
        <w:lastRenderedPageBreak/>
        <w:t xml:space="preserve">a better understanding of how inversions, by disrupting the existing regulatory landscape, can promote evolutionary novelty. </w:t>
      </w:r>
    </w:p>
    <w:p w14:paraId="29B6EBF4" w14:textId="77777777" w:rsidR="005F7440" w:rsidRDefault="005F7440" w:rsidP="003257A8">
      <w:pPr>
        <w:spacing w:after="0" w:line="480" w:lineRule="auto"/>
        <w:ind w:firstLine="720"/>
        <w:contextualSpacing/>
        <w:jc w:val="both"/>
        <w:rPr>
          <w:rFonts w:eastAsia="Times New Roman" w:cstheme="minorHAnsi"/>
          <w:sz w:val="24"/>
          <w:szCs w:val="24"/>
        </w:rPr>
      </w:pPr>
    </w:p>
    <w:p w14:paraId="7B1F3BAA" w14:textId="2357D728" w:rsidR="005F7440" w:rsidRDefault="005F7440" w:rsidP="005F7440">
      <w:pPr>
        <w:spacing w:after="0" w:line="480" w:lineRule="auto"/>
        <w:contextualSpacing/>
        <w:jc w:val="both"/>
        <w:rPr>
          <w:rStyle w:val="Voimakas"/>
          <w:sz w:val="24"/>
          <w:szCs w:val="24"/>
        </w:rPr>
      </w:pPr>
      <w:r w:rsidRPr="00E13533">
        <w:rPr>
          <w:rStyle w:val="Voimakas"/>
          <w:sz w:val="24"/>
          <w:szCs w:val="24"/>
        </w:rPr>
        <w:t>Author Contributions</w:t>
      </w:r>
    </w:p>
    <w:p w14:paraId="1FE1C244" w14:textId="38426340" w:rsidR="005F7440" w:rsidRDefault="005F7440" w:rsidP="00E13533">
      <w:pPr>
        <w:spacing w:after="0" w:line="480" w:lineRule="auto"/>
        <w:contextualSpacing/>
        <w:jc w:val="both"/>
        <w:rPr>
          <w:rStyle w:val="Voimakas"/>
          <w:b w:val="0"/>
          <w:bCs w:val="0"/>
          <w:sz w:val="24"/>
          <w:szCs w:val="24"/>
        </w:rPr>
      </w:pPr>
      <w:r w:rsidRPr="00E13533">
        <w:rPr>
          <w:rStyle w:val="Voimakas"/>
          <w:b w:val="0"/>
          <w:bCs w:val="0"/>
          <w:sz w:val="24"/>
          <w:szCs w:val="24"/>
        </w:rPr>
        <w:t xml:space="preserve">TA, EHL, JL designed the </w:t>
      </w:r>
      <w:r w:rsidR="00F56472">
        <w:rPr>
          <w:rStyle w:val="Voimakas"/>
          <w:b w:val="0"/>
          <w:bCs w:val="0"/>
          <w:sz w:val="24"/>
          <w:szCs w:val="24"/>
        </w:rPr>
        <w:t xml:space="preserve">original </w:t>
      </w:r>
      <w:r w:rsidRPr="00E13533">
        <w:rPr>
          <w:rStyle w:val="Voimakas"/>
          <w:b w:val="0"/>
          <w:bCs w:val="0"/>
          <w:sz w:val="24"/>
          <w:szCs w:val="24"/>
        </w:rPr>
        <w:t>research</w:t>
      </w:r>
      <w:r w:rsidR="00F56472">
        <w:rPr>
          <w:rStyle w:val="Voimakas"/>
          <w:b w:val="0"/>
          <w:bCs w:val="0"/>
          <w:sz w:val="24"/>
          <w:szCs w:val="24"/>
        </w:rPr>
        <w:t xml:space="preserve"> </w:t>
      </w:r>
      <w:r w:rsidR="008B6A7E">
        <w:rPr>
          <w:rStyle w:val="Voimakas"/>
          <w:b w:val="0"/>
          <w:bCs w:val="0"/>
          <w:sz w:val="24"/>
          <w:szCs w:val="24"/>
        </w:rPr>
        <w:t>plan</w:t>
      </w:r>
      <w:r w:rsidR="00F56472">
        <w:rPr>
          <w:rStyle w:val="Voimakas"/>
          <w:b w:val="0"/>
          <w:bCs w:val="0"/>
          <w:sz w:val="24"/>
          <w:szCs w:val="24"/>
        </w:rPr>
        <w:t>.</w:t>
      </w:r>
      <w:r w:rsidR="00F56472" w:rsidRPr="00E13533">
        <w:rPr>
          <w:rStyle w:val="Voimakas"/>
          <w:b w:val="0"/>
          <w:bCs w:val="0"/>
          <w:sz w:val="24"/>
          <w:szCs w:val="24"/>
        </w:rPr>
        <w:t xml:space="preserve"> </w:t>
      </w:r>
      <w:r w:rsidRPr="00E13533">
        <w:rPr>
          <w:rStyle w:val="Voimakas"/>
          <w:b w:val="0"/>
          <w:bCs w:val="0"/>
          <w:sz w:val="24"/>
          <w:szCs w:val="24"/>
        </w:rPr>
        <w:t>OK and TA maintained and sampled the birds</w:t>
      </w:r>
      <w:r w:rsidR="00F56472">
        <w:rPr>
          <w:rStyle w:val="Voimakas"/>
          <w:b w:val="0"/>
          <w:bCs w:val="0"/>
          <w:sz w:val="24"/>
          <w:szCs w:val="24"/>
        </w:rPr>
        <w:t xml:space="preserve"> used for the experiment</w:t>
      </w:r>
      <w:r w:rsidR="00661261">
        <w:rPr>
          <w:rStyle w:val="Voimakas"/>
          <w:b w:val="0"/>
          <w:bCs w:val="0"/>
          <w:sz w:val="24"/>
          <w:szCs w:val="24"/>
        </w:rPr>
        <w:t xml:space="preserve"> at the Institute of Vertebrate Biology, CZ</w:t>
      </w:r>
      <w:r w:rsidR="00F56472">
        <w:rPr>
          <w:rStyle w:val="Voimakas"/>
          <w:b w:val="0"/>
          <w:bCs w:val="0"/>
          <w:sz w:val="24"/>
          <w:szCs w:val="24"/>
        </w:rPr>
        <w:t>.</w:t>
      </w:r>
      <w:r w:rsidRPr="00E13533">
        <w:rPr>
          <w:rStyle w:val="Voimakas"/>
          <w:b w:val="0"/>
          <w:bCs w:val="0"/>
          <w:sz w:val="24"/>
          <w:szCs w:val="24"/>
        </w:rPr>
        <w:t xml:space="preserve"> HMV </w:t>
      </w:r>
      <w:r w:rsidR="00F56472">
        <w:rPr>
          <w:rStyle w:val="Voimakas"/>
          <w:b w:val="0"/>
          <w:bCs w:val="0"/>
          <w:sz w:val="24"/>
          <w:szCs w:val="24"/>
        </w:rPr>
        <w:t xml:space="preserve">designed and conducted the </w:t>
      </w:r>
      <w:r w:rsidRPr="00E13533">
        <w:rPr>
          <w:rStyle w:val="Voimakas"/>
          <w:b w:val="0"/>
          <w:bCs w:val="0"/>
          <w:sz w:val="24"/>
          <w:szCs w:val="24"/>
        </w:rPr>
        <w:t xml:space="preserve">laboratory work, analyzed the </w:t>
      </w:r>
      <w:r w:rsidR="00F56472" w:rsidRPr="00E13533">
        <w:rPr>
          <w:rStyle w:val="Voimakas"/>
          <w:b w:val="0"/>
          <w:bCs w:val="0"/>
          <w:sz w:val="24"/>
          <w:szCs w:val="24"/>
        </w:rPr>
        <w:t>data,</w:t>
      </w:r>
      <w:r w:rsidRPr="00E13533">
        <w:rPr>
          <w:rStyle w:val="Voimakas"/>
          <w:b w:val="0"/>
          <w:bCs w:val="0"/>
          <w:sz w:val="24"/>
          <w:szCs w:val="24"/>
        </w:rPr>
        <w:t xml:space="preserve"> and </w:t>
      </w:r>
      <w:r w:rsidR="00F56472">
        <w:rPr>
          <w:rStyle w:val="Voimakas"/>
          <w:b w:val="0"/>
          <w:bCs w:val="0"/>
          <w:sz w:val="24"/>
          <w:szCs w:val="24"/>
        </w:rPr>
        <w:t xml:space="preserve">led the writing of the </w:t>
      </w:r>
      <w:r w:rsidRPr="00E13533">
        <w:rPr>
          <w:rStyle w:val="Voimakas"/>
          <w:b w:val="0"/>
          <w:bCs w:val="0"/>
          <w:sz w:val="24"/>
          <w:szCs w:val="24"/>
        </w:rPr>
        <w:t>manuscript</w:t>
      </w:r>
      <w:r w:rsidR="00307DFB">
        <w:rPr>
          <w:rStyle w:val="Voimakas"/>
          <w:b w:val="0"/>
          <w:bCs w:val="0"/>
          <w:sz w:val="24"/>
          <w:szCs w:val="24"/>
        </w:rPr>
        <w:t xml:space="preserve"> together with EHL</w:t>
      </w:r>
      <w:r w:rsidR="00F56472">
        <w:rPr>
          <w:rStyle w:val="Voimakas"/>
          <w:b w:val="0"/>
          <w:bCs w:val="0"/>
          <w:sz w:val="24"/>
          <w:szCs w:val="24"/>
        </w:rPr>
        <w:t>.</w:t>
      </w:r>
      <w:r w:rsidRPr="00E13533">
        <w:rPr>
          <w:rStyle w:val="Voimakas"/>
          <w:b w:val="0"/>
          <w:bCs w:val="0"/>
          <w:sz w:val="24"/>
          <w:szCs w:val="24"/>
        </w:rPr>
        <w:t xml:space="preserve"> </w:t>
      </w:r>
      <w:r w:rsidR="00F56472" w:rsidRPr="00F56472">
        <w:rPr>
          <w:rStyle w:val="Voimakas"/>
          <w:b w:val="0"/>
          <w:bCs w:val="0"/>
          <w:sz w:val="24"/>
          <w:szCs w:val="24"/>
        </w:rPr>
        <w:t>All authors contributed critically to the drafts and gave final approval for publication.</w:t>
      </w:r>
    </w:p>
    <w:p w14:paraId="091DD91F" w14:textId="77777777" w:rsidR="00F56472" w:rsidRPr="0064743A" w:rsidRDefault="00F56472" w:rsidP="00E13533">
      <w:pPr>
        <w:spacing w:after="0" w:line="480" w:lineRule="auto"/>
        <w:contextualSpacing/>
        <w:jc w:val="both"/>
        <w:rPr>
          <w:rFonts w:eastAsia="Times New Roman" w:cstheme="minorHAnsi"/>
          <w:sz w:val="24"/>
          <w:szCs w:val="24"/>
        </w:rPr>
      </w:pPr>
    </w:p>
    <w:p w14:paraId="3958ACCD" w14:textId="44E1AC35" w:rsidR="00E97270" w:rsidRPr="00E13533" w:rsidRDefault="00E97270" w:rsidP="003257A8">
      <w:pPr>
        <w:rPr>
          <w:b/>
          <w:bCs/>
          <w:sz w:val="24"/>
          <w:szCs w:val="24"/>
        </w:rPr>
      </w:pPr>
      <w:r w:rsidRPr="00E13533">
        <w:rPr>
          <w:b/>
          <w:bCs/>
          <w:sz w:val="24"/>
          <w:szCs w:val="24"/>
        </w:rPr>
        <w:t>Funding</w:t>
      </w:r>
    </w:p>
    <w:p w14:paraId="01FC4331" w14:textId="08447EF6" w:rsidR="003257A8" w:rsidRPr="00E13533" w:rsidRDefault="00E97270" w:rsidP="003257A8">
      <w:pPr>
        <w:rPr>
          <w:sz w:val="24"/>
          <w:szCs w:val="24"/>
        </w:rPr>
      </w:pPr>
      <w:r w:rsidRPr="00E13533">
        <w:rPr>
          <w:sz w:val="24"/>
          <w:szCs w:val="24"/>
        </w:rPr>
        <w:t>This study was funded by the Czech Science Foundation (GAČR) project 19-22538S.</w:t>
      </w:r>
    </w:p>
    <w:p w14:paraId="3977BE7B" w14:textId="77777777" w:rsidR="005F7440" w:rsidRDefault="005F7440" w:rsidP="003257A8">
      <w:pPr>
        <w:rPr>
          <w:b/>
          <w:bCs/>
          <w:sz w:val="24"/>
          <w:szCs w:val="24"/>
        </w:rPr>
      </w:pPr>
    </w:p>
    <w:p w14:paraId="4C8429AA" w14:textId="77777777" w:rsidR="002D51C0" w:rsidRDefault="002D51C0" w:rsidP="002D51C0">
      <w:pPr>
        <w:rPr>
          <w:b/>
          <w:bCs/>
          <w:sz w:val="24"/>
          <w:szCs w:val="24"/>
        </w:rPr>
      </w:pPr>
      <w:r w:rsidRPr="00E13533">
        <w:rPr>
          <w:b/>
          <w:bCs/>
          <w:sz w:val="24"/>
          <w:szCs w:val="24"/>
        </w:rPr>
        <w:t>Data availability</w:t>
      </w:r>
    </w:p>
    <w:p w14:paraId="053F2A38" w14:textId="77777777" w:rsidR="002D51C0" w:rsidRDefault="002D51C0" w:rsidP="002D51C0">
      <w:pPr>
        <w:rPr>
          <w:sz w:val="24"/>
          <w:szCs w:val="24"/>
        </w:rPr>
      </w:pPr>
      <w:r>
        <w:rPr>
          <w:sz w:val="24"/>
          <w:szCs w:val="24"/>
        </w:rPr>
        <w:t>Sequences, including metadata, produced in this study have been deposited to SRA and are on embargo until acceptance of the manuscript. All code used in the analysis is available upon request.</w:t>
      </w:r>
    </w:p>
    <w:p w14:paraId="63434716" w14:textId="77777777" w:rsidR="002D51C0" w:rsidRDefault="002D51C0" w:rsidP="002D51C0">
      <w:pPr>
        <w:rPr>
          <w:sz w:val="24"/>
          <w:szCs w:val="24"/>
        </w:rPr>
      </w:pPr>
    </w:p>
    <w:p w14:paraId="270AFF4B" w14:textId="77777777" w:rsidR="002D51C0" w:rsidRPr="007E6C87" w:rsidRDefault="002D51C0" w:rsidP="002D51C0">
      <w:pPr>
        <w:rPr>
          <w:b/>
          <w:bCs/>
          <w:sz w:val="24"/>
          <w:szCs w:val="24"/>
        </w:rPr>
      </w:pPr>
      <w:r w:rsidRPr="007E6C87">
        <w:rPr>
          <w:b/>
          <w:bCs/>
          <w:sz w:val="24"/>
          <w:szCs w:val="24"/>
        </w:rPr>
        <w:t>Supporting/Supplemental Information</w:t>
      </w:r>
    </w:p>
    <w:p w14:paraId="6BF0B417" w14:textId="77777777" w:rsidR="002D51C0" w:rsidRPr="007E6C87" w:rsidRDefault="002D51C0" w:rsidP="002D51C0">
      <w:pPr>
        <w:rPr>
          <w:rStyle w:val="Korostus"/>
          <w:i w:val="0"/>
          <w:iCs w:val="0"/>
          <w:sz w:val="24"/>
          <w:szCs w:val="24"/>
        </w:rPr>
      </w:pPr>
      <w:r w:rsidRPr="007E6C87">
        <w:rPr>
          <w:rStyle w:val="Korostus"/>
          <w:i w:val="0"/>
          <w:iCs w:val="0"/>
          <w:sz w:val="24"/>
          <w:szCs w:val="24"/>
        </w:rPr>
        <w:t xml:space="preserve">This manuscript contains supplementary material to support the main text.  </w:t>
      </w:r>
    </w:p>
    <w:p w14:paraId="0C39BA03" w14:textId="77777777" w:rsidR="002D51C0" w:rsidRPr="007E6C87" w:rsidRDefault="002D51C0" w:rsidP="002D51C0">
      <w:pPr>
        <w:rPr>
          <w:rStyle w:val="Korostus"/>
          <w:i w:val="0"/>
          <w:iCs w:val="0"/>
          <w:sz w:val="24"/>
          <w:szCs w:val="24"/>
        </w:rPr>
      </w:pPr>
      <w:r w:rsidRPr="007E6C87">
        <w:rPr>
          <w:rStyle w:val="Korostus"/>
          <w:i w:val="0"/>
          <w:iCs w:val="0"/>
          <w:sz w:val="24"/>
          <w:szCs w:val="24"/>
        </w:rPr>
        <w:t>Supplementary_Figures.docx</w:t>
      </w:r>
    </w:p>
    <w:p w14:paraId="1DA1CF0C" w14:textId="77777777" w:rsidR="002D51C0" w:rsidRPr="007E6C87" w:rsidRDefault="002D51C0" w:rsidP="002D51C0">
      <w:pPr>
        <w:rPr>
          <w:rStyle w:val="Korostus"/>
          <w:i w:val="0"/>
          <w:iCs w:val="0"/>
          <w:sz w:val="24"/>
          <w:szCs w:val="24"/>
        </w:rPr>
      </w:pPr>
      <w:r w:rsidRPr="007E6C87">
        <w:rPr>
          <w:rStyle w:val="Korostus"/>
          <w:i w:val="0"/>
          <w:iCs w:val="0"/>
          <w:sz w:val="24"/>
          <w:szCs w:val="24"/>
        </w:rPr>
        <w:t>Supplementary_Tables.xlsx</w:t>
      </w:r>
    </w:p>
    <w:p w14:paraId="6390BD8C" w14:textId="77777777" w:rsidR="002D51C0" w:rsidRDefault="002D51C0" w:rsidP="002D51C0">
      <w:pPr>
        <w:rPr>
          <w:rStyle w:val="Korostus"/>
          <w:i w:val="0"/>
          <w:iCs w:val="0"/>
          <w:sz w:val="24"/>
          <w:szCs w:val="24"/>
        </w:rPr>
      </w:pPr>
      <w:r w:rsidRPr="007E6C87">
        <w:rPr>
          <w:rStyle w:val="Korostus"/>
          <w:i w:val="0"/>
          <w:iCs w:val="0"/>
          <w:sz w:val="24"/>
          <w:szCs w:val="24"/>
        </w:rPr>
        <w:t>Supplementary_MaterialMethods.docx</w:t>
      </w:r>
    </w:p>
    <w:p w14:paraId="4839A9AD" w14:textId="77777777" w:rsidR="002D51C0" w:rsidRPr="000C09B1" w:rsidRDefault="002D51C0" w:rsidP="002D51C0">
      <w:pPr>
        <w:rPr>
          <w:sz w:val="24"/>
          <w:szCs w:val="24"/>
        </w:rPr>
      </w:pPr>
    </w:p>
    <w:p w14:paraId="3B9C8B0F" w14:textId="4ED81F72" w:rsidR="00E97270" w:rsidRPr="002D51C0" w:rsidRDefault="00CB2EA2" w:rsidP="002D51C0">
      <w:pPr>
        <w:spacing w:after="0" w:line="480" w:lineRule="auto"/>
        <w:contextualSpacing/>
        <w:jc w:val="both"/>
        <w:rPr>
          <w:rFonts w:eastAsia="Times New Roman" w:cstheme="minorHAnsi"/>
          <w:b/>
          <w:bCs/>
          <w:sz w:val="24"/>
          <w:szCs w:val="24"/>
        </w:rPr>
      </w:pPr>
      <w:r w:rsidRPr="002D51C0">
        <w:rPr>
          <w:rFonts w:eastAsia="Times New Roman" w:cstheme="minorHAnsi"/>
          <w:b/>
          <w:bCs/>
          <w:sz w:val="24"/>
          <w:szCs w:val="24"/>
        </w:rPr>
        <w:t>References</w:t>
      </w:r>
    </w:p>
    <w:p w14:paraId="110D592D" w14:textId="7D900128" w:rsidR="002D51C0" w:rsidRPr="002D51C0" w:rsidRDefault="00E97270" w:rsidP="002D51C0">
      <w:pPr>
        <w:widowControl w:val="0"/>
        <w:autoSpaceDE w:val="0"/>
        <w:autoSpaceDN w:val="0"/>
        <w:adjustRightInd w:val="0"/>
        <w:spacing w:after="0" w:line="480" w:lineRule="auto"/>
        <w:ind w:left="480" w:hanging="480"/>
        <w:rPr>
          <w:rFonts w:ascii="Calibri" w:hAnsi="Calibri" w:cs="Calibri"/>
          <w:noProof/>
          <w:sz w:val="24"/>
          <w:szCs w:val="24"/>
        </w:rPr>
      </w:pPr>
      <w:r>
        <w:rPr>
          <w:rFonts w:eastAsia="Times New Roman" w:cstheme="minorHAnsi"/>
          <w:sz w:val="24"/>
          <w:szCs w:val="24"/>
        </w:rPr>
        <w:fldChar w:fldCharType="begin" w:fldLock="1"/>
      </w:r>
      <w:r>
        <w:rPr>
          <w:rFonts w:eastAsia="Times New Roman" w:cstheme="minorHAnsi"/>
          <w:sz w:val="24"/>
          <w:szCs w:val="24"/>
        </w:rPr>
        <w:instrText xml:space="preserve">ADDIN Mendeley Bibliography CSL_BIBLIOGRAPHY </w:instrText>
      </w:r>
      <w:r>
        <w:rPr>
          <w:rFonts w:eastAsia="Times New Roman" w:cstheme="minorHAnsi"/>
          <w:sz w:val="24"/>
          <w:szCs w:val="24"/>
        </w:rPr>
        <w:fldChar w:fldCharType="separate"/>
      </w:r>
      <w:r w:rsidR="002D51C0" w:rsidRPr="002D51C0">
        <w:rPr>
          <w:rFonts w:ascii="Calibri" w:hAnsi="Calibri" w:cs="Calibri"/>
          <w:noProof/>
          <w:sz w:val="24"/>
          <w:szCs w:val="24"/>
        </w:rPr>
        <w:t xml:space="preserve">Aire, T. A. (2014). Spermiogenesis in Birds. </w:t>
      </w:r>
      <w:r w:rsidR="002D51C0" w:rsidRPr="002D51C0">
        <w:rPr>
          <w:rFonts w:ascii="Calibri" w:hAnsi="Calibri" w:cs="Calibri"/>
          <w:i/>
          <w:iCs/>
          <w:noProof/>
          <w:sz w:val="24"/>
          <w:szCs w:val="24"/>
        </w:rPr>
        <w:t>Spermatogenesis</w:t>
      </w:r>
      <w:r w:rsidR="002D51C0" w:rsidRPr="002D51C0">
        <w:rPr>
          <w:rFonts w:ascii="Calibri" w:hAnsi="Calibri" w:cs="Calibri"/>
          <w:noProof/>
          <w:sz w:val="24"/>
          <w:szCs w:val="24"/>
        </w:rPr>
        <w:t xml:space="preserve">, </w:t>
      </w:r>
      <w:r w:rsidR="002D51C0" w:rsidRPr="002D51C0">
        <w:rPr>
          <w:rFonts w:ascii="Calibri" w:hAnsi="Calibri" w:cs="Calibri"/>
          <w:i/>
          <w:iCs/>
          <w:noProof/>
          <w:sz w:val="24"/>
          <w:szCs w:val="24"/>
        </w:rPr>
        <w:t>4</w:t>
      </w:r>
      <w:r w:rsidR="002D51C0" w:rsidRPr="002D51C0">
        <w:rPr>
          <w:rFonts w:ascii="Calibri" w:hAnsi="Calibri" w:cs="Calibri"/>
          <w:noProof/>
          <w:sz w:val="24"/>
          <w:szCs w:val="24"/>
        </w:rPr>
        <w:t>(1), e34346. https://doi.org/10.4161/spmg.34346</w:t>
      </w:r>
    </w:p>
    <w:p w14:paraId="4822DE20" w14:textId="77777777" w:rsidR="002D51C0" w:rsidRPr="002D51C0" w:rsidRDefault="002D51C0" w:rsidP="002D51C0">
      <w:pPr>
        <w:widowControl w:val="0"/>
        <w:autoSpaceDE w:val="0"/>
        <w:autoSpaceDN w:val="0"/>
        <w:adjustRightInd w:val="0"/>
        <w:spacing w:after="0" w:line="480" w:lineRule="auto"/>
        <w:ind w:left="480" w:hanging="480"/>
        <w:rPr>
          <w:rFonts w:ascii="Calibri" w:hAnsi="Calibri" w:cs="Calibri"/>
          <w:noProof/>
          <w:sz w:val="24"/>
          <w:szCs w:val="24"/>
        </w:rPr>
      </w:pPr>
      <w:r w:rsidRPr="002D51C0">
        <w:rPr>
          <w:rFonts w:ascii="Calibri" w:hAnsi="Calibri" w:cs="Calibri"/>
          <w:noProof/>
          <w:sz w:val="24"/>
          <w:szCs w:val="24"/>
        </w:rPr>
        <w:t xml:space="preserve">Bailey, T. L., &amp; Grant, C. E. (2021). SEA: Simple Enrichment Analysis of motifs. </w:t>
      </w:r>
      <w:r w:rsidRPr="002D51C0">
        <w:rPr>
          <w:rFonts w:ascii="Calibri" w:hAnsi="Calibri" w:cs="Calibri"/>
          <w:i/>
          <w:iCs/>
          <w:noProof/>
          <w:sz w:val="24"/>
          <w:szCs w:val="24"/>
        </w:rPr>
        <w:t>BioRxiv</w:t>
      </w:r>
      <w:r w:rsidRPr="002D51C0">
        <w:rPr>
          <w:rFonts w:ascii="Calibri" w:hAnsi="Calibri" w:cs="Calibri"/>
          <w:noProof/>
          <w:sz w:val="24"/>
          <w:szCs w:val="24"/>
        </w:rPr>
        <w:t xml:space="preserve">, </w:t>
      </w:r>
      <w:r w:rsidRPr="002D51C0">
        <w:rPr>
          <w:rFonts w:ascii="Calibri" w:hAnsi="Calibri" w:cs="Calibri"/>
          <w:noProof/>
          <w:sz w:val="24"/>
          <w:szCs w:val="24"/>
        </w:rPr>
        <w:lastRenderedPageBreak/>
        <w:t>2021.08.23.457422. https://www.biorxiv.org/content/10.1101/2021.08.23.457422v1%0Ahttps://www.biorxiv.org/content/10.1101/2021.08.23.457422v1.abstract</w:t>
      </w:r>
    </w:p>
    <w:p w14:paraId="7CB0561A" w14:textId="77777777" w:rsidR="002D51C0" w:rsidRPr="002D51C0" w:rsidRDefault="002D51C0" w:rsidP="002D51C0">
      <w:pPr>
        <w:widowControl w:val="0"/>
        <w:autoSpaceDE w:val="0"/>
        <w:autoSpaceDN w:val="0"/>
        <w:adjustRightInd w:val="0"/>
        <w:spacing w:after="0" w:line="480" w:lineRule="auto"/>
        <w:ind w:left="480" w:hanging="480"/>
        <w:rPr>
          <w:rFonts w:ascii="Calibri" w:hAnsi="Calibri" w:cs="Calibri"/>
          <w:noProof/>
          <w:sz w:val="24"/>
          <w:szCs w:val="24"/>
        </w:rPr>
      </w:pPr>
      <w:r w:rsidRPr="002D51C0">
        <w:rPr>
          <w:rFonts w:ascii="Calibri" w:hAnsi="Calibri" w:cs="Calibri"/>
          <w:noProof/>
          <w:sz w:val="24"/>
          <w:szCs w:val="24"/>
        </w:rPr>
        <w:t xml:space="preserve">Berdan, E. L., Mérot, C., Pavia, H., Johannesson, K., Wellenreuther, M., &amp; Butlin, R. K. (2021). A large chromosomal inversion shapes gene expression in seaweed flies ( Coelopa frigida ). </w:t>
      </w:r>
      <w:r w:rsidRPr="002D51C0">
        <w:rPr>
          <w:rFonts w:ascii="Calibri" w:hAnsi="Calibri" w:cs="Calibri"/>
          <w:i/>
          <w:iCs/>
          <w:noProof/>
          <w:sz w:val="24"/>
          <w:szCs w:val="24"/>
        </w:rPr>
        <w:t>Evolution Letters</w:t>
      </w:r>
      <w:r w:rsidRPr="002D51C0">
        <w:rPr>
          <w:rFonts w:ascii="Calibri" w:hAnsi="Calibri" w:cs="Calibri"/>
          <w:noProof/>
          <w:sz w:val="24"/>
          <w:szCs w:val="24"/>
        </w:rPr>
        <w:t xml:space="preserve">, </w:t>
      </w:r>
      <w:r w:rsidRPr="002D51C0">
        <w:rPr>
          <w:rFonts w:ascii="Calibri" w:hAnsi="Calibri" w:cs="Calibri"/>
          <w:i/>
          <w:iCs/>
          <w:noProof/>
          <w:sz w:val="24"/>
          <w:szCs w:val="24"/>
        </w:rPr>
        <w:t>5</w:t>
      </w:r>
      <w:r w:rsidRPr="002D51C0">
        <w:rPr>
          <w:rFonts w:ascii="Calibri" w:hAnsi="Calibri" w:cs="Calibri"/>
          <w:noProof/>
          <w:sz w:val="24"/>
          <w:szCs w:val="24"/>
        </w:rPr>
        <w:t>(6), 607–624. https://doi.org/10.1002/evl3.260</w:t>
      </w:r>
    </w:p>
    <w:p w14:paraId="13E4138B" w14:textId="77777777" w:rsidR="002D51C0" w:rsidRPr="002D51C0" w:rsidRDefault="002D51C0" w:rsidP="002D51C0">
      <w:pPr>
        <w:widowControl w:val="0"/>
        <w:autoSpaceDE w:val="0"/>
        <w:autoSpaceDN w:val="0"/>
        <w:adjustRightInd w:val="0"/>
        <w:spacing w:after="0" w:line="480" w:lineRule="auto"/>
        <w:ind w:left="480" w:hanging="480"/>
        <w:rPr>
          <w:rFonts w:ascii="Calibri" w:hAnsi="Calibri" w:cs="Calibri"/>
          <w:noProof/>
          <w:sz w:val="24"/>
          <w:szCs w:val="24"/>
        </w:rPr>
      </w:pPr>
      <w:r w:rsidRPr="002D51C0">
        <w:rPr>
          <w:rFonts w:ascii="Calibri" w:hAnsi="Calibri" w:cs="Calibri"/>
          <w:noProof/>
          <w:sz w:val="24"/>
          <w:szCs w:val="24"/>
        </w:rPr>
        <w:t xml:space="preserve">Bower, R., Tritschler, D., VanderWaal Mills, K., Heuser, T., Nicastro, D., &amp; Portera, M. E. (2018). DRC2/CCDC65 is a central hub for assembly of the nexin–dynein regulatory complex and other regulators of ciliary and flagellar motility. </w:t>
      </w:r>
      <w:r w:rsidRPr="002D51C0">
        <w:rPr>
          <w:rFonts w:ascii="Calibri" w:hAnsi="Calibri" w:cs="Calibri"/>
          <w:i/>
          <w:iCs/>
          <w:noProof/>
          <w:sz w:val="24"/>
          <w:szCs w:val="24"/>
        </w:rPr>
        <w:t>Molecular Biology of the Cell</w:t>
      </w:r>
      <w:r w:rsidRPr="002D51C0">
        <w:rPr>
          <w:rFonts w:ascii="Calibri" w:hAnsi="Calibri" w:cs="Calibri"/>
          <w:noProof/>
          <w:sz w:val="24"/>
          <w:szCs w:val="24"/>
        </w:rPr>
        <w:t xml:space="preserve">, </w:t>
      </w:r>
      <w:r w:rsidRPr="002D51C0">
        <w:rPr>
          <w:rFonts w:ascii="Calibri" w:hAnsi="Calibri" w:cs="Calibri"/>
          <w:i/>
          <w:iCs/>
          <w:noProof/>
          <w:sz w:val="24"/>
          <w:szCs w:val="24"/>
        </w:rPr>
        <w:t>29</w:t>
      </w:r>
      <w:r w:rsidRPr="002D51C0">
        <w:rPr>
          <w:rFonts w:ascii="Calibri" w:hAnsi="Calibri" w:cs="Calibri"/>
          <w:noProof/>
          <w:sz w:val="24"/>
          <w:szCs w:val="24"/>
        </w:rPr>
        <w:t>(2), 137–153. https://doi.org/10.1091/mbc.E17-08-0510</w:t>
      </w:r>
    </w:p>
    <w:p w14:paraId="2FCE64C8" w14:textId="77777777" w:rsidR="002D51C0" w:rsidRPr="00B43B6D" w:rsidRDefault="002D51C0" w:rsidP="002D51C0">
      <w:pPr>
        <w:widowControl w:val="0"/>
        <w:autoSpaceDE w:val="0"/>
        <w:autoSpaceDN w:val="0"/>
        <w:adjustRightInd w:val="0"/>
        <w:spacing w:after="0" w:line="480" w:lineRule="auto"/>
        <w:ind w:left="480" w:hanging="480"/>
        <w:rPr>
          <w:rFonts w:ascii="Calibri" w:hAnsi="Calibri" w:cs="Calibri"/>
          <w:noProof/>
          <w:sz w:val="24"/>
          <w:szCs w:val="24"/>
          <w:lang w:val="fi-FI"/>
        </w:rPr>
      </w:pPr>
      <w:r w:rsidRPr="002D51C0">
        <w:rPr>
          <w:rFonts w:ascii="Calibri" w:hAnsi="Calibri" w:cs="Calibri"/>
          <w:noProof/>
          <w:sz w:val="24"/>
          <w:szCs w:val="24"/>
        </w:rPr>
        <w:t xml:space="preserve">Brionne, A., Juanchich, A., &amp; Hennequet-Antier, C. (2019). ViSEAGO: A Bioconductor package for clustering biological functions using Gene Ontology and semantic similarity. </w:t>
      </w:r>
      <w:r w:rsidRPr="00B43B6D">
        <w:rPr>
          <w:rFonts w:ascii="Calibri" w:hAnsi="Calibri" w:cs="Calibri"/>
          <w:i/>
          <w:iCs/>
          <w:noProof/>
          <w:sz w:val="24"/>
          <w:szCs w:val="24"/>
          <w:lang w:val="fi-FI"/>
        </w:rPr>
        <w:t>BioData Mining</w:t>
      </w:r>
      <w:r w:rsidRPr="00B43B6D">
        <w:rPr>
          <w:rFonts w:ascii="Calibri" w:hAnsi="Calibri" w:cs="Calibri"/>
          <w:noProof/>
          <w:sz w:val="24"/>
          <w:szCs w:val="24"/>
          <w:lang w:val="fi-FI"/>
        </w:rPr>
        <w:t xml:space="preserve">, </w:t>
      </w:r>
      <w:r w:rsidRPr="00B43B6D">
        <w:rPr>
          <w:rFonts w:ascii="Calibri" w:hAnsi="Calibri" w:cs="Calibri"/>
          <w:i/>
          <w:iCs/>
          <w:noProof/>
          <w:sz w:val="24"/>
          <w:szCs w:val="24"/>
          <w:lang w:val="fi-FI"/>
        </w:rPr>
        <w:t>12</w:t>
      </w:r>
      <w:r w:rsidRPr="00B43B6D">
        <w:rPr>
          <w:rFonts w:ascii="Calibri" w:hAnsi="Calibri" w:cs="Calibri"/>
          <w:noProof/>
          <w:sz w:val="24"/>
          <w:szCs w:val="24"/>
          <w:lang w:val="fi-FI"/>
        </w:rPr>
        <w:t>(1), 1–13. https://doi.org/10.1186/s13040-019-0204-1</w:t>
      </w:r>
    </w:p>
    <w:p w14:paraId="1BFD29B8" w14:textId="77777777" w:rsidR="002D51C0" w:rsidRPr="002D51C0" w:rsidRDefault="002D51C0" w:rsidP="002D51C0">
      <w:pPr>
        <w:widowControl w:val="0"/>
        <w:autoSpaceDE w:val="0"/>
        <w:autoSpaceDN w:val="0"/>
        <w:adjustRightInd w:val="0"/>
        <w:spacing w:after="0" w:line="480" w:lineRule="auto"/>
        <w:ind w:left="480" w:hanging="480"/>
        <w:rPr>
          <w:rFonts w:ascii="Calibri" w:hAnsi="Calibri" w:cs="Calibri"/>
          <w:noProof/>
          <w:sz w:val="24"/>
          <w:szCs w:val="24"/>
        </w:rPr>
      </w:pPr>
      <w:r w:rsidRPr="00B43B6D">
        <w:rPr>
          <w:rFonts w:ascii="Calibri" w:hAnsi="Calibri" w:cs="Calibri"/>
          <w:noProof/>
          <w:sz w:val="24"/>
          <w:szCs w:val="24"/>
          <w:lang w:val="fi-FI"/>
        </w:rPr>
        <w:t xml:space="preserve">Buchberger, E., Reis, M., Lu, T. H., &amp; Posnien, N. (2019). </w:t>
      </w:r>
      <w:r w:rsidRPr="002D51C0">
        <w:rPr>
          <w:rFonts w:ascii="Calibri" w:hAnsi="Calibri" w:cs="Calibri"/>
          <w:noProof/>
          <w:sz w:val="24"/>
          <w:szCs w:val="24"/>
        </w:rPr>
        <w:t xml:space="preserve">Cloudy with a chance of insights: Context dependent gene regulation and implications for evolutionary studies. In </w:t>
      </w:r>
      <w:r w:rsidRPr="002D51C0">
        <w:rPr>
          <w:rFonts w:ascii="Calibri" w:hAnsi="Calibri" w:cs="Calibri"/>
          <w:i/>
          <w:iCs/>
          <w:noProof/>
          <w:sz w:val="24"/>
          <w:szCs w:val="24"/>
        </w:rPr>
        <w:t>Genes</w:t>
      </w:r>
      <w:r w:rsidRPr="002D51C0">
        <w:rPr>
          <w:rFonts w:ascii="Calibri" w:hAnsi="Calibri" w:cs="Calibri"/>
          <w:noProof/>
          <w:sz w:val="24"/>
          <w:szCs w:val="24"/>
        </w:rPr>
        <w:t xml:space="preserve"> (Vol. 10, Issue 7). https://doi.org/10.3390/genes10070492</w:t>
      </w:r>
    </w:p>
    <w:p w14:paraId="5A36423F" w14:textId="77777777" w:rsidR="002D51C0" w:rsidRPr="002D51C0" w:rsidRDefault="002D51C0" w:rsidP="002D51C0">
      <w:pPr>
        <w:widowControl w:val="0"/>
        <w:autoSpaceDE w:val="0"/>
        <w:autoSpaceDN w:val="0"/>
        <w:adjustRightInd w:val="0"/>
        <w:spacing w:after="0" w:line="480" w:lineRule="auto"/>
        <w:ind w:left="480" w:hanging="480"/>
        <w:rPr>
          <w:rFonts w:ascii="Calibri" w:hAnsi="Calibri" w:cs="Calibri"/>
          <w:noProof/>
          <w:sz w:val="24"/>
          <w:szCs w:val="24"/>
        </w:rPr>
      </w:pPr>
      <w:r w:rsidRPr="002D51C0">
        <w:rPr>
          <w:rFonts w:ascii="Calibri" w:hAnsi="Calibri" w:cs="Calibri"/>
          <w:noProof/>
          <w:sz w:val="24"/>
          <w:szCs w:val="24"/>
        </w:rPr>
        <w:t xml:space="preserve">Carreras-Gallo, N., Cáceres, A., Balagué-Dobón, L., Ruiz-Arenas, C., Andrusaityte, S., Carracedo, Á., Casas, M., Chatzi, L., Grazuleviciene, R., Gutzkow, K. B., Lepeule, J., Maitre, L., Nieuwenhuijsen, M., Slama, R., Stratakis, N., Thomsen, C., Urquiza, J., Wright, J., Yang, T., … González, J. R. (2022). The early-life exposome modulates the effect of polymorphic inversions on DNA methylation. </w:t>
      </w:r>
      <w:r w:rsidRPr="002D51C0">
        <w:rPr>
          <w:rFonts w:ascii="Calibri" w:hAnsi="Calibri" w:cs="Calibri"/>
          <w:i/>
          <w:iCs/>
          <w:noProof/>
          <w:sz w:val="24"/>
          <w:szCs w:val="24"/>
        </w:rPr>
        <w:t>Communications Biology</w:t>
      </w:r>
      <w:r w:rsidRPr="002D51C0">
        <w:rPr>
          <w:rFonts w:ascii="Calibri" w:hAnsi="Calibri" w:cs="Calibri"/>
          <w:noProof/>
          <w:sz w:val="24"/>
          <w:szCs w:val="24"/>
        </w:rPr>
        <w:t xml:space="preserve">, </w:t>
      </w:r>
      <w:r w:rsidRPr="002D51C0">
        <w:rPr>
          <w:rFonts w:ascii="Calibri" w:hAnsi="Calibri" w:cs="Calibri"/>
          <w:i/>
          <w:iCs/>
          <w:noProof/>
          <w:sz w:val="24"/>
          <w:szCs w:val="24"/>
        </w:rPr>
        <w:t>5</w:t>
      </w:r>
      <w:r w:rsidRPr="002D51C0">
        <w:rPr>
          <w:rFonts w:ascii="Calibri" w:hAnsi="Calibri" w:cs="Calibri"/>
          <w:noProof/>
          <w:sz w:val="24"/>
          <w:szCs w:val="24"/>
        </w:rPr>
        <w:t>(1). https://doi.org/10.1038/s42003-022-03380-2</w:t>
      </w:r>
    </w:p>
    <w:p w14:paraId="6E9852E2" w14:textId="77777777" w:rsidR="002D51C0" w:rsidRPr="002D51C0" w:rsidRDefault="002D51C0" w:rsidP="002D51C0">
      <w:pPr>
        <w:widowControl w:val="0"/>
        <w:autoSpaceDE w:val="0"/>
        <w:autoSpaceDN w:val="0"/>
        <w:adjustRightInd w:val="0"/>
        <w:spacing w:after="0" w:line="480" w:lineRule="auto"/>
        <w:ind w:left="480" w:hanging="480"/>
        <w:rPr>
          <w:rFonts w:ascii="Calibri" w:hAnsi="Calibri" w:cs="Calibri"/>
          <w:noProof/>
          <w:sz w:val="24"/>
          <w:szCs w:val="24"/>
        </w:rPr>
      </w:pPr>
      <w:r w:rsidRPr="002D51C0">
        <w:rPr>
          <w:rFonts w:ascii="Calibri" w:hAnsi="Calibri" w:cs="Calibri"/>
          <w:noProof/>
          <w:sz w:val="24"/>
          <w:szCs w:val="24"/>
        </w:rPr>
        <w:t xml:space="preserve">Castro-Mondragon, J. A., Riudavets-Puig, R., Rauluseviciute, I., Berhanu Lemma, R., Turchi, L., Blanc-Mathieu, R., Lucas, J., Boddie, P., Khan, A., Perez, N. M., Fornes, O., Leung, T. Y., </w:t>
      </w:r>
      <w:r w:rsidRPr="002D51C0">
        <w:rPr>
          <w:rFonts w:ascii="Calibri" w:hAnsi="Calibri" w:cs="Calibri"/>
          <w:noProof/>
          <w:sz w:val="24"/>
          <w:szCs w:val="24"/>
        </w:rPr>
        <w:lastRenderedPageBreak/>
        <w:t xml:space="preserve">Aguirre, A., Hammal, F., Schmelter, D., Baranasic, D., Ballester, B., Sandelin, A., Lenhard, B., … Mathelier, A. (2022). JASPAR 2022: The 9th release of the open-access database of transcription factor binding profiles. </w:t>
      </w:r>
      <w:r w:rsidRPr="002D51C0">
        <w:rPr>
          <w:rFonts w:ascii="Calibri" w:hAnsi="Calibri" w:cs="Calibri"/>
          <w:i/>
          <w:iCs/>
          <w:noProof/>
          <w:sz w:val="24"/>
          <w:szCs w:val="24"/>
        </w:rPr>
        <w:t>Nucleic Acids Research</w:t>
      </w:r>
      <w:r w:rsidRPr="002D51C0">
        <w:rPr>
          <w:rFonts w:ascii="Calibri" w:hAnsi="Calibri" w:cs="Calibri"/>
          <w:noProof/>
          <w:sz w:val="24"/>
          <w:szCs w:val="24"/>
        </w:rPr>
        <w:t xml:space="preserve">, </w:t>
      </w:r>
      <w:r w:rsidRPr="002D51C0">
        <w:rPr>
          <w:rFonts w:ascii="Calibri" w:hAnsi="Calibri" w:cs="Calibri"/>
          <w:i/>
          <w:iCs/>
          <w:noProof/>
          <w:sz w:val="24"/>
          <w:szCs w:val="24"/>
        </w:rPr>
        <w:t>50</w:t>
      </w:r>
      <w:r w:rsidRPr="002D51C0">
        <w:rPr>
          <w:rFonts w:ascii="Calibri" w:hAnsi="Calibri" w:cs="Calibri"/>
          <w:noProof/>
          <w:sz w:val="24"/>
          <w:szCs w:val="24"/>
        </w:rPr>
        <w:t>(D1), D165–D173. https://doi.org/10.1093/nar/gkab1113</w:t>
      </w:r>
    </w:p>
    <w:p w14:paraId="64B0ACCC" w14:textId="77777777" w:rsidR="002D51C0" w:rsidRPr="002D51C0" w:rsidRDefault="002D51C0" w:rsidP="002D51C0">
      <w:pPr>
        <w:widowControl w:val="0"/>
        <w:autoSpaceDE w:val="0"/>
        <w:autoSpaceDN w:val="0"/>
        <w:adjustRightInd w:val="0"/>
        <w:spacing w:after="0" w:line="480" w:lineRule="auto"/>
        <w:ind w:left="480" w:hanging="480"/>
        <w:rPr>
          <w:rFonts w:ascii="Calibri" w:hAnsi="Calibri" w:cs="Calibri"/>
          <w:noProof/>
          <w:sz w:val="24"/>
          <w:szCs w:val="24"/>
        </w:rPr>
      </w:pPr>
      <w:r w:rsidRPr="002D51C0">
        <w:rPr>
          <w:rFonts w:ascii="Calibri" w:hAnsi="Calibri" w:cs="Calibri"/>
          <w:noProof/>
          <w:sz w:val="24"/>
          <w:szCs w:val="24"/>
        </w:rPr>
        <w:t xml:space="preserve">Chan, Y. F., Marks, M. E., Jones, F. C., Villarreal, G., Shapiro, M. D., Brady, S. D., Southwick, A. M., Absher, D. M., Grimwood, J., Schmutz, J., Myers, R. M., Petrov, D., Jonsson, B., Schluter, D., Bell, M. A., &amp; Kingsley, D. M. (2010). Adaptive Evolution of Pelvic Reduction in Sticklebacks by Recurrent Deletion of a Pitx1 Enhancer. </w:t>
      </w:r>
      <w:r w:rsidRPr="002D51C0">
        <w:rPr>
          <w:rFonts w:ascii="Calibri" w:hAnsi="Calibri" w:cs="Calibri"/>
          <w:i/>
          <w:iCs/>
          <w:noProof/>
          <w:sz w:val="24"/>
          <w:szCs w:val="24"/>
        </w:rPr>
        <w:t>Science</w:t>
      </w:r>
      <w:r w:rsidRPr="002D51C0">
        <w:rPr>
          <w:rFonts w:ascii="Calibri" w:hAnsi="Calibri" w:cs="Calibri"/>
          <w:noProof/>
          <w:sz w:val="24"/>
          <w:szCs w:val="24"/>
        </w:rPr>
        <w:t xml:space="preserve">, </w:t>
      </w:r>
      <w:r w:rsidRPr="002D51C0">
        <w:rPr>
          <w:rFonts w:ascii="Calibri" w:hAnsi="Calibri" w:cs="Calibri"/>
          <w:i/>
          <w:iCs/>
          <w:noProof/>
          <w:sz w:val="24"/>
          <w:szCs w:val="24"/>
        </w:rPr>
        <w:t>327</w:t>
      </w:r>
      <w:r w:rsidRPr="002D51C0">
        <w:rPr>
          <w:rFonts w:ascii="Calibri" w:hAnsi="Calibri" w:cs="Calibri"/>
          <w:noProof/>
          <w:sz w:val="24"/>
          <w:szCs w:val="24"/>
        </w:rPr>
        <w:t>(5963), 302–305. https://doi.org/10.1126/science.1182213</w:t>
      </w:r>
    </w:p>
    <w:p w14:paraId="68E20252" w14:textId="77777777" w:rsidR="002D51C0" w:rsidRPr="002D51C0" w:rsidRDefault="002D51C0" w:rsidP="002D51C0">
      <w:pPr>
        <w:widowControl w:val="0"/>
        <w:autoSpaceDE w:val="0"/>
        <w:autoSpaceDN w:val="0"/>
        <w:adjustRightInd w:val="0"/>
        <w:spacing w:after="0" w:line="480" w:lineRule="auto"/>
        <w:ind w:left="480" w:hanging="480"/>
        <w:rPr>
          <w:rFonts w:ascii="Calibri" w:hAnsi="Calibri" w:cs="Calibri"/>
          <w:noProof/>
          <w:sz w:val="24"/>
          <w:szCs w:val="24"/>
        </w:rPr>
      </w:pPr>
      <w:r w:rsidRPr="002D51C0">
        <w:rPr>
          <w:rFonts w:ascii="Calibri" w:hAnsi="Calibri" w:cs="Calibri"/>
          <w:noProof/>
          <w:sz w:val="24"/>
          <w:szCs w:val="24"/>
        </w:rPr>
        <w:t xml:space="preserve">Chue, J., &amp; Smith, C. A. (2011). Sex determination and sexual differentiation in the avian model. </w:t>
      </w:r>
      <w:r w:rsidRPr="002D51C0">
        <w:rPr>
          <w:rFonts w:ascii="Calibri" w:hAnsi="Calibri" w:cs="Calibri"/>
          <w:i/>
          <w:iCs/>
          <w:noProof/>
          <w:sz w:val="24"/>
          <w:szCs w:val="24"/>
        </w:rPr>
        <w:t>FEBS Journal</w:t>
      </w:r>
      <w:r w:rsidRPr="002D51C0">
        <w:rPr>
          <w:rFonts w:ascii="Calibri" w:hAnsi="Calibri" w:cs="Calibri"/>
          <w:noProof/>
          <w:sz w:val="24"/>
          <w:szCs w:val="24"/>
        </w:rPr>
        <w:t xml:space="preserve">, </w:t>
      </w:r>
      <w:r w:rsidRPr="002D51C0">
        <w:rPr>
          <w:rFonts w:ascii="Calibri" w:hAnsi="Calibri" w:cs="Calibri"/>
          <w:i/>
          <w:iCs/>
          <w:noProof/>
          <w:sz w:val="24"/>
          <w:szCs w:val="24"/>
        </w:rPr>
        <w:t>278</w:t>
      </w:r>
      <w:r w:rsidRPr="002D51C0">
        <w:rPr>
          <w:rFonts w:ascii="Calibri" w:hAnsi="Calibri" w:cs="Calibri"/>
          <w:noProof/>
          <w:sz w:val="24"/>
          <w:szCs w:val="24"/>
        </w:rPr>
        <w:t>(7), 1027–1034. https://doi.org/10.1111/j.1742-4658.2011.08032.x</w:t>
      </w:r>
    </w:p>
    <w:p w14:paraId="417FF96D" w14:textId="77777777" w:rsidR="002D51C0" w:rsidRPr="002D51C0" w:rsidRDefault="002D51C0" w:rsidP="002D51C0">
      <w:pPr>
        <w:widowControl w:val="0"/>
        <w:autoSpaceDE w:val="0"/>
        <w:autoSpaceDN w:val="0"/>
        <w:adjustRightInd w:val="0"/>
        <w:spacing w:after="0" w:line="480" w:lineRule="auto"/>
        <w:ind w:left="480" w:hanging="480"/>
        <w:rPr>
          <w:rFonts w:ascii="Calibri" w:hAnsi="Calibri" w:cs="Calibri"/>
          <w:noProof/>
          <w:sz w:val="24"/>
          <w:szCs w:val="24"/>
        </w:rPr>
      </w:pPr>
      <w:r w:rsidRPr="002D51C0">
        <w:rPr>
          <w:rFonts w:ascii="Calibri" w:hAnsi="Calibri" w:cs="Calibri"/>
          <w:noProof/>
          <w:sz w:val="24"/>
          <w:szCs w:val="24"/>
        </w:rPr>
        <w:t xml:space="preserve">Crow, T., Ta, J., Nojoomi, S., Aguilar-Rangel, M. R., Rodríguez, J. V. T., Gates, D., Rellán-Álvarez, R., Sawers, R., &amp; Runcie, D. (2020). Gene regulatory effects of a large chromosomal inversion in highland maize. </w:t>
      </w:r>
      <w:r w:rsidRPr="002D51C0">
        <w:rPr>
          <w:rFonts w:ascii="Calibri" w:hAnsi="Calibri" w:cs="Calibri"/>
          <w:i/>
          <w:iCs/>
          <w:noProof/>
          <w:sz w:val="24"/>
          <w:szCs w:val="24"/>
        </w:rPr>
        <w:t>PLoS Genetics</w:t>
      </w:r>
      <w:r w:rsidRPr="002D51C0">
        <w:rPr>
          <w:rFonts w:ascii="Calibri" w:hAnsi="Calibri" w:cs="Calibri"/>
          <w:noProof/>
          <w:sz w:val="24"/>
          <w:szCs w:val="24"/>
        </w:rPr>
        <w:t xml:space="preserve">, </w:t>
      </w:r>
      <w:r w:rsidRPr="002D51C0">
        <w:rPr>
          <w:rFonts w:ascii="Calibri" w:hAnsi="Calibri" w:cs="Calibri"/>
          <w:i/>
          <w:iCs/>
          <w:noProof/>
          <w:sz w:val="24"/>
          <w:szCs w:val="24"/>
        </w:rPr>
        <w:t>16</w:t>
      </w:r>
      <w:r w:rsidRPr="002D51C0">
        <w:rPr>
          <w:rFonts w:ascii="Calibri" w:hAnsi="Calibri" w:cs="Calibri"/>
          <w:noProof/>
          <w:sz w:val="24"/>
          <w:szCs w:val="24"/>
        </w:rPr>
        <w:t>(12 December), 1–28. https://doi.org/10.1371/journal.pgen.1009213</w:t>
      </w:r>
    </w:p>
    <w:p w14:paraId="6590AB2E" w14:textId="77777777" w:rsidR="002D51C0" w:rsidRPr="002D51C0" w:rsidRDefault="002D51C0" w:rsidP="002D51C0">
      <w:pPr>
        <w:widowControl w:val="0"/>
        <w:autoSpaceDE w:val="0"/>
        <w:autoSpaceDN w:val="0"/>
        <w:adjustRightInd w:val="0"/>
        <w:spacing w:after="0" w:line="480" w:lineRule="auto"/>
        <w:ind w:left="480" w:hanging="480"/>
        <w:rPr>
          <w:rFonts w:ascii="Calibri" w:hAnsi="Calibri" w:cs="Calibri"/>
          <w:noProof/>
          <w:sz w:val="24"/>
          <w:szCs w:val="24"/>
        </w:rPr>
      </w:pPr>
      <w:r w:rsidRPr="002D51C0">
        <w:rPr>
          <w:rFonts w:ascii="Calibri" w:hAnsi="Calibri" w:cs="Calibri"/>
          <w:noProof/>
          <w:sz w:val="24"/>
          <w:szCs w:val="24"/>
        </w:rPr>
        <w:t xml:space="preserve">Danecek, P., Bonfield, J. K., Liddle, J., Marshall, J., Ohan, V., Pollard, M. O., Whitwham, A., Keane, T., McCarthy, S. A., Davies, R. M., &amp; Li, H. (2021). Twelve years of SAMtools and BCFtools. </w:t>
      </w:r>
      <w:r w:rsidRPr="002D51C0">
        <w:rPr>
          <w:rFonts w:ascii="Calibri" w:hAnsi="Calibri" w:cs="Calibri"/>
          <w:i/>
          <w:iCs/>
          <w:noProof/>
          <w:sz w:val="24"/>
          <w:szCs w:val="24"/>
        </w:rPr>
        <w:t>GigaScience</w:t>
      </w:r>
      <w:r w:rsidRPr="002D51C0">
        <w:rPr>
          <w:rFonts w:ascii="Calibri" w:hAnsi="Calibri" w:cs="Calibri"/>
          <w:noProof/>
          <w:sz w:val="24"/>
          <w:szCs w:val="24"/>
        </w:rPr>
        <w:t xml:space="preserve">, </w:t>
      </w:r>
      <w:r w:rsidRPr="002D51C0">
        <w:rPr>
          <w:rFonts w:ascii="Calibri" w:hAnsi="Calibri" w:cs="Calibri"/>
          <w:i/>
          <w:iCs/>
          <w:noProof/>
          <w:sz w:val="24"/>
          <w:szCs w:val="24"/>
        </w:rPr>
        <w:t>10</w:t>
      </w:r>
      <w:r w:rsidRPr="002D51C0">
        <w:rPr>
          <w:rFonts w:ascii="Calibri" w:hAnsi="Calibri" w:cs="Calibri"/>
          <w:noProof/>
          <w:sz w:val="24"/>
          <w:szCs w:val="24"/>
        </w:rPr>
        <w:t>(2), 1–4. https://doi.org/10.1093/gigascience/giab008</w:t>
      </w:r>
    </w:p>
    <w:p w14:paraId="7A03E2B7" w14:textId="77777777" w:rsidR="002D51C0" w:rsidRPr="002D51C0" w:rsidRDefault="002D51C0" w:rsidP="002D51C0">
      <w:pPr>
        <w:widowControl w:val="0"/>
        <w:autoSpaceDE w:val="0"/>
        <w:autoSpaceDN w:val="0"/>
        <w:adjustRightInd w:val="0"/>
        <w:spacing w:after="0" w:line="480" w:lineRule="auto"/>
        <w:ind w:left="480" w:hanging="480"/>
        <w:rPr>
          <w:rFonts w:ascii="Calibri" w:hAnsi="Calibri" w:cs="Calibri"/>
          <w:noProof/>
          <w:sz w:val="24"/>
          <w:szCs w:val="24"/>
        </w:rPr>
      </w:pPr>
      <w:r w:rsidRPr="002D51C0">
        <w:rPr>
          <w:rFonts w:ascii="Calibri" w:hAnsi="Calibri" w:cs="Calibri"/>
          <w:noProof/>
          <w:sz w:val="24"/>
          <w:szCs w:val="24"/>
        </w:rPr>
        <w:t xml:space="preserve">Dobin, A., Davis, C. A., Schlesinger, F., Drenkow, J., Zaleski, C., Jha, S., Batut, P., Chaisson, M., &amp; Gingeras, T. R. (2013). STAR: Ultrafast universal RNA-seq aligner. </w:t>
      </w:r>
      <w:r w:rsidRPr="002D51C0">
        <w:rPr>
          <w:rFonts w:ascii="Calibri" w:hAnsi="Calibri" w:cs="Calibri"/>
          <w:i/>
          <w:iCs/>
          <w:noProof/>
          <w:sz w:val="24"/>
          <w:szCs w:val="24"/>
        </w:rPr>
        <w:t>Bioinformatics</w:t>
      </w:r>
      <w:r w:rsidRPr="002D51C0">
        <w:rPr>
          <w:rFonts w:ascii="Calibri" w:hAnsi="Calibri" w:cs="Calibri"/>
          <w:noProof/>
          <w:sz w:val="24"/>
          <w:szCs w:val="24"/>
        </w:rPr>
        <w:t xml:space="preserve">, </w:t>
      </w:r>
      <w:r w:rsidRPr="002D51C0">
        <w:rPr>
          <w:rFonts w:ascii="Calibri" w:hAnsi="Calibri" w:cs="Calibri"/>
          <w:i/>
          <w:iCs/>
          <w:noProof/>
          <w:sz w:val="24"/>
          <w:szCs w:val="24"/>
        </w:rPr>
        <w:t>29</w:t>
      </w:r>
      <w:r w:rsidRPr="002D51C0">
        <w:rPr>
          <w:rFonts w:ascii="Calibri" w:hAnsi="Calibri" w:cs="Calibri"/>
          <w:noProof/>
          <w:sz w:val="24"/>
          <w:szCs w:val="24"/>
        </w:rPr>
        <w:t>(1), 15–21. https://doi.org/10.1093/bioinformatics/bts635</w:t>
      </w:r>
    </w:p>
    <w:p w14:paraId="021D92FA" w14:textId="77777777" w:rsidR="002D51C0" w:rsidRPr="002D51C0" w:rsidRDefault="002D51C0" w:rsidP="002D51C0">
      <w:pPr>
        <w:widowControl w:val="0"/>
        <w:autoSpaceDE w:val="0"/>
        <w:autoSpaceDN w:val="0"/>
        <w:adjustRightInd w:val="0"/>
        <w:spacing w:after="0" w:line="480" w:lineRule="auto"/>
        <w:ind w:left="480" w:hanging="480"/>
        <w:rPr>
          <w:rFonts w:ascii="Calibri" w:hAnsi="Calibri" w:cs="Calibri"/>
          <w:noProof/>
          <w:sz w:val="24"/>
          <w:szCs w:val="24"/>
        </w:rPr>
      </w:pPr>
      <w:r w:rsidRPr="002D51C0">
        <w:rPr>
          <w:rFonts w:ascii="Calibri" w:hAnsi="Calibri" w:cs="Calibri"/>
          <w:noProof/>
          <w:sz w:val="24"/>
          <w:szCs w:val="24"/>
        </w:rPr>
        <w:t xml:space="preserve">Faria, R., Johannesson, K., Butlin, R. K., &amp; Westram, A. M. (2019). Evolving Inversions. </w:t>
      </w:r>
      <w:r w:rsidRPr="002D51C0">
        <w:rPr>
          <w:rFonts w:ascii="Calibri" w:hAnsi="Calibri" w:cs="Calibri"/>
          <w:i/>
          <w:iCs/>
          <w:noProof/>
          <w:sz w:val="24"/>
          <w:szCs w:val="24"/>
        </w:rPr>
        <w:t>Trends in Ecology and Evolution</w:t>
      </w:r>
      <w:r w:rsidRPr="002D51C0">
        <w:rPr>
          <w:rFonts w:ascii="Calibri" w:hAnsi="Calibri" w:cs="Calibri"/>
          <w:noProof/>
          <w:sz w:val="24"/>
          <w:szCs w:val="24"/>
        </w:rPr>
        <w:t xml:space="preserve">, </w:t>
      </w:r>
      <w:r w:rsidRPr="002D51C0">
        <w:rPr>
          <w:rFonts w:ascii="Calibri" w:hAnsi="Calibri" w:cs="Calibri"/>
          <w:i/>
          <w:iCs/>
          <w:noProof/>
          <w:sz w:val="24"/>
          <w:szCs w:val="24"/>
        </w:rPr>
        <w:t>34</w:t>
      </w:r>
      <w:r w:rsidRPr="002D51C0">
        <w:rPr>
          <w:rFonts w:ascii="Calibri" w:hAnsi="Calibri" w:cs="Calibri"/>
          <w:noProof/>
          <w:sz w:val="24"/>
          <w:szCs w:val="24"/>
        </w:rPr>
        <w:t>(3), 239–248. https://doi.org/10.1016/j.tree.2018.12.005</w:t>
      </w:r>
    </w:p>
    <w:p w14:paraId="439C241D" w14:textId="77777777" w:rsidR="002D51C0" w:rsidRPr="002D51C0" w:rsidRDefault="002D51C0" w:rsidP="002D51C0">
      <w:pPr>
        <w:widowControl w:val="0"/>
        <w:autoSpaceDE w:val="0"/>
        <w:autoSpaceDN w:val="0"/>
        <w:adjustRightInd w:val="0"/>
        <w:spacing w:after="0" w:line="480" w:lineRule="auto"/>
        <w:ind w:left="480" w:hanging="480"/>
        <w:rPr>
          <w:rFonts w:ascii="Calibri" w:hAnsi="Calibri" w:cs="Calibri"/>
          <w:noProof/>
          <w:sz w:val="24"/>
          <w:szCs w:val="24"/>
        </w:rPr>
      </w:pPr>
      <w:r w:rsidRPr="002D51C0">
        <w:rPr>
          <w:rFonts w:ascii="Calibri" w:hAnsi="Calibri" w:cs="Calibri"/>
          <w:noProof/>
          <w:sz w:val="24"/>
          <w:szCs w:val="24"/>
        </w:rPr>
        <w:t xml:space="preserve">Fatica, A., &amp; Bozzoni, I. (2014). Long non-coding RNAs: New players in cell differentiation and </w:t>
      </w:r>
      <w:r w:rsidRPr="002D51C0">
        <w:rPr>
          <w:rFonts w:ascii="Calibri" w:hAnsi="Calibri" w:cs="Calibri"/>
          <w:noProof/>
          <w:sz w:val="24"/>
          <w:szCs w:val="24"/>
        </w:rPr>
        <w:lastRenderedPageBreak/>
        <w:t xml:space="preserve">development. </w:t>
      </w:r>
      <w:r w:rsidRPr="002D51C0">
        <w:rPr>
          <w:rFonts w:ascii="Calibri" w:hAnsi="Calibri" w:cs="Calibri"/>
          <w:i/>
          <w:iCs/>
          <w:noProof/>
          <w:sz w:val="24"/>
          <w:szCs w:val="24"/>
        </w:rPr>
        <w:t>Nature Reviews Genetics</w:t>
      </w:r>
      <w:r w:rsidRPr="002D51C0">
        <w:rPr>
          <w:rFonts w:ascii="Calibri" w:hAnsi="Calibri" w:cs="Calibri"/>
          <w:noProof/>
          <w:sz w:val="24"/>
          <w:szCs w:val="24"/>
        </w:rPr>
        <w:t xml:space="preserve">, </w:t>
      </w:r>
      <w:r w:rsidRPr="002D51C0">
        <w:rPr>
          <w:rFonts w:ascii="Calibri" w:hAnsi="Calibri" w:cs="Calibri"/>
          <w:i/>
          <w:iCs/>
          <w:noProof/>
          <w:sz w:val="24"/>
          <w:szCs w:val="24"/>
        </w:rPr>
        <w:t>15</w:t>
      </w:r>
      <w:r w:rsidRPr="002D51C0">
        <w:rPr>
          <w:rFonts w:ascii="Calibri" w:hAnsi="Calibri" w:cs="Calibri"/>
          <w:noProof/>
          <w:sz w:val="24"/>
          <w:szCs w:val="24"/>
        </w:rPr>
        <w:t>(1), 7–21. https://doi.org/10.1038/nrg3606</w:t>
      </w:r>
    </w:p>
    <w:p w14:paraId="58223537" w14:textId="77777777" w:rsidR="002D51C0" w:rsidRPr="002D51C0" w:rsidRDefault="002D51C0" w:rsidP="002D51C0">
      <w:pPr>
        <w:widowControl w:val="0"/>
        <w:autoSpaceDE w:val="0"/>
        <w:autoSpaceDN w:val="0"/>
        <w:adjustRightInd w:val="0"/>
        <w:spacing w:after="0" w:line="480" w:lineRule="auto"/>
        <w:ind w:left="480" w:hanging="480"/>
        <w:rPr>
          <w:rFonts w:ascii="Calibri" w:hAnsi="Calibri" w:cs="Calibri"/>
          <w:noProof/>
          <w:sz w:val="24"/>
          <w:szCs w:val="24"/>
        </w:rPr>
      </w:pPr>
      <w:r w:rsidRPr="002D51C0">
        <w:rPr>
          <w:rFonts w:ascii="Calibri" w:hAnsi="Calibri" w:cs="Calibri"/>
          <w:noProof/>
          <w:sz w:val="24"/>
          <w:szCs w:val="24"/>
        </w:rPr>
        <w:t xml:space="preserve">Fisher, H. S. (2017). Supergene yields super sperm. </w:t>
      </w:r>
      <w:r w:rsidRPr="002D51C0">
        <w:rPr>
          <w:rFonts w:ascii="Calibri" w:hAnsi="Calibri" w:cs="Calibri"/>
          <w:i/>
          <w:iCs/>
          <w:noProof/>
          <w:sz w:val="24"/>
          <w:szCs w:val="24"/>
        </w:rPr>
        <w:t>Nature Ecology &amp; Evolution</w:t>
      </w:r>
      <w:r w:rsidRPr="002D51C0">
        <w:rPr>
          <w:rFonts w:ascii="Calibri" w:hAnsi="Calibri" w:cs="Calibri"/>
          <w:noProof/>
          <w:sz w:val="24"/>
          <w:szCs w:val="24"/>
        </w:rPr>
        <w:t xml:space="preserve">, </w:t>
      </w:r>
      <w:r w:rsidRPr="002D51C0">
        <w:rPr>
          <w:rFonts w:ascii="Calibri" w:hAnsi="Calibri" w:cs="Calibri"/>
          <w:i/>
          <w:iCs/>
          <w:noProof/>
          <w:sz w:val="24"/>
          <w:szCs w:val="24"/>
        </w:rPr>
        <w:t>1</w:t>
      </w:r>
      <w:r w:rsidRPr="002D51C0">
        <w:rPr>
          <w:rFonts w:ascii="Calibri" w:hAnsi="Calibri" w:cs="Calibri"/>
          <w:noProof/>
          <w:sz w:val="24"/>
          <w:szCs w:val="24"/>
        </w:rPr>
        <w:t>(8), 1064–1065. https://doi.org/10.1038/s41559-017-0261-0</w:t>
      </w:r>
    </w:p>
    <w:p w14:paraId="3360772B" w14:textId="77777777" w:rsidR="002D51C0" w:rsidRPr="002D51C0" w:rsidRDefault="002D51C0" w:rsidP="002D51C0">
      <w:pPr>
        <w:widowControl w:val="0"/>
        <w:autoSpaceDE w:val="0"/>
        <w:autoSpaceDN w:val="0"/>
        <w:adjustRightInd w:val="0"/>
        <w:spacing w:after="0" w:line="480" w:lineRule="auto"/>
        <w:ind w:left="480" w:hanging="480"/>
        <w:rPr>
          <w:rFonts w:ascii="Calibri" w:hAnsi="Calibri" w:cs="Calibri"/>
          <w:noProof/>
          <w:sz w:val="24"/>
          <w:szCs w:val="24"/>
        </w:rPr>
      </w:pPr>
      <w:r w:rsidRPr="002D51C0">
        <w:rPr>
          <w:rFonts w:ascii="Calibri" w:hAnsi="Calibri" w:cs="Calibri"/>
          <w:noProof/>
          <w:sz w:val="24"/>
          <w:szCs w:val="24"/>
        </w:rPr>
        <w:t xml:space="preserve">Forstmeier, W., Segelbacher, G., Mueller, J. C., &amp; Kempenaers, B. (2007). Genetic variation and differentiation in captive and wild zebra finches (Taeniopygia guttata). </w:t>
      </w:r>
      <w:r w:rsidRPr="002D51C0">
        <w:rPr>
          <w:rFonts w:ascii="Calibri" w:hAnsi="Calibri" w:cs="Calibri"/>
          <w:i/>
          <w:iCs/>
          <w:noProof/>
          <w:sz w:val="24"/>
          <w:szCs w:val="24"/>
        </w:rPr>
        <w:t>Molecular Ecology</w:t>
      </w:r>
      <w:r w:rsidRPr="002D51C0">
        <w:rPr>
          <w:rFonts w:ascii="Calibri" w:hAnsi="Calibri" w:cs="Calibri"/>
          <w:noProof/>
          <w:sz w:val="24"/>
          <w:szCs w:val="24"/>
        </w:rPr>
        <w:t xml:space="preserve">, </w:t>
      </w:r>
      <w:r w:rsidRPr="002D51C0">
        <w:rPr>
          <w:rFonts w:ascii="Calibri" w:hAnsi="Calibri" w:cs="Calibri"/>
          <w:i/>
          <w:iCs/>
          <w:noProof/>
          <w:sz w:val="24"/>
          <w:szCs w:val="24"/>
        </w:rPr>
        <w:t>16</w:t>
      </w:r>
      <w:r w:rsidRPr="002D51C0">
        <w:rPr>
          <w:rFonts w:ascii="Calibri" w:hAnsi="Calibri" w:cs="Calibri"/>
          <w:noProof/>
          <w:sz w:val="24"/>
          <w:szCs w:val="24"/>
        </w:rPr>
        <w:t>(19), 4039–4050. https://doi.org/10.1111/j.1365-294X.2007.03444.x</w:t>
      </w:r>
    </w:p>
    <w:p w14:paraId="16C86D96" w14:textId="77777777" w:rsidR="002D51C0" w:rsidRPr="002D51C0" w:rsidRDefault="002D51C0" w:rsidP="002D51C0">
      <w:pPr>
        <w:widowControl w:val="0"/>
        <w:autoSpaceDE w:val="0"/>
        <w:autoSpaceDN w:val="0"/>
        <w:adjustRightInd w:val="0"/>
        <w:spacing w:after="0" w:line="480" w:lineRule="auto"/>
        <w:ind w:left="480" w:hanging="480"/>
        <w:rPr>
          <w:rFonts w:ascii="Calibri" w:hAnsi="Calibri" w:cs="Calibri"/>
          <w:noProof/>
          <w:sz w:val="24"/>
          <w:szCs w:val="24"/>
        </w:rPr>
      </w:pPr>
      <w:r w:rsidRPr="002D51C0">
        <w:rPr>
          <w:rFonts w:ascii="Calibri" w:hAnsi="Calibri" w:cs="Calibri"/>
          <w:noProof/>
          <w:sz w:val="24"/>
          <w:szCs w:val="24"/>
        </w:rPr>
        <w:t xml:space="preserve">Fuller, Z. L., Haynes, G. D., Richards, S., &amp; Schaeffer, S. W. (2016). Genomics of Natural Populations: How Differentially Expressed Genes Shape the Evolution of Chromosomal Inversions in Drosophila pseudoobscura. </w:t>
      </w:r>
      <w:r w:rsidRPr="002D51C0">
        <w:rPr>
          <w:rFonts w:ascii="Calibri" w:hAnsi="Calibri" w:cs="Calibri"/>
          <w:i/>
          <w:iCs/>
          <w:noProof/>
          <w:sz w:val="24"/>
          <w:szCs w:val="24"/>
        </w:rPr>
        <w:t>Genetics</w:t>
      </w:r>
      <w:r w:rsidRPr="002D51C0">
        <w:rPr>
          <w:rFonts w:ascii="Calibri" w:hAnsi="Calibri" w:cs="Calibri"/>
          <w:noProof/>
          <w:sz w:val="24"/>
          <w:szCs w:val="24"/>
        </w:rPr>
        <w:t xml:space="preserve">, </w:t>
      </w:r>
      <w:r w:rsidRPr="002D51C0">
        <w:rPr>
          <w:rFonts w:ascii="Calibri" w:hAnsi="Calibri" w:cs="Calibri"/>
          <w:i/>
          <w:iCs/>
          <w:noProof/>
          <w:sz w:val="24"/>
          <w:szCs w:val="24"/>
        </w:rPr>
        <w:t>204</w:t>
      </w:r>
      <w:r w:rsidRPr="002D51C0">
        <w:rPr>
          <w:rFonts w:ascii="Calibri" w:hAnsi="Calibri" w:cs="Calibri"/>
          <w:noProof/>
          <w:sz w:val="24"/>
          <w:szCs w:val="24"/>
        </w:rPr>
        <w:t>(1), 287–301. https://doi.org/10.1534/genetics.116.191429</w:t>
      </w:r>
    </w:p>
    <w:p w14:paraId="2220D97A" w14:textId="77777777" w:rsidR="002D51C0" w:rsidRPr="002D51C0" w:rsidRDefault="002D51C0" w:rsidP="002D51C0">
      <w:pPr>
        <w:widowControl w:val="0"/>
        <w:autoSpaceDE w:val="0"/>
        <w:autoSpaceDN w:val="0"/>
        <w:adjustRightInd w:val="0"/>
        <w:spacing w:after="0" w:line="480" w:lineRule="auto"/>
        <w:ind w:left="480" w:hanging="480"/>
        <w:rPr>
          <w:rFonts w:ascii="Calibri" w:hAnsi="Calibri" w:cs="Calibri"/>
          <w:noProof/>
          <w:sz w:val="24"/>
          <w:szCs w:val="24"/>
        </w:rPr>
      </w:pPr>
      <w:r w:rsidRPr="002D51C0">
        <w:rPr>
          <w:rFonts w:ascii="Calibri" w:hAnsi="Calibri" w:cs="Calibri"/>
          <w:noProof/>
          <w:sz w:val="24"/>
          <w:szCs w:val="24"/>
        </w:rPr>
        <w:t xml:space="preserve">Ge, S. X., Jung, D., Jung, D., &amp; Yao, R. (2018). ShinyGO: a graphical enrichment tool for ani-mals and plants. </w:t>
      </w:r>
      <w:r w:rsidRPr="002D51C0">
        <w:rPr>
          <w:rFonts w:ascii="Calibri" w:hAnsi="Calibri" w:cs="Calibri"/>
          <w:i/>
          <w:iCs/>
          <w:noProof/>
          <w:sz w:val="24"/>
          <w:szCs w:val="24"/>
        </w:rPr>
        <w:t>BioRxiv</w:t>
      </w:r>
      <w:r w:rsidRPr="002D51C0">
        <w:rPr>
          <w:rFonts w:ascii="Calibri" w:hAnsi="Calibri" w:cs="Calibri"/>
          <w:noProof/>
          <w:sz w:val="24"/>
          <w:szCs w:val="24"/>
        </w:rPr>
        <w:t xml:space="preserve">, </w:t>
      </w:r>
      <w:r w:rsidRPr="002D51C0">
        <w:rPr>
          <w:rFonts w:ascii="Calibri" w:hAnsi="Calibri" w:cs="Calibri"/>
          <w:i/>
          <w:iCs/>
          <w:noProof/>
          <w:sz w:val="24"/>
          <w:szCs w:val="24"/>
        </w:rPr>
        <w:t>36</w:t>
      </w:r>
      <w:r w:rsidRPr="002D51C0">
        <w:rPr>
          <w:rFonts w:ascii="Calibri" w:hAnsi="Calibri" w:cs="Calibri"/>
          <w:noProof/>
          <w:sz w:val="24"/>
          <w:szCs w:val="24"/>
        </w:rPr>
        <w:t>(December 2019), 315150. https://doi.org/10.1101/082511.Lai</w:t>
      </w:r>
    </w:p>
    <w:p w14:paraId="6143E9D2" w14:textId="77777777" w:rsidR="002D51C0" w:rsidRPr="002D51C0" w:rsidRDefault="002D51C0" w:rsidP="002D51C0">
      <w:pPr>
        <w:widowControl w:val="0"/>
        <w:autoSpaceDE w:val="0"/>
        <w:autoSpaceDN w:val="0"/>
        <w:adjustRightInd w:val="0"/>
        <w:spacing w:after="0" w:line="480" w:lineRule="auto"/>
        <w:ind w:left="480" w:hanging="480"/>
        <w:rPr>
          <w:rFonts w:ascii="Calibri" w:hAnsi="Calibri" w:cs="Calibri"/>
          <w:noProof/>
          <w:sz w:val="24"/>
          <w:szCs w:val="24"/>
        </w:rPr>
      </w:pPr>
      <w:r w:rsidRPr="002D51C0">
        <w:rPr>
          <w:rFonts w:ascii="Calibri" w:hAnsi="Calibri" w:cs="Calibri"/>
          <w:noProof/>
          <w:sz w:val="24"/>
          <w:szCs w:val="24"/>
        </w:rPr>
        <w:t xml:space="preserve">Granados-Aparici, S., Volodarsky-Perel, A., Yang, Q., Anam, S., Tulandi, T., Buckett, W., Son, W. Y., Younes, G., Chung, J. T., Jin, S., Terret, M. E., &amp; Clarke, H. J. (2022). MYO10 promotes transzonal projection-dependent germ line-somatic contact during mammalian folliculogenesis. </w:t>
      </w:r>
      <w:r w:rsidRPr="002D51C0">
        <w:rPr>
          <w:rFonts w:ascii="Calibri" w:hAnsi="Calibri" w:cs="Calibri"/>
          <w:i/>
          <w:iCs/>
          <w:noProof/>
          <w:sz w:val="24"/>
          <w:szCs w:val="24"/>
        </w:rPr>
        <w:t>Biology of Reproduction</w:t>
      </w:r>
      <w:r w:rsidRPr="002D51C0">
        <w:rPr>
          <w:rFonts w:ascii="Calibri" w:hAnsi="Calibri" w:cs="Calibri"/>
          <w:noProof/>
          <w:sz w:val="24"/>
          <w:szCs w:val="24"/>
        </w:rPr>
        <w:t xml:space="preserve">, </w:t>
      </w:r>
      <w:r w:rsidRPr="002D51C0">
        <w:rPr>
          <w:rFonts w:ascii="Calibri" w:hAnsi="Calibri" w:cs="Calibri"/>
          <w:i/>
          <w:iCs/>
          <w:noProof/>
          <w:sz w:val="24"/>
          <w:szCs w:val="24"/>
        </w:rPr>
        <w:t>107</w:t>
      </w:r>
      <w:r w:rsidRPr="002D51C0">
        <w:rPr>
          <w:rFonts w:ascii="Calibri" w:hAnsi="Calibri" w:cs="Calibri"/>
          <w:noProof/>
          <w:sz w:val="24"/>
          <w:szCs w:val="24"/>
        </w:rPr>
        <w:t>(2), 474–487. https://doi.org/10.1093/biolre/ioac078</w:t>
      </w:r>
    </w:p>
    <w:p w14:paraId="056E0897" w14:textId="77777777" w:rsidR="002D51C0" w:rsidRPr="002D51C0" w:rsidRDefault="002D51C0" w:rsidP="002D51C0">
      <w:pPr>
        <w:widowControl w:val="0"/>
        <w:autoSpaceDE w:val="0"/>
        <w:autoSpaceDN w:val="0"/>
        <w:adjustRightInd w:val="0"/>
        <w:spacing w:after="0" w:line="480" w:lineRule="auto"/>
        <w:ind w:left="480" w:hanging="480"/>
        <w:rPr>
          <w:rFonts w:ascii="Calibri" w:hAnsi="Calibri" w:cs="Calibri"/>
          <w:noProof/>
          <w:sz w:val="24"/>
          <w:szCs w:val="24"/>
        </w:rPr>
      </w:pPr>
      <w:r w:rsidRPr="002D51C0">
        <w:rPr>
          <w:rFonts w:ascii="Calibri" w:hAnsi="Calibri" w:cs="Calibri"/>
          <w:noProof/>
          <w:sz w:val="24"/>
          <w:szCs w:val="24"/>
        </w:rPr>
        <w:t xml:space="preserve">He, J. H., Chen, J. G., Zhang, B., Chen, J., You, K. L., Hu, J. M., Xu, J. W., &amp; Chen, L. (2020). Elevated MYO10 Predicts Poor Prognosis and its Deletion Hampers Proliferation and Migration Potentials of Cells Through Rewiring PI3K/Akt Signaling in Cervical Cancer. </w:t>
      </w:r>
      <w:r w:rsidRPr="002D51C0">
        <w:rPr>
          <w:rFonts w:ascii="Calibri" w:hAnsi="Calibri" w:cs="Calibri"/>
          <w:i/>
          <w:iCs/>
          <w:noProof/>
          <w:sz w:val="24"/>
          <w:szCs w:val="24"/>
        </w:rPr>
        <w:t>Technology in Cancer Research and Treatment</w:t>
      </w:r>
      <w:r w:rsidRPr="002D51C0">
        <w:rPr>
          <w:rFonts w:ascii="Calibri" w:hAnsi="Calibri" w:cs="Calibri"/>
          <w:noProof/>
          <w:sz w:val="24"/>
          <w:szCs w:val="24"/>
        </w:rPr>
        <w:t xml:space="preserve">, </w:t>
      </w:r>
      <w:r w:rsidRPr="002D51C0">
        <w:rPr>
          <w:rFonts w:ascii="Calibri" w:hAnsi="Calibri" w:cs="Calibri"/>
          <w:i/>
          <w:iCs/>
          <w:noProof/>
          <w:sz w:val="24"/>
          <w:szCs w:val="24"/>
        </w:rPr>
        <w:t>19</w:t>
      </w:r>
      <w:r w:rsidRPr="002D51C0">
        <w:rPr>
          <w:rFonts w:ascii="Calibri" w:hAnsi="Calibri" w:cs="Calibri"/>
          <w:noProof/>
          <w:sz w:val="24"/>
          <w:szCs w:val="24"/>
        </w:rPr>
        <w:t>(106), 1–9. https://doi.org/10.1177/1533033820936773</w:t>
      </w:r>
    </w:p>
    <w:p w14:paraId="694C4086" w14:textId="77777777" w:rsidR="002D51C0" w:rsidRPr="002D51C0" w:rsidRDefault="002D51C0" w:rsidP="002D51C0">
      <w:pPr>
        <w:widowControl w:val="0"/>
        <w:autoSpaceDE w:val="0"/>
        <w:autoSpaceDN w:val="0"/>
        <w:adjustRightInd w:val="0"/>
        <w:spacing w:after="0" w:line="480" w:lineRule="auto"/>
        <w:ind w:left="480" w:hanging="480"/>
        <w:rPr>
          <w:rFonts w:ascii="Calibri" w:hAnsi="Calibri" w:cs="Calibri"/>
          <w:noProof/>
          <w:sz w:val="24"/>
          <w:szCs w:val="24"/>
        </w:rPr>
      </w:pPr>
      <w:r w:rsidRPr="002D51C0">
        <w:rPr>
          <w:rFonts w:ascii="Calibri" w:hAnsi="Calibri" w:cs="Calibri"/>
          <w:noProof/>
          <w:sz w:val="24"/>
          <w:szCs w:val="24"/>
        </w:rPr>
        <w:t xml:space="preserve">Imsland, F., Feng, C., Boije, H., Bed’hom, B., Fillon, V., Dorshorst, B., Rubin, C. J., Liu, R., Gao, Y., Gu, X., Wang, Y., Gourichon, D., Zody, M. C., Zecchin, W., Vieaud, A., Tixier-Boichard, M., Hu, X., Hallböök, F., Li, N., &amp; Andersson, L. (2012). The Rose-comb mutation in chickens constitutes a </w:t>
      </w:r>
      <w:r w:rsidRPr="002D51C0">
        <w:rPr>
          <w:rFonts w:ascii="Calibri" w:hAnsi="Calibri" w:cs="Calibri"/>
          <w:noProof/>
          <w:sz w:val="24"/>
          <w:szCs w:val="24"/>
        </w:rPr>
        <w:lastRenderedPageBreak/>
        <w:t xml:space="preserve">structural rearrangement causing both altered comb morphology and defective a strcutucal change in which affects the comb sperm motility. </w:t>
      </w:r>
      <w:r w:rsidRPr="002D51C0">
        <w:rPr>
          <w:rFonts w:ascii="Calibri" w:hAnsi="Calibri" w:cs="Calibri"/>
          <w:i/>
          <w:iCs/>
          <w:noProof/>
          <w:sz w:val="24"/>
          <w:szCs w:val="24"/>
        </w:rPr>
        <w:t>PLoS Genetics</w:t>
      </w:r>
      <w:r w:rsidRPr="002D51C0">
        <w:rPr>
          <w:rFonts w:ascii="Calibri" w:hAnsi="Calibri" w:cs="Calibri"/>
          <w:noProof/>
          <w:sz w:val="24"/>
          <w:szCs w:val="24"/>
        </w:rPr>
        <w:t xml:space="preserve">, </w:t>
      </w:r>
      <w:r w:rsidRPr="002D51C0">
        <w:rPr>
          <w:rFonts w:ascii="Calibri" w:hAnsi="Calibri" w:cs="Calibri"/>
          <w:i/>
          <w:iCs/>
          <w:noProof/>
          <w:sz w:val="24"/>
          <w:szCs w:val="24"/>
        </w:rPr>
        <w:t>8</w:t>
      </w:r>
      <w:r w:rsidRPr="002D51C0">
        <w:rPr>
          <w:rFonts w:ascii="Calibri" w:hAnsi="Calibri" w:cs="Calibri"/>
          <w:noProof/>
          <w:sz w:val="24"/>
          <w:szCs w:val="24"/>
        </w:rPr>
        <w:t>(6). https://doi.org/10.1371/journal.pgen.1002775</w:t>
      </w:r>
    </w:p>
    <w:p w14:paraId="2D54534F" w14:textId="77777777" w:rsidR="002D51C0" w:rsidRPr="002D51C0" w:rsidRDefault="002D51C0" w:rsidP="002D51C0">
      <w:pPr>
        <w:widowControl w:val="0"/>
        <w:autoSpaceDE w:val="0"/>
        <w:autoSpaceDN w:val="0"/>
        <w:adjustRightInd w:val="0"/>
        <w:spacing w:after="0" w:line="480" w:lineRule="auto"/>
        <w:ind w:left="480" w:hanging="480"/>
        <w:rPr>
          <w:rFonts w:ascii="Calibri" w:hAnsi="Calibri" w:cs="Calibri"/>
          <w:noProof/>
          <w:sz w:val="24"/>
          <w:szCs w:val="24"/>
        </w:rPr>
      </w:pPr>
      <w:r w:rsidRPr="002D51C0">
        <w:rPr>
          <w:rFonts w:ascii="Calibri" w:hAnsi="Calibri" w:cs="Calibri"/>
          <w:noProof/>
          <w:sz w:val="24"/>
          <w:szCs w:val="24"/>
        </w:rPr>
        <w:t xml:space="preserve">Itoh, Y., Kampf, K., Balakrishnan, C. N., &amp; Arnold, A. P. (2011). Karyotypic polymorphism of the zebra finch Z chromosome. </w:t>
      </w:r>
      <w:r w:rsidRPr="002D51C0">
        <w:rPr>
          <w:rFonts w:ascii="Calibri" w:hAnsi="Calibri" w:cs="Calibri"/>
          <w:i/>
          <w:iCs/>
          <w:noProof/>
          <w:sz w:val="24"/>
          <w:szCs w:val="24"/>
        </w:rPr>
        <w:t>Chromosoma</w:t>
      </w:r>
      <w:r w:rsidRPr="002D51C0">
        <w:rPr>
          <w:rFonts w:ascii="Calibri" w:hAnsi="Calibri" w:cs="Calibri"/>
          <w:noProof/>
          <w:sz w:val="24"/>
          <w:szCs w:val="24"/>
        </w:rPr>
        <w:t xml:space="preserve">, </w:t>
      </w:r>
      <w:r w:rsidRPr="002D51C0">
        <w:rPr>
          <w:rFonts w:ascii="Calibri" w:hAnsi="Calibri" w:cs="Calibri"/>
          <w:i/>
          <w:iCs/>
          <w:noProof/>
          <w:sz w:val="24"/>
          <w:szCs w:val="24"/>
        </w:rPr>
        <w:t>120</w:t>
      </w:r>
      <w:r w:rsidRPr="002D51C0">
        <w:rPr>
          <w:rFonts w:ascii="Calibri" w:hAnsi="Calibri" w:cs="Calibri"/>
          <w:noProof/>
          <w:sz w:val="24"/>
          <w:szCs w:val="24"/>
        </w:rPr>
        <w:t>(3), 255–264. https://doi.org/10.1007/s00412-010-0308-3</w:t>
      </w:r>
    </w:p>
    <w:p w14:paraId="170CD67E" w14:textId="77777777" w:rsidR="002D51C0" w:rsidRPr="002D51C0" w:rsidRDefault="002D51C0" w:rsidP="002D51C0">
      <w:pPr>
        <w:widowControl w:val="0"/>
        <w:autoSpaceDE w:val="0"/>
        <w:autoSpaceDN w:val="0"/>
        <w:adjustRightInd w:val="0"/>
        <w:spacing w:after="0" w:line="480" w:lineRule="auto"/>
        <w:ind w:left="480" w:hanging="480"/>
        <w:rPr>
          <w:rFonts w:ascii="Calibri" w:hAnsi="Calibri" w:cs="Calibri"/>
          <w:noProof/>
          <w:sz w:val="24"/>
          <w:szCs w:val="24"/>
        </w:rPr>
      </w:pPr>
      <w:r w:rsidRPr="002D51C0">
        <w:rPr>
          <w:rFonts w:ascii="Calibri" w:hAnsi="Calibri" w:cs="Calibri"/>
          <w:noProof/>
          <w:sz w:val="24"/>
          <w:szCs w:val="24"/>
        </w:rPr>
        <w:t xml:space="preserve">Jameson, S. A., Lin, Y. T., &amp; Capel, B. (2012). Testis development requires the repression of Wnt4 by Fgf signaling. </w:t>
      </w:r>
      <w:r w:rsidRPr="002D51C0">
        <w:rPr>
          <w:rFonts w:ascii="Calibri" w:hAnsi="Calibri" w:cs="Calibri"/>
          <w:i/>
          <w:iCs/>
          <w:noProof/>
          <w:sz w:val="24"/>
          <w:szCs w:val="24"/>
        </w:rPr>
        <w:t>Developmental Biology</w:t>
      </w:r>
      <w:r w:rsidRPr="002D51C0">
        <w:rPr>
          <w:rFonts w:ascii="Calibri" w:hAnsi="Calibri" w:cs="Calibri"/>
          <w:noProof/>
          <w:sz w:val="24"/>
          <w:szCs w:val="24"/>
        </w:rPr>
        <w:t xml:space="preserve">, </w:t>
      </w:r>
      <w:r w:rsidRPr="002D51C0">
        <w:rPr>
          <w:rFonts w:ascii="Calibri" w:hAnsi="Calibri" w:cs="Calibri"/>
          <w:i/>
          <w:iCs/>
          <w:noProof/>
          <w:sz w:val="24"/>
          <w:szCs w:val="24"/>
        </w:rPr>
        <w:t>370</w:t>
      </w:r>
      <w:r w:rsidRPr="002D51C0">
        <w:rPr>
          <w:rFonts w:ascii="Calibri" w:hAnsi="Calibri" w:cs="Calibri"/>
          <w:noProof/>
          <w:sz w:val="24"/>
          <w:szCs w:val="24"/>
        </w:rPr>
        <w:t>(1), 24–32. https://doi.org/10.1016/j.ydbio.2012.06.009</w:t>
      </w:r>
    </w:p>
    <w:p w14:paraId="628D5C9D" w14:textId="77777777" w:rsidR="002D51C0" w:rsidRPr="002D51C0" w:rsidRDefault="002D51C0" w:rsidP="002D51C0">
      <w:pPr>
        <w:widowControl w:val="0"/>
        <w:autoSpaceDE w:val="0"/>
        <w:autoSpaceDN w:val="0"/>
        <w:adjustRightInd w:val="0"/>
        <w:spacing w:after="0" w:line="480" w:lineRule="auto"/>
        <w:ind w:left="480" w:hanging="480"/>
        <w:rPr>
          <w:rFonts w:ascii="Calibri" w:hAnsi="Calibri" w:cs="Calibri"/>
          <w:noProof/>
          <w:sz w:val="24"/>
          <w:szCs w:val="24"/>
        </w:rPr>
      </w:pPr>
      <w:r w:rsidRPr="002D51C0">
        <w:rPr>
          <w:rFonts w:ascii="Calibri" w:hAnsi="Calibri" w:cs="Calibri"/>
          <w:noProof/>
          <w:sz w:val="24"/>
          <w:szCs w:val="24"/>
        </w:rPr>
        <w:t xml:space="preserve">Johnson, A. R., Lao, S., Wang, T., Galanko, J. A., &amp; Zeisel, S. H. (2012). Choline dehydrogenase polymorphism rs12676 is a functional variation and is associated with changes in human sperm cell function. </w:t>
      </w:r>
      <w:r w:rsidRPr="002D51C0">
        <w:rPr>
          <w:rFonts w:ascii="Calibri" w:hAnsi="Calibri" w:cs="Calibri"/>
          <w:i/>
          <w:iCs/>
          <w:noProof/>
          <w:sz w:val="24"/>
          <w:szCs w:val="24"/>
        </w:rPr>
        <w:t>PLoS ONE</w:t>
      </w:r>
      <w:r w:rsidRPr="002D51C0">
        <w:rPr>
          <w:rFonts w:ascii="Calibri" w:hAnsi="Calibri" w:cs="Calibri"/>
          <w:noProof/>
          <w:sz w:val="24"/>
          <w:szCs w:val="24"/>
        </w:rPr>
        <w:t xml:space="preserve">, </w:t>
      </w:r>
      <w:r w:rsidRPr="002D51C0">
        <w:rPr>
          <w:rFonts w:ascii="Calibri" w:hAnsi="Calibri" w:cs="Calibri"/>
          <w:i/>
          <w:iCs/>
          <w:noProof/>
          <w:sz w:val="24"/>
          <w:szCs w:val="24"/>
        </w:rPr>
        <w:t>7</w:t>
      </w:r>
      <w:r w:rsidRPr="002D51C0">
        <w:rPr>
          <w:rFonts w:ascii="Calibri" w:hAnsi="Calibri" w:cs="Calibri"/>
          <w:noProof/>
          <w:sz w:val="24"/>
          <w:szCs w:val="24"/>
        </w:rPr>
        <w:t>(4), 1–12. https://doi.org/10.1371/journal.pone.0036047</w:t>
      </w:r>
    </w:p>
    <w:p w14:paraId="6426DFC1" w14:textId="77777777" w:rsidR="002D51C0" w:rsidRPr="002D51C0" w:rsidRDefault="002D51C0" w:rsidP="002D51C0">
      <w:pPr>
        <w:widowControl w:val="0"/>
        <w:autoSpaceDE w:val="0"/>
        <w:autoSpaceDN w:val="0"/>
        <w:adjustRightInd w:val="0"/>
        <w:spacing w:after="0" w:line="480" w:lineRule="auto"/>
        <w:ind w:left="480" w:hanging="480"/>
        <w:rPr>
          <w:rFonts w:ascii="Calibri" w:hAnsi="Calibri" w:cs="Calibri"/>
          <w:noProof/>
          <w:sz w:val="24"/>
          <w:szCs w:val="24"/>
        </w:rPr>
      </w:pPr>
      <w:r w:rsidRPr="002D51C0">
        <w:rPr>
          <w:rFonts w:ascii="Calibri" w:hAnsi="Calibri" w:cs="Calibri"/>
          <w:noProof/>
          <w:sz w:val="24"/>
          <w:szCs w:val="24"/>
        </w:rPr>
        <w:t xml:space="preserve">Jumeau, F., Chalmel, F., Fernandez-Gomez, F. J., Carpentier, C., Obriot, H., Tardivel, M., Caillet-Boudin, M. L., Rigot, J. M., Rives, N., Buée, L., Sergeant, N., &amp; Mitchell, V. (2017). Defining the human sperm microtubulome: An integrated genomics approach. </w:t>
      </w:r>
      <w:r w:rsidRPr="002D51C0">
        <w:rPr>
          <w:rFonts w:ascii="Calibri" w:hAnsi="Calibri" w:cs="Calibri"/>
          <w:i/>
          <w:iCs/>
          <w:noProof/>
          <w:sz w:val="24"/>
          <w:szCs w:val="24"/>
        </w:rPr>
        <w:t>Biology of Reproduction</w:t>
      </w:r>
      <w:r w:rsidRPr="002D51C0">
        <w:rPr>
          <w:rFonts w:ascii="Calibri" w:hAnsi="Calibri" w:cs="Calibri"/>
          <w:noProof/>
          <w:sz w:val="24"/>
          <w:szCs w:val="24"/>
        </w:rPr>
        <w:t xml:space="preserve">, </w:t>
      </w:r>
      <w:r w:rsidRPr="002D51C0">
        <w:rPr>
          <w:rFonts w:ascii="Calibri" w:hAnsi="Calibri" w:cs="Calibri"/>
          <w:i/>
          <w:iCs/>
          <w:noProof/>
          <w:sz w:val="24"/>
          <w:szCs w:val="24"/>
        </w:rPr>
        <w:t>96</w:t>
      </w:r>
      <w:r w:rsidRPr="002D51C0">
        <w:rPr>
          <w:rFonts w:ascii="Calibri" w:hAnsi="Calibri" w:cs="Calibri"/>
          <w:noProof/>
          <w:sz w:val="24"/>
          <w:szCs w:val="24"/>
        </w:rPr>
        <w:t>(1), 93–106. https://doi.org/10.1095/biolreprod.116.143479</w:t>
      </w:r>
    </w:p>
    <w:p w14:paraId="4262DE75" w14:textId="77777777" w:rsidR="002D51C0" w:rsidRPr="002D51C0" w:rsidRDefault="002D51C0" w:rsidP="002D51C0">
      <w:pPr>
        <w:widowControl w:val="0"/>
        <w:autoSpaceDE w:val="0"/>
        <w:autoSpaceDN w:val="0"/>
        <w:adjustRightInd w:val="0"/>
        <w:spacing w:after="0" w:line="480" w:lineRule="auto"/>
        <w:ind w:left="480" w:hanging="480"/>
        <w:rPr>
          <w:rFonts w:ascii="Calibri" w:hAnsi="Calibri" w:cs="Calibri"/>
          <w:noProof/>
          <w:sz w:val="24"/>
          <w:szCs w:val="24"/>
        </w:rPr>
      </w:pPr>
      <w:r w:rsidRPr="002D51C0">
        <w:rPr>
          <w:rFonts w:ascii="Calibri" w:hAnsi="Calibri" w:cs="Calibri"/>
          <w:noProof/>
          <w:sz w:val="24"/>
          <w:szCs w:val="24"/>
        </w:rPr>
        <w:t xml:space="preserve">Kahrl, A. F., Snook, R. R., &amp; Fitzpatrick, J. L. (2022). Fertilization mode differentially impacts the evolution of vertebrate sperm components. </w:t>
      </w:r>
      <w:r w:rsidRPr="002D51C0">
        <w:rPr>
          <w:rFonts w:ascii="Calibri" w:hAnsi="Calibri" w:cs="Calibri"/>
          <w:i/>
          <w:iCs/>
          <w:noProof/>
          <w:sz w:val="24"/>
          <w:szCs w:val="24"/>
        </w:rPr>
        <w:t>Nature Communications</w:t>
      </w:r>
      <w:r w:rsidRPr="002D51C0">
        <w:rPr>
          <w:rFonts w:ascii="Calibri" w:hAnsi="Calibri" w:cs="Calibri"/>
          <w:noProof/>
          <w:sz w:val="24"/>
          <w:szCs w:val="24"/>
        </w:rPr>
        <w:t xml:space="preserve">, </w:t>
      </w:r>
      <w:r w:rsidRPr="002D51C0">
        <w:rPr>
          <w:rFonts w:ascii="Calibri" w:hAnsi="Calibri" w:cs="Calibri"/>
          <w:i/>
          <w:iCs/>
          <w:noProof/>
          <w:sz w:val="24"/>
          <w:szCs w:val="24"/>
        </w:rPr>
        <w:t>13</w:t>
      </w:r>
      <w:r w:rsidRPr="002D51C0">
        <w:rPr>
          <w:rFonts w:ascii="Calibri" w:hAnsi="Calibri" w:cs="Calibri"/>
          <w:noProof/>
          <w:sz w:val="24"/>
          <w:szCs w:val="24"/>
        </w:rPr>
        <w:t>(1). https://doi.org/10.1038/s41467-022-34609-7</w:t>
      </w:r>
    </w:p>
    <w:p w14:paraId="65FD0532" w14:textId="77777777" w:rsidR="002D51C0" w:rsidRPr="002D51C0" w:rsidRDefault="002D51C0" w:rsidP="002D51C0">
      <w:pPr>
        <w:widowControl w:val="0"/>
        <w:autoSpaceDE w:val="0"/>
        <w:autoSpaceDN w:val="0"/>
        <w:adjustRightInd w:val="0"/>
        <w:spacing w:after="0" w:line="480" w:lineRule="auto"/>
        <w:ind w:left="480" w:hanging="480"/>
        <w:rPr>
          <w:rFonts w:ascii="Calibri" w:hAnsi="Calibri" w:cs="Calibri"/>
          <w:noProof/>
          <w:sz w:val="24"/>
          <w:szCs w:val="24"/>
        </w:rPr>
      </w:pPr>
      <w:r w:rsidRPr="002D51C0">
        <w:rPr>
          <w:rFonts w:ascii="Calibri" w:hAnsi="Calibri" w:cs="Calibri"/>
          <w:noProof/>
          <w:sz w:val="24"/>
          <w:szCs w:val="24"/>
        </w:rPr>
        <w:t xml:space="preserve">Kedde, M., &amp; Agami, R. (2008). Interplay between microRNAs and RNA-binding proteins determines developmental processes. </w:t>
      </w:r>
      <w:r w:rsidRPr="002D51C0">
        <w:rPr>
          <w:rFonts w:ascii="Calibri" w:hAnsi="Calibri" w:cs="Calibri"/>
          <w:i/>
          <w:iCs/>
          <w:noProof/>
          <w:sz w:val="24"/>
          <w:szCs w:val="24"/>
        </w:rPr>
        <w:t>Cell Cycle</w:t>
      </w:r>
      <w:r w:rsidRPr="002D51C0">
        <w:rPr>
          <w:rFonts w:ascii="Calibri" w:hAnsi="Calibri" w:cs="Calibri"/>
          <w:noProof/>
          <w:sz w:val="24"/>
          <w:szCs w:val="24"/>
        </w:rPr>
        <w:t xml:space="preserve">, </w:t>
      </w:r>
      <w:r w:rsidRPr="002D51C0">
        <w:rPr>
          <w:rFonts w:ascii="Calibri" w:hAnsi="Calibri" w:cs="Calibri"/>
          <w:i/>
          <w:iCs/>
          <w:noProof/>
          <w:sz w:val="24"/>
          <w:szCs w:val="24"/>
        </w:rPr>
        <w:t>7</w:t>
      </w:r>
      <w:r w:rsidRPr="002D51C0">
        <w:rPr>
          <w:rFonts w:ascii="Calibri" w:hAnsi="Calibri" w:cs="Calibri"/>
          <w:noProof/>
          <w:sz w:val="24"/>
          <w:szCs w:val="24"/>
        </w:rPr>
        <w:t>(7), 899–903. https://doi.org/10.4161/cc.7.7.5644</w:t>
      </w:r>
    </w:p>
    <w:p w14:paraId="36BD2F13" w14:textId="77777777" w:rsidR="002D51C0" w:rsidRPr="002D51C0" w:rsidRDefault="002D51C0" w:rsidP="002D51C0">
      <w:pPr>
        <w:widowControl w:val="0"/>
        <w:autoSpaceDE w:val="0"/>
        <w:autoSpaceDN w:val="0"/>
        <w:adjustRightInd w:val="0"/>
        <w:spacing w:after="0" w:line="480" w:lineRule="auto"/>
        <w:ind w:left="480" w:hanging="480"/>
        <w:rPr>
          <w:rFonts w:ascii="Calibri" w:hAnsi="Calibri" w:cs="Calibri"/>
          <w:noProof/>
          <w:sz w:val="24"/>
          <w:szCs w:val="24"/>
        </w:rPr>
      </w:pPr>
      <w:r w:rsidRPr="002D51C0">
        <w:rPr>
          <w:rFonts w:ascii="Calibri" w:hAnsi="Calibri" w:cs="Calibri"/>
          <w:noProof/>
          <w:sz w:val="24"/>
          <w:szCs w:val="24"/>
        </w:rPr>
        <w:t xml:space="preserve">Kim, K.-W., Bennison, C., Hemmings, N., Brookes, L., Hurley, L. L., Griffith, S. C., Burke, T., Birkhead, T. R., &amp; Slate, J. (2017). A sex-linked supergene controls sperm morphology and swimming </w:t>
      </w:r>
      <w:r w:rsidRPr="002D51C0">
        <w:rPr>
          <w:rFonts w:ascii="Calibri" w:hAnsi="Calibri" w:cs="Calibri"/>
          <w:noProof/>
          <w:sz w:val="24"/>
          <w:szCs w:val="24"/>
        </w:rPr>
        <w:lastRenderedPageBreak/>
        <w:t xml:space="preserve">speed in a songbird. </w:t>
      </w:r>
      <w:r w:rsidRPr="002D51C0">
        <w:rPr>
          <w:rFonts w:ascii="Calibri" w:hAnsi="Calibri" w:cs="Calibri"/>
          <w:i/>
          <w:iCs/>
          <w:noProof/>
          <w:sz w:val="24"/>
          <w:szCs w:val="24"/>
        </w:rPr>
        <w:t>Nature Ecology and Evolution</w:t>
      </w:r>
      <w:r w:rsidRPr="002D51C0">
        <w:rPr>
          <w:rFonts w:ascii="Calibri" w:hAnsi="Calibri" w:cs="Calibri"/>
          <w:noProof/>
          <w:sz w:val="24"/>
          <w:szCs w:val="24"/>
        </w:rPr>
        <w:t xml:space="preserve">, </w:t>
      </w:r>
      <w:r w:rsidRPr="002D51C0">
        <w:rPr>
          <w:rFonts w:ascii="Calibri" w:hAnsi="Calibri" w:cs="Calibri"/>
          <w:i/>
          <w:iCs/>
          <w:noProof/>
          <w:sz w:val="24"/>
          <w:szCs w:val="24"/>
        </w:rPr>
        <w:t>1</w:t>
      </w:r>
      <w:r w:rsidRPr="002D51C0">
        <w:rPr>
          <w:rFonts w:ascii="Calibri" w:hAnsi="Calibri" w:cs="Calibri"/>
          <w:noProof/>
          <w:sz w:val="24"/>
          <w:szCs w:val="24"/>
        </w:rPr>
        <w:t>(8), 1168–1176. https://doi.org/10.1038/s41559-017-0235-2</w:t>
      </w:r>
    </w:p>
    <w:p w14:paraId="12C3B290" w14:textId="77777777" w:rsidR="002D51C0" w:rsidRPr="002D51C0" w:rsidRDefault="002D51C0" w:rsidP="002D51C0">
      <w:pPr>
        <w:widowControl w:val="0"/>
        <w:autoSpaceDE w:val="0"/>
        <w:autoSpaceDN w:val="0"/>
        <w:adjustRightInd w:val="0"/>
        <w:spacing w:after="0" w:line="480" w:lineRule="auto"/>
        <w:ind w:left="480" w:hanging="480"/>
        <w:rPr>
          <w:rFonts w:ascii="Calibri" w:hAnsi="Calibri" w:cs="Calibri"/>
          <w:noProof/>
          <w:sz w:val="24"/>
          <w:szCs w:val="24"/>
        </w:rPr>
      </w:pPr>
      <w:r w:rsidRPr="002D51C0">
        <w:rPr>
          <w:rFonts w:ascii="Calibri" w:hAnsi="Calibri" w:cs="Calibri"/>
          <w:noProof/>
          <w:sz w:val="24"/>
          <w:szCs w:val="24"/>
        </w:rPr>
        <w:t xml:space="preserve">Kim, K.-W., Bennison, C., Hemmings, N., Brookes, L., Hurley, L. L., Griffith, S. C., Burke, T., Birkhead, T. R., &amp; Slate, J. (2018). </w:t>
      </w:r>
      <w:r w:rsidRPr="002D51C0">
        <w:rPr>
          <w:rFonts w:ascii="Calibri" w:hAnsi="Calibri" w:cs="Calibri"/>
          <w:i/>
          <w:iCs/>
          <w:noProof/>
          <w:sz w:val="24"/>
          <w:szCs w:val="24"/>
        </w:rPr>
        <w:t>Data from: A sex-linked supergene controls sperm morphology and swimming speed in a songbird</w:t>
      </w:r>
      <w:r w:rsidRPr="002D51C0">
        <w:rPr>
          <w:rFonts w:ascii="Calibri" w:hAnsi="Calibri" w:cs="Calibri"/>
          <w:noProof/>
          <w:sz w:val="24"/>
          <w:szCs w:val="24"/>
        </w:rPr>
        <w:t>. Dryad. https://doi.org/https://doi.org/10.5061/dryad.p4238</w:t>
      </w:r>
    </w:p>
    <w:p w14:paraId="78A5FCCD" w14:textId="77777777" w:rsidR="002D51C0" w:rsidRPr="002D51C0" w:rsidRDefault="002D51C0" w:rsidP="002D51C0">
      <w:pPr>
        <w:widowControl w:val="0"/>
        <w:autoSpaceDE w:val="0"/>
        <w:autoSpaceDN w:val="0"/>
        <w:adjustRightInd w:val="0"/>
        <w:spacing w:after="0" w:line="480" w:lineRule="auto"/>
        <w:ind w:left="480" w:hanging="480"/>
        <w:rPr>
          <w:rFonts w:ascii="Calibri" w:hAnsi="Calibri" w:cs="Calibri"/>
          <w:noProof/>
          <w:sz w:val="24"/>
          <w:szCs w:val="24"/>
        </w:rPr>
      </w:pPr>
      <w:r w:rsidRPr="002D51C0">
        <w:rPr>
          <w:rFonts w:ascii="Calibri" w:hAnsi="Calibri" w:cs="Calibri"/>
          <w:noProof/>
          <w:sz w:val="24"/>
          <w:szCs w:val="24"/>
        </w:rPr>
        <w:t xml:space="preserve">Kleinjan, D. A., &amp; van Heyningen, V. (2005). Long-Range Control of Gene Expression: Emerging Mechanisms and Disruption in Disease. </w:t>
      </w:r>
      <w:r w:rsidRPr="002D51C0">
        <w:rPr>
          <w:rFonts w:ascii="Calibri" w:hAnsi="Calibri" w:cs="Calibri"/>
          <w:i/>
          <w:iCs/>
          <w:noProof/>
          <w:sz w:val="24"/>
          <w:szCs w:val="24"/>
        </w:rPr>
        <w:t>The American Journal of Human Genetics</w:t>
      </w:r>
      <w:r w:rsidRPr="002D51C0">
        <w:rPr>
          <w:rFonts w:ascii="Calibri" w:hAnsi="Calibri" w:cs="Calibri"/>
          <w:noProof/>
          <w:sz w:val="24"/>
          <w:szCs w:val="24"/>
        </w:rPr>
        <w:t xml:space="preserve">, </w:t>
      </w:r>
      <w:r w:rsidRPr="002D51C0">
        <w:rPr>
          <w:rFonts w:ascii="Calibri" w:hAnsi="Calibri" w:cs="Calibri"/>
          <w:i/>
          <w:iCs/>
          <w:noProof/>
          <w:sz w:val="24"/>
          <w:szCs w:val="24"/>
        </w:rPr>
        <w:t>76</w:t>
      </w:r>
      <w:r w:rsidRPr="002D51C0">
        <w:rPr>
          <w:rFonts w:ascii="Calibri" w:hAnsi="Calibri" w:cs="Calibri"/>
          <w:noProof/>
          <w:sz w:val="24"/>
          <w:szCs w:val="24"/>
        </w:rPr>
        <w:t>(1), 8–32. https://doi.org/10.1086/426833</w:t>
      </w:r>
    </w:p>
    <w:p w14:paraId="12E0310C" w14:textId="77777777" w:rsidR="002D51C0" w:rsidRPr="002D51C0" w:rsidRDefault="002D51C0" w:rsidP="002D51C0">
      <w:pPr>
        <w:widowControl w:val="0"/>
        <w:autoSpaceDE w:val="0"/>
        <w:autoSpaceDN w:val="0"/>
        <w:adjustRightInd w:val="0"/>
        <w:spacing w:after="0" w:line="480" w:lineRule="auto"/>
        <w:ind w:left="480" w:hanging="480"/>
        <w:rPr>
          <w:rFonts w:ascii="Calibri" w:hAnsi="Calibri" w:cs="Calibri"/>
          <w:noProof/>
          <w:sz w:val="24"/>
          <w:szCs w:val="24"/>
        </w:rPr>
      </w:pPr>
      <w:r w:rsidRPr="002D51C0">
        <w:rPr>
          <w:rFonts w:ascii="Calibri" w:hAnsi="Calibri" w:cs="Calibri"/>
          <w:noProof/>
          <w:sz w:val="24"/>
          <w:szCs w:val="24"/>
        </w:rPr>
        <w:t xml:space="preserve">Knief, U., Forstmeier, W., Kempenaers, B., &amp; Wolf, J. B. W. (2021). A sex chromosome inversion is associated with copy number variation of mitochondrial DNA in zebra finch sperm. </w:t>
      </w:r>
      <w:r w:rsidRPr="002D51C0">
        <w:rPr>
          <w:rFonts w:ascii="Calibri" w:hAnsi="Calibri" w:cs="Calibri"/>
          <w:i/>
          <w:iCs/>
          <w:noProof/>
          <w:sz w:val="24"/>
          <w:szCs w:val="24"/>
        </w:rPr>
        <w:t>Royal Society Open Science</w:t>
      </w:r>
      <w:r w:rsidRPr="002D51C0">
        <w:rPr>
          <w:rFonts w:ascii="Calibri" w:hAnsi="Calibri" w:cs="Calibri"/>
          <w:noProof/>
          <w:sz w:val="24"/>
          <w:szCs w:val="24"/>
        </w:rPr>
        <w:t xml:space="preserve">, </w:t>
      </w:r>
      <w:r w:rsidRPr="002D51C0">
        <w:rPr>
          <w:rFonts w:ascii="Calibri" w:hAnsi="Calibri" w:cs="Calibri"/>
          <w:i/>
          <w:iCs/>
          <w:noProof/>
          <w:sz w:val="24"/>
          <w:szCs w:val="24"/>
        </w:rPr>
        <w:t>8</w:t>
      </w:r>
      <w:r w:rsidRPr="002D51C0">
        <w:rPr>
          <w:rFonts w:ascii="Calibri" w:hAnsi="Calibri" w:cs="Calibri"/>
          <w:noProof/>
          <w:sz w:val="24"/>
          <w:szCs w:val="24"/>
        </w:rPr>
        <w:t>(9), 211025. https://doi.org/10.1098/rsos.211025</w:t>
      </w:r>
    </w:p>
    <w:p w14:paraId="3DC6547A" w14:textId="77777777" w:rsidR="002D51C0" w:rsidRPr="002D51C0" w:rsidRDefault="002D51C0" w:rsidP="002D51C0">
      <w:pPr>
        <w:widowControl w:val="0"/>
        <w:autoSpaceDE w:val="0"/>
        <w:autoSpaceDN w:val="0"/>
        <w:adjustRightInd w:val="0"/>
        <w:spacing w:after="0" w:line="480" w:lineRule="auto"/>
        <w:ind w:left="480" w:hanging="480"/>
        <w:rPr>
          <w:rFonts w:ascii="Calibri" w:hAnsi="Calibri" w:cs="Calibri"/>
          <w:noProof/>
          <w:sz w:val="24"/>
          <w:szCs w:val="24"/>
        </w:rPr>
      </w:pPr>
      <w:r w:rsidRPr="002D51C0">
        <w:rPr>
          <w:rFonts w:ascii="Calibri" w:hAnsi="Calibri" w:cs="Calibri"/>
          <w:noProof/>
          <w:sz w:val="24"/>
          <w:szCs w:val="24"/>
        </w:rPr>
        <w:t xml:space="preserve">Knief, U., Forstmeier, W., Pei, Y., Ihle, M., Wang, D., Martin, K., Opatová, P., Albrechtová, J., Wittig, M., Franke, A., Albrecht, T., &amp; Kempenaers, B. (2017). A sex-chromosome inversion causes strong overdominance for sperm traits that affect siring success. </w:t>
      </w:r>
      <w:r w:rsidRPr="002D51C0">
        <w:rPr>
          <w:rFonts w:ascii="Calibri" w:hAnsi="Calibri" w:cs="Calibri"/>
          <w:i/>
          <w:iCs/>
          <w:noProof/>
          <w:sz w:val="24"/>
          <w:szCs w:val="24"/>
        </w:rPr>
        <w:t>Nature Ecology &amp; Evolution</w:t>
      </w:r>
      <w:r w:rsidRPr="002D51C0">
        <w:rPr>
          <w:rFonts w:ascii="Calibri" w:hAnsi="Calibri" w:cs="Calibri"/>
          <w:noProof/>
          <w:sz w:val="24"/>
          <w:szCs w:val="24"/>
        </w:rPr>
        <w:t xml:space="preserve">, </w:t>
      </w:r>
      <w:r w:rsidRPr="002D51C0">
        <w:rPr>
          <w:rFonts w:ascii="Calibri" w:hAnsi="Calibri" w:cs="Calibri"/>
          <w:i/>
          <w:iCs/>
          <w:noProof/>
          <w:sz w:val="24"/>
          <w:szCs w:val="24"/>
        </w:rPr>
        <w:t>1</w:t>
      </w:r>
      <w:r w:rsidRPr="002D51C0">
        <w:rPr>
          <w:rFonts w:ascii="Calibri" w:hAnsi="Calibri" w:cs="Calibri"/>
          <w:noProof/>
          <w:sz w:val="24"/>
          <w:szCs w:val="24"/>
        </w:rPr>
        <w:t>(8), 1177–1184. https://doi.org/10.1038/s41559-017-0236-1</w:t>
      </w:r>
    </w:p>
    <w:p w14:paraId="7CA3B238" w14:textId="77777777" w:rsidR="002D51C0" w:rsidRPr="002D51C0" w:rsidRDefault="002D51C0" w:rsidP="002D51C0">
      <w:pPr>
        <w:widowControl w:val="0"/>
        <w:autoSpaceDE w:val="0"/>
        <w:autoSpaceDN w:val="0"/>
        <w:adjustRightInd w:val="0"/>
        <w:spacing w:after="0" w:line="480" w:lineRule="auto"/>
        <w:ind w:left="480" w:hanging="480"/>
        <w:rPr>
          <w:rFonts w:ascii="Calibri" w:hAnsi="Calibri" w:cs="Calibri"/>
          <w:noProof/>
          <w:sz w:val="24"/>
          <w:szCs w:val="24"/>
        </w:rPr>
      </w:pPr>
      <w:r w:rsidRPr="002D51C0">
        <w:rPr>
          <w:rFonts w:ascii="Calibri" w:hAnsi="Calibri" w:cs="Calibri"/>
          <w:noProof/>
          <w:sz w:val="24"/>
          <w:szCs w:val="24"/>
        </w:rPr>
        <w:t xml:space="preserve">Knief, U., Hemmrich-Stanisak, G., Wittig, M., Franke, A., Griffith, S. C., Kempenaers, B., &amp; Forstmeier, W. (2016). Fitness consequences of polymorphic inversions in the zebra finch genome. </w:t>
      </w:r>
      <w:r w:rsidRPr="002D51C0">
        <w:rPr>
          <w:rFonts w:ascii="Calibri" w:hAnsi="Calibri" w:cs="Calibri"/>
          <w:i/>
          <w:iCs/>
          <w:noProof/>
          <w:sz w:val="24"/>
          <w:szCs w:val="24"/>
        </w:rPr>
        <w:t>Genome Biology</w:t>
      </w:r>
      <w:r w:rsidRPr="002D51C0">
        <w:rPr>
          <w:rFonts w:ascii="Calibri" w:hAnsi="Calibri" w:cs="Calibri"/>
          <w:noProof/>
          <w:sz w:val="24"/>
          <w:szCs w:val="24"/>
        </w:rPr>
        <w:t xml:space="preserve">, </w:t>
      </w:r>
      <w:r w:rsidRPr="002D51C0">
        <w:rPr>
          <w:rFonts w:ascii="Calibri" w:hAnsi="Calibri" w:cs="Calibri"/>
          <w:i/>
          <w:iCs/>
          <w:noProof/>
          <w:sz w:val="24"/>
          <w:szCs w:val="24"/>
        </w:rPr>
        <w:t>17</w:t>
      </w:r>
      <w:r w:rsidRPr="002D51C0">
        <w:rPr>
          <w:rFonts w:ascii="Calibri" w:hAnsi="Calibri" w:cs="Calibri"/>
          <w:noProof/>
          <w:sz w:val="24"/>
          <w:szCs w:val="24"/>
        </w:rPr>
        <w:t>(1), 199. https://doi.org/10.1186/s13059-016-1056-3</w:t>
      </w:r>
    </w:p>
    <w:p w14:paraId="2EF90FBF" w14:textId="77777777" w:rsidR="002D51C0" w:rsidRPr="002D51C0" w:rsidRDefault="002D51C0" w:rsidP="002D51C0">
      <w:pPr>
        <w:widowControl w:val="0"/>
        <w:autoSpaceDE w:val="0"/>
        <w:autoSpaceDN w:val="0"/>
        <w:adjustRightInd w:val="0"/>
        <w:spacing w:after="0" w:line="480" w:lineRule="auto"/>
        <w:ind w:left="480" w:hanging="480"/>
        <w:rPr>
          <w:rFonts w:ascii="Calibri" w:hAnsi="Calibri" w:cs="Calibri"/>
          <w:noProof/>
          <w:sz w:val="24"/>
          <w:szCs w:val="24"/>
        </w:rPr>
      </w:pPr>
      <w:r w:rsidRPr="002D51C0">
        <w:rPr>
          <w:rFonts w:ascii="Calibri" w:hAnsi="Calibri" w:cs="Calibri"/>
          <w:noProof/>
          <w:sz w:val="24"/>
          <w:szCs w:val="24"/>
        </w:rPr>
        <w:t xml:space="preserve">Koch, E. L., Morales, H. E., Larsson, J., Westram, A. M., Faria, R., Lemmon, A. R., Lemmon, E. M., Johannesson, K., &amp; Butlin, R. K. (2021). Genetic variation for adaptive traits is associated with polymorphic inversions in Littorina saxatilis. In </w:t>
      </w:r>
      <w:r w:rsidRPr="002D51C0">
        <w:rPr>
          <w:rFonts w:ascii="Calibri" w:hAnsi="Calibri" w:cs="Calibri"/>
          <w:i/>
          <w:iCs/>
          <w:noProof/>
          <w:sz w:val="24"/>
          <w:szCs w:val="24"/>
        </w:rPr>
        <w:t>Evolution Letters</w:t>
      </w:r>
      <w:r w:rsidRPr="002D51C0">
        <w:rPr>
          <w:rFonts w:ascii="Calibri" w:hAnsi="Calibri" w:cs="Calibri"/>
          <w:noProof/>
          <w:sz w:val="24"/>
          <w:szCs w:val="24"/>
        </w:rPr>
        <w:t xml:space="preserve"> (Vol. 5, Issue 3, pp. 196–213). https://doi.org/10.1002/evl3.227</w:t>
      </w:r>
    </w:p>
    <w:p w14:paraId="23DDE08A" w14:textId="77777777" w:rsidR="002D51C0" w:rsidRPr="002D51C0" w:rsidRDefault="002D51C0" w:rsidP="002D51C0">
      <w:pPr>
        <w:widowControl w:val="0"/>
        <w:autoSpaceDE w:val="0"/>
        <w:autoSpaceDN w:val="0"/>
        <w:adjustRightInd w:val="0"/>
        <w:spacing w:after="0" w:line="480" w:lineRule="auto"/>
        <w:ind w:left="480" w:hanging="480"/>
        <w:rPr>
          <w:rFonts w:ascii="Calibri" w:hAnsi="Calibri" w:cs="Calibri"/>
          <w:noProof/>
          <w:sz w:val="24"/>
          <w:szCs w:val="24"/>
        </w:rPr>
      </w:pPr>
      <w:r w:rsidRPr="002D51C0">
        <w:rPr>
          <w:rFonts w:ascii="Calibri" w:hAnsi="Calibri" w:cs="Calibri"/>
          <w:noProof/>
          <w:sz w:val="24"/>
          <w:szCs w:val="24"/>
        </w:rPr>
        <w:t xml:space="preserve">Kosuthova, K., &amp; Solc, R. (2022). Inversions on human chromosomes. In </w:t>
      </w:r>
      <w:r w:rsidRPr="002D51C0">
        <w:rPr>
          <w:rFonts w:ascii="Calibri" w:hAnsi="Calibri" w:cs="Calibri"/>
          <w:i/>
          <w:iCs/>
          <w:noProof/>
          <w:sz w:val="24"/>
          <w:szCs w:val="24"/>
        </w:rPr>
        <w:t>American Journal of Medical Genetics, Part A</w:t>
      </w:r>
      <w:r w:rsidRPr="002D51C0">
        <w:rPr>
          <w:rFonts w:ascii="Calibri" w:hAnsi="Calibri" w:cs="Calibri"/>
          <w:noProof/>
          <w:sz w:val="24"/>
          <w:szCs w:val="24"/>
        </w:rPr>
        <w:t>. https://doi.org/10.1002/ajmg.a.63063</w:t>
      </w:r>
    </w:p>
    <w:p w14:paraId="11FBD2EC" w14:textId="77777777" w:rsidR="002D51C0" w:rsidRPr="002D51C0" w:rsidRDefault="002D51C0" w:rsidP="002D51C0">
      <w:pPr>
        <w:widowControl w:val="0"/>
        <w:autoSpaceDE w:val="0"/>
        <w:autoSpaceDN w:val="0"/>
        <w:adjustRightInd w:val="0"/>
        <w:spacing w:after="0" w:line="480" w:lineRule="auto"/>
        <w:ind w:left="480" w:hanging="480"/>
        <w:rPr>
          <w:rFonts w:ascii="Calibri" w:hAnsi="Calibri" w:cs="Calibri"/>
          <w:noProof/>
          <w:sz w:val="24"/>
          <w:szCs w:val="24"/>
        </w:rPr>
      </w:pPr>
      <w:r w:rsidRPr="00B43B6D">
        <w:rPr>
          <w:rFonts w:ascii="Calibri" w:hAnsi="Calibri" w:cs="Calibri"/>
          <w:noProof/>
          <w:sz w:val="24"/>
          <w:szCs w:val="24"/>
          <w:lang w:val="fi-FI"/>
        </w:rPr>
        <w:lastRenderedPageBreak/>
        <w:t xml:space="preserve">Laiho, A., Kotaja, N., Gyenesei, A., &amp; Sironen, A. (2013). </w:t>
      </w:r>
      <w:r w:rsidRPr="002D51C0">
        <w:rPr>
          <w:rFonts w:ascii="Calibri" w:hAnsi="Calibri" w:cs="Calibri"/>
          <w:noProof/>
          <w:sz w:val="24"/>
          <w:szCs w:val="24"/>
        </w:rPr>
        <w:t xml:space="preserve">Transcriptome Profiling of the Murine Testis during the First Wave of Spermatogenesis. </w:t>
      </w:r>
      <w:r w:rsidRPr="002D51C0">
        <w:rPr>
          <w:rFonts w:ascii="Calibri" w:hAnsi="Calibri" w:cs="Calibri"/>
          <w:i/>
          <w:iCs/>
          <w:noProof/>
          <w:sz w:val="24"/>
          <w:szCs w:val="24"/>
        </w:rPr>
        <w:t>PLoS ONE</w:t>
      </w:r>
      <w:r w:rsidRPr="002D51C0">
        <w:rPr>
          <w:rFonts w:ascii="Calibri" w:hAnsi="Calibri" w:cs="Calibri"/>
          <w:noProof/>
          <w:sz w:val="24"/>
          <w:szCs w:val="24"/>
        </w:rPr>
        <w:t xml:space="preserve">, </w:t>
      </w:r>
      <w:r w:rsidRPr="002D51C0">
        <w:rPr>
          <w:rFonts w:ascii="Calibri" w:hAnsi="Calibri" w:cs="Calibri"/>
          <w:i/>
          <w:iCs/>
          <w:noProof/>
          <w:sz w:val="24"/>
          <w:szCs w:val="24"/>
        </w:rPr>
        <w:t>8</w:t>
      </w:r>
      <w:r w:rsidRPr="002D51C0">
        <w:rPr>
          <w:rFonts w:ascii="Calibri" w:hAnsi="Calibri" w:cs="Calibri"/>
          <w:noProof/>
          <w:sz w:val="24"/>
          <w:szCs w:val="24"/>
        </w:rPr>
        <w:t>(4). https://doi.org/10.1371/journal.pone.0061558</w:t>
      </w:r>
    </w:p>
    <w:p w14:paraId="04D75179" w14:textId="77777777" w:rsidR="002D51C0" w:rsidRPr="002D51C0" w:rsidRDefault="002D51C0" w:rsidP="002D51C0">
      <w:pPr>
        <w:widowControl w:val="0"/>
        <w:autoSpaceDE w:val="0"/>
        <w:autoSpaceDN w:val="0"/>
        <w:adjustRightInd w:val="0"/>
        <w:spacing w:after="0" w:line="480" w:lineRule="auto"/>
        <w:ind w:left="480" w:hanging="480"/>
        <w:rPr>
          <w:rFonts w:ascii="Calibri" w:hAnsi="Calibri" w:cs="Calibri"/>
          <w:noProof/>
          <w:sz w:val="24"/>
          <w:szCs w:val="24"/>
        </w:rPr>
      </w:pPr>
      <w:r w:rsidRPr="002D51C0">
        <w:rPr>
          <w:rFonts w:ascii="Calibri" w:hAnsi="Calibri" w:cs="Calibri"/>
          <w:noProof/>
          <w:sz w:val="24"/>
          <w:szCs w:val="24"/>
        </w:rPr>
        <w:t xml:space="preserve">Laskemoen, T., Albrecht, T., Bonisoli-Alquati, A., Cepak, J., de Lope, F., Hermosell, I. G., Johannessen, L. E., Kleven, O., Marzal, A., Mousseau, T. A., Møller, A. P., Robertson, R. J., Rudolfsen, G., Saino, N., Vortman, Y., &amp; Lifjeld, J. T. (2013). Variation in sperm morphometry and sperm competition among barn swallow (Hirundo rustica) populations. </w:t>
      </w:r>
      <w:r w:rsidRPr="002D51C0">
        <w:rPr>
          <w:rFonts w:ascii="Calibri" w:hAnsi="Calibri" w:cs="Calibri"/>
          <w:i/>
          <w:iCs/>
          <w:noProof/>
          <w:sz w:val="24"/>
          <w:szCs w:val="24"/>
        </w:rPr>
        <w:t>Behavioral Ecology and Sociobiology</w:t>
      </w:r>
      <w:r w:rsidRPr="002D51C0">
        <w:rPr>
          <w:rFonts w:ascii="Calibri" w:hAnsi="Calibri" w:cs="Calibri"/>
          <w:noProof/>
          <w:sz w:val="24"/>
          <w:szCs w:val="24"/>
        </w:rPr>
        <w:t xml:space="preserve">, </w:t>
      </w:r>
      <w:r w:rsidRPr="002D51C0">
        <w:rPr>
          <w:rFonts w:ascii="Calibri" w:hAnsi="Calibri" w:cs="Calibri"/>
          <w:i/>
          <w:iCs/>
          <w:noProof/>
          <w:sz w:val="24"/>
          <w:szCs w:val="24"/>
        </w:rPr>
        <w:t>67</w:t>
      </w:r>
      <w:r w:rsidRPr="002D51C0">
        <w:rPr>
          <w:rFonts w:ascii="Calibri" w:hAnsi="Calibri" w:cs="Calibri"/>
          <w:noProof/>
          <w:sz w:val="24"/>
          <w:szCs w:val="24"/>
        </w:rPr>
        <w:t>(2), 301–309. https://doi.org/10.1007/s00265-012-1450-0</w:t>
      </w:r>
    </w:p>
    <w:p w14:paraId="535D491A" w14:textId="77777777" w:rsidR="002D51C0" w:rsidRPr="002D51C0" w:rsidRDefault="002D51C0" w:rsidP="002D51C0">
      <w:pPr>
        <w:widowControl w:val="0"/>
        <w:autoSpaceDE w:val="0"/>
        <w:autoSpaceDN w:val="0"/>
        <w:adjustRightInd w:val="0"/>
        <w:spacing w:after="0" w:line="480" w:lineRule="auto"/>
        <w:ind w:left="480" w:hanging="480"/>
        <w:rPr>
          <w:rFonts w:ascii="Calibri" w:hAnsi="Calibri" w:cs="Calibri"/>
          <w:noProof/>
          <w:sz w:val="24"/>
          <w:szCs w:val="24"/>
        </w:rPr>
      </w:pPr>
      <w:r w:rsidRPr="002D51C0">
        <w:rPr>
          <w:rFonts w:ascii="Calibri" w:hAnsi="Calibri" w:cs="Calibri"/>
          <w:noProof/>
          <w:sz w:val="24"/>
          <w:szCs w:val="24"/>
        </w:rPr>
        <w:t xml:space="preserve">Lavington, E., &amp; Kern, A. D. (2017). The effect of common inversion polymorphisms In(2L)t and In(3R)Mo on patterns of transcriptional variation in Drosophila melanogaster. </w:t>
      </w:r>
      <w:r w:rsidRPr="002D51C0">
        <w:rPr>
          <w:rFonts w:ascii="Calibri" w:hAnsi="Calibri" w:cs="Calibri"/>
          <w:i/>
          <w:iCs/>
          <w:noProof/>
          <w:sz w:val="24"/>
          <w:szCs w:val="24"/>
        </w:rPr>
        <w:t>G3: Genes, Genomes, Genetics</w:t>
      </w:r>
      <w:r w:rsidRPr="002D51C0">
        <w:rPr>
          <w:rFonts w:ascii="Calibri" w:hAnsi="Calibri" w:cs="Calibri"/>
          <w:noProof/>
          <w:sz w:val="24"/>
          <w:szCs w:val="24"/>
        </w:rPr>
        <w:t xml:space="preserve">, </w:t>
      </w:r>
      <w:r w:rsidRPr="002D51C0">
        <w:rPr>
          <w:rFonts w:ascii="Calibri" w:hAnsi="Calibri" w:cs="Calibri"/>
          <w:i/>
          <w:iCs/>
          <w:noProof/>
          <w:sz w:val="24"/>
          <w:szCs w:val="24"/>
        </w:rPr>
        <w:t>7</w:t>
      </w:r>
      <w:r w:rsidRPr="002D51C0">
        <w:rPr>
          <w:rFonts w:ascii="Calibri" w:hAnsi="Calibri" w:cs="Calibri"/>
          <w:noProof/>
          <w:sz w:val="24"/>
          <w:szCs w:val="24"/>
        </w:rPr>
        <w:t>(11), 3659–3668. https://doi.org/10.1534/g3.117.1133</w:t>
      </w:r>
    </w:p>
    <w:p w14:paraId="3CCA427D" w14:textId="77777777" w:rsidR="002D51C0" w:rsidRPr="002D51C0" w:rsidRDefault="002D51C0" w:rsidP="002D51C0">
      <w:pPr>
        <w:widowControl w:val="0"/>
        <w:autoSpaceDE w:val="0"/>
        <w:autoSpaceDN w:val="0"/>
        <w:adjustRightInd w:val="0"/>
        <w:spacing w:after="0" w:line="480" w:lineRule="auto"/>
        <w:ind w:left="480" w:hanging="480"/>
        <w:rPr>
          <w:rFonts w:ascii="Calibri" w:hAnsi="Calibri" w:cs="Calibri"/>
          <w:noProof/>
          <w:sz w:val="24"/>
          <w:szCs w:val="24"/>
        </w:rPr>
      </w:pPr>
      <w:r w:rsidRPr="002D51C0">
        <w:rPr>
          <w:rFonts w:ascii="Calibri" w:hAnsi="Calibri" w:cs="Calibri"/>
          <w:noProof/>
          <w:sz w:val="24"/>
          <w:szCs w:val="24"/>
        </w:rPr>
        <w:t xml:space="preserve">Law, C. W., Chen, Y., Shi, W., &amp; Smyth, G. K. (2014). Voom: Precision weights unlock linear model analysis tools for RNA-seq read counts. </w:t>
      </w:r>
      <w:r w:rsidRPr="002D51C0">
        <w:rPr>
          <w:rFonts w:ascii="Calibri" w:hAnsi="Calibri" w:cs="Calibri"/>
          <w:i/>
          <w:iCs/>
          <w:noProof/>
          <w:sz w:val="24"/>
          <w:szCs w:val="24"/>
        </w:rPr>
        <w:t>Genome Biology</w:t>
      </w:r>
      <w:r w:rsidRPr="002D51C0">
        <w:rPr>
          <w:rFonts w:ascii="Calibri" w:hAnsi="Calibri" w:cs="Calibri"/>
          <w:noProof/>
          <w:sz w:val="24"/>
          <w:szCs w:val="24"/>
        </w:rPr>
        <w:t xml:space="preserve">, </w:t>
      </w:r>
      <w:r w:rsidRPr="002D51C0">
        <w:rPr>
          <w:rFonts w:ascii="Calibri" w:hAnsi="Calibri" w:cs="Calibri"/>
          <w:i/>
          <w:iCs/>
          <w:noProof/>
          <w:sz w:val="24"/>
          <w:szCs w:val="24"/>
        </w:rPr>
        <w:t>15</w:t>
      </w:r>
      <w:r w:rsidRPr="002D51C0">
        <w:rPr>
          <w:rFonts w:ascii="Calibri" w:hAnsi="Calibri" w:cs="Calibri"/>
          <w:noProof/>
          <w:sz w:val="24"/>
          <w:szCs w:val="24"/>
        </w:rPr>
        <w:t>(2), R29. https://doi.org/10.1186/gb-2014-15-2-r29</w:t>
      </w:r>
    </w:p>
    <w:p w14:paraId="3665794C" w14:textId="77777777" w:rsidR="002D51C0" w:rsidRPr="002D51C0" w:rsidRDefault="002D51C0" w:rsidP="002D51C0">
      <w:pPr>
        <w:widowControl w:val="0"/>
        <w:autoSpaceDE w:val="0"/>
        <w:autoSpaceDN w:val="0"/>
        <w:adjustRightInd w:val="0"/>
        <w:spacing w:after="0" w:line="480" w:lineRule="auto"/>
        <w:ind w:left="480" w:hanging="480"/>
        <w:rPr>
          <w:rFonts w:ascii="Calibri" w:hAnsi="Calibri" w:cs="Calibri"/>
          <w:noProof/>
          <w:sz w:val="24"/>
          <w:szCs w:val="24"/>
        </w:rPr>
      </w:pPr>
      <w:r w:rsidRPr="002D51C0">
        <w:rPr>
          <w:rFonts w:ascii="Calibri" w:hAnsi="Calibri" w:cs="Calibri"/>
          <w:noProof/>
          <w:sz w:val="24"/>
          <w:szCs w:val="24"/>
        </w:rPr>
        <w:t xml:space="preserve">Leimar, O. (2005). The Evolution of Phenotypic Polymorphism: Randomized Strategies versus Evolutionary Branching. </w:t>
      </w:r>
      <w:r w:rsidRPr="002D51C0">
        <w:rPr>
          <w:rFonts w:ascii="Calibri" w:hAnsi="Calibri" w:cs="Calibri"/>
          <w:i/>
          <w:iCs/>
          <w:noProof/>
          <w:sz w:val="24"/>
          <w:szCs w:val="24"/>
        </w:rPr>
        <w:t>The American Naturalist</w:t>
      </w:r>
      <w:r w:rsidRPr="002D51C0">
        <w:rPr>
          <w:rFonts w:ascii="Calibri" w:hAnsi="Calibri" w:cs="Calibri"/>
          <w:noProof/>
          <w:sz w:val="24"/>
          <w:szCs w:val="24"/>
        </w:rPr>
        <w:t xml:space="preserve">, </w:t>
      </w:r>
      <w:r w:rsidRPr="002D51C0">
        <w:rPr>
          <w:rFonts w:ascii="Calibri" w:hAnsi="Calibri" w:cs="Calibri"/>
          <w:i/>
          <w:iCs/>
          <w:noProof/>
          <w:sz w:val="24"/>
          <w:szCs w:val="24"/>
        </w:rPr>
        <w:t>165</w:t>
      </w:r>
      <w:r w:rsidRPr="002D51C0">
        <w:rPr>
          <w:rFonts w:ascii="Calibri" w:hAnsi="Calibri" w:cs="Calibri"/>
          <w:noProof/>
          <w:sz w:val="24"/>
          <w:szCs w:val="24"/>
        </w:rPr>
        <w:t>(6), 669–681. https://doi.org/10.1086/429566</w:t>
      </w:r>
    </w:p>
    <w:p w14:paraId="6DEB21D0" w14:textId="77777777" w:rsidR="002D51C0" w:rsidRPr="002D51C0" w:rsidRDefault="002D51C0" w:rsidP="002D51C0">
      <w:pPr>
        <w:widowControl w:val="0"/>
        <w:autoSpaceDE w:val="0"/>
        <w:autoSpaceDN w:val="0"/>
        <w:adjustRightInd w:val="0"/>
        <w:spacing w:after="0" w:line="480" w:lineRule="auto"/>
        <w:ind w:left="480" w:hanging="480"/>
        <w:rPr>
          <w:rFonts w:ascii="Calibri" w:hAnsi="Calibri" w:cs="Calibri"/>
          <w:noProof/>
          <w:sz w:val="24"/>
          <w:szCs w:val="24"/>
        </w:rPr>
      </w:pPr>
      <w:r w:rsidRPr="002D51C0">
        <w:rPr>
          <w:rFonts w:ascii="Calibri" w:hAnsi="Calibri" w:cs="Calibri"/>
          <w:noProof/>
          <w:sz w:val="24"/>
          <w:szCs w:val="24"/>
        </w:rPr>
        <w:t xml:space="preserve">Lifjeld, J. T., Laskemoen, T., Kleven, O., Albrecht, T., &amp; Robertson, R. J. (2010). Sperm length variation as a predictor of extrapair paternity in passerine birds. </w:t>
      </w:r>
      <w:r w:rsidRPr="002D51C0">
        <w:rPr>
          <w:rFonts w:ascii="Calibri" w:hAnsi="Calibri" w:cs="Calibri"/>
          <w:i/>
          <w:iCs/>
          <w:noProof/>
          <w:sz w:val="24"/>
          <w:szCs w:val="24"/>
        </w:rPr>
        <w:t>PLoS ONE</w:t>
      </w:r>
      <w:r w:rsidRPr="002D51C0">
        <w:rPr>
          <w:rFonts w:ascii="Calibri" w:hAnsi="Calibri" w:cs="Calibri"/>
          <w:noProof/>
          <w:sz w:val="24"/>
          <w:szCs w:val="24"/>
        </w:rPr>
        <w:t xml:space="preserve">, </w:t>
      </w:r>
      <w:r w:rsidRPr="002D51C0">
        <w:rPr>
          <w:rFonts w:ascii="Calibri" w:hAnsi="Calibri" w:cs="Calibri"/>
          <w:i/>
          <w:iCs/>
          <w:noProof/>
          <w:sz w:val="24"/>
          <w:szCs w:val="24"/>
        </w:rPr>
        <w:t>5</w:t>
      </w:r>
      <w:r w:rsidRPr="002D51C0">
        <w:rPr>
          <w:rFonts w:ascii="Calibri" w:hAnsi="Calibri" w:cs="Calibri"/>
          <w:noProof/>
          <w:sz w:val="24"/>
          <w:szCs w:val="24"/>
        </w:rPr>
        <w:t>(10). https://doi.org/10.1371/journal.pone.0013456</w:t>
      </w:r>
    </w:p>
    <w:p w14:paraId="707D1428" w14:textId="77777777" w:rsidR="002D51C0" w:rsidRPr="002D51C0" w:rsidRDefault="002D51C0" w:rsidP="002D51C0">
      <w:pPr>
        <w:widowControl w:val="0"/>
        <w:autoSpaceDE w:val="0"/>
        <w:autoSpaceDN w:val="0"/>
        <w:adjustRightInd w:val="0"/>
        <w:spacing w:after="0" w:line="480" w:lineRule="auto"/>
        <w:ind w:left="480" w:hanging="480"/>
        <w:rPr>
          <w:rFonts w:ascii="Calibri" w:hAnsi="Calibri" w:cs="Calibri"/>
          <w:noProof/>
          <w:sz w:val="24"/>
          <w:szCs w:val="24"/>
        </w:rPr>
      </w:pPr>
      <w:r w:rsidRPr="002D51C0">
        <w:rPr>
          <w:rFonts w:ascii="Calibri" w:hAnsi="Calibri" w:cs="Calibri"/>
          <w:noProof/>
          <w:sz w:val="24"/>
          <w:szCs w:val="24"/>
        </w:rPr>
        <w:t xml:space="preserve">Martin, M. (2011). Cutadapt removes adapter sequences from high-throughput sequencing reads. </w:t>
      </w:r>
      <w:r w:rsidRPr="002D51C0">
        <w:rPr>
          <w:rFonts w:ascii="Calibri" w:hAnsi="Calibri" w:cs="Calibri"/>
          <w:i/>
          <w:iCs/>
          <w:noProof/>
          <w:sz w:val="24"/>
          <w:szCs w:val="24"/>
        </w:rPr>
        <w:t>EMBnet.Journal</w:t>
      </w:r>
      <w:r w:rsidRPr="002D51C0">
        <w:rPr>
          <w:rFonts w:ascii="Calibri" w:hAnsi="Calibri" w:cs="Calibri"/>
          <w:noProof/>
          <w:sz w:val="24"/>
          <w:szCs w:val="24"/>
        </w:rPr>
        <w:t xml:space="preserve">, </w:t>
      </w:r>
      <w:r w:rsidRPr="002D51C0">
        <w:rPr>
          <w:rFonts w:ascii="Calibri" w:hAnsi="Calibri" w:cs="Calibri"/>
          <w:i/>
          <w:iCs/>
          <w:noProof/>
          <w:sz w:val="24"/>
          <w:szCs w:val="24"/>
        </w:rPr>
        <w:t>17</w:t>
      </w:r>
      <w:r w:rsidRPr="002D51C0">
        <w:rPr>
          <w:rFonts w:ascii="Calibri" w:hAnsi="Calibri" w:cs="Calibri"/>
          <w:noProof/>
          <w:sz w:val="24"/>
          <w:szCs w:val="24"/>
        </w:rPr>
        <w:t>(1), 10. https://doi.org/10.14806/ej.17.1.200</w:t>
      </w:r>
    </w:p>
    <w:p w14:paraId="097B3C71" w14:textId="77777777" w:rsidR="002D51C0" w:rsidRPr="002D51C0" w:rsidRDefault="002D51C0" w:rsidP="002D51C0">
      <w:pPr>
        <w:widowControl w:val="0"/>
        <w:autoSpaceDE w:val="0"/>
        <w:autoSpaceDN w:val="0"/>
        <w:adjustRightInd w:val="0"/>
        <w:spacing w:after="0" w:line="480" w:lineRule="auto"/>
        <w:ind w:left="480" w:hanging="480"/>
        <w:rPr>
          <w:rFonts w:ascii="Calibri" w:hAnsi="Calibri" w:cs="Calibri"/>
          <w:noProof/>
          <w:sz w:val="24"/>
          <w:szCs w:val="24"/>
        </w:rPr>
      </w:pPr>
      <w:r w:rsidRPr="002D51C0">
        <w:rPr>
          <w:rFonts w:ascii="Calibri" w:hAnsi="Calibri" w:cs="Calibri"/>
          <w:noProof/>
          <w:sz w:val="24"/>
          <w:szCs w:val="24"/>
        </w:rPr>
        <w:t xml:space="preserve">Míčková, K., Tomášek, O., Jelínek, V., Šulc, M., Pazdera, L., Albrechtová, J., &amp; Albrecht, T. (2023). Age-related changes in sperm traits and evidence for aging costs of sperm production in a </w:t>
      </w:r>
      <w:r w:rsidRPr="002D51C0">
        <w:rPr>
          <w:rFonts w:ascii="Calibri" w:hAnsi="Calibri" w:cs="Calibri"/>
          <w:noProof/>
          <w:sz w:val="24"/>
          <w:szCs w:val="24"/>
        </w:rPr>
        <w:lastRenderedPageBreak/>
        <w:t xml:space="preserve">sexually promiscuous passerine. </w:t>
      </w:r>
      <w:r w:rsidRPr="002D51C0">
        <w:rPr>
          <w:rFonts w:ascii="Calibri" w:hAnsi="Calibri" w:cs="Calibri"/>
          <w:i/>
          <w:iCs/>
          <w:noProof/>
          <w:sz w:val="24"/>
          <w:szCs w:val="24"/>
        </w:rPr>
        <w:t>Frontiers in Ecology and Evolution</w:t>
      </w:r>
      <w:r w:rsidRPr="002D51C0">
        <w:rPr>
          <w:rFonts w:ascii="Calibri" w:hAnsi="Calibri" w:cs="Calibri"/>
          <w:noProof/>
          <w:sz w:val="24"/>
          <w:szCs w:val="24"/>
        </w:rPr>
        <w:t xml:space="preserve">, </w:t>
      </w:r>
      <w:r w:rsidRPr="002D51C0">
        <w:rPr>
          <w:rFonts w:ascii="Calibri" w:hAnsi="Calibri" w:cs="Calibri"/>
          <w:i/>
          <w:iCs/>
          <w:noProof/>
          <w:sz w:val="24"/>
          <w:szCs w:val="24"/>
        </w:rPr>
        <w:t>11</w:t>
      </w:r>
      <w:r w:rsidRPr="002D51C0">
        <w:rPr>
          <w:rFonts w:ascii="Calibri" w:hAnsi="Calibri" w:cs="Calibri"/>
          <w:noProof/>
          <w:sz w:val="24"/>
          <w:szCs w:val="24"/>
        </w:rPr>
        <w:t>(February), 1–9. https://doi.org/10.3389/fevo.2023.1105596</w:t>
      </w:r>
    </w:p>
    <w:p w14:paraId="57CA82E8" w14:textId="77777777" w:rsidR="002D51C0" w:rsidRPr="002D51C0" w:rsidRDefault="002D51C0" w:rsidP="002D51C0">
      <w:pPr>
        <w:widowControl w:val="0"/>
        <w:autoSpaceDE w:val="0"/>
        <w:autoSpaceDN w:val="0"/>
        <w:adjustRightInd w:val="0"/>
        <w:spacing w:after="0" w:line="480" w:lineRule="auto"/>
        <w:ind w:left="480" w:hanging="480"/>
        <w:rPr>
          <w:rFonts w:ascii="Calibri" w:hAnsi="Calibri" w:cs="Calibri"/>
          <w:noProof/>
          <w:sz w:val="24"/>
          <w:szCs w:val="24"/>
        </w:rPr>
      </w:pPr>
      <w:r w:rsidRPr="002D51C0">
        <w:rPr>
          <w:rFonts w:ascii="Calibri" w:hAnsi="Calibri" w:cs="Calibri"/>
          <w:noProof/>
          <w:sz w:val="24"/>
          <w:szCs w:val="24"/>
        </w:rPr>
        <w:t xml:space="preserve">Pitnick, S., Hosken, D. J., &amp; Birkhead, T. R. (2009). Sperm morphological diversity. In T. R. Birkhead, D. J. Hosken, &amp; S. Pitnick (Eds.), </w:t>
      </w:r>
      <w:r w:rsidRPr="002D51C0">
        <w:rPr>
          <w:rFonts w:ascii="Calibri" w:hAnsi="Calibri" w:cs="Calibri"/>
          <w:i/>
          <w:iCs/>
          <w:noProof/>
          <w:sz w:val="24"/>
          <w:szCs w:val="24"/>
        </w:rPr>
        <w:t>Sperm Biology: An Evolutionary Perspective</w:t>
      </w:r>
      <w:r w:rsidRPr="002D51C0">
        <w:rPr>
          <w:rFonts w:ascii="Calibri" w:hAnsi="Calibri" w:cs="Calibri"/>
          <w:noProof/>
          <w:sz w:val="24"/>
          <w:szCs w:val="24"/>
        </w:rPr>
        <w:t xml:space="preserve"> (1st ed., pp. 69–149). Elsevier.</w:t>
      </w:r>
    </w:p>
    <w:p w14:paraId="0F0CDF8B" w14:textId="77777777" w:rsidR="002D51C0" w:rsidRPr="002D51C0" w:rsidRDefault="002D51C0" w:rsidP="002D51C0">
      <w:pPr>
        <w:widowControl w:val="0"/>
        <w:autoSpaceDE w:val="0"/>
        <w:autoSpaceDN w:val="0"/>
        <w:adjustRightInd w:val="0"/>
        <w:spacing w:after="0" w:line="480" w:lineRule="auto"/>
        <w:ind w:left="480" w:hanging="480"/>
        <w:rPr>
          <w:rFonts w:ascii="Calibri" w:hAnsi="Calibri" w:cs="Calibri"/>
          <w:noProof/>
          <w:sz w:val="24"/>
          <w:szCs w:val="24"/>
        </w:rPr>
      </w:pPr>
      <w:r w:rsidRPr="002D51C0">
        <w:rPr>
          <w:rFonts w:ascii="Calibri" w:hAnsi="Calibri" w:cs="Calibri"/>
          <w:noProof/>
          <w:sz w:val="24"/>
          <w:szCs w:val="24"/>
        </w:rPr>
        <w:t xml:space="preserve">Prichard, M. R., Grogan, K. E., Merritt, J. R., Root, J., &amp; Maney, D. L. (2022). Allele-specific cis-regulatory methylation of the gene for vasoactive intestinal peptide in white-throated sparrows. </w:t>
      </w:r>
      <w:r w:rsidRPr="002D51C0">
        <w:rPr>
          <w:rFonts w:ascii="Calibri" w:hAnsi="Calibri" w:cs="Calibri"/>
          <w:i/>
          <w:iCs/>
          <w:noProof/>
          <w:sz w:val="24"/>
          <w:szCs w:val="24"/>
        </w:rPr>
        <w:t>Genes, Brain and Behavior</w:t>
      </w:r>
      <w:r w:rsidRPr="002D51C0">
        <w:rPr>
          <w:rFonts w:ascii="Calibri" w:hAnsi="Calibri" w:cs="Calibri"/>
          <w:noProof/>
          <w:sz w:val="24"/>
          <w:szCs w:val="24"/>
        </w:rPr>
        <w:t xml:space="preserve">, </w:t>
      </w:r>
      <w:r w:rsidRPr="002D51C0">
        <w:rPr>
          <w:rFonts w:ascii="Calibri" w:hAnsi="Calibri" w:cs="Calibri"/>
          <w:i/>
          <w:iCs/>
          <w:noProof/>
          <w:sz w:val="24"/>
          <w:szCs w:val="24"/>
        </w:rPr>
        <w:t>21</w:t>
      </w:r>
      <w:r w:rsidRPr="002D51C0">
        <w:rPr>
          <w:rFonts w:ascii="Calibri" w:hAnsi="Calibri" w:cs="Calibri"/>
          <w:noProof/>
          <w:sz w:val="24"/>
          <w:szCs w:val="24"/>
        </w:rPr>
        <w:t>(8), 1–12. https://doi.org/10.1111/gbb.12831</w:t>
      </w:r>
    </w:p>
    <w:p w14:paraId="7BE88221" w14:textId="77777777" w:rsidR="002D51C0" w:rsidRPr="002D51C0" w:rsidRDefault="002D51C0" w:rsidP="002D51C0">
      <w:pPr>
        <w:widowControl w:val="0"/>
        <w:autoSpaceDE w:val="0"/>
        <w:autoSpaceDN w:val="0"/>
        <w:adjustRightInd w:val="0"/>
        <w:spacing w:after="0" w:line="480" w:lineRule="auto"/>
        <w:ind w:left="480" w:hanging="480"/>
        <w:rPr>
          <w:rFonts w:ascii="Calibri" w:hAnsi="Calibri" w:cs="Calibri"/>
          <w:noProof/>
          <w:sz w:val="24"/>
          <w:szCs w:val="24"/>
        </w:rPr>
      </w:pPr>
      <w:r w:rsidRPr="002D51C0">
        <w:rPr>
          <w:rFonts w:ascii="Calibri" w:hAnsi="Calibri" w:cs="Calibri"/>
          <w:noProof/>
          <w:sz w:val="24"/>
          <w:szCs w:val="24"/>
        </w:rPr>
        <w:t xml:space="preserve">Puig, M., Casillas, S., Villatoro, S., &amp; Cáceres, M. (2015). Human inversions and their functional consequences. </w:t>
      </w:r>
      <w:r w:rsidRPr="002D51C0">
        <w:rPr>
          <w:rFonts w:ascii="Calibri" w:hAnsi="Calibri" w:cs="Calibri"/>
          <w:i/>
          <w:iCs/>
          <w:noProof/>
          <w:sz w:val="24"/>
          <w:szCs w:val="24"/>
        </w:rPr>
        <w:t>Briefings in Functional Genomics</w:t>
      </w:r>
      <w:r w:rsidRPr="002D51C0">
        <w:rPr>
          <w:rFonts w:ascii="Calibri" w:hAnsi="Calibri" w:cs="Calibri"/>
          <w:noProof/>
          <w:sz w:val="24"/>
          <w:szCs w:val="24"/>
        </w:rPr>
        <w:t xml:space="preserve">, </w:t>
      </w:r>
      <w:r w:rsidRPr="002D51C0">
        <w:rPr>
          <w:rFonts w:ascii="Calibri" w:hAnsi="Calibri" w:cs="Calibri"/>
          <w:i/>
          <w:iCs/>
          <w:noProof/>
          <w:sz w:val="24"/>
          <w:szCs w:val="24"/>
        </w:rPr>
        <w:t>14</w:t>
      </w:r>
      <w:r w:rsidRPr="002D51C0">
        <w:rPr>
          <w:rFonts w:ascii="Calibri" w:hAnsi="Calibri" w:cs="Calibri"/>
          <w:noProof/>
          <w:sz w:val="24"/>
          <w:szCs w:val="24"/>
        </w:rPr>
        <w:t>(5), 369–379. https://doi.org/10.1093/bfgp/elv020</w:t>
      </w:r>
    </w:p>
    <w:p w14:paraId="21D51364" w14:textId="77777777" w:rsidR="002D51C0" w:rsidRPr="002D51C0" w:rsidRDefault="002D51C0" w:rsidP="002D51C0">
      <w:pPr>
        <w:widowControl w:val="0"/>
        <w:autoSpaceDE w:val="0"/>
        <w:autoSpaceDN w:val="0"/>
        <w:adjustRightInd w:val="0"/>
        <w:spacing w:after="0" w:line="480" w:lineRule="auto"/>
        <w:ind w:left="480" w:hanging="480"/>
        <w:rPr>
          <w:rFonts w:ascii="Calibri" w:hAnsi="Calibri" w:cs="Calibri"/>
          <w:noProof/>
          <w:sz w:val="24"/>
          <w:szCs w:val="24"/>
        </w:rPr>
      </w:pPr>
      <w:r w:rsidRPr="002D51C0">
        <w:rPr>
          <w:rFonts w:ascii="Calibri" w:hAnsi="Calibri" w:cs="Calibri"/>
          <w:noProof/>
          <w:sz w:val="24"/>
          <w:szCs w:val="24"/>
        </w:rPr>
        <w:t xml:space="preserve">R Core Team. (2022). </w:t>
      </w:r>
      <w:r w:rsidRPr="002D51C0">
        <w:rPr>
          <w:rFonts w:ascii="Calibri" w:hAnsi="Calibri" w:cs="Calibri"/>
          <w:i/>
          <w:iCs/>
          <w:noProof/>
          <w:sz w:val="24"/>
          <w:szCs w:val="24"/>
        </w:rPr>
        <w:t>R: A language and environment for statistical computing</w:t>
      </w:r>
      <w:r w:rsidRPr="002D51C0">
        <w:rPr>
          <w:rFonts w:ascii="Calibri" w:hAnsi="Calibri" w:cs="Calibri"/>
          <w:noProof/>
          <w:sz w:val="24"/>
          <w:szCs w:val="24"/>
        </w:rPr>
        <w:t>. R Foundation for Statistical Computing. https://www.r-project.org/</w:t>
      </w:r>
    </w:p>
    <w:p w14:paraId="0655B049" w14:textId="77777777" w:rsidR="002D51C0" w:rsidRPr="002D51C0" w:rsidRDefault="002D51C0" w:rsidP="002D51C0">
      <w:pPr>
        <w:widowControl w:val="0"/>
        <w:autoSpaceDE w:val="0"/>
        <w:autoSpaceDN w:val="0"/>
        <w:adjustRightInd w:val="0"/>
        <w:spacing w:after="0" w:line="480" w:lineRule="auto"/>
        <w:ind w:left="480" w:hanging="480"/>
        <w:rPr>
          <w:rFonts w:ascii="Calibri" w:hAnsi="Calibri" w:cs="Calibri"/>
          <w:noProof/>
          <w:sz w:val="24"/>
          <w:szCs w:val="24"/>
        </w:rPr>
      </w:pPr>
      <w:r w:rsidRPr="002D51C0">
        <w:rPr>
          <w:rFonts w:ascii="Calibri" w:hAnsi="Calibri" w:cs="Calibri"/>
          <w:noProof/>
          <w:sz w:val="24"/>
          <w:szCs w:val="24"/>
        </w:rPr>
        <w:t xml:space="preserve">Robinson, M. D., McCarthy, D. J., &amp; Smyth, G. K. (2009). edgeR: A Bioconductor package for differential expression analysis of digital gene expression data. </w:t>
      </w:r>
      <w:r w:rsidRPr="002D51C0">
        <w:rPr>
          <w:rFonts w:ascii="Calibri" w:hAnsi="Calibri" w:cs="Calibri"/>
          <w:i/>
          <w:iCs/>
          <w:noProof/>
          <w:sz w:val="24"/>
          <w:szCs w:val="24"/>
        </w:rPr>
        <w:t>Bioinformatics</w:t>
      </w:r>
      <w:r w:rsidRPr="002D51C0">
        <w:rPr>
          <w:rFonts w:ascii="Calibri" w:hAnsi="Calibri" w:cs="Calibri"/>
          <w:noProof/>
          <w:sz w:val="24"/>
          <w:szCs w:val="24"/>
        </w:rPr>
        <w:t xml:space="preserve">, </w:t>
      </w:r>
      <w:r w:rsidRPr="002D51C0">
        <w:rPr>
          <w:rFonts w:ascii="Calibri" w:hAnsi="Calibri" w:cs="Calibri"/>
          <w:i/>
          <w:iCs/>
          <w:noProof/>
          <w:sz w:val="24"/>
          <w:szCs w:val="24"/>
        </w:rPr>
        <w:t>26</w:t>
      </w:r>
      <w:r w:rsidRPr="002D51C0">
        <w:rPr>
          <w:rFonts w:ascii="Calibri" w:hAnsi="Calibri" w:cs="Calibri"/>
          <w:noProof/>
          <w:sz w:val="24"/>
          <w:szCs w:val="24"/>
        </w:rPr>
        <w:t>(1), 139–140. https://doi.org/10.1093/bioinformatics/btp616</w:t>
      </w:r>
    </w:p>
    <w:p w14:paraId="2058828A" w14:textId="77777777" w:rsidR="002D51C0" w:rsidRPr="002D51C0" w:rsidRDefault="002D51C0" w:rsidP="002D51C0">
      <w:pPr>
        <w:widowControl w:val="0"/>
        <w:autoSpaceDE w:val="0"/>
        <w:autoSpaceDN w:val="0"/>
        <w:adjustRightInd w:val="0"/>
        <w:spacing w:after="0" w:line="480" w:lineRule="auto"/>
        <w:ind w:left="480" w:hanging="480"/>
        <w:rPr>
          <w:rFonts w:ascii="Calibri" w:hAnsi="Calibri" w:cs="Calibri"/>
          <w:noProof/>
          <w:sz w:val="24"/>
          <w:szCs w:val="24"/>
        </w:rPr>
      </w:pPr>
      <w:r w:rsidRPr="002D51C0">
        <w:rPr>
          <w:rFonts w:ascii="Calibri" w:hAnsi="Calibri" w:cs="Calibri"/>
          <w:noProof/>
          <w:sz w:val="24"/>
          <w:szCs w:val="24"/>
        </w:rPr>
        <w:t xml:space="preserve">Sabarís, G., Laiker, I., Preger-Ben Noon, E., &amp; Frankel, N. (2019). Actors with Multiple Roles: Pleiotropic Enhancers and the Paradigm of Enhancer Modularity. </w:t>
      </w:r>
      <w:r w:rsidRPr="002D51C0">
        <w:rPr>
          <w:rFonts w:ascii="Calibri" w:hAnsi="Calibri" w:cs="Calibri"/>
          <w:i/>
          <w:iCs/>
          <w:noProof/>
          <w:sz w:val="24"/>
          <w:szCs w:val="24"/>
        </w:rPr>
        <w:t>Trends in Genetics</w:t>
      </w:r>
      <w:r w:rsidRPr="002D51C0">
        <w:rPr>
          <w:rFonts w:ascii="Calibri" w:hAnsi="Calibri" w:cs="Calibri"/>
          <w:noProof/>
          <w:sz w:val="24"/>
          <w:szCs w:val="24"/>
        </w:rPr>
        <w:t xml:space="preserve">, </w:t>
      </w:r>
      <w:r w:rsidRPr="002D51C0">
        <w:rPr>
          <w:rFonts w:ascii="Calibri" w:hAnsi="Calibri" w:cs="Calibri"/>
          <w:i/>
          <w:iCs/>
          <w:noProof/>
          <w:sz w:val="24"/>
          <w:szCs w:val="24"/>
        </w:rPr>
        <w:t>35</w:t>
      </w:r>
      <w:r w:rsidRPr="002D51C0">
        <w:rPr>
          <w:rFonts w:ascii="Calibri" w:hAnsi="Calibri" w:cs="Calibri"/>
          <w:noProof/>
          <w:sz w:val="24"/>
          <w:szCs w:val="24"/>
        </w:rPr>
        <w:t>(6), 423–433. https://doi.org/10.1016/j.tig.2019.03.006</w:t>
      </w:r>
    </w:p>
    <w:p w14:paraId="7E94AD70" w14:textId="77777777" w:rsidR="002D51C0" w:rsidRPr="002D51C0" w:rsidRDefault="002D51C0" w:rsidP="002D51C0">
      <w:pPr>
        <w:widowControl w:val="0"/>
        <w:autoSpaceDE w:val="0"/>
        <w:autoSpaceDN w:val="0"/>
        <w:adjustRightInd w:val="0"/>
        <w:spacing w:after="0" w:line="480" w:lineRule="auto"/>
        <w:ind w:left="480" w:hanging="480"/>
        <w:rPr>
          <w:rFonts w:ascii="Calibri" w:hAnsi="Calibri" w:cs="Calibri"/>
          <w:noProof/>
          <w:sz w:val="24"/>
          <w:szCs w:val="24"/>
        </w:rPr>
      </w:pPr>
      <w:r w:rsidRPr="002D51C0">
        <w:rPr>
          <w:rFonts w:ascii="Calibri" w:hAnsi="Calibri" w:cs="Calibri"/>
          <w:noProof/>
          <w:sz w:val="24"/>
          <w:szCs w:val="24"/>
        </w:rPr>
        <w:t xml:space="preserve">Salzberg, Y., Eldar, T., Karminsky, O. D., Itach, S. B. S., Pietrokovski, S., &amp; Don, J. (2010). Meig1 deficiency causes a severe defect in mouse spermatogenesis. </w:t>
      </w:r>
      <w:r w:rsidRPr="002D51C0">
        <w:rPr>
          <w:rFonts w:ascii="Calibri" w:hAnsi="Calibri" w:cs="Calibri"/>
          <w:i/>
          <w:iCs/>
          <w:noProof/>
          <w:sz w:val="24"/>
          <w:szCs w:val="24"/>
        </w:rPr>
        <w:t>Developmental Biology</w:t>
      </w:r>
      <w:r w:rsidRPr="002D51C0">
        <w:rPr>
          <w:rFonts w:ascii="Calibri" w:hAnsi="Calibri" w:cs="Calibri"/>
          <w:noProof/>
          <w:sz w:val="24"/>
          <w:szCs w:val="24"/>
        </w:rPr>
        <w:t xml:space="preserve">, </w:t>
      </w:r>
      <w:r w:rsidRPr="002D51C0">
        <w:rPr>
          <w:rFonts w:ascii="Calibri" w:hAnsi="Calibri" w:cs="Calibri"/>
          <w:i/>
          <w:iCs/>
          <w:noProof/>
          <w:sz w:val="24"/>
          <w:szCs w:val="24"/>
        </w:rPr>
        <w:t>338</w:t>
      </w:r>
      <w:r w:rsidRPr="002D51C0">
        <w:rPr>
          <w:rFonts w:ascii="Calibri" w:hAnsi="Calibri" w:cs="Calibri"/>
          <w:noProof/>
          <w:sz w:val="24"/>
          <w:szCs w:val="24"/>
        </w:rPr>
        <w:t>(2), 158–167. https://doi.org/10.1016/j.ydbio.2009.11.028</w:t>
      </w:r>
    </w:p>
    <w:p w14:paraId="28CEA291" w14:textId="77777777" w:rsidR="002D51C0" w:rsidRPr="00B43B6D" w:rsidRDefault="002D51C0" w:rsidP="002D51C0">
      <w:pPr>
        <w:widowControl w:val="0"/>
        <w:autoSpaceDE w:val="0"/>
        <w:autoSpaceDN w:val="0"/>
        <w:adjustRightInd w:val="0"/>
        <w:spacing w:after="0" w:line="480" w:lineRule="auto"/>
        <w:ind w:left="480" w:hanging="480"/>
        <w:rPr>
          <w:rFonts w:ascii="Calibri" w:hAnsi="Calibri" w:cs="Calibri"/>
          <w:noProof/>
          <w:sz w:val="24"/>
          <w:szCs w:val="24"/>
          <w:lang w:val="fi-FI"/>
        </w:rPr>
      </w:pPr>
      <w:r w:rsidRPr="002D51C0">
        <w:rPr>
          <w:rFonts w:ascii="Calibri" w:hAnsi="Calibri" w:cs="Calibri"/>
          <w:noProof/>
          <w:sz w:val="24"/>
          <w:szCs w:val="24"/>
        </w:rPr>
        <w:t xml:space="preserve">Shanta, O., Noor, A., &amp; Sebat, J. (2020). The effects of common structural variants on 3D chromatin structure. </w:t>
      </w:r>
      <w:r w:rsidRPr="00B43B6D">
        <w:rPr>
          <w:rFonts w:ascii="Calibri" w:hAnsi="Calibri" w:cs="Calibri"/>
          <w:i/>
          <w:iCs/>
          <w:noProof/>
          <w:sz w:val="24"/>
          <w:szCs w:val="24"/>
          <w:lang w:val="fi-FI"/>
        </w:rPr>
        <w:t>BMC Genomics</w:t>
      </w:r>
      <w:r w:rsidRPr="00B43B6D">
        <w:rPr>
          <w:rFonts w:ascii="Calibri" w:hAnsi="Calibri" w:cs="Calibri"/>
          <w:noProof/>
          <w:sz w:val="24"/>
          <w:szCs w:val="24"/>
          <w:lang w:val="fi-FI"/>
        </w:rPr>
        <w:t xml:space="preserve">, </w:t>
      </w:r>
      <w:r w:rsidRPr="00B43B6D">
        <w:rPr>
          <w:rFonts w:ascii="Calibri" w:hAnsi="Calibri" w:cs="Calibri"/>
          <w:i/>
          <w:iCs/>
          <w:noProof/>
          <w:sz w:val="24"/>
          <w:szCs w:val="24"/>
          <w:lang w:val="fi-FI"/>
        </w:rPr>
        <w:t>21</w:t>
      </w:r>
      <w:r w:rsidRPr="00B43B6D">
        <w:rPr>
          <w:rFonts w:ascii="Calibri" w:hAnsi="Calibri" w:cs="Calibri"/>
          <w:noProof/>
          <w:sz w:val="24"/>
          <w:szCs w:val="24"/>
          <w:lang w:val="fi-FI"/>
        </w:rPr>
        <w:t>(1), 95. https://doi.org/10.1186/s12864-020-6516-1</w:t>
      </w:r>
    </w:p>
    <w:p w14:paraId="1A3F5857" w14:textId="77777777" w:rsidR="002D51C0" w:rsidRPr="002D51C0" w:rsidRDefault="002D51C0" w:rsidP="002D51C0">
      <w:pPr>
        <w:widowControl w:val="0"/>
        <w:autoSpaceDE w:val="0"/>
        <w:autoSpaceDN w:val="0"/>
        <w:adjustRightInd w:val="0"/>
        <w:spacing w:after="0" w:line="480" w:lineRule="auto"/>
        <w:ind w:left="480" w:hanging="480"/>
        <w:rPr>
          <w:rFonts w:ascii="Calibri" w:hAnsi="Calibri" w:cs="Calibri"/>
          <w:noProof/>
          <w:sz w:val="24"/>
          <w:szCs w:val="24"/>
        </w:rPr>
      </w:pPr>
      <w:r w:rsidRPr="00B43B6D">
        <w:rPr>
          <w:rFonts w:ascii="Calibri" w:hAnsi="Calibri" w:cs="Calibri"/>
          <w:noProof/>
          <w:sz w:val="24"/>
          <w:szCs w:val="24"/>
          <w:lang w:val="fi-FI"/>
        </w:rPr>
        <w:lastRenderedPageBreak/>
        <w:t xml:space="preserve">Shimasaki, S., Yamamoto, E., Murayama, E., Kurio, H., Kaneko, T., Shibata, Y., Inai, T., &amp; Iida, H. (2010). </w:t>
      </w:r>
      <w:r w:rsidRPr="002D51C0">
        <w:rPr>
          <w:rFonts w:ascii="Calibri" w:hAnsi="Calibri" w:cs="Calibri"/>
          <w:noProof/>
          <w:sz w:val="24"/>
          <w:szCs w:val="24"/>
        </w:rPr>
        <w:t xml:space="preserve">Subcellular localization of Tektin2 in rat sperm flagellum. </w:t>
      </w:r>
      <w:r w:rsidRPr="002D51C0">
        <w:rPr>
          <w:rFonts w:ascii="Calibri" w:hAnsi="Calibri" w:cs="Calibri"/>
          <w:i/>
          <w:iCs/>
          <w:noProof/>
          <w:sz w:val="24"/>
          <w:szCs w:val="24"/>
        </w:rPr>
        <w:t>Zoological Science</w:t>
      </w:r>
      <w:r w:rsidRPr="002D51C0">
        <w:rPr>
          <w:rFonts w:ascii="Calibri" w:hAnsi="Calibri" w:cs="Calibri"/>
          <w:noProof/>
          <w:sz w:val="24"/>
          <w:szCs w:val="24"/>
        </w:rPr>
        <w:t xml:space="preserve">, </w:t>
      </w:r>
      <w:r w:rsidRPr="002D51C0">
        <w:rPr>
          <w:rFonts w:ascii="Calibri" w:hAnsi="Calibri" w:cs="Calibri"/>
          <w:i/>
          <w:iCs/>
          <w:noProof/>
          <w:sz w:val="24"/>
          <w:szCs w:val="24"/>
        </w:rPr>
        <w:t>27</w:t>
      </w:r>
      <w:r w:rsidRPr="002D51C0">
        <w:rPr>
          <w:rFonts w:ascii="Calibri" w:hAnsi="Calibri" w:cs="Calibri"/>
          <w:noProof/>
          <w:sz w:val="24"/>
          <w:szCs w:val="24"/>
        </w:rPr>
        <w:t>(9), 755–761. https://doi.org/10.2108/zsj.27.755</w:t>
      </w:r>
    </w:p>
    <w:p w14:paraId="0B2CB5E9" w14:textId="77777777" w:rsidR="002D51C0" w:rsidRPr="002D51C0" w:rsidRDefault="002D51C0" w:rsidP="002D51C0">
      <w:pPr>
        <w:widowControl w:val="0"/>
        <w:autoSpaceDE w:val="0"/>
        <w:autoSpaceDN w:val="0"/>
        <w:adjustRightInd w:val="0"/>
        <w:spacing w:after="0" w:line="480" w:lineRule="auto"/>
        <w:ind w:left="480" w:hanging="480"/>
        <w:rPr>
          <w:rFonts w:ascii="Calibri" w:hAnsi="Calibri" w:cs="Calibri"/>
          <w:noProof/>
          <w:sz w:val="24"/>
          <w:szCs w:val="24"/>
        </w:rPr>
      </w:pPr>
      <w:r w:rsidRPr="002D51C0">
        <w:rPr>
          <w:rFonts w:ascii="Calibri" w:hAnsi="Calibri" w:cs="Calibri"/>
          <w:noProof/>
          <w:sz w:val="24"/>
          <w:szCs w:val="24"/>
        </w:rPr>
        <w:t xml:space="preserve">Smyth, G. K. (2005). limma: Linear Models for Microarray Data. In </w:t>
      </w:r>
      <w:r w:rsidRPr="002D51C0">
        <w:rPr>
          <w:rFonts w:ascii="Calibri" w:hAnsi="Calibri" w:cs="Calibri"/>
          <w:i/>
          <w:iCs/>
          <w:noProof/>
          <w:sz w:val="24"/>
          <w:szCs w:val="24"/>
        </w:rPr>
        <w:t>Bioinformatics and Computational Biology Solutions Using R and Bioconductor</w:t>
      </w:r>
      <w:r w:rsidRPr="002D51C0">
        <w:rPr>
          <w:rFonts w:ascii="Calibri" w:hAnsi="Calibri" w:cs="Calibri"/>
          <w:noProof/>
          <w:sz w:val="24"/>
          <w:szCs w:val="24"/>
        </w:rPr>
        <w:t xml:space="preserve"> (Issue 2005, pp. 397–420). Springer-Verlag. https://doi.org/10.1007/0-387-29362-0_23</w:t>
      </w:r>
    </w:p>
    <w:p w14:paraId="4D4B56E1" w14:textId="77777777" w:rsidR="002D51C0" w:rsidRPr="002D51C0" w:rsidRDefault="002D51C0" w:rsidP="002D51C0">
      <w:pPr>
        <w:widowControl w:val="0"/>
        <w:autoSpaceDE w:val="0"/>
        <w:autoSpaceDN w:val="0"/>
        <w:adjustRightInd w:val="0"/>
        <w:spacing w:after="0" w:line="480" w:lineRule="auto"/>
        <w:ind w:left="480" w:hanging="480"/>
        <w:rPr>
          <w:rFonts w:ascii="Calibri" w:hAnsi="Calibri" w:cs="Calibri"/>
          <w:noProof/>
          <w:sz w:val="24"/>
          <w:szCs w:val="24"/>
        </w:rPr>
      </w:pPr>
      <w:r w:rsidRPr="002D51C0">
        <w:rPr>
          <w:rFonts w:ascii="Calibri" w:hAnsi="Calibri" w:cs="Calibri"/>
          <w:noProof/>
          <w:sz w:val="24"/>
          <w:szCs w:val="24"/>
        </w:rPr>
        <w:t xml:space="preserve">Uhlén, M., Fagerberg, L., Hallström, B. M., Lindskog, C., Oksvold, P., Mardinoglu, A., Sivertsson, Å., Kampf, C., Sjöstedt, E., Asplund, A., Olsson, I. M., Edlund, K., Lundberg, E., Navani, S., Szigyarto, C. A. K., Odeberg, J., Djureinovic, D., Takanen, J. O., Hober, S., … Pontén, F. (2015). Tissue-based map of the human proteome. </w:t>
      </w:r>
      <w:r w:rsidRPr="002D51C0">
        <w:rPr>
          <w:rFonts w:ascii="Calibri" w:hAnsi="Calibri" w:cs="Calibri"/>
          <w:i/>
          <w:iCs/>
          <w:noProof/>
          <w:sz w:val="24"/>
          <w:szCs w:val="24"/>
        </w:rPr>
        <w:t>Science</w:t>
      </w:r>
      <w:r w:rsidRPr="002D51C0">
        <w:rPr>
          <w:rFonts w:ascii="Calibri" w:hAnsi="Calibri" w:cs="Calibri"/>
          <w:noProof/>
          <w:sz w:val="24"/>
          <w:szCs w:val="24"/>
        </w:rPr>
        <w:t xml:space="preserve">, </w:t>
      </w:r>
      <w:r w:rsidRPr="002D51C0">
        <w:rPr>
          <w:rFonts w:ascii="Calibri" w:hAnsi="Calibri" w:cs="Calibri"/>
          <w:i/>
          <w:iCs/>
          <w:noProof/>
          <w:sz w:val="24"/>
          <w:szCs w:val="24"/>
        </w:rPr>
        <w:t>347</w:t>
      </w:r>
      <w:r w:rsidRPr="002D51C0">
        <w:rPr>
          <w:rFonts w:ascii="Calibri" w:hAnsi="Calibri" w:cs="Calibri"/>
          <w:noProof/>
          <w:sz w:val="24"/>
          <w:szCs w:val="24"/>
        </w:rPr>
        <w:t>(6220). https://doi.org/10.1126/science.1260419</w:t>
      </w:r>
    </w:p>
    <w:p w14:paraId="5E50C828" w14:textId="77777777" w:rsidR="002D51C0" w:rsidRPr="002D51C0" w:rsidRDefault="002D51C0" w:rsidP="002D51C0">
      <w:pPr>
        <w:widowControl w:val="0"/>
        <w:autoSpaceDE w:val="0"/>
        <w:autoSpaceDN w:val="0"/>
        <w:adjustRightInd w:val="0"/>
        <w:spacing w:after="0" w:line="480" w:lineRule="auto"/>
        <w:ind w:left="480" w:hanging="480"/>
        <w:rPr>
          <w:rFonts w:ascii="Calibri" w:hAnsi="Calibri" w:cs="Calibri"/>
          <w:noProof/>
          <w:sz w:val="24"/>
          <w:szCs w:val="24"/>
        </w:rPr>
      </w:pPr>
      <w:r w:rsidRPr="002D51C0">
        <w:rPr>
          <w:rFonts w:ascii="Calibri" w:hAnsi="Calibri" w:cs="Calibri"/>
          <w:noProof/>
          <w:sz w:val="24"/>
          <w:szCs w:val="24"/>
        </w:rPr>
        <w:t xml:space="preserve">Wang, X. N., Li, Z. S., Ren, Y., Jiang, T., Wang, Y. Q., Chen, M., Zhang, J., Hao, J. X., Wang, Y. B., Sha, R. N., Huang, Y., Liu, X., Hu, J. C., Sun, G. Q., Li, H. G., Xiong, C. L., Xie, J., Jiang, Z. M., Cai, Z. M., … Gao, F. (2013). The Wilms Tumor Gene, Wt1, Is Critical for Mouse Spermatogenesis via Regulation of Sertoli Cell Polarity and Is Associated with Non-Obstructive Azoospermia in Humans. </w:t>
      </w:r>
      <w:r w:rsidRPr="002D51C0">
        <w:rPr>
          <w:rFonts w:ascii="Calibri" w:hAnsi="Calibri" w:cs="Calibri"/>
          <w:i/>
          <w:iCs/>
          <w:noProof/>
          <w:sz w:val="24"/>
          <w:szCs w:val="24"/>
        </w:rPr>
        <w:t>PLoS Genetics</w:t>
      </w:r>
      <w:r w:rsidRPr="002D51C0">
        <w:rPr>
          <w:rFonts w:ascii="Calibri" w:hAnsi="Calibri" w:cs="Calibri"/>
          <w:noProof/>
          <w:sz w:val="24"/>
          <w:szCs w:val="24"/>
        </w:rPr>
        <w:t xml:space="preserve">, </w:t>
      </w:r>
      <w:r w:rsidRPr="002D51C0">
        <w:rPr>
          <w:rFonts w:ascii="Calibri" w:hAnsi="Calibri" w:cs="Calibri"/>
          <w:i/>
          <w:iCs/>
          <w:noProof/>
          <w:sz w:val="24"/>
          <w:szCs w:val="24"/>
        </w:rPr>
        <w:t>9</w:t>
      </w:r>
      <w:r w:rsidRPr="002D51C0">
        <w:rPr>
          <w:rFonts w:ascii="Calibri" w:hAnsi="Calibri" w:cs="Calibri"/>
          <w:noProof/>
          <w:sz w:val="24"/>
          <w:szCs w:val="24"/>
        </w:rPr>
        <w:t>(8). https://doi.org/10.1371/journal.pgen.1003645</w:t>
      </w:r>
    </w:p>
    <w:p w14:paraId="5C1B9F3D" w14:textId="77777777" w:rsidR="002D51C0" w:rsidRPr="002D51C0" w:rsidRDefault="002D51C0" w:rsidP="002D51C0">
      <w:pPr>
        <w:widowControl w:val="0"/>
        <w:autoSpaceDE w:val="0"/>
        <w:autoSpaceDN w:val="0"/>
        <w:adjustRightInd w:val="0"/>
        <w:spacing w:after="0" w:line="480" w:lineRule="auto"/>
        <w:ind w:left="480" w:hanging="480"/>
        <w:rPr>
          <w:rFonts w:ascii="Calibri" w:hAnsi="Calibri" w:cs="Calibri"/>
          <w:noProof/>
          <w:sz w:val="24"/>
          <w:szCs w:val="24"/>
        </w:rPr>
      </w:pPr>
      <w:r w:rsidRPr="002D51C0">
        <w:rPr>
          <w:rFonts w:ascii="Calibri" w:hAnsi="Calibri" w:cs="Calibri"/>
          <w:noProof/>
          <w:sz w:val="24"/>
          <w:szCs w:val="24"/>
        </w:rPr>
        <w:t xml:space="preserve">Wei, J. W., Huang, K., Yang, C., &amp; Kang, C. S. (2017). Non-coding RNAs as regulators in epigenetics (Review). </w:t>
      </w:r>
      <w:r w:rsidRPr="002D51C0">
        <w:rPr>
          <w:rFonts w:ascii="Calibri" w:hAnsi="Calibri" w:cs="Calibri"/>
          <w:i/>
          <w:iCs/>
          <w:noProof/>
          <w:sz w:val="24"/>
          <w:szCs w:val="24"/>
        </w:rPr>
        <w:t>Oncology Reports</w:t>
      </w:r>
      <w:r w:rsidRPr="002D51C0">
        <w:rPr>
          <w:rFonts w:ascii="Calibri" w:hAnsi="Calibri" w:cs="Calibri"/>
          <w:noProof/>
          <w:sz w:val="24"/>
          <w:szCs w:val="24"/>
        </w:rPr>
        <w:t xml:space="preserve">, </w:t>
      </w:r>
      <w:r w:rsidRPr="002D51C0">
        <w:rPr>
          <w:rFonts w:ascii="Calibri" w:hAnsi="Calibri" w:cs="Calibri"/>
          <w:i/>
          <w:iCs/>
          <w:noProof/>
          <w:sz w:val="24"/>
          <w:szCs w:val="24"/>
        </w:rPr>
        <w:t>37</w:t>
      </w:r>
      <w:r w:rsidRPr="002D51C0">
        <w:rPr>
          <w:rFonts w:ascii="Calibri" w:hAnsi="Calibri" w:cs="Calibri"/>
          <w:noProof/>
          <w:sz w:val="24"/>
          <w:szCs w:val="24"/>
        </w:rPr>
        <w:t>(1), 3–9. https://doi.org/10.3892/or.2016.5236</w:t>
      </w:r>
    </w:p>
    <w:p w14:paraId="2AB8D8E7" w14:textId="77777777" w:rsidR="002D51C0" w:rsidRPr="002D51C0" w:rsidRDefault="002D51C0" w:rsidP="002D51C0">
      <w:pPr>
        <w:widowControl w:val="0"/>
        <w:autoSpaceDE w:val="0"/>
        <w:autoSpaceDN w:val="0"/>
        <w:adjustRightInd w:val="0"/>
        <w:spacing w:after="0" w:line="480" w:lineRule="auto"/>
        <w:ind w:left="480" w:hanging="480"/>
        <w:rPr>
          <w:rFonts w:ascii="Calibri" w:hAnsi="Calibri" w:cs="Calibri"/>
          <w:noProof/>
          <w:sz w:val="24"/>
          <w:szCs w:val="24"/>
        </w:rPr>
      </w:pPr>
      <w:r w:rsidRPr="002D51C0">
        <w:rPr>
          <w:rFonts w:ascii="Calibri" w:hAnsi="Calibri" w:cs="Calibri"/>
          <w:noProof/>
          <w:sz w:val="24"/>
          <w:szCs w:val="24"/>
        </w:rPr>
        <w:t xml:space="preserve">Wellenreuther, M., &amp; Bernatchez, L. (2018). Eco-Evolutionary Genomics of Chromosomal Inversions. </w:t>
      </w:r>
      <w:r w:rsidRPr="002D51C0">
        <w:rPr>
          <w:rFonts w:ascii="Calibri" w:hAnsi="Calibri" w:cs="Calibri"/>
          <w:i/>
          <w:iCs/>
          <w:noProof/>
          <w:sz w:val="24"/>
          <w:szCs w:val="24"/>
        </w:rPr>
        <w:t>Trends in Ecology and Evolution</w:t>
      </w:r>
      <w:r w:rsidRPr="002D51C0">
        <w:rPr>
          <w:rFonts w:ascii="Calibri" w:hAnsi="Calibri" w:cs="Calibri"/>
          <w:noProof/>
          <w:sz w:val="24"/>
          <w:szCs w:val="24"/>
        </w:rPr>
        <w:t xml:space="preserve">, </w:t>
      </w:r>
      <w:r w:rsidRPr="002D51C0">
        <w:rPr>
          <w:rFonts w:ascii="Calibri" w:hAnsi="Calibri" w:cs="Calibri"/>
          <w:i/>
          <w:iCs/>
          <w:noProof/>
          <w:sz w:val="24"/>
          <w:szCs w:val="24"/>
        </w:rPr>
        <w:t>33</w:t>
      </w:r>
      <w:r w:rsidRPr="002D51C0">
        <w:rPr>
          <w:rFonts w:ascii="Calibri" w:hAnsi="Calibri" w:cs="Calibri"/>
          <w:noProof/>
          <w:sz w:val="24"/>
          <w:szCs w:val="24"/>
        </w:rPr>
        <w:t>(6), 427–440. https://doi.org/10.1016/j.tree.2018.04.002</w:t>
      </w:r>
    </w:p>
    <w:p w14:paraId="1065E56C" w14:textId="77777777" w:rsidR="002D51C0" w:rsidRPr="002D51C0" w:rsidRDefault="002D51C0" w:rsidP="002D51C0">
      <w:pPr>
        <w:widowControl w:val="0"/>
        <w:autoSpaceDE w:val="0"/>
        <w:autoSpaceDN w:val="0"/>
        <w:adjustRightInd w:val="0"/>
        <w:spacing w:after="0" w:line="480" w:lineRule="auto"/>
        <w:ind w:left="480" w:hanging="480"/>
        <w:rPr>
          <w:rFonts w:ascii="Calibri" w:hAnsi="Calibri" w:cs="Calibri"/>
          <w:noProof/>
          <w:sz w:val="24"/>
          <w:szCs w:val="24"/>
        </w:rPr>
      </w:pPr>
      <w:r w:rsidRPr="002D51C0">
        <w:rPr>
          <w:rFonts w:ascii="Calibri" w:hAnsi="Calibri" w:cs="Calibri"/>
          <w:noProof/>
          <w:sz w:val="24"/>
          <w:szCs w:val="24"/>
        </w:rPr>
        <w:t xml:space="preserve">Westerich, K. J., Reinecke, S., Emich, J., Wyrwoll, M. J., Stallmeyer, B., Meyer, M., Oud, M. S., Fietz, D., Pilatz, A., Kliesch, S., Reichman-Fried, M., Tarbashevich, K., Limon, T., Stehling, M., Friedrich, C., Tüttelmann, F., &amp; Raz, E. (2023). Linking human Dead end 1 (DND1) variants to </w:t>
      </w:r>
      <w:r w:rsidRPr="002D51C0">
        <w:rPr>
          <w:rFonts w:ascii="Calibri" w:hAnsi="Calibri" w:cs="Calibri"/>
          <w:noProof/>
          <w:sz w:val="24"/>
          <w:szCs w:val="24"/>
        </w:rPr>
        <w:lastRenderedPageBreak/>
        <w:t xml:space="preserve">male infertility employing zebrafish embryos. </w:t>
      </w:r>
      <w:r w:rsidRPr="002D51C0">
        <w:rPr>
          <w:rFonts w:ascii="Calibri" w:hAnsi="Calibri" w:cs="Calibri"/>
          <w:i/>
          <w:iCs/>
          <w:noProof/>
          <w:sz w:val="24"/>
          <w:szCs w:val="24"/>
        </w:rPr>
        <w:t>Human Reproduction</w:t>
      </w:r>
      <w:r w:rsidRPr="002D51C0">
        <w:rPr>
          <w:rFonts w:ascii="Calibri" w:hAnsi="Calibri" w:cs="Calibri"/>
          <w:noProof/>
          <w:sz w:val="24"/>
          <w:szCs w:val="24"/>
        </w:rPr>
        <w:t xml:space="preserve">, </w:t>
      </w:r>
      <w:r w:rsidRPr="002D51C0">
        <w:rPr>
          <w:rFonts w:ascii="Calibri" w:hAnsi="Calibri" w:cs="Calibri"/>
          <w:i/>
          <w:iCs/>
          <w:noProof/>
          <w:sz w:val="24"/>
          <w:szCs w:val="24"/>
        </w:rPr>
        <w:t>38</w:t>
      </w:r>
      <w:r w:rsidRPr="002D51C0">
        <w:rPr>
          <w:rFonts w:ascii="Calibri" w:hAnsi="Calibri" w:cs="Calibri"/>
          <w:noProof/>
          <w:sz w:val="24"/>
          <w:szCs w:val="24"/>
        </w:rPr>
        <w:t>(4), 655–670. https://doi.org/10.1093/humrep/dead031</w:t>
      </w:r>
    </w:p>
    <w:p w14:paraId="301F08FF" w14:textId="77777777" w:rsidR="002D51C0" w:rsidRPr="002D51C0" w:rsidRDefault="002D51C0" w:rsidP="002D51C0">
      <w:pPr>
        <w:widowControl w:val="0"/>
        <w:autoSpaceDE w:val="0"/>
        <w:autoSpaceDN w:val="0"/>
        <w:adjustRightInd w:val="0"/>
        <w:spacing w:after="0" w:line="480" w:lineRule="auto"/>
        <w:ind w:left="480" w:hanging="480"/>
        <w:rPr>
          <w:rFonts w:ascii="Calibri" w:hAnsi="Calibri" w:cs="Calibri"/>
          <w:noProof/>
          <w:sz w:val="24"/>
          <w:szCs w:val="24"/>
        </w:rPr>
      </w:pPr>
      <w:r w:rsidRPr="002D51C0">
        <w:rPr>
          <w:rFonts w:ascii="Calibri" w:hAnsi="Calibri" w:cs="Calibri"/>
          <w:noProof/>
          <w:sz w:val="24"/>
          <w:szCs w:val="24"/>
        </w:rPr>
        <w:t xml:space="preserve">Whiting, J. R. (2022). </w:t>
      </w:r>
      <w:r w:rsidRPr="002D51C0">
        <w:rPr>
          <w:rFonts w:ascii="Calibri" w:hAnsi="Calibri" w:cs="Calibri"/>
          <w:i/>
          <w:iCs/>
          <w:noProof/>
          <w:sz w:val="24"/>
          <w:szCs w:val="24"/>
        </w:rPr>
        <w:t>JimWhiting91/genotype_plot: Genotype Plot</w:t>
      </w:r>
      <w:r w:rsidRPr="002D51C0">
        <w:rPr>
          <w:rFonts w:ascii="Calibri" w:hAnsi="Calibri" w:cs="Calibri"/>
          <w:noProof/>
          <w:sz w:val="24"/>
          <w:szCs w:val="24"/>
        </w:rPr>
        <w:t>. https://doi.org/10.5281/zenodo.5913504</w:t>
      </w:r>
    </w:p>
    <w:p w14:paraId="31A8F149" w14:textId="77777777" w:rsidR="002D51C0" w:rsidRPr="002D51C0" w:rsidRDefault="002D51C0" w:rsidP="002D51C0">
      <w:pPr>
        <w:widowControl w:val="0"/>
        <w:autoSpaceDE w:val="0"/>
        <w:autoSpaceDN w:val="0"/>
        <w:adjustRightInd w:val="0"/>
        <w:spacing w:after="0" w:line="480" w:lineRule="auto"/>
        <w:ind w:left="480" w:hanging="480"/>
        <w:rPr>
          <w:rFonts w:ascii="Calibri" w:hAnsi="Calibri" w:cs="Calibri"/>
          <w:noProof/>
          <w:sz w:val="24"/>
        </w:rPr>
      </w:pPr>
      <w:r w:rsidRPr="002D51C0">
        <w:rPr>
          <w:rFonts w:ascii="Calibri" w:hAnsi="Calibri" w:cs="Calibri"/>
          <w:noProof/>
          <w:sz w:val="24"/>
          <w:szCs w:val="24"/>
        </w:rPr>
        <w:t xml:space="preserve">Zhang, X., Zhang, P., Song, D., Xiong, S., Zhang, H., Fu, J., Gao, F., Chen, H., &amp; Zeng, X. (2019). Expression profiles and characteristics of human lncRNA in normal and asthenozoospermia sperm. </w:t>
      </w:r>
      <w:r w:rsidRPr="002D51C0">
        <w:rPr>
          <w:rFonts w:ascii="Calibri" w:hAnsi="Calibri" w:cs="Calibri"/>
          <w:i/>
          <w:iCs/>
          <w:noProof/>
          <w:sz w:val="24"/>
          <w:szCs w:val="24"/>
        </w:rPr>
        <w:t>Biology of Reproduction</w:t>
      </w:r>
      <w:r w:rsidRPr="002D51C0">
        <w:rPr>
          <w:rFonts w:ascii="Calibri" w:hAnsi="Calibri" w:cs="Calibri"/>
          <w:noProof/>
          <w:sz w:val="24"/>
          <w:szCs w:val="24"/>
        </w:rPr>
        <w:t xml:space="preserve">, </w:t>
      </w:r>
      <w:r w:rsidRPr="002D51C0">
        <w:rPr>
          <w:rFonts w:ascii="Calibri" w:hAnsi="Calibri" w:cs="Calibri"/>
          <w:i/>
          <w:iCs/>
          <w:noProof/>
          <w:sz w:val="24"/>
          <w:szCs w:val="24"/>
        </w:rPr>
        <w:t>100</w:t>
      </w:r>
      <w:r w:rsidRPr="002D51C0">
        <w:rPr>
          <w:rFonts w:ascii="Calibri" w:hAnsi="Calibri" w:cs="Calibri"/>
          <w:noProof/>
          <w:sz w:val="24"/>
          <w:szCs w:val="24"/>
        </w:rPr>
        <w:t>(4), 982–993. https://doi.org/10.1093/biolre/ioy253</w:t>
      </w:r>
    </w:p>
    <w:p w14:paraId="3578C019" w14:textId="7CE8E6EE" w:rsidR="00E97270" w:rsidRPr="002356D5" w:rsidRDefault="00E97270" w:rsidP="00FF187D">
      <w:pPr>
        <w:spacing w:after="0" w:line="480" w:lineRule="auto"/>
        <w:ind w:firstLine="720"/>
        <w:contextualSpacing/>
        <w:jc w:val="both"/>
        <w:rPr>
          <w:rFonts w:eastAsia="Times New Roman" w:cstheme="minorHAnsi"/>
          <w:sz w:val="24"/>
          <w:szCs w:val="24"/>
        </w:rPr>
      </w:pPr>
      <w:r>
        <w:rPr>
          <w:rFonts w:eastAsia="Times New Roman" w:cstheme="minorHAnsi"/>
          <w:sz w:val="24"/>
          <w:szCs w:val="24"/>
        </w:rPr>
        <w:fldChar w:fldCharType="end"/>
      </w:r>
    </w:p>
    <w:sectPr w:rsidR="00E97270" w:rsidRPr="002356D5" w:rsidSect="00A07495">
      <w:footerReference w:type="default" r:id="rId14"/>
      <w:pgSz w:w="11906" w:h="16838"/>
      <w:pgMar w:top="1417" w:right="1134" w:bottom="1417" w:left="1134" w:header="708" w:footer="708" w:gutter="0"/>
      <w:lnNumType w:countBy="1"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13008C" w14:textId="77777777" w:rsidR="001F540E" w:rsidRDefault="001F540E" w:rsidP="00A07495">
      <w:pPr>
        <w:spacing w:after="0" w:line="240" w:lineRule="auto"/>
      </w:pPr>
      <w:r>
        <w:separator/>
      </w:r>
    </w:p>
  </w:endnote>
  <w:endnote w:type="continuationSeparator" w:id="0">
    <w:p w14:paraId="5FD9BA79" w14:textId="77777777" w:rsidR="001F540E" w:rsidRDefault="001F540E" w:rsidP="00A0749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imesNewRomanPSMT">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60793768"/>
      <w:docPartObj>
        <w:docPartGallery w:val="Page Numbers (Bottom of Page)"/>
        <w:docPartUnique/>
      </w:docPartObj>
    </w:sdtPr>
    <w:sdtContent>
      <w:p w14:paraId="4E00F026" w14:textId="3484172E" w:rsidR="00A07495" w:rsidRDefault="00A07495">
        <w:pPr>
          <w:pStyle w:val="Alatunniste"/>
          <w:jc w:val="right"/>
        </w:pPr>
        <w:r>
          <w:fldChar w:fldCharType="begin"/>
        </w:r>
        <w:r>
          <w:instrText>PAGE   \* MERGEFORMAT</w:instrText>
        </w:r>
        <w:r>
          <w:fldChar w:fldCharType="separate"/>
        </w:r>
        <w:r>
          <w:rPr>
            <w:lang w:val="fi-FI"/>
          </w:rPr>
          <w:t>2</w:t>
        </w:r>
        <w:r>
          <w:fldChar w:fldCharType="end"/>
        </w:r>
      </w:p>
    </w:sdtContent>
  </w:sdt>
  <w:p w14:paraId="4C038A69" w14:textId="77777777" w:rsidR="00A07495" w:rsidRDefault="00A07495">
    <w:pPr>
      <w:pStyle w:val="Alatunnist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1C9D37" w14:textId="77777777" w:rsidR="001F540E" w:rsidRDefault="001F540E" w:rsidP="00A07495">
      <w:pPr>
        <w:spacing w:after="0" w:line="240" w:lineRule="auto"/>
      </w:pPr>
      <w:r>
        <w:separator/>
      </w:r>
    </w:p>
  </w:footnote>
  <w:footnote w:type="continuationSeparator" w:id="0">
    <w:p w14:paraId="071DB63C" w14:textId="77777777" w:rsidR="001F540E" w:rsidRDefault="001F540E" w:rsidP="00A07495">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trackRevision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41BFE"/>
    <w:rsid w:val="00001546"/>
    <w:rsid w:val="00006DD2"/>
    <w:rsid w:val="00010B7B"/>
    <w:rsid w:val="00016B7B"/>
    <w:rsid w:val="00026D95"/>
    <w:rsid w:val="00031FC4"/>
    <w:rsid w:val="00043EAF"/>
    <w:rsid w:val="000508A0"/>
    <w:rsid w:val="0005492A"/>
    <w:rsid w:val="00061DBC"/>
    <w:rsid w:val="000631E5"/>
    <w:rsid w:val="00074F72"/>
    <w:rsid w:val="00077DF1"/>
    <w:rsid w:val="00090C46"/>
    <w:rsid w:val="00094739"/>
    <w:rsid w:val="000A0F39"/>
    <w:rsid w:val="000A279B"/>
    <w:rsid w:val="000A3F80"/>
    <w:rsid w:val="000A71CE"/>
    <w:rsid w:val="000B1DCF"/>
    <w:rsid w:val="000C2FF2"/>
    <w:rsid w:val="000C3028"/>
    <w:rsid w:val="000D4259"/>
    <w:rsid w:val="000D72F8"/>
    <w:rsid w:val="000D76E2"/>
    <w:rsid w:val="000E49FC"/>
    <w:rsid w:val="000F17D9"/>
    <w:rsid w:val="000F6464"/>
    <w:rsid w:val="00115415"/>
    <w:rsid w:val="00117584"/>
    <w:rsid w:val="001210E5"/>
    <w:rsid w:val="0012119D"/>
    <w:rsid w:val="00122D5D"/>
    <w:rsid w:val="001274D3"/>
    <w:rsid w:val="00130280"/>
    <w:rsid w:val="001416D2"/>
    <w:rsid w:val="001436D9"/>
    <w:rsid w:val="001500D7"/>
    <w:rsid w:val="00152082"/>
    <w:rsid w:val="0015449C"/>
    <w:rsid w:val="00156CC9"/>
    <w:rsid w:val="001570D2"/>
    <w:rsid w:val="00157858"/>
    <w:rsid w:val="00157B8B"/>
    <w:rsid w:val="00171829"/>
    <w:rsid w:val="00180EC0"/>
    <w:rsid w:val="00181D67"/>
    <w:rsid w:val="00186811"/>
    <w:rsid w:val="00192E74"/>
    <w:rsid w:val="00195F9A"/>
    <w:rsid w:val="001A13DF"/>
    <w:rsid w:val="001A7340"/>
    <w:rsid w:val="001B101E"/>
    <w:rsid w:val="001B63D6"/>
    <w:rsid w:val="001C24E9"/>
    <w:rsid w:val="001D5CF5"/>
    <w:rsid w:val="001D6031"/>
    <w:rsid w:val="001E0464"/>
    <w:rsid w:val="001E4480"/>
    <w:rsid w:val="001E6F60"/>
    <w:rsid w:val="001F1809"/>
    <w:rsid w:val="001F540E"/>
    <w:rsid w:val="0021404C"/>
    <w:rsid w:val="0021531F"/>
    <w:rsid w:val="00221BDE"/>
    <w:rsid w:val="00234D97"/>
    <w:rsid w:val="00234EEE"/>
    <w:rsid w:val="00242B71"/>
    <w:rsid w:val="002512D8"/>
    <w:rsid w:val="0026221B"/>
    <w:rsid w:val="00262DDB"/>
    <w:rsid w:val="0026443B"/>
    <w:rsid w:val="00267A67"/>
    <w:rsid w:val="00271025"/>
    <w:rsid w:val="00275697"/>
    <w:rsid w:val="00281D37"/>
    <w:rsid w:val="00282D38"/>
    <w:rsid w:val="00283500"/>
    <w:rsid w:val="00293043"/>
    <w:rsid w:val="0029550A"/>
    <w:rsid w:val="00295EE9"/>
    <w:rsid w:val="00296514"/>
    <w:rsid w:val="002A2634"/>
    <w:rsid w:val="002A2EB9"/>
    <w:rsid w:val="002B4C33"/>
    <w:rsid w:val="002B59BE"/>
    <w:rsid w:val="002C2B66"/>
    <w:rsid w:val="002D359E"/>
    <w:rsid w:val="002D51C0"/>
    <w:rsid w:val="002E00F3"/>
    <w:rsid w:val="002E6444"/>
    <w:rsid w:val="002F317F"/>
    <w:rsid w:val="002F71B8"/>
    <w:rsid w:val="00300635"/>
    <w:rsid w:val="00307DFB"/>
    <w:rsid w:val="0031352F"/>
    <w:rsid w:val="0032101C"/>
    <w:rsid w:val="003233EB"/>
    <w:rsid w:val="00324E8E"/>
    <w:rsid w:val="003257A8"/>
    <w:rsid w:val="00325F0C"/>
    <w:rsid w:val="0032703F"/>
    <w:rsid w:val="00334D95"/>
    <w:rsid w:val="00342E9F"/>
    <w:rsid w:val="00343C04"/>
    <w:rsid w:val="003521D2"/>
    <w:rsid w:val="0036145D"/>
    <w:rsid w:val="00361C05"/>
    <w:rsid w:val="0036291F"/>
    <w:rsid w:val="003770D1"/>
    <w:rsid w:val="0038107F"/>
    <w:rsid w:val="00382B6A"/>
    <w:rsid w:val="0038389F"/>
    <w:rsid w:val="0039206B"/>
    <w:rsid w:val="00392AAB"/>
    <w:rsid w:val="003963C5"/>
    <w:rsid w:val="003A1559"/>
    <w:rsid w:val="003B523C"/>
    <w:rsid w:val="003C7C78"/>
    <w:rsid w:val="003D1558"/>
    <w:rsid w:val="003E15B8"/>
    <w:rsid w:val="003E32F0"/>
    <w:rsid w:val="003F4DCC"/>
    <w:rsid w:val="003F557C"/>
    <w:rsid w:val="0041686B"/>
    <w:rsid w:val="004230E0"/>
    <w:rsid w:val="00427892"/>
    <w:rsid w:val="00433AD0"/>
    <w:rsid w:val="004419C2"/>
    <w:rsid w:val="00454428"/>
    <w:rsid w:val="00457DA6"/>
    <w:rsid w:val="004653DB"/>
    <w:rsid w:val="004848A3"/>
    <w:rsid w:val="0048641A"/>
    <w:rsid w:val="004A0ABF"/>
    <w:rsid w:val="004A132B"/>
    <w:rsid w:val="004A1C2C"/>
    <w:rsid w:val="004B1680"/>
    <w:rsid w:val="004B26C9"/>
    <w:rsid w:val="004C5B9F"/>
    <w:rsid w:val="004D3A7F"/>
    <w:rsid w:val="004E3D9B"/>
    <w:rsid w:val="004E5E1C"/>
    <w:rsid w:val="00531341"/>
    <w:rsid w:val="00537D3F"/>
    <w:rsid w:val="00551029"/>
    <w:rsid w:val="005547AB"/>
    <w:rsid w:val="00555088"/>
    <w:rsid w:val="00572AFD"/>
    <w:rsid w:val="0057419F"/>
    <w:rsid w:val="00575E7D"/>
    <w:rsid w:val="00576060"/>
    <w:rsid w:val="0057663D"/>
    <w:rsid w:val="00582489"/>
    <w:rsid w:val="00596EC7"/>
    <w:rsid w:val="005A23AF"/>
    <w:rsid w:val="005C7160"/>
    <w:rsid w:val="005E3CB9"/>
    <w:rsid w:val="005F10E9"/>
    <w:rsid w:val="005F7440"/>
    <w:rsid w:val="006020A3"/>
    <w:rsid w:val="00616843"/>
    <w:rsid w:val="00624691"/>
    <w:rsid w:val="00624A47"/>
    <w:rsid w:val="00627232"/>
    <w:rsid w:val="00643C29"/>
    <w:rsid w:val="0064743A"/>
    <w:rsid w:val="0065597F"/>
    <w:rsid w:val="00657BF5"/>
    <w:rsid w:val="00661261"/>
    <w:rsid w:val="00670D8B"/>
    <w:rsid w:val="006712A2"/>
    <w:rsid w:val="0068367D"/>
    <w:rsid w:val="00683A92"/>
    <w:rsid w:val="0068751A"/>
    <w:rsid w:val="0069097C"/>
    <w:rsid w:val="00695CE4"/>
    <w:rsid w:val="006B226C"/>
    <w:rsid w:val="006C35CC"/>
    <w:rsid w:val="006E00C1"/>
    <w:rsid w:val="006E2B61"/>
    <w:rsid w:val="006F1FB7"/>
    <w:rsid w:val="006F3E5C"/>
    <w:rsid w:val="006F612B"/>
    <w:rsid w:val="006F72FD"/>
    <w:rsid w:val="007001D8"/>
    <w:rsid w:val="00715CE4"/>
    <w:rsid w:val="007213B6"/>
    <w:rsid w:val="00724F6A"/>
    <w:rsid w:val="00726828"/>
    <w:rsid w:val="00730CE5"/>
    <w:rsid w:val="00735258"/>
    <w:rsid w:val="00740DC0"/>
    <w:rsid w:val="0076111A"/>
    <w:rsid w:val="0076661C"/>
    <w:rsid w:val="00767E44"/>
    <w:rsid w:val="007742F8"/>
    <w:rsid w:val="00777D26"/>
    <w:rsid w:val="0078131C"/>
    <w:rsid w:val="0078176D"/>
    <w:rsid w:val="00781C2F"/>
    <w:rsid w:val="007876DA"/>
    <w:rsid w:val="007944A6"/>
    <w:rsid w:val="00795C7E"/>
    <w:rsid w:val="007A23DB"/>
    <w:rsid w:val="007B2536"/>
    <w:rsid w:val="007B270A"/>
    <w:rsid w:val="007B6363"/>
    <w:rsid w:val="007B7E8B"/>
    <w:rsid w:val="007C2CE9"/>
    <w:rsid w:val="007C372F"/>
    <w:rsid w:val="007C497F"/>
    <w:rsid w:val="007C6170"/>
    <w:rsid w:val="007D2415"/>
    <w:rsid w:val="007D3960"/>
    <w:rsid w:val="007E1CE5"/>
    <w:rsid w:val="007E1FD8"/>
    <w:rsid w:val="007E3D1C"/>
    <w:rsid w:val="007E6F78"/>
    <w:rsid w:val="007F129B"/>
    <w:rsid w:val="008006A9"/>
    <w:rsid w:val="00804974"/>
    <w:rsid w:val="008068A0"/>
    <w:rsid w:val="00807A80"/>
    <w:rsid w:val="0081028B"/>
    <w:rsid w:val="00815D8F"/>
    <w:rsid w:val="0081612D"/>
    <w:rsid w:val="008225AF"/>
    <w:rsid w:val="0082786E"/>
    <w:rsid w:val="00831031"/>
    <w:rsid w:val="00837ED3"/>
    <w:rsid w:val="00842024"/>
    <w:rsid w:val="008440C3"/>
    <w:rsid w:val="0088185E"/>
    <w:rsid w:val="00881FB7"/>
    <w:rsid w:val="00896130"/>
    <w:rsid w:val="00896F62"/>
    <w:rsid w:val="008A6A86"/>
    <w:rsid w:val="008B4C09"/>
    <w:rsid w:val="008B6A7E"/>
    <w:rsid w:val="008C3BF9"/>
    <w:rsid w:val="008C6EEF"/>
    <w:rsid w:val="008D148E"/>
    <w:rsid w:val="008D6540"/>
    <w:rsid w:val="008F0714"/>
    <w:rsid w:val="008F15D7"/>
    <w:rsid w:val="008F54F7"/>
    <w:rsid w:val="0090167B"/>
    <w:rsid w:val="009042C3"/>
    <w:rsid w:val="009073B8"/>
    <w:rsid w:val="009264D2"/>
    <w:rsid w:val="00944EC8"/>
    <w:rsid w:val="00951068"/>
    <w:rsid w:val="00954783"/>
    <w:rsid w:val="00954F4D"/>
    <w:rsid w:val="009617D1"/>
    <w:rsid w:val="00965859"/>
    <w:rsid w:val="00973458"/>
    <w:rsid w:val="0097346C"/>
    <w:rsid w:val="00975A1A"/>
    <w:rsid w:val="0098185C"/>
    <w:rsid w:val="00986520"/>
    <w:rsid w:val="0099009E"/>
    <w:rsid w:val="00991ACE"/>
    <w:rsid w:val="00992466"/>
    <w:rsid w:val="00994A84"/>
    <w:rsid w:val="009A030F"/>
    <w:rsid w:val="009B07B5"/>
    <w:rsid w:val="009B4558"/>
    <w:rsid w:val="009C06E5"/>
    <w:rsid w:val="009D2292"/>
    <w:rsid w:val="009D41BC"/>
    <w:rsid w:val="009E0B8C"/>
    <w:rsid w:val="009F0434"/>
    <w:rsid w:val="009F16A8"/>
    <w:rsid w:val="00A05DA9"/>
    <w:rsid w:val="00A071AC"/>
    <w:rsid w:val="00A07495"/>
    <w:rsid w:val="00A11B3D"/>
    <w:rsid w:val="00A13A8B"/>
    <w:rsid w:val="00A17444"/>
    <w:rsid w:val="00A3545E"/>
    <w:rsid w:val="00A47E3A"/>
    <w:rsid w:val="00A50143"/>
    <w:rsid w:val="00A62746"/>
    <w:rsid w:val="00A665E4"/>
    <w:rsid w:val="00A679E7"/>
    <w:rsid w:val="00A73B3D"/>
    <w:rsid w:val="00A77CE1"/>
    <w:rsid w:val="00A81BA9"/>
    <w:rsid w:val="00A87A68"/>
    <w:rsid w:val="00A909A9"/>
    <w:rsid w:val="00A93573"/>
    <w:rsid w:val="00A96487"/>
    <w:rsid w:val="00AA3993"/>
    <w:rsid w:val="00AA4120"/>
    <w:rsid w:val="00AB1598"/>
    <w:rsid w:val="00AB5CA4"/>
    <w:rsid w:val="00AB5F6A"/>
    <w:rsid w:val="00AC0D6C"/>
    <w:rsid w:val="00AC240A"/>
    <w:rsid w:val="00AD2DD2"/>
    <w:rsid w:val="00AD7EEB"/>
    <w:rsid w:val="00AF16C6"/>
    <w:rsid w:val="00AF6EE7"/>
    <w:rsid w:val="00B01641"/>
    <w:rsid w:val="00B03084"/>
    <w:rsid w:val="00B06045"/>
    <w:rsid w:val="00B063ED"/>
    <w:rsid w:val="00B06EB5"/>
    <w:rsid w:val="00B07591"/>
    <w:rsid w:val="00B07B4B"/>
    <w:rsid w:val="00B121C4"/>
    <w:rsid w:val="00B140F3"/>
    <w:rsid w:val="00B432A0"/>
    <w:rsid w:val="00B43B6D"/>
    <w:rsid w:val="00B44EF8"/>
    <w:rsid w:val="00B73028"/>
    <w:rsid w:val="00B85DC1"/>
    <w:rsid w:val="00B97E72"/>
    <w:rsid w:val="00BA0B3C"/>
    <w:rsid w:val="00BA6FCE"/>
    <w:rsid w:val="00BA7CAD"/>
    <w:rsid w:val="00BB23F6"/>
    <w:rsid w:val="00BC4040"/>
    <w:rsid w:val="00BD506A"/>
    <w:rsid w:val="00BE1279"/>
    <w:rsid w:val="00BE3F1D"/>
    <w:rsid w:val="00BF1B39"/>
    <w:rsid w:val="00C04195"/>
    <w:rsid w:val="00C04E6C"/>
    <w:rsid w:val="00C07ABD"/>
    <w:rsid w:val="00C106D1"/>
    <w:rsid w:val="00C12046"/>
    <w:rsid w:val="00C146A8"/>
    <w:rsid w:val="00C301F1"/>
    <w:rsid w:val="00C32DAB"/>
    <w:rsid w:val="00C41BFE"/>
    <w:rsid w:val="00C512A0"/>
    <w:rsid w:val="00C55314"/>
    <w:rsid w:val="00C55DE2"/>
    <w:rsid w:val="00C6071D"/>
    <w:rsid w:val="00C62E10"/>
    <w:rsid w:val="00C66572"/>
    <w:rsid w:val="00C67845"/>
    <w:rsid w:val="00C70146"/>
    <w:rsid w:val="00C82441"/>
    <w:rsid w:val="00C911A5"/>
    <w:rsid w:val="00CB2EA2"/>
    <w:rsid w:val="00CB4847"/>
    <w:rsid w:val="00CC16F9"/>
    <w:rsid w:val="00CC586B"/>
    <w:rsid w:val="00CC7D09"/>
    <w:rsid w:val="00CD29AD"/>
    <w:rsid w:val="00CD3C1C"/>
    <w:rsid w:val="00D05A8D"/>
    <w:rsid w:val="00D2079B"/>
    <w:rsid w:val="00D2320A"/>
    <w:rsid w:val="00D277E9"/>
    <w:rsid w:val="00D27839"/>
    <w:rsid w:val="00D30660"/>
    <w:rsid w:val="00D31793"/>
    <w:rsid w:val="00D35028"/>
    <w:rsid w:val="00D658E0"/>
    <w:rsid w:val="00D65999"/>
    <w:rsid w:val="00D70CBC"/>
    <w:rsid w:val="00D753CD"/>
    <w:rsid w:val="00D771C2"/>
    <w:rsid w:val="00D87CE0"/>
    <w:rsid w:val="00D92BF0"/>
    <w:rsid w:val="00D94CD7"/>
    <w:rsid w:val="00DA5E32"/>
    <w:rsid w:val="00DB1734"/>
    <w:rsid w:val="00DB34F2"/>
    <w:rsid w:val="00DC0027"/>
    <w:rsid w:val="00DD10AD"/>
    <w:rsid w:val="00DE4DE4"/>
    <w:rsid w:val="00DE565A"/>
    <w:rsid w:val="00DF1669"/>
    <w:rsid w:val="00E10D7F"/>
    <w:rsid w:val="00E13533"/>
    <w:rsid w:val="00E22709"/>
    <w:rsid w:val="00E32143"/>
    <w:rsid w:val="00E33B0A"/>
    <w:rsid w:val="00E33DAB"/>
    <w:rsid w:val="00E4181F"/>
    <w:rsid w:val="00E50D6E"/>
    <w:rsid w:val="00E52856"/>
    <w:rsid w:val="00E621E6"/>
    <w:rsid w:val="00E65F16"/>
    <w:rsid w:val="00E675B0"/>
    <w:rsid w:val="00E71E62"/>
    <w:rsid w:val="00E77224"/>
    <w:rsid w:val="00E97270"/>
    <w:rsid w:val="00EB0E23"/>
    <w:rsid w:val="00EB236F"/>
    <w:rsid w:val="00EB646E"/>
    <w:rsid w:val="00EC2222"/>
    <w:rsid w:val="00EC5645"/>
    <w:rsid w:val="00EC72F8"/>
    <w:rsid w:val="00ED441C"/>
    <w:rsid w:val="00EE1148"/>
    <w:rsid w:val="00EE5CA4"/>
    <w:rsid w:val="00EF673A"/>
    <w:rsid w:val="00F008E9"/>
    <w:rsid w:val="00F045C1"/>
    <w:rsid w:val="00F049CE"/>
    <w:rsid w:val="00F07613"/>
    <w:rsid w:val="00F11A4B"/>
    <w:rsid w:val="00F16775"/>
    <w:rsid w:val="00F31FD2"/>
    <w:rsid w:val="00F3678F"/>
    <w:rsid w:val="00F37A29"/>
    <w:rsid w:val="00F46D1D"/>
    <w:rsid w:val="00F52460"/>
    <w:rsid w:val="00F52550"/>
    <w:rsid w:val="00F56472"/>
    <w:rsid w:val="00F617E7"/>
    <w:rsid w:val="00F74FC2"/>
    <w:rsid w:val="00F774B4"/>
    <w:rsid w:val="00F82086"/>
    <w:rsid w:val="00F8562A"/>
    <w:rsid w:val="00F90559"/>
    <w:rsid w:val="00FB5BF7"/>
    <w:rsid w:val="00FC7746"/>
    <w:rsid w:val="00FD166B"/>
    <w:rsid w:val="00FE7A33"/>
    <w:rsid w:val="00FF10F0"/>
    <w:rsid w:val="00FF187D"/>
    <w:rsid w:val="00FF494E"/>
    <w:rsid w:val="00FF6EC7"/>
  </w:rsids>
  <m:mathPr>
    <m:mathFont m:val="Cambria Math"/>
    <m:brkBin m:val="before"/>
    <m:brkBinSub m:val="--"/>
    <m:smallFrac m:val="0"/>
    <m:dispDef/>
    <m:lMargin m:val="0"/>
    <m:rMargin m:val="0"/>
    <m:defJc m:val="centerGroup"/>
    <m:wrapIndent m:val="1440"/>
    <m:intLim m:val="subSup"/>
    <m:naryLim m:val="undOvr"/>
  </m:mathPr>
  <w:themeFontLang w:val="fi-FI"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0845974"/>
  <w15:chartTrackingRefBased/>
  <w15:docId w15:val="{21428F35-3AE0-430F-AA76-E7D4EF5CE7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qFormat/>
    <w:rsid w:val="00C41BFE"/>
    <w:rPr>
      <w:kern w:val="0"/>
      <w14:ligatures w14:val="none"/>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character" w:styleId="Kommentinviite">
    <w:name w:val="annotation reference"/>
    <w:basedOn w:val="Kappaleenoletusfontti"/>
    <w:uiPriority w:val="99"/>
    <w:semiHidden/>
    <w:unhideWhenUsed/>
    <w:rsid w:val="00C41BFE"/>
    <w:rPr>
      <w:sz w:val="16"/>
      <w:szCs w:val="16"/>
    </w:rPr>
  </w:style>
  <w:style w:type="paragraph" w:styleId="Kommentinteksti">
    <w:name w:val="annotation text"/>
    <w:basedOn w:val="Normaali"/>
    <w:link w:val="KommentintekstiChar"/>
    <w:uiPriority w:val="99"/>
    <w:unhideWhenUsed/>
    <w:rsid w:val="00C41BFE"/>
    <w:pPr>
      <w:spacing w:line="240" w:lineRule="auto"/>
    </w:pPr>
    <w:rPr>
      <w:sz w:val="20"/>
      <w:szCs w:val="20"/>
    </w:rPr>
  </w:style>
  <w:style w:type="character" w:customStyle="1" w:styleId="KommentintekstiChar">
    <w:name w:val="Kommentin teksti Char"/>
    <w:basedOn w:val="Kappaleenoletusfontti"/>
    <w:link w:val="Kommentinteksti"/>
    <w:uiPriority w:val="99"/>
    <w:rsid w:val="00C41BFE"/>
    <w:rPr>
      <w:kern w:val="0"/>
      <w:sz w:val="20"/>
      <w:szCs w:val="20"/>
      <w14:ligatures w14:val="none"/>
    </w:rPr>
  </w:style>
  <w:style w:type="paragraph" w:styleId="Kommentinotsikko">
    <w:name w:val="annotation subject"/>
    <w:basedOn w:val="Kommentinteksti"/>
    <w:next w:val="Kommentinteksti"/>
    <w:link w:val="KommentinotsikkoChar"/>
    <w:uiPriority w:val="99"/>
    <w:semiHidden/>
    <w:unhideWhenUsed/>
    <w:rsid w:val="00E4181F"/>
    <w:rPr>
      <w:b/>
      <w:bCs/>
    </w:rPr>
  </w:style>
  <w:style w:type="character" w:customStyle="1" w:styleId="KommentinotsikkoChar">
    <w:name w:val="Kommentin otsikko Char"/>
    <w:basedOn w:val="KommentintekstiChar"/>
    <w:link w:val="Kommentinotsikko"/>
    <w:uiPriority w:val="99"/>
    <w:semiHidden/>
    <w:rsid w:val="00E4181F"/>
    <w:rPr>
      <w:b/>
      <w:bCs/>
      <w:kern w:val="0"/>
      <w:sz w:val="20"/>
      <w:szCs w:val="20"/>
      <w14:ligatures w14:val="none"/>
    </w:rPr>
  </w:style>
  <w:style w:type="character" w:customStyle="1" w:styleId="fontstyle01">
    <w:name w:val="fontstyle01"/>
    <w:basedOn w:val="Kappaleenoletusfontti"/>
    <w:rsid w:val="00E4181F"/>
    <w:rPr>
      <w:rFonts w:ascii="TimesNewRomanPSMT" w:hAnsi="TimesNewRomanPSMT" w:hint="default"/>
      <w:b w:val="0"/>
      <w:bCs w:val="0"/>
      <w:i w:val="0"/>
      <w:iCs w:val="0"/>
      <w:color w:val="000000"/>
      <w:sz w:val="22"/>
      <w:szCs w:val="22"/>
    </w:rPr>
  </w:style>
  <w:style w:type="paragraph" w:styleId="Muutos">
    <w:name w:val="Revision"/>
    <w:hidden/>
    <w:uiPriority w:val="99"/>
    <w:semiHidden/>
    <w:rsid w:val="002E6444"/>
    <w:pPr>
      <w:spacing w:after="0" w:line="240" w:lineRule="auto"/>
    </w:pPr>
    <w:rPr>
      <w:kern w:val="0"/>
      <w14:ligatures w14:val="none"/>
    </w:rPr>
  </w:style>
  <w:style w:type="character" w:styleId="Hyperlinkki">
    <w:name w:val="Hyperlink"/>
    <w:basedOn w:val="Kappaleenoletusfontti"/>
    <w:uiPriority w:val="99"/>
    <w:unhideWhenUsed/>
    <w:rsid w:val="00657BF5"/>
    <w:rPr>
      <w:color w:val="0563C1" w:themeColor="hyperlink"/>
      <w:u w:val="single"/>
    </w:rPr>
  </w:style>
  <w:style w:type="character" w:styleId="Ratkaisematonmaininta">
    <w:name w:val="Unresolved Mention"/>
    <w:basedOn w:val="Kappaleenoletusfontti"/>
    <w:uiPriority w:val="99"/>
    <w:semiHidden/>
    <w:unhideWhenUsed/>
    <w:rsid w:val="00657BF5"/>
    <w:rPr>
      <w:color w:val="605E5C"/>
      <w:shd w:val="clear" w:color="auto" w:fill="E1DFDD"/>
    </w:rPr>
  </w:style>
  <w:style w:type="paragraph" w:styleId="HTML-esimuotoiltu">
    <w:name w:val="HTML Preformatted"/>
    <w:basedOn w:val="Normaali"/>
    <w:link w:val="HTML-esimuotoiltuChar"/>
    <w:uiPriority w:val="99"/>
    <w:semiHidden/>
    <w:unhideWhenUsed/>
    <w:rsid w:val="00195F9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esimuotoiltuChar">
    <w:name w:val="HTML-esimuotoiltu Char"/>
    <w:basedOn w:val="Kappaleenoletusfontti"/>
    <w:link w:val="HTML-esimuotoiltu"/>
    <w:uiPriority w:val="99"/>
    <w:semiHidden/>
    <w:rsid w:val="00195F9A"/>
    <w:rPr>
      <w:rFonts w:ascii="Courier New" w:eastAsia="Times New Roman" w:hAnsi="Courier New" w:cs="Courier New"/>
      <w:kern w:val="0"/>
      <w:sz w:val="20"/>
      <w:szCs w:val="20"/>
      <w14:ligatures w14:val="none"/>
    </w:rPr>
  </w:style>
  <w:style w:type="character" w:styleId="Voimakas">
    <w:name w:val="Strong"/>
    <w:basedOn w:val="Kappaleenoletusfontti"/>
    <w:uiPriority w:val="22"/>
    <w:qFormat/>
    <w:rsid w:val="005F7440"/>
    <w:rPr>
      <w:b/>
      <w:bCs/>
    </w:rPr>
  </w:style>
  <w:style w:type="character" w:styleId="Korostus">
    <w:name w:val="Emphasis"/>
    <w:basedOn w:val="Kappaleenoletusfontti"/>
    <w:uiPriority w:val="20"/>
    <w:qFormat/>
    <w:rsid w:val="00157858"/>
    <w:rPr>
      <w:i/>
      <w:iCs/>
    </w:rPr>
  </w:style>
  <w:style w:type="character" w:styleId="Rivinumero">
    <w:name w:val="line number"/>
    <w:basedOn w:val="Kappaleenoletusfontti"/>
    <w:uiPriority w:val="99"/>
    <w:semiHidden/>
    <w:unhideWhenUsed/>
    <w:rsid w:val="00A07495"/>
  </w:style>
  <w:style w:type="paragraph" w:styleId="Yltunniste">
    <w:name w:val="header"/>
    <w:basedOn w:val="Normaali"/>
    <w:link w:val="YltunnisteChar"/>
    <w:uiPriority w:val="99"/>
    <w:unhideWhenUsed/>
    <w:rsid w:val="00A07495"/>
    <w:pPr>
      <w:tabs>
        <w:tab w:val="center" w:pos="4986"/>
        <w:tab w:val="right" w:pos="9972"/>
      </w:tabs>
      <w:spacing w:after="0" w:line="240" w:lineRule="auto"/>
    </w:pPr>
  </w:style>
  <w:style w:type="character" w:customStyle="1" w:styleId="YltunnisteChar">
    <w:name w:val="Ylätunniste Char"/>
    <w:basedOn w:val="Kappaleenoletusfontti"/>
    <w:link w:val="Yltunniste"/>
    <w:uiPriority w:val="99"/>
    <w:rsid w:val="00A07495"/>
    <w:rPr>
      <w:kern w:val="0"/>
      <w14:ligatures w14:val="none"/>
    </w:rPr>
  </w:style>
  <w:style w:type="paragraph" w:styleId="Alatunniste">
    <w:name w:val="footer"/>
    <w:basedOn w:val="Normaali"/>
    <w:link w:val="AlatunnisteChar"/>
    <w:uiPriority w:val="99"/>
    <w:unhideWhenUsed/>
    <w:rsid w:val="00A07495"/>
    <w:pPr>
      <w:tabs>
        <w:tab w:val="center" w:pos="4986"/>
        <w:tab w:val="right" w:pos="9972"/>
      </w:tabs>
      <w:spacing w:after="0" w:line="240" w:lineRule="auto"/>
    </w:pPr>
  </w:style>
  <w:style w:type="character" w:customStyle="1" w:styleId="AlatunnisteChar">
    <w:name w:val="Alatunniste Char"/>
    <w:basedOn w:val="Kappaleenoletusfontti"/>
    <w:link w:val="Alatunniste"/>
    <w:uiPriority w:val="99"/>
    <w:rsid w:val="00A07495"/>
    <w:rPr>
      <w:kern w:val="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5419112">
      <w:bodyDiv w:val="1"/>
      <w:marLeft w:val="0"/>
      <w:marRight w:val="0"/>
      <w:marTop w:val="0"/>
      <w:marBottom w:val="0"/>
      <w:divBdr>
        <w:top w:val="none" w:sz="0" w:space="0" w:color="auto"/>
        <w:left w:val="none" w:sz="0" w:space="0" w:color="auto"/>
        <w:bottom w:val="none" w:sz="0" w:space="0" w:color="auto"/>
        <w:right w:val="none" w:sz="0" w:space="0" w:color="auto"/>
      </w:divBdr>
    </w:div>
    <w:div w:id="335956906">
      <w:bodyDiv w:val="1"/>
      <w:marLeft w:val="0"/>
      <w:marRight w:val="0"/>
      <w:marTop w:val="0"/>
      <w:marBottom w:val="0"/>
      <w:divBdr>
        <w:top w:val="none" w:sz="0" w:space="0" w:color="auto"/>
        <w:left w:val="none" w:sz="0" w:space="0" w:color="auto"/>
        <w:bottom w:val="none" w:sz="0" w:space="0" w:color="auto"/>
        <w:right w:val="none" w:sz="0" w:space="0" w:color="auto"/>
      </w:divBdr>
    </w:div>
    <w:div w:id="359548572">
      <w:bodyDiv w:val="1"/>
      <w:marLeft w:val="0"/>
      <w:marRight w:val="0"/>
      <w:marTop w:val="0"/>
      <w:marBottom w:val="0"/>
      <w:divBdr>
        <w:top w:val="none" w:sz="0" w:space="0" w:color="auto"/>
        <w:left w:val="none" w:sz="0" w:space="0" w:color="auto"/>
        <w:bottom w:val="none" w:sz="0" w:space="0" w:color="auto"/>
        <w:right w:val="none" w:sz="0" w:space="0" w:color="auto"/>
      </w:divBdr>
    </w:div>
    <w:div w:id="542327980">
      <w:bodyDiv w:val="1"/>
      <w:marLeft w:val="0"/>
      <w:marRight w:val="0"/>
      <w:marTop w:val="0"/>
      <w:marBottom w:val="0"/>
      <w:divBdr>
        <w:top w:val="none" w:sz="0" w:space="0" w:color="auto"/>
        <w:left w:val="none" w:sz="0" w:space="0" w:color="auto"/>
        <w:bottom w:val="none" w:sz="0" w:space="0" w:color="auto"/>
        <w:right w:val="none" w:sz="0" w:space="0" w:color="auto"/>
      </w:divBdr>
    </w:div>
    <w:div w:id="576863890">
      <w:bodyDiv w:val="1"/>
      <w:marLeft w:val="0"/>
      <w:marRight w:val="0"/>
      <w:marTop w:val="0"/>
      <w:marBottom w:val="0"/>
      <w:divBdr>
        <w:top w:val="none" w:sz="0" w:space="0" w:color="auto"/>
        <w:left w:val="none" w:sz="0" w:space="0" w:color="auto"/>
        <w:bottom w:val="none" w:sz="0" w:space="0" w:color="auto"/>
        <w:right w:val="none" w:sz="0" w:space="0" w:color="auto"/>
      </w:divBdr>
    </w:div>
    <w:div w:id="1257250382">
      <w:bodyDiv w:val="1"/>
      <w:marLeft w:val="0"/>
      <w:marRight w:val="0"/>
      <w:marTop w:val="0"/>
      <w:marBottom w:val="0"/>
      <w:divBdr>
        <w:top w:val="none" w:sz="0" w:space="0" w:color="auto"/>
        <w:left w:val="none" w:sz="0" w:space="0" w:color="auto"/>
        <w:bottom w:val="none" w:sz="0" w:space="0" w:color="auto"/>
        <w:right w:val="none" w:sz="0" w:space="0" w:color="auto"/>
      </w:divBdr>
    </w:div>
    <w:div w:id="1460683639">
      <w:bodyDiv w:val="1"/>
      <w:marLeft w:val="0"/>
      <w:marRight w:val="0"/>
      <w:marTop w:val="0"/>
      <w:marBottom w:val="0"/>
      <w:divBdr>
        <w:top w:val="none" w:sz="0" w:space="0" w:color="auto"/>
        <w:left w:val="none" w:sz="0" w:space="0" w:color="auto"/>
        <w:bottom w:val="none" w:sz="0" w:space="0" w:color="auto"/>
        <w:right w:val="none" w:sz="0" w:space="0" w:color="auto"/>
      </w:divBdr>
    </w:div>
    <w:div w:id="1467697803">
      <w:bodyDiv w:val="1"/>
      <w:marLeft w:val="0"/>
      <w:marRight w:val="0"/>
      <w:marTop w:val="0"/>
      <w:marBottom w:val="0"/>
      <w:divBdr>
        <w:top w:val="none" w:sz="0" w:space="0" w:color="auto"/>
        <w:left w:val="none" w:sz="0" w:space="0" w:color="auto"/>
        <w:bottom w:val="none" w:sz="0" w:space="0" w:color="auto"/>
        <w:right w:val="none" w:sz="0" w:space="0" w:color="auto"/>
      </w:divBdr>
    </w:div>
    <w:div w:id="1666469325">
      <w:bodyDiv w:val="1"/>
      <w:marLeft w:val="0"/>
      <w:marRight w:val="0"/>
      <w:marTop w:val="0"/>
      <w:marBottom w:val="0"/>
      <w:divBdr>
        <w:top w:val="none" w:sz="0" w:space="0" w:color="auto"/>
        <w:left w:val="none" w:sz="0" w:space="0" w:color="auto"/>
        <w:bottom w:val="none" w:sz="0" w:space="0" w:color="auto"/>
        <w:right w:val="none" w:sz="0" w:space="0" w:color="auto"/>
      </w:divBdr>
    </w:div>
    <w:div w:id="1812863238">
      <w:bodyDiv w:val="1"/>
      <w:marLeft w:val="0"/>
      <w:marRight w:val="0"/>
      <w:marTop w:val="0"/>
      <w:marBottom w:val="0"/>
      <w:divBdr>
        <w:top w:val="none" w:sz="0" w:space="0" w:color="auto"/>
        <w:left w:val="none" w:sz="0" w:space="0" w:color="auto"/>
        <w:bottom w:val="none" w:sz="0" w:space="0" w:color="auto"/>
        <w:right w:val="none" w:sz="0" w:space="0" w:color="auto"/>
      </w:divBdr>
    </w:div>
    <w:div w:id="1970281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ettings" Target="settings.xml"/><Relationship Id="rId7" Type="http://schemas.openxmlformats.org/officeDocument/2006/relationships/hyperlink" Target="mailto:hmviit@gmail.com" TargetMode="External"/><Relationship Id="rId12" Type="http://schemas.openxmlformats.org/officeDocument/2006/relationships/image" Target="media/image5.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C0B1E74-0D2E-4276-980C-B313F8C970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359</TotalTime>
  <Pages>36</Pages>
  <Words>52727</Words>
  <Characters>300546</Characters>
  <Application>Microsoft Office Word</Application>
  <DocSecurity>0</DocSecurity>
  <Lines>2504</Lines>
  <Paragraphs>705</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352568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Heidi Viitaniemi</dc:creator>
  <cp:keywords/>
  <dc:description/>
  <cp:lastModifiedBy>Heidi Viitaniemi</cp:lastModifiedBy>
  <cp:revision>2</cp:revision>
  <dcterms:created xsi:type="dcterms:W3CDTF">2023-06-13T18:27:00Z</dcterms:created>
  <dcterms:modified xsi:type="dcterms:W3CDTF">2023-06-13T18:27:00Z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 11th edition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http://www.zotero.org/styles/american-sociological-association</vt:lpwstr>
  </property>
  <property fmtid="{D5CDD505-2E9C-101B-9397-08002B2CF9AE}" pid="7" name="Mendeley Recent Style Name 2_1">
    <vt:lpwstr>American Sociological Association 6th edition</vt:lpwstr>
  </property>
  <property fmtid="{D5CDD505-2E9C-101B-9397-08002B2CF9AE}" pid="8" name="Mendeley Recent Style Id 3_1">
    <vt:lpwstr>http://www.zotero.org/styles/chicago-author-date</vt:lpwstr>
  </property>
  <property fmtid="{D5CDD505-2E9C-101B-9397-08002B2CF9AE}" pid="9" name="Mendeley Recent Style Name 3_1">
    <vt:lpwstr>Chicago Manual of Style 17th edition (author-date)</vt:lpwstr>
  </property>
  <property fmtid="{D5CDD505-2E9C-101B-9397-08002B2CF9AE}" pid="10" name="Mendeley Recent Style Id 4_1">
    <vt:lpwstr>http://www.zotero.org/styles/harvard-cite-them-right</vt:lpwstr>
  </property>
  <property fmtid="{D5CDD505-2E9C-101B-9397-08002B2CF9AE}" pid="11" name="Mendeley Recent Style Name 4_1">
    <vt:lpwstr>Cite Them Right 10th edition - Harvard</vt:lpwstr>
  </property>
  <property fmtid="{D5CDD505-2E9C-101B-9397-08002B2CF9AE}" pid="12" name="Mendeley Recent Style Id 5_1">
    <vt:lpwstr>http://www.zotero.org/styles/global-ecology-and-biogeography</vt:lpwstr>
  </property>
  <property fmtid="{D5CDD505-2E9C-101B-9397-08002B2CF9AE}" pid="13" name="Mendeley Recent Style Name 5_1">
    <vt:lpwstr>Global Ecology and Biogeography</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8th edition</vt:lpwstr>
  </property>
  <property fmtid="{D5CDD505-2E9C-101B-9397-08002B2CF9AE}" pid="20" name="Mendeley Recent Style Id 9_1">
    <vt:lpwstr>http://www.zotero.org/styles/molecular-ecology</vt:lpwstr>
  </property>
  <property fmtid="{D5CDD505-2E9C-101B-9397-08002B2CF9AE}" pid="21" name="Mendeley Recent Style Name 9_1">
    <vt:lpwstr>Molecular Ecology</vt:lpwstr>
  </property>
  <property fmtid="{D5CDD505-2E9C-101B-9397-08002B2CF9AE}" pid="22" name="Mendeley Document_1">
    <vt:lpwstr>True</vt:lpwstr>
  </property>
  <property fmtid="{D5CDD505-2E9C-101B-9397-08002B2CF9AE}" pid="23" name="Mendeley Unique User Id_1">
    <vt:lpwstr>94c865cc-37cf-302e-a6c4-8959687faabc</vt:lpwstr>
  </property>
  <property fmtid="{D5CDD505-2E9C-101B-9397-08002B2CF9AE}" pid="24" name="Mendeley Citation Style_1">
    <vt:lpwstr>http://www.zotero.org/styles/molecular-ecology</vt:lpwstr>
  </property>
</Properties>
</file>