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1078" w:rsidRPr="001655A6" w:rsidRDefault="00A00D4C" w:rsidP="001655A6">
      <w:pPr>
        <w:rPr>
          <w:rFonts w:cs="Arial"/>
          <w:szCs w:val="20"/>
        </w:rPr>
      </w:pPr>
      <w:r w:rsidRPr="004219C9">
        <w:rPr>
          <w:rFonts w:cs="Arial"/>
          <w:color w:val="FF0000"/>
        </w:rPr>
        <w:t xml:space="preserve"> </w:t>
      </w:r>
      <w:r w:rsidRPr="001655A6">
        <w:rPr>
          <w:rFonts w:cs="Arial"/>
          <w:szCs w:val="20"/>
        </w:rPr>
        <w:t xml:space="preserve">REVIEW   </w:t>
      </w:r>
    </w:p>
    <w:p w:rsidR="007F1078" w:rsidRPr="001655A6" w:rsidRDefault="00A00D4C" w:rsidP="001655A6">
      <w:pPr>
        <w:tabs>
          <w:tab w:val="left" w:pos="2088"/>
        </w:tabs>
        <w:jc w:val="both"/>
        <w:rPr>
          <w:rFonts w:cs="Arial"/>
          <w:szCs w:val="20"/>
        </w:rPr>
      </w:pPr>
      <w:r w:rsidRPr="001655A6">
        <w:rPr>
          <w:rFonts w:cs="Arial"/>
          <w:szCs w:val="20"/>
        </w:rPr>
        <w:t xml:space="preserve"> </w:t>
      </w:r>
      <w:proofErr w:type="spellStart"/>
      <w:r w:rsidRPr="001655A6">
        <w:rPr>
          <w:rFonts w:cs="Arial"/>
          <w:szCs w:val="20"/>
        </w:rPr>
        <w:t>Sehreen</w:t>
      </w:r>
      <w:proofErr w:type="spellEnd"/>
      <w:r w:rsidRPr="001655A6">
        <w:rPr>
          <w:rFonts w:cs="Arial"/>
          <w:szCs w:val="20"/>
        </w:rPr>
        <w:t xml:space="preserve"> Tory et al</w:t>
      </w:r>
      <w:r w:rsidR="00FB6795" w:rsidRPr="001655A6">
        <w:rPr>
          <w:rFonts w:cs="Arial"/>
          <w:szCs w:val="20"/>
        </w:rPr>
        <w:tab/>
      </w:r>
    </w:p>
    <w:p w:rsidR="007F1078" w:rsidRPr="001655A6" w:rsidRDefault="007F1078" w:rsidP="001655A6">
      <w:pPr>
        <w:jc w:val="center"/>
        <w:rPr>
          <w:rFonts w:cs="Arial"/>
          <w:b/>
          <w:bCs/>
          <w:szCs w:val="20"/>
        </w:rPr>
      </w:pPr>
    </w:p>
    <w:p w:rsidR="007F1078" w:rsidRPr="001655A6" w:rsidRDefault="001833CA" w:rsidP="001655A6">
      <w:pPr>
        <w:jc w:val="center"/>
        <w:rPr>
          <w:rFonts w:cs="Arial"/>
          <w:b/>
          <w:bCs/>
          <w:szCs w:val="20"/>
        </w:rPr>
      </w:pPr>
      <w:r>
        <w:rPr>
          <w:rFonts w:cs="Arial"/>
          <w:b/>
          <w:bCs/>
          <w:szCs w:val="20"/>
        </w:rPr>
        <w:t>Prognostic value of t</w:t>
      </w:r>
      <w:r w:rsidR="00A00D4C" w:rsidRPr="001655A6">
        <w:rPr>
          <w:rFonts w:cs="Arial"/>
          <w:b/>
          <w:bCs/>
          <w:szCs w:val="20"/>
        </w:rPr>
        <w:t>ransg</w:t>
      </w:r>
      <w:r>
        <w:rPr>
          <w:rFonts w:cs="Arial"/>
          <w:b/>
          <w:bCs/>
          <w:szCs w:val="20"/>
        </w:rPr>
        <w:t>lutaminase-2 overexpression in cancer p</w:t>
      </w:r>
      <w:r w:rsidR="00A00D4C" w:rsidRPr="001655A6">
        <w:rPr>
          <w:rFonts w:cs="Arial"/>
          <w:b/>
          <w:bCs/>
          <w:szCs w:val="20"/>
        </w:rPr>
        <w:t>atients: A Meta</w:t>
      </w:r>
      <w:r w:rsidR="00A00D4C" w:rsidRPr="001655A6">
        <w:rPr>
          <w:rFonts w:cs="Arial"/>
          <w:b/>
          <w:bCs/>
          <w:szCs w:val="20"/>
        </w:rPr>
        <w:noBreakHyphen/>
        <w:t>analysis</w:t>
      </w:r>
    </w:p>
    <w:p w:rsidR="007F1078" w:rsidRPr="001655A6" w:rsidRDefault="007F1078" w:rsidP="001655A6">
      <w:pPr>
        <w:rPr>
          <w:rFonts w:cs="Arial"/>
          <w:szCs w:val="20"/>
        </w:rPr>
      </w:pPr>
    </w:p>
    <w:p w:rsidR="00A9207C" w:rsidRPr="00A9207C" w:rsidRDefault="00A9207C" w:rsidP="00A9207C">
      <w:pPr>
        <w:rPr>
          <w:rFonts w:cs="Arial"/>
          <w:szCs w:val="20"/>
          <w:vertAlign w:val="superscript"/>
          <w:lang w:val="en-GB"/>
        </w:rPr>
      </w:pPr>
      <w:proofErr w:type="spellStart"/>
      <w:r w:rsidRPr="00A9207C">
        <w:rPr>
          <w:rFonts w:cs="Arial"/>
          <w:szCs w:val="20"/>
          <w:lang w:val="en-GB"/>
        </w:rPr>
        <w:t>Sehreen</w:t>
      </w:r>
      <w:proofErr w:type="spellEnd"/>
      <w:r w:rsidRPr="00A9207C">
        <w:rPr>
          <w:rFonts w:cs="Arial"/>
          <w:szCs w:val="20"/>
          <w:lang w:val="en-GB"/>
        </w:rPr>
        <w:t xml:space="preserve"> Tory</w:t>
      </w:r>
      <w:r w:rsidRPr="00A9207C">
        <w:rPr>
          <w:rFonts w:cs="Arial"/>
          <w:szCs w:val="20"/>
          <w:vertAlign w:val="superscript"/>
          <w:lang w:val="en-GB"/>
        </w:rPr>
        <w:t>1</w:t>
      </w:r>
      <w:r w:rsidRPr="00A9207C">
        <w:rPr>
          <w:rFonts w:cs="Arial"/>
          <w:szCs w:val="20"/>
          <w:lang w:val="en-GB"/>
        </w:rPr>
        <w:t xml:space="preserve">, Md. </w:t>
      </w:r>
      <w:proofErr w:type="spellStart"/>
      <w:r w:rsidRPr="00A9207C">
        <w:rPr>
          <w:rFonts w:cs="Arial"/>
          <w:szCs w:val="20"/>
          <w:lang w:val="en-GB"/>
        </w:rPr>
        <w:t>Mojahidur</w:t>
      </w:r>
      <w:proofErr w:type="spellEnd"/>
      <w:r w:rsidRPr="00A9207C">
        <w:rPr>
          <w:rFonts w:cs="Arial"/>
          <w:szCs w:val="20"/>
          <w:lang w:val="en-GB"/>
        </w:rPr>
        <w:t xml:space="preserve"> Hasan</w:t>
      </w:r>
      <w:r w:rsidRPr="00A9207C">
        <w:rPr>
          <w:rFonts w:cs="Arial"/>
          <w:szCs w:val="20"/>
          <w:vertAlign w:val="superscript"/>
          <w:lang w:val="en-GB"/>
        </w:rPr>
        <w:t>1</w:t>
      </w:r>
      <w:r w:rsidRPr="00A9207C">
        <w:rPr>
          <w:rFonts w:cs="Arial"/>
          <w:szCs w:val="20"/>
          <w:lang w:val="en-GB"/>
        </w:rPr>
        <w:t>, Yusuf Kemal Arslan</w:t>
      </w:r>
      <w:r w:rsidRPr="00A9207C">
        <w:rPr>
          <w:rFonts w:cs="Arial"/>
          <w:szCs w:val="20"/>
          <w:vertAlign w:val="superscript"/>
          <w:lang w:val="en-GB"/>
        </w:rPr>
        <w:t>2</w:t>
      </w:r>
      <w:r w:rsidRPr="00A9207C">
        <w:rPr>
          <w:rFonts w:cs="Arial"/>
          <w:szCs w:val="20"/>
          <w:lang w:val="en-GB"/>
        </w:rPr>
        <w:t xml:space="preserve">, </w:t>
      </w:r>
      <w:proofErr w:type="spellStart"/>
      <w:r w:rsidRPr="00A9207C">
        <w:rPr>
          <w:rFonts w:cs="Arial"/>
          <w:szCs w:val="20"/>
          <w:lang w:val="en-GB"/>
        </w:rPr>
        <w:t>Yasemin</w:t>
      </w:r>
      <w:proofErr w:type="spellEnd"/>
      <w:r w:rsidRPr="00A9207C">
        <w:rPr>
          <w:rFonts w:cs="Arial"/>
          <w:szCs w:val="20"/>
          <w:lang w:val="en-GB"/>
        </w:rPr>
        <w:t xml:space="preserve"> Saygideger</w:t>
      </w:r>
      <w:r w:rsidRPr="00A9207C">
        <w:rPr>
          <w:rFonts w:cs="Arial"/>
          <w:szCs w:val="20"/>
          <w:vertAlign w:val="superscript"/>
          <w:lang w:val="en-GB"/>
        </w:rPr>
        <w:t>1</w:t>
      </w:r>
      <w:proofErr w:type="gramStart"/>
      <w:r w:rsidRPr="00A9207C">
        <w:rPr>
          <w:rFonts w:cs="Arial"/>
          <w:szCs w:val="20"/>
          <w:vertAlign w:val="superscript"/>
          <w:lang w:val="en-GB"/>
        </w:rPr>
        <w:t>,3</w:t>
      </w:r>
      <w:proofErr w:type="gramEnd"/>
      <w:r w:rsidRPr="00A9207C">
        <w:rPr>
          <w:rFonts w:cs="Arial"/>
          <w:szCs w:val="20"/>
          <w:vertAlign w:val="superscript"/>
          <w:lang w:val="en-GB"/>
        </w:rPr>
        <w:t>,*</w:t>
      </w:r>
    </w:p>
    <w:p w:rsidR="00A9207C" w:rsidRPr="00A9207C" w:rsidRDefault="00A9207C" w:rsidP="00A9207C">
      <w:pPr>
        <w:rPr>
          <w:rFonts w:cs="Arial"/>
          <w:szCs w:val="20"/>
          <w:vertAlign w:val="superscript"/>
          <w:lang w:val="en-GB"/>
        </w:rPr>
      </w:pPr>
    </w:p>
    <w:p w:rsidR="00A9207C" w:rsidRPr="00A9207C" w:rsidRDefault="00A9207C" w:rsidP="00A9207C">
      <w:pPr>
        <w:rPr>
          <w:rFonts w:cs="Arial"/>
          <w:color w:val="262626"/>
          <w:szCs w:val="20"/>
          <w:lang w:val="en-GB"/>
        </w:rPr>
      </w:pPr>
      <w:r w:rsidRPr="00A9207C">
        <w:rPr>
          <w:rFonts w:cs="Arial"/>
          <w:color w:val="262626"/>
          <w:szCs w:val="20"/>
          <w:vertAlign w:val="superscript"/>
          <w:lang w:val="en-GB"/>
        </w:rPr>
        <w:t>1</w:t>
      </w:r>
      <w:r w:rsidRPr="00A9207C">
        <w:rPr>
          <w:rFonts w:cs="Arial"/>
          <w:color w:val="262626"/>
          <w:szCs w:val="20"/>
          <w:lang w:val="en-GB"/>
        </w:rPr>
        <w:t xml:space="preserve">Department of Translational Medicine, Graduate School of Health Sciences, </w:t>
      </w:r>
      <w:proofErr w:type="spellStart"/>
      <w:r w:rsidRPr="00A9207C">
        <w:rPr>
          <w:rFonts w:cs="Arial"/>
          <w:color w:val="262626"/>
          <w:szCs w:val="20"/>
          <w:lang w:val="en-GB"/>
        </w:rPr>
        <w:t>Cukurova</w:t>
      </w:r>
      <w:proofErr w:type="spellEnd"/>
      <w:r w:rsidRPr="00A9207C">
        <w:rPr>
          <w:rFonts w:cs="Arial"/>
          <w:color w:val="262626"/>
          <w:szCs w:val="20"/>
          <w:lang w:val="en-GB"/>
        </w:rPr>
        <w:t xml:space="preserve"> University, Adana, Turkey</w:t>
      </w:r>
    </w:p>
    <w:p w:rsidR="00A9207C" w:rsidRPr="00A9207C" w:rsidRDefault="00A9207C" w:rsidP="00A9207C">
      <w:pPr>
        <w:rPr>
          <w:rFonts w:cs="Arial"/>
          <w:color w:val="262626"/>
          <w:szCs w:val="20"/>
          <w:lang w:val="en-GB"/>
        </w:rPr>
      </w:pPr>
      <w:r w:rsidRPr="00A9207C">
        <w:rPr>
          <w:rFonts w:cs="Arial"/>
          <w:color w:val="262626"/>
          <w:szCs w:val="20"/>
          <w:vertAlign w:val="superscript"/>
          <w:lang w:val="en-GB"/>
        </w:rPr>
        <w:t>2</w:t>
      </w:r>
      <w:r w:rsidRPr="00A9207C">
        <w:rPr>
          <w:rFonts w:cs="Arial"/>
          <w:color w:val="262626"/>
          <w:szCs w:val="20"/>
          <w:lang w:val="en-GB"/>
        </w:rPr>
        <w:t xml:space="preserve">Department of Biostatistics, Faculty of Medicine, </w:t>
      </w:r>
      <w:proofErr w:type="spellStart"/>
      <w:r w:rsidRPr="00A9207C">
        <w:rPr>
          <w:rFonts w:cs="Arial"/>
          <w:color w:val="262626"/>
          <w:szCs w:val="20"/>
          <w:lang w:val="en-GB"/>
        </w:rPr>
        <w:t>Cukurova</w:t>
      </w:r>
      <w:proofErr w:type="spellEnd"/>
      <w:r w:rsidRPr="00A9207C">
        <w:rPr>
          <w:rFonts w:cs="Arial"/>
          <w:color w:val="262626"/>
          <w:szCs w:val="20"/>
          <w:lang w:val="en-GB"/>
        </w:rPr>
        <w:t xml:space="preserve"> University, Adana, Turkey</w:t>
      </w:r>
    </w:p>
    <w:p w:rsidR="00A9207C" w:rsidRPr="00A9207C" w:rsidRDefault="00A9207C" w:rsidP="00A9207C">
      <w:pPr>
        <w:rPr>
          <w:rFonts w:cs="Arial"/>
          <w:bCs/>
          <w:szCs w:val="20"/>
          <w:lang w:val="en-GB"/>
        </w:rPr>
      </w:pPr>
      <w:r w:rsidRPr="00A9207C">
        <w:rPr>
          <w:rFonts w:cs="Arial"/>
          <w:bCs/>
          <w:szCs w:val="20"/>
          <w:vertAlign w:val="superscript"/>
          <w:lang w:val="en-GB"/>
        </w:rPr>
        <w:t>3</w:t>
      </w:r>
      <w:r w:rsidRPr="00A9207C">
        <w:rPr>
          <w:rFonts w:cs="Arial"/>
          <w:bCs/>
          <w:szCs w:val="20"/>
          <w:lang w:val="en-GB"/>
        </w:rPr>
        <w:t xml:space="preserve">Department of Pulmonary, Faculty of Medicine, </w:t>
      </w:r>
      <w:proofErr w:type="spellStart"/>
      <w:r w:rsidRPr="00A9207C">
        <w:rPr>
          <w:rFonts w:cs="Arial"/>
          <w:bCs/>
          <w:szCs w:val="20"/>
          <w:lang w:val="en-GB"/>
        </w:rPr>
        <w:t>Cukurova</w:t>
      </w:r>
      <w:proofErr w:type="spellEnd"/>
      <w:r w:rsidRPr="00A9207C">
        <w:rPr>
          <w:rFonts w:cs="Arial"/>
          <w:bCs/>
          <w:szCs w:val="20"/>
          <w:lang w:val="en-GB"/>
        </w:rPr>
        <w:t xml:space="preserve"> University, Adana, Turkey</w:t>
      </w:r>
    </w:p>
    <w:p w:rsidR="00A9207C" w:rsidRPr="00A9207C" w:rsidRDefault="00A9207C" w:rsidP="00A9207C">
      <w:pPr>
        <w:spacing w:line="360" w:lineRule="auto"/>
        <w:jc w:val="both"/>
        <w:outlineLvl w:val="0"/>
        <w:rPr>
          <w:rFonts w:cs="Arial"/>
          <w:szCs w:val="20"/>
          <w:lang w:val="en-GB"/>
        </w:rPr>
      </w:pPr>
    </w:p>
    <w:p w:rsidR="00A9207C" w:rsidRDefault="00A9207C" w:rsidP="00A9207C">
      <w:pPr>
        <w:spacing w:line="360" w:lineRule="auto"/>
        <w:jc w:val="both"/>
        <w:rPr>
          <w:rFonts w:cs="Arial"/>
          <w:szCs w:val="20"/>
          <w:lang w:val="en-GB"/>
        </w:rPr>
      </w:pPr>
      <w:r w:rsidRPr="00A9207C">
        <w:rPr>
          <w:rFonts w:cs="Arial"/>
          <w:b/>
          <w:szCs w:val="20"/>
          <w:lang w:val="en-GB"/>
        </w:rPr>
        <w:t>*Corresponding Author:</w:t>
      </w:r>
      <w:r w:rsidRPr="00A9207C">
        <w:rPr>
          <w:rFonts w:cs="Arial"/>
          <w:szCs w:val="20"/>
          <w:lang w:val="en-GB"/>
        </w:rPr>
        <w:t xml:space="preserve">  </w:t>
      </w:r>
    </w:p>
    <w:p w:rsidR="00A9207C" w:rsidRPr="00A9207C" w:rsidRDefault="00A9207C" w:rsidP="00A9207C">
      <w:pPr>
        <w:spacing w:line="360" w:lineRule="auto"/>
        <w:jc w:val="both"/>
        <w:rPr>
          <w:rFonts w:cs="Arial"/>
          <w:szCs w:val="20"/>
          <w:lang w:val="en-GB"/>
        </w:rPr>
      </w:pPr>
      <w:proofErr w:type="spellStart"/>
      <w:r w:rsidRPr="00A9207C">
        <w:rPr>
          <w:rFonts w:cs="Arial"/>
          <w:szCs w:val="20"/>
          <w:lang w:val="en-GB"/>
        </w:rPr>
        <w:t>Yasemin</w:t>
      </w:r>
      <w:proofErr w:type="spellEnd"/>
      <w:r w:rsidRPr="00A9207C">
        <w:rPr>
          <w:rFonts w:cs="Arial"/>
          <w:szCs w:val="20"/>
          <w:lang w:val="en-GB"/>
        </w:rPr>
        <w:t xml:space="preserve"> </w:t>
      </w:r>
      <w:proofErr w:type="spellStart"/>
      <w:r w:rsidRPr="00A9207C">
        <w:rPr>
          <w:rFonts w:cs="Arial"/>
          <w:szCs w:val="20"/>
          <w:lang w:val="en-GB"/>
        </w:rPr>
        <w:t>Saygideger</w:t>
      </w:r>
      <w:proofErr w:type="spellEnd"/>
      <w:r w:rsidRPr="00A9207C">
        <w:rPr>
          <w:rFonts w:cs="Arial"/>
          <w:szCs w:val="20"/>
          <w:lang w:val="en-GB"/>
        </w:rPr>
        <w:t xml:space="preserve"> MD, PhD</w:t>
      </w:r>
    </w:p>
    <w:p w:rsidR="00A9207C" w:rsidRPr="00A9207C" w:rsidRDefault="00A9207C" w:rsidP="00A9207C">
      <w:pPr>
        <w:spacing w:line="360" w:lineRule="auto"/>
        <w:jc w:val="both"/>
        <w:rPr>
          <w:rFonts w:cs="Arial"/>
          <w:szCs w:val="20"/>
          <w:lang w:val="en-GB"/>
        </w:rPr>
      </w:pPr>
      <w:r w:rsidRPr="00A9207C">
        <w:rPr>
          <w:rFonts w:cs="Arial"/>
          <w:szCs w:val="20"/>
          <w:lang w:val="en-GB"/>
        </w:rPr>
        <w:t xml:space="preserve">Associate Professor </w:t>
      </w:r>
    </w:p>
    <w:p w:rsidR="00A9207C" w:rsidRPr="00A9207C" w:rsidRDefault="00A9207C" w:rsidP="00A9207C">
      <w:pPr>
        <w:spacing w:line="360" w:lineRule="auto"/>
        <w:jc w:val="both"/>
        <w:rPr>
          <w:rFonts w:cs="Arial"/>
          <w:szCs w:val="20"/>
          <w:lang w:val="en-GB"/>
        </w:rPr>
      </w:pPr>
      <w:r w:rsidRPr="00A9207C">
        <w:rPr>
          <w:rFonts w:cs="Arial"/>
          <w:szCs w:val="20"/>
          <w:lang w:val="en-GB"/>
        </w:rPr>
        <w:t xml:space="preserve">Departments of Translational medicine, Pulmonary &amp; Biotechnology </w:t>
      </w:r>
    </w:p>
    <w:p w:rsidR="00A9207C" w:rsidRPr="00A9207C" w:rsidRDefault="00A9207C" w:rsidP="00A9207C">
      <w:pPr>
        <w:spacing w:line="360" w:lineRule="auto"/>
        <w:jc w:val="both"/>
        <w:rPr>
          <w:rFonts w:cs="Arial"/>
          <w:szCs w:val="20"/>
          <w:lang w:val="en-GB"/>
        </w:rPr>
      </w:pPr>
      <w:proofErr w:type="spellStart"/>
      <w:r w:rsidRPr="00A9207C">
        <w:rPr>
          <w:rFonts w:cs="Arial"/>
          <w:szCs w:val="20"/>
          <w:lang w:val="en-GB"/>
        </w:rPr>
        <w:t>Çukurova</w:t>
      </w:r>
      <w:proofErr w:type="spellEnd"/>
      <w:r w:rsidRPr="00A9207C">
        <w:rPr>
          <w:rFonts w:cs="Arial"/>
          <w:szCs w:val="20"/>
          <w:lang w:val="en-GB"/>
        </w:rPr>
        <w:t xml:space="preserve"> University School of Medicine</w:t>
      </w:r>
    </w:p>
    <w:p w:rsidR="00A9207C" w:rsidRPr="00A9207C" w:rsidRDefault="00A9207C" w:rsidP="00A9207C">
      <w:pPr>
        <w:spacing w:line="360" w:lineRule="auto"/>
        <w:jc w:val="both"/>
        <w:rPr>
          <w:rFonts w:cs="Arial"/>
          <w:szCs w:val="20"/>
          <w:lang w:val="en-GB"/>
        </w:rPr>
      </w:pPr>
      <w:r w:rsidRPr="00A9207C">
        <w:rPr>
          <w:rFonts w:cs="Arial"/>
          <w:szCs w:val="20"/>
          <w:lang w:val="en-GB"/>
        </w:rPr>
        <w:t>01330</w:t>
      </w:r>
    </w:p>
    <w:p w:rsidR="00A9207C" w:rsidRPr="00A9207C" w:rsidRDefault="00A9207C" w:rsidP="00A9207C">
      <w:pPr>
        <w:spacing w:line="360" w:lineRule="auto"/>
        <w:jc w:val="both"/>
        <w:rPr>
          <w:rFonts w:cs="Arial"/>
          <w:szCs w:val="20"/>
          <w:lang w:val="en-GB"/>
        </w:rPr>
      </w:pPr>
      <w:proofErr w:type="spellStart"/>
      <w:r w:rsidRPr="00A9207C">
        <w:rPr>
          <w:rFonts w:cs="Arial"/>
          <w:szCs w:val="20"/>
          <w:lang w:val="en-GB"/>
        </w:rPr>
        <w:t>Balcali</w:t>
      </w:r>
      <w:proofErr w:type="spellEnd"/>
      <w:r w:rsidRPr="00A9207C">
        <w:rPr>
          <w:rFonts w:cs="Arial"/>
          <w:szCs w:val="20"/>
          <w:lang w:val="en-GB"/>
        </w:rPr>
        <w:t xml:space="preserve"> / Adana / Turkey</w:t>
      </w:r>
    </w:p>
    <w:p w:rsidR="00A9207C" w:rsidRPr="00A9207C" w:rsidRDefault="00A9207C" w:rsidP="00A9207C">
      <w:pPr>
        <w:spacing w:line="360" w:lineRule="auto"/>
        <w:jc w:val="both"/>
        <w:rPr>
          <w:rFonts w:cs="Arial"/>
          <w:szCs w:val="20"/>
          <w:lang w:val="en-GB"/>
        </w:rPr>
      </w:pPr>
      <w:r w:rsidRPr="00A9207C">
        <w:rPr>
          <w:rFonts w:cs="Arial"/>
          <w:szCs w:val="20"/>
          <w:lang w:val="en-GB"/>
        </w:rPr>
        <w:t>Email:</w:t>
      </w:r>
      <w:r w:rsidR="00A30952">
        <w:rPr>
          <w:rFonts w:cs="Arial"/>
          <w:szCs w:val="20"/>
          <w:lang w:val="en-GB"/>
        </w:rPr>
        <w:t xml:space="preserve"> </w:t>
      </w:r>
      <w:r>
        <w:rPr>
          <w:rFonts w:cs="Arial"/>
          <w:szCs w:val="20"/>
          <w:lang w:val="en-GB"/>
        </w:rPr>
        <w:t>ysaygideger@cu.edu.tr</w:t>
      </w:r>
    </w:p>
    <w:p w:rsidR="00A9207C" w:rsidRDefault="00A9207C" w:rsidP="00A9207C">
      <w:pPr>
        <w:spacing w:line="360" w:lineRule="auto"/>
        <w:jc w:val="both"/>
        <w:rPr>
          <w:rFonts w:cs="Arial"/>
          <w:szCs w:val="20"/>
          <w:lang w:val="en-GB"/>
        </w:rPr>
      </w:pPr>
      <w:r w:rsidRPr="00A9207C">
        <w:rPr>
          <w:rFonts w:cs="Arial"/>
          <w:szCs w:val="20"/>
          <w:lang w:val="en-GB"/>
        </w:rPr>
        <w:t>Mobile</w:t>
      </w:r>
      <w:proofErr w:type="gramStart"/>
      <w:r w:rsidRPr="00A9207C">
        <w:rPr>
          <w:rFonts w:cs="Arial"/>
          <w:szCs w:val="20"/>
          <w:lang w:val="en-GB"/>
        </w:rPr>
        <w:t>:</w:t>
      </w:r>
      <w:r>
        <w:rPr>
          <w:rFonts w:cs="Arial"/>
          <w:szCs w:val="20"/>
          <w:lang w:val="en-GB"/>
        </w:rPr>
        <w:t>+</w:t>
      </w:r>
      <w:proofErr w:type="gramEnd"/>
      <w:r>
        <w:rPr>
          <w:rFonts w:cs="Arial"/>
          <w:szCs w:val="20"/>
          <w:lang w:val="en-GB"/>
        </w:rPr>
        <w:t xml:space="preserve">90 544 569 15 15 </w:t>
      </w:r>
    </w:p>
    <w:p w:rsidR="00A9207C" w:rsidRPr="00A9207C" w:rsidRDefault="00A9207C" w:rsidP="00A9207C">
      <w:pPr>
        <w:spacing w:line="360" w:lineRule="auto"/>
        <w:jc w:val="both"/>
        <w:rPr>
          <w:rFonts w:cs="Arial"/>
          <w:szCs w:val="20"/>
          <w:lang w:val="en-GB"/>
        </w:rPr>
      </w:pPr>
    </w:p>
    <w:p w:rsidR="00A9207C" w:rsidRPr="00A9207C" w:rsidRDefault="008F5DC3" w:rsidP="00A9207C">
      <w:pPr>
        <w:rPr>
          <w:rFonts w:cs="Arial"/>
          <w:b/>
          <w:szCs w:val="20"/>
          <w:lang w:val="en-GB"/>
        </w:rPr>
      </w:pPr>
      <w:r>
        <w:rPr>
          <w:rFonts w:cs="Arial"/>
          <w:b/>
          <w:szCs w:val="20"/>
          <w:lang w:val="en-GB"/>
        </w:rPr>
        <w:t>ORC</w:t>
      </w:r>
      <w:bookmarkStart w:id="0" w:name="_GoBack"/>
      <w:bookmarkEnd w:id="0"/>
      <w:r w:rsidR="00A9207C" w:rsidRPr="00A9207C">
        <w:rPr>
          <w:rFonts w:cs="Arial"/>
          <w:b/>
          <w:szCs w:val="20"/>
          <w:lang w:val="en-GB"/>
        </w:rPr>
        <w:t>IDs of authors</w:t>
      </w:r>
    </w:p>
    <w:p w:rsidR="00A9207C" w:rsidRDefault="00A9207C" w:rsidP="00A9207C">
      <w:pPr>
        <w:rPr>
          <w:rFonts w:cs="Arial"/>
          <w:bCs/>
          <w:szCs w:val="20"/>
          <w:lang w:val="en-GB"/>
        </w:rPr>
      </w:pPr>
      <w:proofErr w:type="spellStart"/>
      <w:r w:rsidRPr="00A9207C">
        <w:rPr>
          <w:rFonts w:cs="Arial"/>
          <w:bCs/>
          <w:szCs w:val="20"/>
          <w:lang w:val="en-GB"/>
        </w:rPr>
        <w:t>Sehreen</w:t>
      </w:r>
      <w:proofErr w:type="spellEnd"/>
      <w:r w:rsidRPr="00A9207C">
        <w:rPr>
          <w:rFonts w:cs="Arial"/>
          <w:bCs/>
          <w:szCs w:val="20"/>
          <w:lang w:val="en-GB"/>
        </w:rPr>
        <w:t xml:space="preserve"> Tory:   https://orcid.org/0000-0001-7811-8349</w:t>
      </w:r>
    </w:p>
    <w:p w:rsidR="00A9207C" w:rsidRPr="00A9207C" w:rsidRDefault="00A9207C" w:rsidP="00A9207C">
      <w:pPr>
        <w:rPr>
          <w:rFonts w:cs="Arial"/>
          <w:bCs/>
          <w:szCs w:val="20"/>
          <w:lang w:val="en-GB"/>
        </w:rPr>
      </w:pPr>
      <w:r w:rsidRPr="00A9207C">
        <w:rPr>
          <w:rFonts w:cs="Arial"/>
          <w:bCs/>
          <w:szCs w:val="20"/>
          <w:lang w:val="en-GB"/>
        </w:rPr>
        <w:t xml:space="preserve">Md. </w:t>
      </w:r>
      <w:proofErr w:type="spellStart"/>
      <w:r w:rsidRPr="00A9207C">
        <w:rPr>
          <w:rFonts w:cs="Arial"/>
          <w:bCs/>
          <w:szCs w:val="20"/>
          <w:lang w:val="en-GB"/>
        </w:rPr>
        <w:t>Mojahidur</w:t>
      </w:r>
      <w:proofErr w:type="spellEnd"/>
      <w:r w:rsidRPr="00A9207C">
        <w:rPr>
          <w:rFonts w:cs="Arial"/>
          <w:bCs/>
          <w:szCs w:val="20"/>
          <w:lang w:val="en-GB"/>
        </w:rPr>
        <w:t xml:space="preserve"> </w:t>
      </w:r>
      <w:proofErr w:type="spellStart"/>
      <w:r w:rsidRPr="00A9207C">
        <w:rPr>
          <w:rFonts w:cs="Arial"/>
          <w:bCs/>
          <w:szCs w:val="20"/>
          <w:lang w:val="en-GB"/>
        </w:rPr>
        <w:t>Hasan</w:t>
      </w:r>
      <w:proofErr w:type="spellEnd"/>
      <w:r w:rsidRPr="00A9207C">
        <w:rPr>
          <w:rFonts w:cs="Arial"/>
          <w:bCs/>
          <w:szCs w:val="20"/>
          <w:lang w:val="en-GB"/>
        </w:rPr>
        <w:t>:  https://orcid.org/0000-0002-1774-743X</w:t>
      </w:r>
    </w:p>
    <w:p w:rsidR="00A9207C" w:rsidRPr="00A9207C" w:rsidRDefault="00A9207C" w:rsidP="00A9207C">
      <w:pPr>
        <w:rPr>
          <w:rFonts w:cs="Arial"/>
          <w:bCs/>
          <w:szCs w:val="20"/>
          <w:lang w:val="en-GB"/>
        </w:rPr>
      </w:pPr>
      <w:r w:rsidRPr="00A9207C">
        <w:rPr>
          <w:rFonts w:cs="Arial"/>
          <w:szCs w:val="20"/>
          <w:lang w:val="en-GB"/>
        </w:rPr>
        <w:t xml:space="preserve">Yusuf Kemal </w:t>
      </w:r>
      <w:proofErr w:type="spellStart"/>
      <w:proofErr w:type="gramStart"/>
      <w:r w:rsidRPr="00A9207C">
        <w:rPr>
          <w:rFonts w:cs="Arial"/>
          <w:szCs w:val="20"/>
          <w:lang w:val="en-GB"/>
        </w:rPr>
        <w:t>Arslan</w:t>
      </w:r>
      <w:proofErr w:type="spellEnd"/>
      <w:r>
        <w:rPr>
          <w:rFonts w:cs="Arial"/>
          <w:bCs/>
          <w:szCs w:val="20"/>
          <w:lang w:val="en-GB"/>
        </w:rPr>
        <w:t xml:space="preserve"> :</w:t>
      </w:r>
      <w:proofErr w:type="gramEnd"/>
      <w:r>
        <w:rPr>
          <w:rFonts w:cs="Arial"/>
          <w:bCs/>
          <w:szCs w:val="20"/>
          <w:lang w:val="en-GB"/>
        </w:rPr>
        <w:t xml:space="preserve"> </w:t>
      </w:r>
      <w:r w:rsidRPr="00A9207C">
        <w:rPr>
          <w:rFonts w:cs="Arial"/>
          <w:bCs/>
          <w:szCs w:val="20"/>
          <w:lang w:val="en-GB"/>
        </w:rPr>
        <w:t xml:space="preserve"> </w:t>
      </w:r>
      <w:hyperlink r:id="rId9" w:history="1">
        <w:r w:rsidRPr="00A9207C">
          <w:rPr>
            <w:rStyle w:val="Hyperlink"/>
            <w:rFonts w:cs="Arial"/>
            <w:bCs/>
            <w:color w:val="000000" w:themeColor="text1"/>
            <w:szCs w:val="20"/>
            <w:u w:val="none"/>
            <w:lang w:val="en-GB"/>
          </w:rPr>
          <w:t>https://orcid.org/0000-0003-1308-8569</w:t>
        </w:r>
      </w:hyperlink>
    </w:p>
    <w:p w:rsidR="00A9207C" w:rsidRPr="00A9207C" w:rsidRDefault="00A9207C" w:rsidP="00A9207C">
      <w:pPr>
        <w:rPr>
          <w:rFonts w:cs="Arial"/>
          <w:bCs/>
          <w:szCs w:val="20"/>
          <w:lang w:val="en-GB"/>
        </w:rPr>
      </w:pPr>
      <w:proofErr w:type="spellStart"/>
      <w:r w:rsidRPr="00A9207C">
        <w:rPr>
          <w:rFonts w:cs="Arial"/>
          <w:szCs w:val="20"/>
          <w:lang w:val="en-GB"/>
        </w:rPr>
        <w:t>Yasemin</w:t>
      </w:r>
      <w:proofErr w:type="spellEnd"/>
      <w:r w:rsidRPr="00A9207C">
        <w:rPr>
          <w:rFonts w:cs="Arial"/>
          <w:szCs w:val="20"/>
          <w:lang w:val="en-GB"/>
        </w:rPr>
        <w:t xml:space="preserve"> </w:t>
      </w:r>
      <w:proofErr w:type="spellStart"/>
      <w:r w:rsidRPr="00A9207C">
        <w:rPr>
          <w:rFonts w:cs="Arial"/>
          <w:szCs w:val="20"/>
          <w:lang w:val="en-GB"/>
        </w:rPr>
        <w:t>Saygideger</w:t>
      </w:r>
      <w:proofErr w:type="spellEnd"/>
      <w:r>
        <w:rPr>
          <w:rFonts w:cs="Arial"/>
          <w:szCs w:val="20"/>
          <w:lang w:val="en-GB"/>
        </w:rPr>
        <w:t xml:space="preserve">: </w:t>
      </w:r>
      <w:r w:rsidRPr="00A9207C">
        <w:rPr>
          <w:rFonts w:cs="Arial"/>
          <w:szCs w:val="20"/>
          <w:lang w:val="en-GB"/>
        </w:rPr>
        <w:t>https://orcid.org/0000-0003-3293-373X</w:t>
      </w:r>
    </w:p>
    <w:p w:rsidR="00A9207C" w:rsidRPr="00A9207C" w:rsidRDefault="00A9207C" w:rsidP="00A9207C">
      <w:pPr>
        <w:spacing w:line="360" w:lineRule="auto"/>
        <w:jc w:val="both"/>
        <w:rPr>
          <w:rFonts w:cs="Arial"/>
          <w:b/>
          <w:bCs/>
          <w:szCs w:val="20"/>
          <w:lang w:val="en-GB"/>
        </w:rPr>
      </w:pPr>
    </w:p>
    <w:p w:rsidR="005C45DD" w:rsidRPr="005C45DD" w:rsidRDefault="005C45DD" w:rsidP="005C45DD">
      <w:pPr>
        <w:shd w:val="clear" w:color="auto" w:fill="FFFFFF"/>
        <w:rPr>
          <w:rFonts w:cs="Arial"/>
          <w:color w:val="222222"/>
        </w:rPr>
      </w:pPr>
      <w:r w:rsidRPr="00AE5B65">
        <w:rPr>
          <w:rFonts w:cs="Arial"/>
          <w:b/>
          <w:bCs/>
          <w:color w:val="222222"/>
        </w:rPr>
        <w:t>Acknowledgements</w:t>
      </w:r>
      <w:r>
        <w:rPr>
          <w:rFonts w:cs="Arial"/>
          <w:color w:val="222222"/>
        </w:rPr>
        <w:t>:</w:t>
      </w:r>
      <w:r w:rsidR="00777DFF" w:rsidRPr="00777DFF">
        <w:rPr>
          <w:b/>
          <w:bCs/>
          <w:szCs w:val="20"/>
        </w:rPr>
        <w:t xml:space="preserve"> </w:t>
      </w:r>
      <w:r w:rsidR="00777DFF" w:rsidRPr="00777DFF">
        <w:rPr>
          <w:szCs w:val="20"/>
        </w:rPr>
        <w:t>This research received no grant from any funding agency in the public, commercial, or not-for-profit sectors.</w:t>
      </w:r>
    </w:p>
    <w:p w:rsidR="00181541" w:rsidRPr="00A00D4C" w:rsidRDefault="00181541">
      <w:pPr>
        <w:spacing w:line="360" w:lineRule="auto"/>
        <w:jc w:val="both"/>
        <w:rPr>
          <w:rFonts w:ascii="Vrinda" w:hAnsi="Vrinda" w:cs="Vrinda"/>
          <w:szCs w:val="20"/>
          <w:lang w:val="en-GB"/>
        </w:rPr>
      </w:pPr>
    </w:p>
    <w:p w:rsidR="007F1078" w:rsidRDefault="007F1078">
      <w:pPr>
        <w:rPr>
          <w:rFonts w:cs="Arial"/>
          <w:b/>
          <w:sz w:val="22"/>
          <w:szCs w:val="22"/>
        </w:rPr>
      </w:pPr>
    </w:p>
    <w:p w:rsidR="007F1078" w:rsidRPr="00094397" w:rsidRDefault="00A00D4C" w:rsidP="00B07B63">
      <w:pPr>
        <w:jc w:val="both"/>
        <w:rPr>
          <w:rFonts w:cs="Arial"/>
          <w:color w:val="FF0000"/>
          <w:lang w:val="fr-FR"/>
        </w:rPr>
      </w:pPr>
      <w:r w:rsidRPr="00094397">
        <w:rPr>
          <w:rFonts w:cs="Arial"/>
          <w:b/>
        </w:rPr>
        <w:t>Abstract:</w:t>
      </w:r>
    </w:p>
    <w:p w:rsidR="001655A6" w:rsidRDefault="001655A6" w:rsidP="00B07B63">
      <w:pPr>
        <w:jc w:val="both"/>
        <w:rPr>
          <w:rFonts w:cs="Arial"/>
          <w:b/>
          <w:lang w:val="fr-FR"/>
        </w:rPr>
      </w:pPr>
      <w:proofErr w:type="spellStart"/>
      <w:r>
        <w:rPr>
          <w:rFonts w:cs="Arial"/>
          <w:b/>
          <w:lang w:val="fr-FR"/>
        </w:rPr>
        <w:t>Purpose</w:t>
      </w:r>
      <w:proofErr w:type="spellEnd"/>
    </w:p>
    <w:p w:rsidR="007F1078" w:rsidRPr="00094397" w:rsidRDefault="00A00D4C" w:rsidP="00B07B63">
      <w:pPr>
        <w:jc w:val="both"/>
        <w:rPr>
          <w:rFonts w:cs="Arial"/>
          <w:b/>
          <w:sz w:val="16"/>
          <w:szCs w:val="20"/>
          <w:lang w:val="fr-FR"/>
        </w:rPr>
      </w:pPr>
      <w:r w:rsidRPr="00094397">
        <w:rPr>
          <w:rFonts w:cs="Arial"/>
          <w:color w:val="252525"/>
          <w:szCs w:val="20"/>
          <w:shd w:val="clear" w:color="auto" w:fill="FFFFFF"/>
        </w:rPr>
        <w:t>Transglutaminase-2 (TG2) has been linked to cancer growth, proliferation, invasion, the epithe</w:t>
      </w:r>
      <w:r w:rsidR="004219C9" w:rsidRPr="00094397">
        <w:rPr>
          <w:rFonts w:cs="Arial"/>
          <w:color w:val="252525"/>
          <w:szCs w:val="20"/>
          <w:shd w:val="clear" w:color="auto" w:fill="FFFFFF"/>
        </w:rPr>
        <w:t>lial-to-</w:t>
      </w:r>
      <w:proofErr w:type="spellStart"/>
      <w:r w:rsidR="004219C9" w:rsidRPr="00094397">
        <w:rPr>
          <w:rFonts w:cs="Arial"/>
          <w:color w:val="252525"/>
          <w:szCs w:val="20"/>
          <w:shd w:val="clear" w:color="auto" w:fill="FFFFFF"/>
        </w:rPr>
        <w:t>mesenchymal</w:t>
      </w:r>
      <w:proofErr w:type="spellEnd"/>
      <w:r w:rsidR="004219C9" w:rsidRPr="00094397">
        <w:rPr>
          <w:rFonts w:cs="Arial"/>
          <w:color w:val="252525"/>
          <w:szCs w:val="20"/>
          <w:shd w:val="clear" w:color="auto" w:fill="FFFFFF"/>
        </w:rPr>
        <w:t xml:space="preserve"> transition </w:t>
      </w:r>
      <w:r w:rsidRPr="00094397">
        <w:rPr>
          <w:rFonts w:cs="Arial"/>
          <w:color w:val="252525"/>
          <w:szCs w:val="20"/>
          <w:shd w:val="clear" w:color="auto" w:fill="FFFFFF"/>
        </w:rPr>
        <w:t>and metastasis, according to recent studies. Although the prognostic value of TG2 expression in a variety of cancer has been documented, it is still unclear because different researches have reported contradictory results. The goal of this study was to evaluate systematically the prognostic value of TG2 expression in cancer patients.</w:t>
      </w:r>
    </w:p>
    <w:p w:rsidR="001655A6" w:rsidRDefault="001655A6" w:rsidP="00B07B63">
      <w:pPr>
        <w:jc w:val="both"/>
        <w:rPr>
          <w:rFonts w:cs="Arial"/>
          <w:b/>
          <w:lang w:val="fr-FR"/>
        </w:rPr>
      </w:pPr>
      <w:r>
        <w:rPr>
          <w:rFonts w:cs="Arial"/>
          <w:b/>
          <w:lang w:val="fr-FR"/>
        </w:rPr>
        <w:t xml:space="preserve"> </w:t>
      </w:r>
      <w:proofErr w:type="spellStart"/>
      <w:r>
        <w:rPr>
          <w:rFonts w:cs="Arial"/>
          <w:b/>
          <w:lang w:val="fr-FR"/>
        </w:rPr>
        <w:t>Methods</w:t>
      </w:r>
      <w:proofErr w:type="spellEnd"/>
    </w:p>
    <w:p w:rsidR="007F1078" w:rsidRPr="00094397" w:rsidRDefault="004219C9" w:rsidP="00B07B63">
      <w:pPr>
        <w:jc w:val="both"/>
        <w:rPr>
          <w:rFonts w:cs="Arial"/>
          <w:b/>
          <w:color w:val="000000"/>
          <w:sz w:val="24"/>
          <w:shd w:val="clear" w:color="auto" w:fill="FFFFFF"/>
        </w:rPr>
      </w:pPr>
      <w:r w:rsidRPr="00094397">
        <w:rPr>
          <w:rFonts w:cs="Arial"/>
          <w:b/>
          <w:lang w:val="fr-FR"/>
        </w:rPr>
        <w:t xml:space="preserve"> </w:t>
      </w:r>
      <w:r w:rsidR="00A00D4C" w:rsidRPr="00094397">
        <w:rPr>
          <w:rFonts w:cs="Arial"/>
          <w:szCs w:val="20"/>
        </w:rPr>
        <w:t>Web of Science, PubMed and Google scholar databases were searched up to 21 December, 2022</w:t>
      </w:r>
      <w:r w:rsidR="00A00D4C" w:rsidRPr="00094397">
        <w:rPr>
          <w:rFonts w:cs="Arial"/>
          <w:color w:val="000000"/>
          <w:szCs w:val="20"/>
          <w:shd w:val="clear" w:color="auto" w:fill="FFFFFF"/>
        </w:rPr>
        <w:t xml:space="preserve">. Eleven eligible studies were included in meta-analysis for determining the prognostic value of TG2 in cancer patients. While performing meta-analysis heterogeneity was checked by using </w:t>
      </w:r>
      <w:r w:rsidR="00A00D4C" w:rsidRPr="00094397">
        <w:rPr>
          <w:rFonts w:cs="Arial"/>
          <w:i/>
          <w:color w:val="000000"/>
          <w:szCs w:val="20"/>
          <w:shd w:val="clear" w:color="auto" w:fill="FFFFFF"/>
        </w:rPr>
        <w:t>I</w:t>
      </w:r>
      <w:r w:rsidR="00A00D4C" w:rsidRPr="00094397">
        <w:rPr>
          <w:rFonts w:cs="Arial"/>
          <w:i/>
          <w:color w:val="000000"/>
          <w:szCs w:val="20"/>
          <w:shd w:val="clear" w:color="auto" w:fill="FFFFFF"/>
          <w:vertAlign w:val="superscript"/>
        </w:rPr>
        <w:t>2</w:t>
      </w:r>
      <w:r w:rsidR="00A00D4C" w:rsidRPr="00094397">
        <w:rPr>
          <w:rFonts w:cs="Arial"/>
          <w:i/>
          <w:color w:val="000000"/>
          <w:szCs w:val="20"/>
          <w:shd w:val="clear" w:color="auto" w:fill="FFFFFF"/>
        </w:rPr>
        <w:t xml:space="preserve"> </w:t>
      </w:r>
      <w:r w:rsidR="00A00D4C" w:rsidRPr="00094397">
        <w:rPr>
          <w:rFonts w:cs="Arial"/>
          <w:color w:val="000000"/>
          <w:szCs w:val="20"/>
          <w:shd w:val="clear" w:color="auto" w:fill="FFFFFF"/>
        </w:rPr>
        <w:t>Cochran’s Q statistic. Random effect model was used in meta-analysis.</w:t>
      </w:r>
      <w:r w:rsidR="00A00D4C" w:rsidRPr="00094397">
        <w:rPr>
          <w:rFonts w:cs="Arial"/>
          <w:sz w:val="16"/>
          <w:szCs w:val="20"/>
        </w:rPr>
        <w:t xml:space="preserve"> </w:t>
      </w:r>
      <w:r w:rsidR="00A00D4C" w:rsidRPr="00094397">
        <w:rPr>
          <w:rFonts w:cs="Arial"/>
          <w:color w:val="000000"/>
          <w:szCs w:val="20"/>
          <w:shd w:val="clear" w:color="auto" w:fill="FFFFFF"/>
        </w:rPr>
        <w:t xml:space="preserve">Publication bias was assessed by using contour-enhanced funnel plots and Egger’s test. </w:t>
      </w:r>
    </w:p>
    <w:p w:rsidR="007F1078" w:rsidRPr="00094397" w:rsidRDefault="007F1078" w:rsidP="00B07B63">
      <w:pPr>
        <w:jc w:val="both"/>
        <w:rPr>
          <w:rFonts w:cs="Arial"/>
          <w:b/>
          <w:lang w:val="fr-FR"/>
        </w:rPr>
      </w:pPr>
    </w:p>
    <w:p w:rsidR="001655A6" w:rsidRDefault="00A00D4C" w:rsidP="00B07B63">
      <w:pPr>
        <w:jc w:val="both"/>
        <w:rPr>
          <w:rFonts w:cs="Arial"/>
          <w:b/>
          <w:lang w:val="fr-FR"/>
        </w:rPr>
      </w:pPr>
      <w:proofErr w:type="spellStart"/>
      <w:r w:rsidRPr="00094397">
        <w:rPr>
          <w:rFonts w:cs="Arial"/>
          <w:b/>
          <w:lang w:val="fr-FR"/>
        </w:rPr>
        <w:t>Results</w:t>
      </w:r>
      <w:proofErr w:type="spellEnd"/>
    </w:p>
    <w:p w:rsidR="007F1078" w:rsidRPr="00094397" w:rsidRDefault="00A00D4C" w:rsidP="00B07B63">
      <w:pPr>
        <w:jc w:val="both"/>
        <w:rPr>
          <w:rFonts w:cs="Arial"/>
          <w:b/>
          <w:szCs w:val="20"/>
          <w:lang w:val="fr-FR"/>
        </w:rPr>
      </w:pPr>
      <w:r w:rsidRPr="00094397">
        <w:rPr>
          <w:rFonts w:cs="Arial"/>
          <w:color w:val="000000"/>
          <w:szCs w:val="20"/>
          <w:shd w:val="clear" w:color="auto" w:fill="FFFFFF"/>
        </w:rPr>
        <w:t>Eight studies were used for the meta-analysis of overall survival and found that having high expression of TG2 caused poor overall survival (HR: 1.66, 95%CI: 1.07-2.56). For disease-free survival,</w:t>
      </w:r>
      <w:r w:rsidRPr="00094397">
        <w:rPr>
          <w:rFonts w:cs="Arial"/>
          <w:color w:val="FF0000"/>
          <w:szCs w:val="20"/>
          <w:shd w:val="clear" w:color="auto" w:fill="FFFFFF"/>
        </w:rPr>
        <w:t xml:space="preserve"> </w:t>
      </w:r>
      <w:r w:rsidRPr="00094397">
        <w:rPr>
          <w:rFonts w:cs="Arial"/>
          <w:color w:val="000000"/>
          <w:szCs w:val="20"/>
          <w:shd w:val="clear" w:color="auto" w:fill="FFFFFF"/>
        </w:rPr>
        <w:t>five studies included to the analysis and meta-analysis show that having high expression of TG2 also caused poor disease-free survival (HR: 1.68, 95%CI: 1.34-2.11).</w:t>
      </w:r>
    </w:p>
    <w:p w:rsidR="007F1078" w:rsidRPr="00094397" w:rsidRDefault="00A00D4C" w:rsidP="00B07B63">
      <w:pPr>
        <w:jc w:val="both"/>
        <w:rPr>
          <w:rFonts w:cs="Arial"/>
          <w:bCs/>
          <w:color w:val="FF0000"/>
          <w:szCs w:val="20"/>
          <w:shd w:val="clear" w:color="auto" w:fill="FFFFFF"/>
        </w:rPr>
      </w:pPr>
      <w:r w:rsidRPr="00094397">
        <w:rPr>
          <w:rFonts w:cs="Arial"/>
          <w:b/>
          <w:szCs w:val="20"/>
          <w:lang w:val="fr-FR"/>
        </w:rPr>
        <w:t>Conclusion:</w:t>
      </w:r>
      <w:r w:rsidRPr="00094397">
        <w:rPr>
          <w:rFonts w:cs="Arial"/>
          <w:bCs/>
          <w:color w:val="000000"/>
          <w:szCs w:val="20"/>
          <w:shd w:val="clear" w:color="auto" w:fill="FFFFFF"/>
        </w:rPr>
        <w:t>Our meta-analysis showed that high TG2 expression level causes poor overall and disease-free survival.</w:t>
      </w:r>
    </w:p>
    <w:p w:rsidR="007F1078" w:rsidRPr="00094397" w:rsidRDefault="007F1078" w:rsidP="00B07B63">
      <w:pPr>
        <w:jc w:val="both"/>
        <w:rPr>
          <w:rFonts w:cs="Arial"/>
          <w:b/>
          <w:szCs w:val="20"/>
          <w:lang w:val="fr-FR"/>
        </w:rPr>
      </w:pPr>
    </w:p>
    <w:p w:rsidR="001655A6" w:rsidRDefault="00A00D4C" w:rsidP="00B07B63">
      <w:pPr>
        <w:jc w:val="both"/>
        <w:rPr>
          <w:rFonts w:cs="Arial"/>
          <w:b/>
          <w:szCs w:val="20"/>
        </w:rPr>
      </w:pPr>
      <w:r w:rsidRPr="00094397">
        <w:rPr>
          <w:rFonts w:cs="Arial"/>
          <w:b/>
          <w:szCs w:val="20"/>
        </w:rPr>
        <w:t>Keywords</w:t>
      </w:r>
    </w:p>
    <w:p w:rsidR="007F1078" w:rsidRPr="00094397" w:rsidRDefault="00A00D4C" w:rsidP="00B07B63">
      <w:pPr>
        <w:jc w:val="both"/>
        <w:rPr>
          <w:rFonts w:cs="Arial"/>
          <w:szCs w:val="20"/>
        </w:rPr>
      </w:pPr>
      <w:r w:rsidRPr="00094397">
        <w:rPr>
          <w:rFonts w:cs="Arial"/>
          <w:szCs w:val="20"/>
        </w:rPr>
        <w:t xml:space="preserve"> </w:t>
      </w:r>
      <w:proofErr w:type="gramStart"/>
      <w:r w:rsidRPr="00094397">
        <w:rPr>
          <w:rFonts w:cs="Arial"/>
          <w:szCs w:val="20"/>
        </w:rPr>
        <w:t>T</w:t>
      </w:r>
      <w:r w:rsidR="001655A6">
        <w:rPr>
          <w:rFonts w:cs="Arial"/>
          <w:bCs/>
          <w:szCs w:val="20"/>
        </w:rPr>
        <w:t>issue transglutaminase</w:t>
      </w:r>
      <w:r w:rsidR="00041CA7">
        <w:rPr>
          <w:rFonts w:cs="Arial"/>
          <w:bCs/>
          <w:szCs w:val="20"/>
        </w:rPr>
        <w:t xml:space="preserve">, </w:t>
      </w:r>
      <w:r w:rsidR="00B07B63">
        <w:rPr>
          <w:rFonts w:cs="Arial"/>
          <w:bCs/>
          <w:szCs w:val="20"/>
        </w:rPr>
        <w:t xml:space="preserve">transglutaminase 2, TG2, </w:t>
      </w:r>
      <w:r w:rsidRPr="00094397">
        <w:rPr>
          <w:rFonts w:cs="Arial"/>
          <w:bCs/>
          <w:szCs w:val="20"/>
        </w:rPr>
        <w:t>cancer, prognosis, meta-analysis.</w:t>
      </w:r>
      <w:proofErr w:type="gramEnd"/>
    </w:p>
    <w:p w:rsidR="007F1078" w:rsidRPr="00094397" w:rsidRDefault="00A00D4C" w:rsidP="00B07B63">
      <w:pPr>
        <w:pStyle w:val="Heading1"/>
        <w:jc w:val="both"/>
      </w:pPr>
      <w:r w:rsidRPr="00094397">
        <w:lastRenderedPageBreak/>
        <w:t>Introduction</w:t>
      </w:r>
    </w:p>
    <w:p w:rsidR="004219C9" w:rsidRPr="00094397" w:rsidRDefault="004219C9" w:rsidP="00B07B63">
      <w:pPr>
        <w:jc w:val="both"/>
        <w:rPr>
          <w:rFonts w:cs="Arial"/>
          <w:color w:val="000000"/>
          <w:szCs w:val="20"/>
        </w:rPr>
      </w:pPr>
      <w:r w:rsidRPr="00094397">
        <w:rPr>
          <w:rFonts w:cs="Arial"/>
          <w:szCs w:val="20"/>
        </w:rPr>
        <w:t xml:space="preserve">TG2 protein is a member of the TG family &amp; participates in calcium ion (Ca2+)-dependent post-translational protein modification and cross-linking. It is found in the extracellular matrix (ECM), on the cell surface, and inside the </w:t>
      </w:r>
      <w:r w:rsidRPr="00094397">
        <w:rPr>
          <w:rFonts w:cs="Arial"/>
          <w:color w:val="000000"/>
          <w:szCs w:val="20"/>
        </w:rPr>
        <w:t>cell,</w:t>
      </w:r>
      <w:r w:rsidRPr="00094397">
        <w:rPr>
          <w:rFonts w:cs="Arial"/>
          <w:szCs w:val="20"/>
        </w:rPr>
        <w:t xml:space="preserve"> where it is mostly </w:t>
      </w:r>
      <w:r w:rsidR="00712ED2" w:rsidRPr="00094397">
        <w:rPr>
          <w:rFonts w:cs="Arial"/>
          <w:szCs w:val="20"/>
        </w:rPr>
        <w:t>cytosolic. It is also present on</w:t>
      </w:r>
      <w:r w:rsidRPr="00094397">
        <w:rPr>
          <w:rFonts w:cs="Arial"/>
          <w:szCs w:val="20"/>
        </w:rPr>
        <w:t xml:space="preserve"> the inner face of the plas</w:t>
      </w:r>
      <w:r w:rsidR="00712ED2" w:rsidRPr="00094397">
        <w:rPr>
          <w:rFonts w:cs="Arial"/>
          <w:szCs w:val="20"/>
        </w:rPr>
        <w:t>ma membrane or nuclear membrane</w:t>
      </w:r>
      <w:r w:rsidRPr="00094397">
        <w:rPr>
          <w:rFonts w:cs="Arial"/>
          <w:szCs w:val="20"/>
        </w:rPr>
        <w:t>.TG2 is widely distributed in various tissues</w:t>
      </w:r>
      <w:r w:rsidRPr="00094397">
        <w:rPr>
          <w:rFonts w:cs="Arial"/>
          <w:color w:val="000000"/>
          <w:szCs w:val="20"/>
        </w:rPr>
        <w:t xml:space="preserve"> </w:t>
      </w:r>
      <w:r w:rsidRPr="00094397">
        <w:rPr>
          <w:rFonts w:cs="Arial"/>
          <w:szCs w:val="20"/>
        </w:rPr>
        <w:fldChar w:fldCharType="begin" w:fldLock="1"/>
      </w:r>
      <w:r w:rsidR="00F5221A">
        <w:rPr>
          <w:rFonts w:cs="Arial"/>
          <w:szCs w:val="20"/>
        </w:rPr>
        <w:instrText>ADDIN CSL_CITATION {"citationItems":[{"id":"ITEM-1","itemData":{"ISSN":"0031-9333","author":[{"dropping-particle":"","family":"Iismaa","given":"Siiri E","non-dropping-particle":"","parse-names":false,"suffix":""},{"dropping-particle":"","family":"Mearns","given":"Bryony M","non-dropping-particle":"","parse-names":false,"suffix":""},{"dropping-particle":"","family":"Lorand","given":"Laszlo","non-dropping-particle":"","parse-names":false,"suffix":""},{"dropping-particle":"","family":"Graham","given":"Robert M","non-dropping-particle":"","parse-names":false,"suffix":""}],"container-title":"Physiological reviews","id":"ITEM-1","issue":"3","issued":{"date-parts":[["2009"]]},"page":"991-1023","publisher":"American Physiological Society","title":"Transglutaminases and disease: lessons from genetically engineered mouse models and inherited disorders","type":"article-journal","volume":"89"},"uris":["http://www.mendeley.com/documents/?uuid=0563d751-808b-4a8e-af40-92a066852201"]}],"mendeley":{"formattedCitation":"(Iismaa et al., 2009)","plainTextFormattedCitation":"(Iismaa et al., 2009)","previouslyFormattedCitation":"&lt;sup&gt;1&lt;/sup&gt;"},"properties":{"noteIndex":0},"schema":"https://github.com/citation-style-language/schema/raw/master/csl-citation.json"}</w:instrText>
      </w:r>
      <w:r w:rsidRPr="00094397">
        <w:rPr>
          <w:rFonts w:cs="Arial"/>
          <w:szCs w:val="20"/>
        </w:rPr>
        <w:fldChar w:fldCharType="separate"/>
      </w:r>
      <w:r w:rsidR="00F5221A" w:rsidRPr="00F5221A">
        <w:rPr>
          <w:rFonts w:cs="Arial"/>
          <w:noProof/>
          <w:color w:val="000000"/>
          <w:szCs w:val="20"/>
        </w:rPr>
        <w:t>(Iismaa et al., 2009)</w:t>
      </w:r>
      <w:r w:rsidRPr="00094397">
        <w:rPr>
          <w:rFonts w:cs="Arial"/>
          <w:szCs w:val="20"/>
        </w:rPr>
        <w:fldChar w:fldCharType="end"/>
      </w:r>
      <w:r w:rsidRPr="00094397">
        <w:rPr>
          <w:rFonts w:cs="Arial"/>
          <w:color w:val="000000"/>
          <w:szCs w:val="20"/>
        </w:rPr>
        <w:t>.</w:t>
      </w:r>
      <w:r w:rsidRPr="00094397">
        <w:rPr>
          <w:rFonts w:cs="Arial"/>
          <w:szCs w:val="20"/>
        </w:rPr>
        <w:t xml:space="preserve"> It can facilitate protein cross-linking and take part in signal transduction by guanidine triphosphate (GTP) enzyme activation and hydrolysis. TG2 is involved </w:t>
      </w:r>
      <w:r w:rsidR="00712ED2" w:rsidRPr="00094397">
        <w:rPr>
          <w:rFonts w:cs="Arial"/>
          <w:szCs w:val="20"/>
        </w:rPr>
        <w:t>in</w:t>
      </w:r>
      <w:r w:rsidRPr="00094397">
        <w:rPr>
          <w:rFonts w:cs="Arial"/>
          <w:color w:val="FF0000"/>
          <w:szCs w:val="20"/>
        </w:rPr>
        <w:t xml:space="preserve"> </w:t>
      </w:r>
      <w:r w:rsidRPr="00094397">
        <w:rPr>
          <w:rFonts w:cs="Arial"/>
          <w:color w:val="000000"/>
          <w:szCs w:val="20"/>
        </w:rPr>
        <w:t xml:space="preserve">several </w:t>
      </w:r>
      <w:r w:rsidRPr="00094397">
        <w:rPr>
          <w:rFonts w:cs="Arial"/>
          <w:szCs w:val="20"/>
        </w:rPr>
        <w:t>biological processes, including cell adhesion, motility, invasion, survival, and apoptosis</w:t>
      </w:r>
      <w:r w:rsidR="00712ED2" w:rsidRPr="00094397">
        <w:rPr>
          <w:rFonts w:cs="Arial"/>
          <w:szCs w:val="20"/>
        </w:rPr>
        <w:t>, which all contribute</w:t>
      </w:r>
      <w:r w:rsidRPr="00094397">
        <w:rPr>
          <w:rFonts w:cs="Arial"/>
          <w:szCs w:val="20"/>
        </w:rPr>
        <w:t xml:space="preserve"> to the development of tumors. </w:t>
      </w:r>
      <w:r w:rsidRPr="00094397">
        <w:rPr>
          <w:rFonts w:cs="Arial"/>
          <w:szCs w:val="20"/>
        </w:rPr>
        <w:fldChar w:fldCharType="begin" w:fldLock="1"/>
      </w:r>
      <w:r w:rsidR="00F5221A">
        <w:rPr>
          <w:rFonts w:cs="Arial"/>
          <w:szCs w:val="20"/>
        </w:rPr>
        <w:instrText>ADDIN CSL_CITATION {"citationItems":[{"id":"ITEM-1","itemData":{"ISSN":"21566976","PMID":"26609482","abstract":"The significant influence of tumor microenvironment on malignant cells has been investigated with enthusiasm in this era of targeted therapy. Transglutaminase 2 (TG2, EC 2.3.2.13), a multi-functional enzyme that catalyzes the formation of intermolecular isopeptide bonds between glutamine and lysine side-chains, has been reported to exert important pathophysiological functions. The aim of this review was to investigate the correlation between TG2 and malignant behaviors, which could provide the rationale for novel approaches in anti-cancer therapy. We performed a systematic and electronic search on Medline, Scopus, and Web of Science for relevant publications from inception to April 2015. The bibliographic references of retrieved articles were further reviewed for additional relevant studies. TG2 exerts important physiological functions and plays vital roles in inflammation mainly through its modulation on the structure and stability of extracellular matrix (ECM). It also regulates EMT of diverse malignant cells through various intracellular and extracellular pathways. TG2 also plays an important role in tumor progression and may serve as a novel prognostic biomarker and therapeutic target in various cancer types. TG2 promotes malignant cell mobility, invasion, and metastasis, and induces chemo-resistance of cancer cells, mainly through its pro-crosslink and signaling transduction mediation propensities. In conclusion, TG2 plays vital roles in malignancy progression, and may have important prognostic and therapeutic significances.","author":[{"dropping-particle":"","family":"Huang","given":"Lei","non-dropping-particle":"","parse-names":false,"suffix":""},{"dropping-particle":"","family":"Xu","given":"A. Man","non-dropping-particle":"","parse-names":false,"suffix":""},{"dropping-particle":"","family":"Liu","given":"Wei","non-dropping-particle":"","parse-names":false,"suffix":""}],"container-title":"American Journal of Cancer Research","id":"ITEM-1","issue":"9","issued":{"date-parts":[["2015"]]},"page":"2756-2776","publisher":"E-Century Publishing Corporation","title":"Transglutaminase 2 in cancer","type":"article-journal","volume":"5"},"uris":["http://www.mendeley.com/documents/?uuid=bfd36ba4-81b8-3078-aa73-1d1f7750c857"]}],"mendeley":{"formattedCitation":"(Huang et al., 2015)","plainTextFormattedCitation":"(Huang et al., 2015)","previouslyFormattedCitation":"&lt;sup&gt;2&lt;/sup&gt;"},"properties":{"noteIndex":0},"schema":"https://github.com/citation-style-language/schema/raw/master/csl-citation.json"}</w:instrText>
      </w:r>
      <w:r w:rsidRPr="00094397">
        <w:rPr>
          <w:rFonts w:cs="Arial"/>
          <w:szCs w:val="20"/>
        </w:rPr>
        <w:fldChar w:fldCharType="separate"/>
      </w:r>
      <w:proofErr w:type="gramStart"/>
      <w:r w:rsidR="00F5221A" w:rsidRPr="00F5221A">
        <w:rPr>
          <w:rFonts w:cs="Arial"/>
          <w:noProof/>
          <w:color w:val="000000"/>
          <w:szCs w:val="20"/>
        </w:rPr>
        <w:t>(Huang et al., 2015)</w:t>
      </w:r>
      <w:r w:rsidRPr="00094397">
        <w:rPr>
          <w:rFonts w:cs="Arial"/>
          <w:szCs w:val="20"/>
        </w:rPr>
        <w:fldChar w:fldCharType="end"/>
      </w:r>
      <w:r w:rsidRPr="00094397">
        <w:rPr>
          <w:rFonts w:cs="Arial"/>
          <w:color w:val="000000"/>
          <w:szCs w:val="20"/>
        </w:rPr>
        <w:t>.</w:t>
      </w:r>
      <w:proofErr w:type="gramEnd"/>
      <w:r w:rsidRPr="00094397">
        <w:rPr>
          <w:rFonts w:cs="Arial"/>
          <w:color w:val="00B0F0"/>
          <w:szCs w:val="20"/>
        </w:rPr>
        <w:t xml:space="preserve"> </w:t>
      </w:r>
      <w:r w:rsidRPr="00094397">
        <w:rPr>
          <w:rFonts w:cs="Arial"/>
          <w:color w:val="000000"/>
          <w:szCs w:val="20"/>
        </w:rPr>
        <w:t xml:space="preserve">It </w:t>
      </w:r>
      <w:r w:rsidRPr="00094397">
        <w:rPr>
          <w:rFonts w:cs="Arial"/>
          <w:szCs w:val="20"/>
        </w:rPr>
        <w:t>fosters consistent interaction between cells and the ECM</w:t>
      </w:r>
      <w:r w:rsidR="00712ED2" w:rsidRPr="00094397">
        <w:rPr>
          <w:rFonts w:cs="Arial"/>
          <w:szCs w:val="20"/>
        </w:rPr>
        <w:t>,</w:t>
      </w:r>
      <w:r w:rsidRPr="00094397">
        <w:rPr>
          <w:rFonts w:cs="Arial"/>
          <w:szCs w:val="20"/>
        </w:rPr>
        <w:t xml:space="preserve"> resulting </w:t>
      </w:r>
      <w:r w:rsidR="00712ED2" w:rsidRPr="00094397">
        <w:rPr>
          <w:rFonts w:cs="Arial"/>
          <w:szCs w:val="20"/>
        </w:rPr>
        <w:t>in increased</w:t>
      </w:r>
      <w:r w:rsidRPr="00094397">
        <w:rPr>
          <w:rFonts w:cs="Arial"/>
          <w:szCs w:val="20"/>
        </w:rPr>
        <w:t xml:space="preserve"> cell survival, migration, and invasion in tumor</w:t>
      </w:r>
      <w:r w:rsidRPr="00094397">
        <w:rPr>
          <w:rFonts w:cs="Arial"/>
          <w:color w:val="000000"/>
          <w:szCs w:val="20"/>
        </w:rPr>
        <w:t>s</w:t>
      </w:r>
      <w:r w:rsidRPr="00094397">
        <w:rPr>
          <w:rFonts w:cs="Arial"/>
          <w:szCs w:val="20"/>
        </w:rPr>
        <w:t xml:space="preserve"> </w:t>
      </w:r>
      <w:r w:rsidRPr="00094397">
        <w:rPr>
          <w:rFonts w:cs="Arial"/>
          <w:szCs w:val="20"/>
        </w:rPr>
        <w:fldChar w:fldCharType="begin" w:fldLock="1"/>
      </w:r>
      <w:r w:rsidR="00F5221A">
        <w:rPr>
          <w:rFonts w:cs="Arial"/>
          <w:szCs w:val="20"/>
        </w:rPr>
        <w:instrText>ADDIN CSL_CITATION {"citationItems":[{"id":"ITEM-1","itemData":{"ISSN":"21566976","PMID":"26609482","abstract":"The significant influence of tumor microenvironment on malignant cells has been investigated with enthusiasm in this era of targeted therapy. Transglutaminase 2 (TG2, EC 2.3.2.13), a multi-functional enzyme that catalyzes the formation of intermolecular isopeptide bonds between glutamine and lysine side-chains, has been reported to exert important pathophysiological functions. The aim of this review was to investigate the correlation between TG2 and malignant behaviors, which could provide the rationale for novel approaches in anti-cancer therapy. We performed a systematic and electronic search on Medline, Scopus, and Web of Science for relevant publications from inception to April 2015. The bibliographic references of retrieved articles were further reviewed for additional relevant studies. TG2 exerts important physiological functions and plays vital roles in inflammation mainly through its modulation on the structure and stability of extracellular matrix (ECM). It also regulates EMT of diverse malignant cells through various intracellular and extracellular pathways. TG2 also plays an important role in tumor progression and may serve as a novel prognostic biomarker and therapeutic target in various cancer types. TG2 promotes malignant cell mobility, invasion, and metastasis, and induces chemo-resistance of cancer cells, mainly through its pro-crosslink and signaling transduction mediation propensities. In conclusion, TG2 plays vital roles in malignancy progression, and may have important prognostic and therapeutic significances.","author":[{"dropping-particle":"","family":"Huang","given":"Lei","non-dropping-particle":"","parse-names":false,"suffix":""},{"dropping-particle":"","family":"Xu","given":"A. Man","non-dropping-particle":"","parse-names":false,"suffix":""},{"dropping-particle":"","family":"Liu","given":"Wei","non-dropping-particle":"","parse-names":false,"suffix":""}],"container-title":"American Journal of Cancer Research","id":"ITEM-1","issue":"9","issued":{"date-parts":[["2015"]]},"page":"2756-2776","publisher":"E-Century Publishing Corporation","title":"Transglutaminase 2 in cancer","type":"article-journal","volume":"5"},"uris":["http://www.mendeley.com/documents/?uuid=bfd36ba4-81b8-3078-aa73-1d1f7750c857"]}],"mendeley":{"formattedCitation":"(Huang et al., 2015)","plainTextFormattedCitation":"(Huang et al., 2015)","previouslyFormattedCitation":"&lt;sup&gt;2&lt;/sup&gt;"},"properties":{"noteIndex":0},"schema":"https://github.com/citation-style-language/schema/raw/master/csl-citation.json"}</w:instrText>
      </w:r>
      <w:r w:rsidRPr="00094397">
        <w:rPr>
          <w:rFonts w:cs="Arial"/>
          <w:szCs w:val="20"/>
        </w:rPr>
        <w:fldChar w:fldCharType="separate"/>
      </w:r>
      <w:r w:rsidR="00F5221A" w:rsidRPr="00F5221A">
        <w:rPr>
          <w:rFonts w:cs="Arial"/>
          <w:noProof/>
          <w:color w:val="000000"/>
          <w:szCs w:val="20"/>
        </w:rPr>
        <w:t>(Huang et al., 2015)</w:t>
      </w:r>
      <w:r w:rsidRPr="00094397">
        <w:rPr>
          <w:rFonts w:cs="Arial"/>
          <w:szCs w:val="20"/>
        </w:rPr>
        <w:fldChar w:fldCharType="end"/>
      </w:r>
      <w:r w:rsidRPr="00094397">
        <w:rPr>
          <w:rFonts w:cs="Arial"/>
          <w:color w:val="0070C0"/>
          <w:szCs w:val="20"/>
        </w:rPr>
        <w:t xml:space="preserve">. </w:t>
      </w:r>
      <w:r w:rsidRPr="00094397">
        <w:rPr>
          <w:rFonts w:cs="Arial"/>
          <w:szCs w:val="20"/>
        </w:rPr>
        <w:t>TG2 induces type 3 e</w:t>
      </w:r>
      <w:r w:rsidRPr="00094397">
        <w:rPr>
          <w:rFonts w:cs="Arial"/>
          <w:color w:val="000000"/>
          <w:szCs w:val="20"/>
        </w:rPr>
        <w:t>pithelial-</w:t>
      </w:r>
      <w:proofErr w:type="spellStart"/>
      <w:r w:rsidRPr="00094397">
        <w:rPr>
          <w:rFonts w:cs="Arial"/>
          <w:szCs w:val="20"/>
        </w:rPr>
        <w:t>mesenchymal</w:t>
      </w:r>
      <w:proofErr w:type="spellEnd"/>
      <w:r w:rsidRPr="00094397">
        <w:rPr>
          <w:rFonts w:cs="Arial"/>
          <w:szCs w:val="20"/>
        </w:rPr>
        <w:t xml:space="preserve"> transition</w:t>
      </w:r>
      <w:r w:rsidR="00712ED2" w:rsidRPr="00094397">
        <w:rPr>
          <w:rFonts w:cs="Arial"/>
          <w:szCs w:val="20"/>
        </w:rPr>
        <w:t>, and in</w:t>
      </w:r>
      <w:r w:rsidRPr="00094397">
        <w:rPr>
          <w:rFonts w:cs="Arial"/>
          <w:szCs w:val="20"/>
        </w:rPr>
        <w:t xml:space="preserve"> elevated level of TG2 is correlated with chemotherapy resistance</w:t>
      </w:r>
      <w:r w:rsidRPr="00094397">
        <w:rPr>
          <w:rFonts w:cs="Arial"/>
          <w:color w:val="000000"/>
          <w:szCs w:val="20"/>
        </w:rPr>
        <w:t>.</w:t>
      </w:r>
      <w:r w:rsidRPr="00094397">
        <w:rPr>
          <w:rFonts w:cs="Arial"/>
          <w:color w:val="0070C0"/>
          <w:szCs w:val="20"/>
        </w:rPr>
        <w:t xml:space="preserve"> </w:t>
      </w:r>
      <w:r w:rsidRPr="00094397">
        <w:rPr>
          <w:rFonts w:cs="Arial"/>
          <w:szCs w:val="20"/>
        </w:rPr>
        <w:fldChar w:fldCharType="begin" w:fldLock="1"/>
      </w:r>
      <w:r w:rsidR="00F5221A">
        <w:rPr>
          <w:rFonts w:cs="Arial"/>
          <w:szCs w:val="20"/>
        </w:rPr>
        <w:instrText>ADDIN CSL_CITATION {"citationItems":[{"id":"ITEM-1","itemData":{"DOI":"10.1371/journal.pone.0013390","ISSN":"19326203","PMID":"20967228","abstract":"Recent observations that aberrant expression of tissue transglutaminase (TG2) promotes growth, survival, and metastasis of multiple tumor types is of great significance and could yield novel therapeutic targets for improved patient outcomes. To accomplish this, a clear understanding of how TG2 contributes to these phenotypes is essential. Using mammary epithelial cell lines (MCF10A, MCF12A, MCF7 and MCF7/RT) as a model system, we determined the impact of TG2 expression on cell growth, cell survival, invasion, and differentiation. Our results show that TG2 expression promotes drug resistance and invasive functions by inducing epithelial-mesenchymal transition (EMT). Thus, TG2 expression supported anchorageindependent growth of mammary epithelial cells in soft-agar, disrupted the apical-basal polarity, and resulted in disorganized acini structures when grown in 3D-culture. At molecular level, TG2 expression resulted in loss of E-cadherin and increased the expression of various transcriptional repressors (Snail1, Zeb1, Zeb2 and Twist1). Tumor growth factor-beta (TGF-β) failed to induce EMT in cells lacking TG2 expression, suggesting that TG2 is a downstream effector of TGF-β-induced EMT. Moreover, TG2 expression induced stem cell-like phenotype in mammary epithelial cells as revealed by enrichment of CD44+/CD24-/low cell populations. Overall, our studies show that aberrant expression of TG2 is sufficient for inducing EMT in epithelial cells and establish a strong link between TG2 expression and progression of metastatic breast disease. © 2010 Kumar et al.","author":[{"dropping-particle":"","family":"Kumar","given":"Anupam","non-dropping-particle":"","parse-names":false,"suffix":""},{"dropping-particle":"","family":"Xu","given":"Jia","non-dropping-particle":"","parse-names":false,"suffix":""},{"dropping-particle":"","family":"Brady","given":"Samuel","non-dropping-particle":"","parse-names":false,"suffix":""},{"dropping-particle":"","family":"Gao","given":"Hui","non-dropping-particle":"","parse-names":false,"suffix":""},{"dropping-particle":"","family":"Yu","given":"Dihua","non-dropping-particle":"","parse-names":false,"suffix":""},{"dropping-particle":"","family":"Reuben","given":"James","non-dropping-particle":"","parse-names":false,"suffix":""},{"dropping-particle":"","family":"Mehta","given":"Kapil","non-dropping-particle":"","parse-names":false,"suffix":""}],"container-title":"PLoS ONE","id":"ITEM-1","issue":"10","issued":{"date-parts":[["2010"]]},"title":"Tissue transglutaminase promotes drug resistance and invasion by inducing mesenchymal transition in mammary epithelial cells","type":"article-journal","volume":"5"},"uris":["http://www.mendeley.com/documents/?uuid=a8a26d28-cd76-322d-b752-1b40602e1f45"]}],"mendeley":{"formattedCitation":"(Kumar et al., 2010)","plainTextFormattedCitation":"(Kumar et al., 2010)","previouslyFormattedCitation":"&lt;sup&gt;3&lt;/sup&gt;"},"properties":{"noteIndex":0},"schema":"https://github.com/citation-style-language/schema/raw/master/csl-citation.json"}</w:instrText>
      </w:r>
      <w:r w:rsidRPr="00094397">
        <w:rPr>
          <w:rFonts w:cs="Arial"/>
          <w:szCs w:val="20"/>
        </w:rPr>
        <w:fldChar w:fldCharType="separate"/>
      </w:r>
      <w:proofErr w:type="gramStart"/>
      <w:r w:rsidR="00F5221A" w:rsidRPr="00F5221A">
        <w:rPr>
          <w:rFonts w:cs="Arial"/>
          <w:noProof/>
          <w:color w:val="000000"/>
          <w:szCs w:val="20"/>
        </w:rPr>
        <w:t>(Kumar et al., 2010)</w:t>
      </w:r>
      <w:r w:rsidRPr="00094397">
        <w:rPr>
          <w:rFonts w:cs="Arial"/>
          <w:szCs w:val="20"/>
        </w:rPr>
        <w:fldChar w:fldCharType="end"/>
      </w:r>
      <w:r w:rsidRPr="00094397">
        <w:rPr>
          <w:rFonts w:cs="Arial"/>
          <w:color w:val="000000"/>
          <w:szCs w:val="20"/>
        </w:rPr>
        <w:t>.</w:t>
      </w:r>
      <w:proofErr w:type="gramEnd"/>
      <w:r w:rsidRPr="00094397">
        <w:rPr>
          <w:rFonts w:cs="Arial"/>
          <w:szCs w:val="20"/>
        </w:rPr>
        <w:t xml:space="preserve"> High expression of TG2 is found in various cancer cells and tissues</w:t>
      </w:r>
      <w:r w:rsidR="00712ED2" w:rsidRPr="00094397">
        <w:rPr>
          <w:rFonts w:cs="Arial"/>
          <w:szCs w:val="20"/>
        </w:rPr>
        <w:t>,</w:t>
      </w:r>
      <w:r w:rsidRPr="00094397">
        <w:rPr>
          <w:rFonts w:cs="Arial"/>
          <w:szCs w:val="20"/>
        </w:rPr>
        <w:t xml:space="preserve"> such as</w:t>
      </w:r>
      <w:r w:rsidR="00712ED2" w:rsidRPr="00094397">
        <w:rPr>
          <w:rFonts w:cs="Arial"/>
          <w:color w:val="000000"/>
          <w:szCs w:val="20"/>
          <w:shd w:val="clear" w:color="auto" w:fill="FFFFFF"/>
        </w:rPr>
        <w:t xml:space="preserve"> </w:t>
      </w:r>
      <w:r w:rsidRPr="00094397">
        <w:rPr>
          <w:rFonts w:cs="Arial"/>
          <w:color w:val="212121"/>
          <w:szCs w:val="20"/>
          <w:shd w:val="clear" w:color="auto" w:fill="FFFFFF"/>
        </w:rPr>
        <w:t xml:space="preserve">leukemia, breast cancer, ovarian cancer, prostate cancer, lung cancer, </w:t>
      </w:r>
      <w:proofErr w:type="spellStart"/>
      <w:r w:rsidRPr="00094397">
        <w:rPr>
          <w:rFonts w:cs="Arial"/>
          <w:color w:val="212121"/>
          <w:szCs w:val="20"/>
          <w:shd w:val="clear" w:color="auto" w:fill="FFFFFF"/>
        </w:rPr>
        <w:t>glioblastoma</w:t>
      </w:r>
      <w:proofErr w:type="spellEnd"/>
      <w:r w:rsidRPr="00094397">
        <w:rPr>
          <w:rFonts w:cs="Arial"/>
          <w:color w:val="212121"/>
          <w:szCs w:val="20"/>
          <w:shd w:val="clear" w:color="auto" w:fill="FFFFFF"/>
        </w:rPr>
        <w:t>, renal cancer, epidermal squamous cell carcinoma, pan</w:t>
      </w:r>
      <w:r w:rsidR="00712ED2" w:rsidRPr="00094397">
        <w:rPr>
          <w:rFonts w:cs="Arial"/>
          <w:color w:val="212121"/>
          <w:szCs w:val="20"/>
          <w:shd w:val="clear" w:color="auto" w:fill="FFFFFF"/>
        </w:rPr>
        <w:t xml:space="preserve">creatic cancer, cervical cancer, </w:t>
      </w:r>
      <w:r w:rsidRPr="00094397">
        <w:rPr>
          <w:rFonts w:cs="Arial"/>
          <w:color w:val="212121"/>
          <w:szCs w:val="20"/>
          <w:shd w:val="clear" w:color="auto" w:fill="FFFFFF"/>
        </w:rPr>
        <w:t>esophageal adenocarcinom</w:t>
      </w:r>
      <w:r w:rsidR="00712ED2" w:rsidRPr="00094397">
        <w:rPr>
          <w:rFonts w:cs="Arial"/>
          <w:color w:val="212121"/>
          <w:szCs w:val="20"/>
          <w:shd w:val="clear" w:color="auto" w:fill="FFFFFF"/>
        </w:rPr>
        <w:t>a, oral squamous cell carcinoma, mesothelioma</w:t>
      </w:r>
      <w:r w:rsidRPr="00094397">
        <w:rPr>
          <w:rFonts w:cs="Arial"/>
          <w:color w:val="212121"/>
          <w:szCs w:val="20"/>
          <w:shd w:val="clear" w:color="auto" w:fill="FFFFFF"/>
        </w:rPr>
        <w:t>, gastric cancer and colon cancer</w:t>
      </w:r>
      <w:r w:rsidRPr="00094397">
        <w:rPr>
          <w:rFonts w:cs="Arial"/>
          <w:color w:val="0070C0"/>
          <w:szCs w:val="20"/>
        </w:rPr>
        <w:t xml:space="preserve"> </w:t>
      </w:r>
      <w:r w:rsidRPr="00094397">
        <w:rPr>
          <w:rFonts w:cs="Arial"/>
          <w:szCs w:val="20"/>
        </w:rPr>
        <w:fldChar w:fldCharType="begin" w:fldLock="1"/>
      </w:r>
      <w:r w:rsidR="00F5221A">
        <w:rPr>
          <w:rFonts w:cs="Arial"/>
          <w:szCs w:val="20"/>
        </w:rPr>
        <w:instrText>ADDIN CSL_CITATION {"citationItems":[{"id":"ITEM-1","itemData":{"DOI":"10.1002/mc.22986","ISSN":"10982744","PMID":"30693974","abstract":"Transglutaminase 2 (TG2) has emerged as a key cancer cell survival factor that drives epithelial to mesenchymal transition, angiogenesis, metastasis, inflammation, drug resistance, cancer stem cell survival and stemness, and invasion and migration. TG2 can exist in a GTP-bound signaling-active conformation or in a transamidase-active conformation. The GTP bound conformation of TG2 contributes to cell survival and the transamidase conformation can contribute to cell survival or death. We present evidence suggesting that TG2 has a role in human cancer, summarize what is known about the TG2 mechanism of action in a range of cancer types, and discuss TG2 as a cancer therapy target.","author":[{"dropping-particle":"","family":"Eckert","given":"Richard L.","non-dropping-particle":"","parse-names":false,"suffix":""}],"container-title":"Molecular Carcinogenesis","id":"ITEM-1","issue":"6","issued":{"date-parts":[["2019"]]},"page":"837-853","title":"Transglutaminase 2 takes center stage as a cancer cell survival factor and therapy target","type":"article-journal","volume":"58"},"uris":["http://www.mendeley.com/documents/?uuid=46848053-83e5-461f-8a3b-9b4535ece79a"]}],"mendeley":{"formattedCitation":"(Eckert, 2019)","plainTextFormattedCitation":"(Eckert, 2019)","previouslyFormattedCitation":"&lt;sup&gt;4&lt;/sup&gt;"},"properties":{"noteIndex":0},"schema":"https://github.com/citation-style-language/schema/raw/master/csl-citation.json"}</w:instrText>
      </w:r>
      <w:r w:rsidRPr="00094397">
        <w:rPr>
          <w:rFonts w:cs="Arial"/>
          <w:szCs w:val="20"/>
        </w:rPr>
        <w:fldChar w:fldCharType="separate"/>
      </w:r>
      <w:r w:rsidR="00F5221A" w:rsidRPr="00F5221A">
        <w:rPr>
          <w:rFonts w:cs="Arial"/>
          <w:noProof/>
          <w:color w:val="000000"/>
          <w:szCs w:val="20"/>
        </w:rPr>
        <w:t>(Eckert, 2019)</w:t>
      </w:r>
      <w:r w:rsidRPr="00094397">
        <w:rPr>
          <w:rFonts w:cs="Arial"/>
          <w:szCs w:val="20"/>
        </w:rPr>
        <w:fldChar w:fldCharType="end"/>
      </w:r>
      <w:r w:rsidRPr="00094397">
        <w:rPr>
          <w:rFonts w:cs="Arial"/>
          <w:color w:val="000000"/>
          <w:szCs w:val="20"/>
        </w:rPr>
        <w:t>.</w:t>
      </w:r>
      <w:r w:rsidRPr="00094397">
        <w:rPr>
          <w:rFonts w:cs="Arial"/>
          <w:color w:val="0070C0"/>
          <w:szCs w:val="20"/>
        </w:rPr>
        <w:t xml:space="preserve"> </w:t>
      </w:r>
      <w:r w:rsidRPr="00094397">
        <w:rPr>
          <w:rFonts w:cs="Arial"/>
          <w:color w:val="000000"/>
          <w:szCs w:val="20"/>
        </w:rPr>
        <w:t>Some authors showed that TG2 is an independent prognostic marker for cancer</w:t>
      </w:r>
      <w:r w:rsidR="00712ED2" w:rsidRPr="00094397">
        <w:rPr>
          <w:rFonts w:cs="Arial"/>
          <w:color w:val="000000"/>
          <w:szCs w:val="20"/>
        </w:rPr>
        <w:t>,</w:t>
      </w:r>
      <w:r w:rsidRPr="00094397">
        <w:rPr>
          <w:rFonts w:cs="Arial"/>
          <w:color w:val="000000"/>
          <w:szCs w:val="20"/>
        </w:rPr>
        <w:t xml:space="preserve"> but controversial results have also been found.</w:t>
      </w:r>
      <w:r w:rsidR="00712ED2" w:rsidRPr="00094397">
        <w:rPr>
          <w:rFonts w:cs="Arial"/>
          <w:color w:val="000000"/>
          <w:szCs w:val="20"/>
        </w:rPr>
        <w:t xml:space="preserve"> </w:t>
      </w:r>
      <w:r w:rsidRPr="00094397">
        <w:rPr>
          <w:rFonts w:cs="Arial"/>
          <w:color w:val="000000"/>
          <w:szCs w:val="20"/>
        </w:rPr>
        <w:t>We did a systematic review and meta-analysis to assess the prognostic value of TG2 for cancer patients in light of these conflicting results.</w:t>
      </w:r>
    </w:p>
    <w:p w:rsidR="004219C9" w:rsidRPr="00094397" w:rsidRDefault="004219C9" w:rsidP="00094397">
      <w:pPr>
        <w:rPr>
          <w:rFonts w:cs="Arial"/>
          <w:color w:val="FF0000"/>
          <w:szCs w:val="20"/>
        </w:rPr>
      </w:pPr>
    </w:p>
    <w:p w:rsidR="007F1078" w:rsidRPr="00094397" w:rsidRDefault="00712ED2" w:rsidP="00094397">
      <w:pPr>
        <w:pStyle w:val="Heading1"/>
      </w:pPr>
      <w:r w:rsidRPr="00094397">
        <w:t>M</w:t>
      </w:r>
      <w:r w:rsidR="00A00D4C" w:rsidRPr="00094397">
        <w:t>ethods</w:t>
      </w:r>
    </w:p>
    <w:p w:rsidR="00712ED2" w:rsidRPr="00094397" w:rsidRDefault="001655A6" w:rsidP="00094397">
      <w:pPr>
        <w:pBdr>
          <w:top w:val="none" w:sz="4" w:space="0" w:color="auto"/>
          <w:left w:val="none" w:sz="4" w:space="0" w:color="auto"/>
          <w:bottom w:val="none" w:sz="4" w:space="0" w:color="auto"/>
          <w:right w:val="none" w:sz="4" w:space="0" w:color="auto"/>
          <w:between w:val="none" w:sz="4" w:space="0" w:color="auto"/>
          <w:bar w:val="none" w:sz="4" w:color="auto"/>
        </w:pBdr>
        <w:spacing w:before="240"/>
        <w:jc w:val="both"/>
        <w:rPr>
          <w:rFonts w:cs="Arial"/>
          <w:b/>
          <w:bCs/>
          <w:szCs w:val="20"/>
        </w:rPr>
      </w:pPr>
      <w:r>
        <w:rPr>
          <w:rFonts w:cs="Arial"/>
          <w:b/>
          <w:bCs/>
          <w:szCs w:val="20"/>
        </w:rPr>
        <w:t>Literature search</w:t>
      </w:r>
    </w:p>
    <w:p w:rsidR="00712ED2" w:rsidRPr="00094397" w:rsidRDefault="005D0F98" w:rsidP="00B07B63">
      <w:pPr>
        <w:jc w:val="both"/>
        <w:rPr>
          <w:rFonts w:cs="Arial"/>
          <w:b/>
          <w:bCs/>
          <w:szCs w:val="20"/>
        </w:rPr>
      </w:pPr>
      <w:r>
        <w:t>We searched in the Web of Science, PubMed, and Google Scholar databases up to December 21, 2022. We used</w:t>
      </w:r>
      <w:r w:rsidR="00712ED2" w:rsidRPr="00094397">
        <w:rPr>
          <w:rFonts w:cs="Arial"/>
          <w:szCs w:val="20"/>
        </w:rPr>
        <w:t xml:space="preserve"> (((TGM 2) OR (TGM2) OR (Transglutaminase 2) OR (TG2) OR (Tissue transglutaminase)) AND ((Cancer) OR (Malignancy) OR (Carcinoma) OR (Tumor)) AND ((Prognosis) OR (Outcome) OR (Survival) OR (Survival Time))) for Web of science &amp; PubMed </w:t>
      </w:r>
      <w:r w:rsidR="00712ED2" w:rsidRPr="00094397">
        <w:rPr>
          <w:rFonts w:cs="Arial"/>
          <w:szCs w:val="20"/>
        </w:rPr>
        <w:lastRenderedPageBreak/>
        <w:t xml:space="preserve">and  "TGM 2'', ''Transglutaminase 2'', ''TG 2'', ''Tissue transglutaminase'', ''Cancer'', ''Malignancy'', ''Carcinoma'', ''Tumor'', ''Prognosis'', ''Outcome'', ''Survival'', ''Survival Time'' for Google scholar. </w:t>
      </w:r>
    </w:p>
    <w:p w:rsidR="00712ED2" w:rsidRPr="00094397" w:rsidRDefault="00712ED2" w:rsidP="00B07B63">
      <w:pPr>
        <w:pBdr>
          <w:top w:val="none" w:sz="4" w:space="0" w:color="auto"/>
          <w:left w:val="none" w:sz="4" w:space="0" w:color="auto"/>
          <w:bottom w:val="none" w:sz="4" w:space="0" w:color="auto"/>
          <w:right w:val="none" w:sz="4" w:space="0" w:color="auto"/>
          <w:between w:val="none" w:sz="4" w:space="0" w:color="auto"/>
          <w:bar w:val="none" w:sz="4" w:color="auto"/>
        </w:pBdr>
        <w:jc w:val="both"/>
        <w:rPr>
          <w:rFonts w:cs="Arial"/>
          <w:b/>
          <w:bCs/>
          <w:szCs w:val="20"/>
        </w:rPr>
      </w:pPr>
      <w:r w:rsidRPr="00094397">
        <w:rPr>
          <w:rFonts w:cs="Arial"/>
          <w:szCs w:val="20"/>
        </w:rPr>
        <w:t xml:space="preserve"> </w:t>
      </w:r>
      <w:r w:rsidRPr="00094397">
        <w:rPr>
          <w:rFonts w:cs="Arial"/>
          <w:b/>
          <w:bCs/>
          <w:szCs w:val="20"/>
        </w:rPr>
        <w:t>I</w:t>
      </w:r>
      <w:r w:rsidR="001655A6">
        <w:rPr>
          <w:rFonts w:cs="Arial"/>
          <w:b/>
          <w:bCs/>
          <w:szCs w:val="20"/>
        </w:rPr>
        <w:t>nclusion and Exclusion criteria</w:t>
      </w:r>
      <w:r w:rsidRPr="00094397">
        <w:rPr>
          <w:rFonts w:cs="Arial"/>
          <w:b/>
          <w:bCs/>
          <w:szCs w:val="20"/>
        </w:rPr>
        <w:t xml:space="preserve"> </w:t>
      </w:r>
    </w:p>
    <w:p w:rsidR="008A7595" w:rsidRPr="008A7595" w:rsidRDefault="008A7595" w:rsidP="00131911">
      <w:pPr>
        <w:pStyle w:val="NormalWeb"/>
        <w:spacing w:line="480" w:lineRule="auto"/>
        <w:jc w:val="both"/>
        <w:rPr>
          <w:rFonts w:ascii="Arial" w:hAnsi="Arial" w:cs="Arial"/>
          <w:color w:val="252525"/>
          <w:sz w:val="20"/>
          <w:szCs w:val="20"/>
        </w:rPr>
      </w:pPr>
      <w:r w:rsidRPr="008A7595">
        <w:rPr>
          <w:rFonts w:ascii="Arial" w:hAnsi="Arial" w:cs="Arial"/>
          <w:color w:val="252525"/>
          <w:sz w:val="20"/>
          <w:szCs w:val="20"/>
        </w:rPr>
        <w:t xml:space="preserve">The inclusion criteria were as follows: (I) TG2 expression was detected in human primary cancer tissue by using the </w:t>
      </w:r>
      <w:proofErr w:type="spellStart"/>
      <w:r w:rsidRPr="008A7595">
        <w:rPr>
          <w:rFonts w:ascii="Arial" w:hAnsi="Arial" w:cs="Arial"/>
          <w:color w:val="252525"/>
          <w:sz w:val="20"/>
          <w:szCs w:val="20"/>
        </w:rPr>
        <w:t>immunohistochemical</w:t>
      </w:r>
      <w:proofErr w:type="spellEnd"/>
      <w:r w:rsidRPr="008A7595">
        <w:rPr>
          <w:rFonts w:ascii="Arial" w:hAnsi="Arial" w:cs="Arial"/>
          <w:color w:val="252525"/>
          <w:sz w:val="20"/>
          <w:szCs w:val="20"/>
        </w:rPr>
        <w:t xml:space="preserve"> method. (II) Correlation of TG2 expression with overall survival (OS) and/or disease-free survival (DFS) (III) Patients were divided into TG2 high and TG2 low groups based on TG2 expression. (IV) Availability of the hazard ratio (HR) with 95% CI. We excluded those articles where HR with a 95% CI was not reported. We discovered that there are a number of ways to measure TG2 expression, including immunohistochemistry (IHC) and real-time polymerase chain reaction (RT-PCR), but immunohistochemistry is the technique that is most frequently used in the field of prognosis analyses. This was discovered after conducting a preliminary analysis of the published papers. For the purpose of this meta-analysis, we confined our consideration to articles in which the IHC method was used for the detection of TG2 because the RT-PCR technique was only utilized in a single paper.</w:t>
      </w:r>
    </w:p>
    <w:p w:rsidR="008A7595" w:rsidRPr="008A7595" w:rsidRDefault="008A7595" w:rsidP="00131911">
      <w:pPr>
        <w:pStyle w:val="NormalWeb"/>
        <w:spacing w:line="480" w:lineRule="auto"/>
        <w:jc w:val="both"/>
        <w:rPr>
          <w:rFonts w:ascii="Arial" w:hAnsi="Arial" w:cs="Arial"/>
          <w:color w:val="252525"/>
          <w:sz w:val="20"/>
          <w:szCs w:val="20"/>
        </w:rPr>
      </w:pPr>
      <w:r w:rsidRPr="008A7595">
        <w:rPr>
          <w:rFonts w:ascii="Arial" w:hAnsi="Arial" w:cs="Arial"/>
          <w:color w:val="252525"/>
          <w:sz w:val="20"/>
          <w:szCs w:val="20"/>
        </w:rPr>
        <w:t>Exclusion criteria: (I) animal studies (II) non-English and not full free text (III) thesis or dissertation (IV) review, conference paper, letter, editorial, abstract, book, document, case report, comment, and duplicate articles. We did not make limitations for sample size and did not include the cancer genome (TCGA) database for our analysis.</w:t>
      </w:r>
    </w:p>
    <w:p w:rsidR="00712ED2" w:rsidRPr="00094397" w:rsidRDefault="00712ED2" w:rsidP="00712ED2">
      <w:pPr>
        <w:pBdr>
          <w:top w:val="none" w:sz="4" w:space="0" w:color="auto"/>
          <w:left w:val="none" w:sz="4" w:space="0" w:color="auto"/>
          <w:bottom w:val="none" w:sz="4" w:space="0" w:color="auto"/>
          <w:right w:val="none" w:sz="4" w:space="0" w:color="auto"/>
          <w:between w:val="none" w:sz="4" w:space="0" w:color="auto"/>
          <w:bar w:val="none" w:sz="4" w:color="auto"/>
        </w:pBdr>
        <w:jc w:val="both"/>
        <w:rPr>
          <w:rFonts w:ascii="Times New Roman" w:hAnsi="Times New Roman"/>
          <w:color w:val="FF0000"/>
          <w:szCs w:val="20"/>
        </w:rPr>
      </w:pPr>
    </w:p>
    <w:p w:rsidR="00094397" w:rsidRPr="00094397" w:rsidRDefault="00094397" w:rsidP="00094397">
      <w:pPr>
        <w:pBdr>
          <w:top w:val="none" w:sz="4" w:space="0" w:color="auto"/>
          <w:left w:val="none" w:sz="4" w:space="0" w:color="auto"/>
          <w:bottom w:val="none" w:sz="4" w:space="0" w:color="auto"/>
          <w:right w:val="none" w:sz="4" w:space="0" w:color="auto"/>
          <w:between w:val="none" w:sz="4" w:space="0" w:color="auto"/>
          <w:bar w:val="none" w:sz="4" w:color="auto"/>
        </w:pBdr>
        <w:jc w:val="both"/>
        <w:rPr>
          <w:rFonts w:cs="Arial"/>
          <w:b/>
          <w:bCs/>
          <w:szCs w:val="20"/>
        </w:rPr>
      </w:pPr>
      <w:r w:rsidRPr="00094397">
        <w:rPr>
          <w:rFonts w:cs="Arial"/>
          <w:b/>
          <w:bCs/>
          <w:szCs w:val="20"/>
        </w:rPr>
        <w:t>Data Extraction and Analysis</w:t>
      </w:r>
    </w:p>
    <w:p w:rsidR="00094397" w:rsidRPr="00094397" w:rsidRDefault="008A7595" w:rsidP="00094397">
      <w:pPr>
        <w:pBdr>
          <w:top w:val="none" w:sz="4" w:space="0" w:color="auto"/>
          <w:left w:val="none" w:sz="4" w:space="0" w:color="auto"/>
          <w:bottom w:val="none" w:sz="4" w:space="0" w:color="auto"/>
          <w:right w:val="none" w:sz="4" w:space="0" w:color="auto"/>
          <w:between w:val="none" w:sz="4" w:space="0" w:color="auto"/>
          <w:bar w:val="none" w:sz="4" w:color="auto"/>
        </w:pBdr>
        <w:jc w:val="both"/>
        <w:rPr>
          <w:rFonts w:cs="Arial"/>
          <w:szCs w:val="20"/>
        </w:rPr>
      </w:pPr>
      <w:r>
        <w:t xml:space="preserve">Two authors independently screened the title, abstract, and full text of potentially eligible studies twice at two different time points. Any disagreements were resolved by a third author. The titles and abstracts of the articles were examined, and irrelevant ones were excluded. The full texts of the remaining articles were reviewed to find relevant studies that met the inclusion criteria. We collected the following information from the included studies: First author, publication year, country, study period, sample size, cancer-type, TG2 high patients group, TG2 low patients </w:t>
      </w:r>
      <w:r>
        <w:lastRenderedPageBreak/>
        <w:t>group, outcome measure. The Preferred Reporting Items for Systematic Reviews and Meta-Analyses (PRISMA) guideline is aimed at improving systematic reviews and formed the basis for the selection protocol used in the current study.</w:t>
      </w:r>
    </w:p>
    <w:p w:rsidR="00B07B63" w:rsidRDefault="00B07B63" w:rsidP="00094397">
      <w:pPr>
        <w:pBdr>
          <w:top w:val="none" w:sz="4" w:space="0" w:color="auto"/>
          <w:left w:val="none" w:sz="4" w:space="0" w:color="auto"/>
          <w:bottom w:val="none" w:sz="4" w:space="0" w:color="auto"/>
          <w:right w:val="none" w:sz="4" w:space="0" w:color="auto"/>
          <w:between w:val="none" w:sz="4" w:space="0" w:color="auto"/>
          <w:bar w:val="none" w:sz="4" w:color="auto"/>
        </w:pBdr>
        <w:jc w:val="both"/>
        <w:rPr>
          <w:rFonts w:cs="Arial"/>
          <w:b/>
          <w:bCs/>
          <w:szCs w:val="20"/>
        </w:rPr>
      </w:pPr>
    </w:p>
    <w:p w:rsidR="00094397" w:rsidRPr="00094397" w:rsidRDefault="00094397" w:rsidP="00094397">
      <w:pPr>
        <w:pBdr>
          <w:top w:val="none" w:sz="4" w:space="0" w:color="auto"/>
          <w:left w:val="none" w:sz="4" w:space="0" w:color="auto"/>
          <w:bottom w:val="none" w:sz="4" w:space="0" w:color="auto"/>
          <w:right w:val="none" w:sz="4" w:space="0" w:color="auto"/>
          <w:between w:val="none" w:sz="4" w:space="0" w:color="auto"/>
          <w:bar w:val="none" w:sz="4" w:color="auto"/>
        </w:pBdr>
        <w:jc w:val="both"/>
        <w:rPr>
          <w:rFonts w:cs="Arial"/>
          <w:szCs w:val="20"/>
        </w:rPr>
      </w:pPr>
      <w:r w:rsidRPr="00094397">
        <w:rPr>
          <w:rFonts w:cs="Arial"/>
          <w:b/>
          <w:bCs/>
          <w:szCs w:val="20"/>
        </w:rPr>
        <w:t>Statistical Analysis</w:t>
      </w:r>
    </w:p>
    <w:p w:rsidR="00094397" w:rsidRDefault="008A7595" w:rsidP="00094397">
      <w:pPr>
        <w:pBdr>
          <w:top w:val="none" w:sz="4" w:space="0" w:color="auto"/>
          <w:left w:val="none" w:sz="4" w:space="0" w:color="auto"/>
          <w:bottom w:val="none" w:sz="4" w:space="0" w:color="auto"/>
          <w:right w:val="none" w:sz="4" w:space="0" w:color="auto"/>
          <w:between w:val="none" w:sz="4" w:space="0" w:color="auto"/>
          <w:bar w:val="none" w:sz="4" w:color="auto"/>
        </w:pBdr>
        <w:jc w:val="both"/>
      </w:pPr>
      <w:r w:rsidRPr="008A7595">
        <w:t xml:space="preserve">For all meta-analyses, </w:t>
      </w:r>
      <w:proofErr w:type="spellStart"/>
      <w:r w:rsidRPr="008A7595">
        <w:t>Rstudio</w:t>
      </w:r>
      <w:proofErr w:type="spellEnd"/>
      <w:r w:rsidRPr="008A7595">
        <w:t xml:space="preserve"> statistical software (version 1.0.143) and the Meta package</w:t>
      </w:r>
      <w:r w:rsidR="005D0F98">
        <w:t xml:space="preserve"> (reference: </w:t>
      </w:r>
      <w:proofErr w:type="spellStart"/>
      <w:r w:rsidR="005D0F98">
        <w:t>Schwarzer</w:t>
      </w:r>
      <w:proofErr w:type="spellEnd"/>
      <w:r w:rsidR="005D0F98">
        <w:t xml:space="preserve"> G. </w:t>
      </w:r>
      <w:proofErr w:type="gramStart"/>
      <w:r w:rsidR="005D0F98">
        <w:t>meta</w:t>
      </w:r>
      <w:proofErr w:type="gramEnd"/>
      <w:r w:rsidR="005D0F98">
        <w:t xml:space="preserve">: </w:t>
      </w:r>
      <w:r w:rsidRPr="008A7595">
        <w:t xml:space="preserve">an R package for meta-analysis; R news 2007; 7:40–5) were used. </w:t>
      </w:r>
      <w:r w:rsidRPr="008A7595">
        <w:rPr>
          <w:i/>
          <w:iCs/>
          <w:color w:val="252525"/>
        </w:rPr>
        <w:t>I</w:t>
      </w:r>
      <w:r w:rsidRPr="008A7595">
        <w:rPr>
          <w:color w:val="252525"/>
          <w:vertAlign w:val="superscript"/>
        </w:rPr>
        <w:t>2</w:t>
      </w:r>
      <w:r w:rsidRPr="008A7595">
        <w:t xml:space="preserve"> and Cochran’s </w:t>
      </w:r>
      <w:r w:rsidRPr="008A7595">
        <w:rPr>
          <w:i/>
          <w:iCs/>
          <w:color w:val="252525"/>
        </w:rPr>
        <w:t>Q</w:t>
      </w:r>
      <w:r w:rsidRPr="008A7595">
        <w:t xml:space="preserve"> statistics were used to assess heterogeneity. A level less than 25% indicated low heterogeneity, whereas levels between 35% and 50% showed moderate heterogeneity, and those above 50% showed high heterogeneity. A p-value of less than 0.05 for Cochran’s Q statistic indicates heterogeneity. Due to the large degree of heterogeneity, a random-effects model was applied, which does not adjust heterogeneity but is a more conservative approach when heterogeneity exists. Publication bias was assessed by using contour-enhanced funnel plots and Egger’s test.</w:t>
      </w:r>
    </w:p>
    <w:p w:rsidR="005D0F98" w:rsidRDefault="005D0F98" w:rsidP="005D0F98">
      <w:pPr>
        <w:pBdr>
          <w:top w:val="none" w:sz="4" w:space="0" w:color="auto"/>
          <w:left w:val="none" w:sz="4" w:space="0" w:color="auto"/>
          <w:bottom w:val="none" w:sz="4" w:space="0" w:color="auto"/>
          <w:right w:val="none" w:sz="4" w:space="0" w:color="auto"/>
          <w:between w:val="none" w:sz="4" w:space="0" w:color="auto"/>
          <w:bar w:val="none" w:sz="4" w:color="auto"/>
        </w:pBdr>
        <w:jc w:val="both"/>
        <w:rPr>
          <w:rFonts w:ascii="Times New Roman" w:hAnsi="Times New Roman"/>
          <w:b/>
          <w:bCs/>
          <w:sz w:val="24"/>
        </w:rPr>
      </w:pPr>
      <w:r>
        <w:rPr>
          <w:rFonts w:ascii="Times New Roman" w:hAnsi="Times New Roman"/>
          <w:b/>
          <w:bCs/>
          <w:sz w:val="24"/>
        </w:rPr>
        <w:t>Results</w:t>
      </w:r>
    </w:p>
    <w:p w:rsidR="005D0F98" w:rsidRDefault="005D0F98" w:rsidP="005D0F98">
      <w:pPr>
        <w:pBdr>
          <w:top w:val="none" w:sz="4" w:space="0" w:color="auto"/>
          <w:left w:val="none" w:sz="4" w:space="0" w:color="auto"/>
          <w:bottom w:val="none" w:sz="4" w:space="0" w:color="auto"/>
          <w:right w:val="none" w:sz="4" w:space="0" w:color="auto"/>
          <w:between w:val="none" w:sz="4" w:space="0" w:color="auto"/>
          <w:bar w:val="none" w:sz="4" w:color="auto"/>
        </w:pBdr>
        <w:jc w:val="both"/>
        <w:rPr>
          <w:rFonts w:ascii="Times New Roman" w:hAnsi="Times New Roman"/>
          <w:sz w:val="24"/>
        </w:rPr>
      </w:pPr>
      <w:r>
        <w:rPr>
          <w:rFonts w:ascii="Times New Roman" w:hAnsi="Times New Roman"/>
          <w:b/>
          <w:bCs/>
          <w:sz w:val="24"/>
        </w:rPr>
        <w:t>Literature search and selection</w:t>
      </w:r>
    </w:p>
    <w:p w:rsidR="005D0F98" w:rsidRDefault="005D0F98" w:rsidP="005D0F98">
      <w:pPr>
        <w:pBdr>
          <w:top w:val="none" w:sz="4" w:space="0" w:color="auto"/>
          <w:left w:val="none" w:sz="4" w:space="0" w:color="auto"/>
          <w:bottom w:val="none" w:sz="4" w:space="0" w:color="auto"/>
          <w:right w:val="none" w:sz="4" w:space="0" w:color="auto"/>
          <w:between w:val="none" w:sz="4" w:space="0" w:color="auto"/>
          <w:bar w:val="none" w:sz="4" w:color="auto"/>
        </w:pBdr>
        <w:jc w:val="both"/>
      </w:pPr>
      <w:r>
        <w:t>After retrieving 1280 papers from three databases, we removed 318 that were duplicates and read the titles and abstracts of the remaining 962. 591 were deemed irrelevant; 161 were reviews; 101 were theses or dissertations; 38 were books, documents, letters, case reports, abstracts, editorials, comments, and conference papers; and 23 were not written in English. After reading the full texts of 48 articles, we eliminated 37 from further consideration on the basis of various criteria: (1) no reported HR with 95% CI; (2) no prognostic relation of TG2 with cancer; (3) analysis of the cancer genome database only; (4) analysis of animal tissue; (5) different survival analyses; (6) insufficient patient information; and (7) different detecting methods. Eleven papers were included in the end tally for this meta-analysis and review (Figure 1).</w:t>
      </w:r>
    </w:p>
    <w:p w:rsidR="00181541" w:rsidRPr="00181541" w:rsidRDefault="00181541" w:rsidP="00181541">
      <w:pPr>
        <w:pBdr>
          <w:top w:val="none" w:sz="4" w:space="0" w:color="auto"/>
          <w:left w:val="none" w:sz="4" w:space="0" w:color="auto"/>
          <w:bottom w:val="none" w:sz="4" w:space="0" w:color="auto"/>
          <w:right w:val="none" w:sz="4" w:space="0" w:color="auto"/>
          <w:between w:val="none" w:sz="4" w:space="0" w:color="auto"/>
          <w:bar w:val="none" w:sz="4" w:color="auto"/>
        </w:pBdr>
        <w:jc w:val="both"/>
        <w:rPr>
          <w:rFonts w:cs="Arial"/>
          <w:sz w:val="24"/>
        </w:rPr>
      </w:pPr>
    </w:p>
    <w:p w:rsidR="00181541" w:rsidRDefault="00181541" w:rsidP="005D0F98">
      <w:pPr>
        <w:pBdr>
          <w:top w:val="none" w:sz="4" w:space="0" w:color="auto"/>
          <w:left w:val="none" w:sz="4" w:space="0" w:color="auto"/>
          <w:bottom w:val="none" w:sz="4" w:space="0" w:color="auto"/>
          <w:right w:val="none" w:sz="4" w:space="0" w:color="auto"/>
          <w:between w:val="none" w:sz="4" w:space="0" w:color="auto"/>
          <w:bar w:val="none" w:sz="4" w:color="auto"/>
        </w:pBdr>
        <w:jc w:val="both"/>
        <w:rPr>
          <w:rFonts w:ascii="Times New Roman" w:hAnsi="Times New Roman"/>
          <w:sz w:val="24"/>
        </w:rPr>
      </w:pPr>
    </w:p>
    <w:p w:rsidR="00B07B63" w:rsidRDefault="00B07B63" w:rsidP="005D0F98">
      <w:pPr>
        <w:pStyle w:val="NormalWeb"/>
        <w:spacing w:line="480" w:lineRule="auto"/>
        <w:rPr>
          <w:rStyle w:val="Strong"/>
          <w:rFonts w:ascii="Arial" w:hAnsi="Arial" w:cs="Arial"/>
          <w:color w:val="252525"/>
          <w:sz w:val="20"/>
          <w:szCs w:val="20"/>
        </w:rPr>
      </w:pPr>
    </w:p>
    <w:p w:rsidR="005D0F98" w:rsidRPr="005D0F98" w:rsidRDefault="005D0F98" w:rsidP="005D0F98">
      <w:pPr>
        <w:pStyle w:val="NormalWeb"/>
        <w:spacing w:line="480" w:lineRule="auto"/>
        <w:rPr>
          <w:rFonts w:ascii="Arial" w:hAnsi="Arial" w:cs="Arial"/>
          <w:color w:val="252525"/>
          <w:sz w:val="20"/>
          <w:szCs w:val="20"/>
        </w:rPr>
      </w:pPr>
      <w:r w:rsidRPr="005D0F98">
        <w:rPr>
          <w:rStyle w:val="Strong"/>
          <w:rFonts w:ascii="Arial" w:hAnsi="Arial" w:cs="Arial"/>
          <w:color w:val="252525"/>
          <w:sz w:val="20"/>
          <w:szCs w:val="20"/>
        </w:rPr>
        <w:t>Characteristics of included studies</w:t>
      </w:r>
    </w:p>
    <w:p w:rsidR="00890C14" w:rsidRPr="005D0F98" w:rsidRDefault="005D0F98" w:rsidP="00131911">
      <w:pPr>
        <w:pStyle w:val="NormalWeb"/>
        <w:spacing w:line="480" w:lineRule="auto"/>
        <w:jc w:val="both"/>
        <w:rPr>
          <w:rFonts w:ascii="Arial" w:hAnsi="Arial" w:cs="Arial"/>
          <w:color w:val="252525"/>
          <w:sz w:val="20"/>
          <w:szCs w:val="20"/>
        </w:rPr>
      </w:pPr>
      <w:r w:rsidRPr="005D0F98">
        <w:rPr>
          <w:rFonts w:ascii="Arial" w:hAnsi="Arial" w:cs="Arial"/>
          <w:color w:val="252525"/>
          <w:sz w:val="20"/>
          <w:szCs w:val="20"/>
        </w:rPr>
        <w:t>We included 2714 patients from 11 articles in this meta-analysis. Among the 11 studies, 4 were conducted in Korea, 3 in China, 1 in Canada, 1 in the USA, 1 in Germany, and 1 in Spain.</w:t>
      </w:r>
      <w:r w:rsidR="00131911">
        <w:rPr>
          <w:rFonts w:ascii="Arial" w:hAnsi="Arial" w:cs="Arial"/>
          <w:color w:val="252525"/>
          <w:sz w:val="20"/>
          <w:szCs w:val="20"/>
        </w:rPr>
        <w:t xml:space="preserve"> </w:t>
      </w:r>
      <w:r w:rsidRPr="005D0F98">
        <w:rPr>
          <w:rFonts w:ascii="Arial" w:hAnsi="Arial" w:cs="Arial"/>
          <w:color w:val="252525"/>
          <w:sz w:val="20"/>
          <w:szCs w:val="20"/>
        </w:rPr>
        <w:t xml:space="preserve">Seven types of cancer were investigated: three in NSCLC, two in breast cancer, two in renal cell carcinoma, and one each of ovarian cancer, </w:t>
      </w:r>
      <w:proofErr w:type="spellStart"/>
      <w:r w:rsidRPr="005D0F98">
        <w:rPr>
          <w:rFonts w:ascii="Arial" w:hAnsi="Arial" w:cs="Arial"/>
          <w:color w:val="252525"/>
          <w:sz w:val="20"/>
          <w:szCs w:val="20"/>
        </w:rPr>
        <w:t>laryngopharyngeal</w:t>
      </w:r>
      <w:proofErr w:type="spellEnd"/>
      <w:r w:rsidRPr="005D0F98">
        <w:rPr>
          <w:rFonts w:ascii="Arial" w:hAnsi="Arial" w:cs="Arial"/>
          <w:color w:val="252525"/>
          <w:sz w:val="20"/>
          <w:szCs w:val="20"/>
        </w:rPr>
        <w:t xml:space="preserve"> squamous cell carcinoma, colon cancer, and </w:t>
      </w:r>
      <w:proofErr w:type="spellStart"/>
      <w:r w:rsidRPr="005D0F98">
        <w:rPr>
          <w:rFonts w:ascii="Arial" w:hAnsi="Arial" w:cs="Arial"/>
          <w:color w:val="252525"/>
          <w:sz w:val="20"/>
          <w:szCs w:val="20"/>
        </w:rPr>
        <w:t>urothelial</w:t>
      </w:r>
      <w:proofErr w:type="spellEnd"/>
      <w:r w:rsidRPr="005D0F98">
        <w:rPr>
          <w:rFonts w:ascii="Arial" w:hAnsi="Arial" w:cs="Arial"/>
          <w:color w:val="252525"/>
          <w:sz w:val="20"/>
          <w:szCs w:val="20"/>
        </w:rPr>
        <w:t xml:space="preserve"> cancer. IHC detected TG2 expression in tissue in all 11 studies. Except for those, we got one article</w:t>
      </w:r>
      <w:r w:rsidR="002A77CD">
        <w:rPr>
          <w:rFonts w:ascii="Arial" w:hAnsi="Arial" w:cs="Arial"/>
          <w:color w:val="252525"/>
          <w:sz w:val="20"/>
          <w:szCs w:val="20"/>
        </w:rPr>
        <w:t xml:space="preserve"> </w:t>
      </w:r>
      <w:r w:rsidR="002A77CD">
        <w:rPr>
          <w:rFonts w:ascii="Arial" w:hAnsi="Arial" w:cs="Arial"/>
          <w:color w:val="252525"/>
          <w:sz w:val="20"/>
          <w:szCs w:val="20"/>
        </w:rPr>
        <w:fldChar w:fldCharType="begin" w:fldLock="1"/>
      </w:r>
      <w:r w:rsidR="00F5221A">
        <w:rPr>
          <w:rFonts w:ascii="Arial" w:hAnsi="Arial" w:cs="Arial"/>
          <w:color w:val="252525"/>
          <w:sz w:val="20"/>
          <w:szCs w:val="20"/>
        </w:rPr>
        <w:instrText>ADDIN CSL_CITATION {"citationItems":[{"id":"ITEM-1","itemData":{"DOI":"10.1245/s10434-009-0865-y","ISSN":"10689265","PMID":"20033322","abstract":"Background: Transglutaminase 2 (TGM2) plays a role in cell growth and survival through the antiapoptosis signaling pathway. Methods: We analyzed TGM2 gene expression in 91 paired cases of colorectal cancer (CRC) and noncancerous regions and seven CRC cell lines to demonstrate the importance of TGM2 expression for the prediction of prognosis of CRC. TGM2 expression was higher in CRC tissue than in corresponding normal tissue by real-time reverse transcriptase-polymerase chain reaction (P = .015). Results: Patients in the high TGM2 expression group showed a poorer overall survival rate than those in the low expression group (P = .001), indicating that the increase in TGM2 expression was an independent prognostic factor. TGM2 was also expressed in the seven CRC cell lines. The in vitro proliferation assay showed that TGM2 expression is involved with tumor growth. Conclusions: The present study suggests that TGM2 is useful as a predictive marker for patient prognosis and may be a novel therapeutic target for CRC. © 2009 Society of Surgical Oncology.","author":[{"dropping-particle":"","family":"Miyoshi","given":"Norikatsu","non-dropping-particle":"","parse-names":false,"suffix":""},{"dropping-particle":"","family":"Ishii","given":"Hideshi","non-dropping-particle":"","parse-names":false,"suffix":""},{"dropping-particle":"","family":"Mimori","given":"Koshi","non-dropping-particle":"","parse-names":false,"suffix":""},{"dropping-particle":"","family":"Tanaka","given":"Fumiaki","non-dropping-particle":"","parse-names":false,"suffix":""},{"dropping-particle":"","family":"Hitora","given":"Toshiki","non-dropping-particle":"","parse-names":false,"suffix":""},{"dropping-particle":"","family":"Tei","given":"Mitsuyoshi","non-dropping-particle":"","parse-names":false,"suffix":""},{"dropping-particle":"","family":"Sekimoto","given":"Mitsugu","non-dropping-particle":"","parse-names":false,"suffix":""},{"dropping-particle":"","family":"Doki","given":"Yuichiro","non-dropping-particle":"","parse-names":false,"suffix":""},{"dropping-particle":"","family":"Mori","given":"Masaki","non-dropping-particle":"","parse-names":false,"suffix":""}],"container-title":"Annals of Surgical Oncology","id":"ITEM-1","issue":"4","issued":{"date-parts":[["2010","4"]]},"page":"967-972","title":"TGM2 is a novel marker for prognosis and therapeutic target in colorectal cancer","type":"article-journal","volume":"17"},"uris":["http://www.mendeley.com/documents/?uuid=cb46117c-d57f-3b1a-a13f-05ea687e2a3d"]}],"mendeley":{"formattedCitation":"(Miyoshi et al., 2010)","plainTextFormattedCitation":"(Miyoshi et al., 2010)","previouslyFormattedCitation":"&lt;sup&gt;5&lt;/sup&gt;"},"properties":{"noteIndex":0},"schema":"https://github.com/citation-style-language/schema/raw/master/csl-citation.json"}</w:instrText>
      </w:r>
      <w:r w:rsidR="002A77CD">
        <w:rPr>
          <w:rFonts w:ascii="Arial" w:hAnsi="Arial" w:cs="Arial"/>
          <w:color w:val="252525"/>
          <w:sz w:val="20"/>
          <w:szCs w:val="20"/>
        </w:rPr>
        <w:fldChar w:fldCharType="separate"/>
      </w:r>
      <w:r w:rsidR="00F5221A" w:rsidRPr="00F5221A">
        <w:rPr>
          <w:rFonts w:ascii="Arial" w:hAnsi="Arial" w:cs="Arial"/>
          <w:noProof/>
          <w:color w:val="252525"/>
          <w:sz w:val="20"/>
          <w:szCs w:val="20"/>
        </w:rPr>
        <w:t>(Miyoshi et al., 2010)</w:t>
      </w:r>
      <w:r w:rsidR="002A77CD">
        <w:rPr>
          <w:rFonts w:ascii="Arial" w:hAnsi="Arial" w:cs="Arial"/>
          <w:color w:val="252525"/>
          <w:sz w:val="20"/>
          <w:szCs w:val="20"/>
        </w:rPr>
        <w:fldChar w:fldCharType="end"/>
      </w:r>
      <w:r w:rsidRPr="005D0F98">
        <w:rPr>
          <w:rFonts w:ascii="Arial" w:hAnsi="Arial" w:cs="Arial"/>
          <w:color w:val="252525"/>
          <w:sz w:val="20"/>
          <w:szCs w:val="20"/>
        </w:rPr>
        <w:t xml:space="preserve">(Miyoshi et al., 2010) using RT-PCR to detect TG2 </w:t>
      </w:r>
      <w:r w:rsidR="009407D0">
        <w:rPr>
          <w:rFonts w:ascii="Arial" w:hAnsi="Arial" w:cs="Arial"/>
          <w:color w:val="252525"/>
          <w:sz w:val="20"/>
          <w:szCs w:val="20"/>
        </w:rPr>
        <w:t>expression</w:t>
      </w:r>
      <w:r w:rsidR="009407D0" w:rsidRPr="005D0F98">
        <w:rPr>
          <w:rFonts w:ascii="Arial" w:hAnsi="Arial" w:cs="Arial"/>
          <w:color w:val="252525"/>
          <w:sz w:val="20"/>
          <w:szCs w:val="20"/>
        </w:rPr>
        <w:t xml:space="preserve"> and</w:t>
      </w:r>
      <w:r w:rsidRPr="005D0F98">
        <w:rPr>
          <w:rFonts w:ascii="Arial" w:hAnsi="Arial" w:cs="Arial"/>
          <w:color w:val="252525"/>
          <w:sz w:val="20"/>
          <w:szCs w:val="20"/>
        </w:rPr>
        <w:t xml:space="preserve"> we excluded this. From </w:t>
      </w:r>
      <w:proofErr w:type="spellStart"/>
      <w:r w:rsidRPr="005D0F98">
        <w:rPr>
          <w:rFonts w:ascii="Arial" w:hAnsi="Arial" w:cs="Arial"/>
          <w:color w:val="252525"/>
          <w:sz w:val="20"/>
          <w:szCs w:val="20"/>
        </w:rPr>
        <w:t>Fernández</w:t>
      </w:r>
      <w:proofErr w:type="spellEnd"/>
      <w:r w:rsidRPr="005D0F98">
        <w:rPr>
          <w:rFonts w:ascii="Arial" w:hAnsi="Arial" w:cs="Arial"/>
          <w:color w:val="252525"/>
          <w:sz w:val="20"/>
          <w:szCs w:val="20"/>
        </w:rPr>
        <w:t xml:space="preserve">- </w:t>
      </w:r>
      <w:proofErr w:type="spellStart"/>
      <w:r w:rsidRPr="005D0F98">
        <w:rPr>
          <w:rFonts w:ascii="Arial" w:hAnsi="Arial" w:cs="Arial"/>
          <w:color w:val="252525"/>
          <w:sz w:val="20"/>
          <w:szCs w:val="20"/>
        </w:rPr>
        <w:t>Aceñero</w:t>
      </w:r>
      <w:proofErr w:type="spellEnd"/>
      <w:r w:rsidRPr="005D0F98">
        <w:rPr>
          <w:rFonts w:ascii="Arial" w:hAnsi="Arial" w:cs="Arial"/>
          <w:color w:val="252525"/>
          <w:sz w:val="20"/>
          <w:szCs w:val="20"/>
        </w:rPr>
        <w:t xml:space="preserve"> et al., 2019</w:t>
      </w:r>
      <w:r w:rsidR="002A77CD">
        <w:rPr>
          <w:rFonts w:ascii="Arial" w:hAnsi="Arial" w:cs="Arial"/>
          <w:color w:val="252525"/>
          <w:sz w:val="20"/>
          <w:szCs w:val="20"/>
        </w:rPr>
        <w:fldChar w:fldCharType="begin" w:fldLock="1"/>
      </w:r>
      <w:r w:rsidR="00F5221A">
        <w:rPr>
          <w:rFonts w:ascii="Arial" w:hAnsi="Arial" w:cs="Arial"/>
          <w:color w:val="252525"/>
          <w:sz w:val="20"/>
          <w:szCs w:val="20"/>
        </w:rPr>
        <w:instrText>ADDIN CSL_CITATION {"citationItems":[{"id":"ITEM-1","itemData":{"DOI":"10.1007/s00428-016-2020-z","ISSN":"14322307","PMID":"27620315","abstract":"Tissue transglutaminase 2 (TG2) is involved in many biological processes, from wound healing to neurodegeneration. Recently, there has been an increasing interest in this enzyme as a potential prognostic marker or therapy target in human neoplasms. The aim of this study was to analyze expression of TG2 messenger RNA (mRNA) and protein in colon cancer samples and to evaluate the potential value of TG2 as prognostic marker. We investigated not only expression level but also location of the protein in a series of human tumors. In silico analysis using the GSE39582 dataset showed that TG2 mRNA expression is associated with earlier relapse. The results of qPCR in our cohort showed TG2 mRNA to be up-regulated in 25 out of 70 samples (34 %). Kaplan-Meier plots and log-rank test showed that patients with high TG2 mRNA expression have significantly worse prognosis in terms of overall survival (OS) and a trend to earlier recurrence. Immunohistochemical staining of tumor sections for TG2 revealed stromal staining in 152 cases (88 %) and epithelial cell staining in 105 cases (62 %). In stage II patients, stromal expression showed a significant association with disease-free survival (DFS). In patients with metastatic disease, TG2 expression was also associated with poor prognosis. Cox multivariate analysis showed that TG2 expression in epithelial cells is significantly and independently associated with OS, together with node involvement and presence of metastasis. Stromal TG2 expression was associated with DFS. In summary, in non-metastatic colorectal cancer patients, stromal TG2 expression is significantly associated with DFS and epithelial TG2 expression with OS, independently of node involvement and metastasis.","author":[{"dropping-particle":"","family":"Fernández-Aceñero","given":"María Jesús","non-dropping-particle":"","parse-names":false,"suffix":""},{"dropping-particle":"","family":"Torres","given":"Sofía","non-dropping-particle":"","parse-names":false,"suffix":""},{"dropping-particle":"","family":"Garcia-Palmero","given":"Irene","non-dropping-particle":"","parse-names":false,"suffix":""},{"dropping-particle":"","family":"Díaz del Arco","given":"Cristina","non-dropping-particle":"","parse-names":false,"suffix":""},{"dropping-particle":"","family":"Casal","given":"J. Ignacio","non-dropping-particle":"","parse-names":false,"suffix":""}],"container-title":"Virchows Archiv","id":"ITEM-1","issue":"6","issued":{"date-parts":[["2016","12","1"]]},"page":"611-619","publisher":"Springer Verlag","title":"Prognostic role of tissue transglutaminase 2 in colon carcinoma","type":"article-journal","volume":"469"},"uris":["http://www.mendeley.com/documents/?uuid=d3cdc9aa-d4a1-36bb-aefe-704256d216da"]}],"mendeley":{"formattedCitation":"(Fernández-Aceñero et al., 2016)","plainTextFormattedCitation":"(Fernández-Aceñero et al., 2016)","previouslyFormattedCitation":"&lt;sup&gt;6&lt;/sup&gt;"},"properties":{"noteIndex":0},"schema":"https://github.com/citation-style-language/schema/raw/master/csl-citation.json"}</w:instrText>
      </w:r>
      <w:r w:rsidR="002A77CD">
        <w:rPr>
          <w:rFonts w:ascii="Arial" w:hAnsi="Arial" w:cs="Arial"/>
          <w:color w:val="252525"/>
          <w:sz w:val="20"/>
          <w:szCs w:val="20"/>
        </w:rPr>
        <w:fldChar w:fldCharType="separate"/>
      </w:r>
      <w:r w:rsidR="00F5221A" w:rsidRPr="00F5221A">
        <w:rPr>
          <w:rFonts w:ascii="Arial" w:hAnsi="Arial" w:cs="Arial"/>
          <w:noProof/>
          <w:color w:val="252525"/>
          <w:sz w:val="20"/>
          <w:szCs w:val="20"/>
        </w:rPr>
        <w:t>(Fernández-Aceñero et al., 2016)</w:t>
      </w:r>
      <w:r w:rsidR="002A77CD">
        <w:rPr>
          <w:rFonts w:ascii="Arial" w:hAnsi="Arial" w:cs="Arial"/>
          <w:color w:val="252525"/>
          <w:sz w:val="20"/>
          <w:szCs w:val="20"/>
        </w:rPr>
        <w:fldChar w:fldCharType="end"/>
      </w:r>
      <w:r w:rsidRPr="005D0F98">
        <w:rPr>
          <w:rFonts w:ascii="Arial" w:hAnsi="Arial" w:cs="Arial"/>
          <w:color w:val="252525"/>
          <w:sz w:val="20"/>
          <w:szCs w:val="20"/>
        </w:rPr>
        <w:t>, we took the epithelial expression of TG2, and they did immunohistochemistry on 172 samples out of 198. So for their study, our sample size was 172 instead of 198. As for survival outcome measures, six studies reported OS, three studies reported DFS, and two studies reported both OS and DFS. (Table 1)</w:t>
      </w:r>
    </w:p>
    <w:p w:rsidR="009407D0" w:rsidRPr="009407D0" w:rsidRDefault="009407D0" w:rsidP="009407D0">
      <w:pPr>
        <w:pStyle w:val="NormalWeb"/>
        <w:spacing w:line="480" w:lineRule="auto"/>
        <w:rPr>
          <w:rFonts w:ascii="Arial" w:hAnsi="Arial" w:cs="Arial"/>
          <w:b/>
          <w:bCs/>
          <w:color w:val="252525"/>
          <w:sz w:val="20"/>
          <w:szCs w:val="20"/>
        </w:rPr>
      </w:pPr>
      <w:r w:rsidRPr="009407D0">
        <w:rPr>
          <w:rFonts w:ascii="Arial" w:hAnsi="Arial" w:cs="Arial"/>
          <w:b/>
          <w:bCs/>
          <w:color w:val="252525"/>
          <w:sz w:val="20"/>
          <w:szCs w:val="20"/>
        </w:rPr>
        <w:t>Het</w:t>
      </w:r>
      <w:r w:rsidR="001655A6">
        <w:rPr>
          <w:rFonts w:ascii="Arial" w:hAnsi="Arial" w:cs="Arial"/>
          <w:b/>
          <w:bCs/>
          <w:color w:val="252525"/>
          <w:sz w:val="20"/>
          <w:szCs w:val="20"/>
        </w:rPr>
        <w:t>erogeneity and Publication Bias</w:t>
      </w:r>
    </w:p>
    <w:p w:rsidR="009407D0" w:rsidRPr="009407D0" w:rsidRDefault="009407D0" w:rsidP="00131911">
      <w:pPr>
        <w:pStyle w:val="NormalWeb"/>
        <w:spacing w:line="480" w:lineRule="auto"/>
        <w:jc w:val="both"/>
        <w:rPr>
          <w:rFonts w:ascii="Arial" w:hAnsi="Arial" w:cs="Arial"/>
          <w:color w:val="252525"/>
          <w:sz w:val="20"/>
          <w:szCs w:val="20"/>
        </w:rPr>
      </w:pPr>
      <w:r w:rsidRPr="009407D0">
        <w:rPr>
          <w:rFonts w:ascii="Arial" w:hAnsi="Arial" w:cs="Arial"/>
          <w:color w:val="252525"/>
          <w:sz w:val="20"/>
          <w:szCs w:val="20"/>
        </w:rPr>
        <w:t>While evaluating heterogeneity according to I2 and Cochran’s Q, for the analysis of OS, there was heterogeneity (I2=83.3%, Q=41.8, p&lt;0.001), and for DFS, no significant heterogeneity was found (I2=3.0%, Q=4.1, p=0.389). Contour-enhanced funnel plots were drawn, and Egger’s test was used to determine whether there was a publication bias in the meta-analysis. For DFS, as the funnel plot seemed almost symmetrical, and according to Egger’s test (p=0.437), there was no publication bias (Figure 2). For OS, the funnel plot was nearly symmetrical (Figure 3), but Egger’s test results (p=0.031) show a weak bias.</w:t>
      </w:r>
    </w:p>
    <w:p w:rsidR="00EC3BF2" w:rsidRPr="00041CA7" w:rsidRDefault="00EC3BF2" w:rsidP="00041CA7">
      <w:pPr>
        <w:rPr>
          <w:rFonts w:cs="Arial"/>
          <w:b/>
          <w:bCs/>
          <w:szCs w:val="20"/>
        </w:rPr>
      </w:pPr>
      <w:r w:rsidRPr="00EC3BF2">
        <w:rPr>
          <w:rFonts w:cs="Arial"/>
          <w:b/>
          <w:bCs/>
          <w:szCs w:val="20"/>
        </w:rPr>
        <w:t xml:space="preserve">                             </w:t>
      </w:r>
      <w:r w:rsidR="00E0734A">
        <w:rPr>
          <w:rFonts w:cs="Arial"/>
          <w:b/>
          <w:bCs/>
          <w:szCs w:val="20"/>
        </w:rPr>
        <w:t xml:space="preserve">      </w:t>
      </w:r>
      <w:r w:rsidR="009407D0" w:rsidRPr="009407D0">
        <w:rPr>
          <w:rFonts w:ascii="Times New Roman" w:hAnsi="Times New Roman"/>
          <w:sz w:val="24"/>
        </w:rPr>
        <w:br w:type="textWrapping" w:clear="all"/>
      </w:r>
      <w:r w:rsidRPr="00EC3BF2">
        <w:rPr>
          <w:rStyle w:val="Strong"/>
          <w:rFonts w:cs="Arial"/>
          <w:color w:val="252525"/>
          <w:szCs w:val="20"/>
        </w:rPr>
        <w:t>Relationship between TG2 expression and overall survival</w:t>
      </w:r>
    </w:p>
    <w:p w:rsidR="00EC3BF2" w:rsidRPr="00041CA7" w:rsidRDefault="00EC3BF2" w:rsidP="00041CA7">
      <w:pPr>
        <w:pStyle w:val="NormalWeb"/>
        <w:spacing w:line="480" w:lineRule="auto"/>
        <w:jc w:val="both"/>
        <w:rPr>
          <w:rFonts w:ascii="Arial" w:hAnsi="Arial" w:cs="Arial"/>
          <w:color w:val="252525"/>
          <w:sz w:val="20"/>
          <w:szCs w:val="20"/>
        </w:rPr>
      </w:pPr>
      <w:r w:rsidRPr="00EC3BF2">
        <w:rPr>
          <w:rFonts w:ascii="Arial" w:hAnsi="Arial" w:cs="Arial"/>
          <w:color w:val="252525"/>
          <w:sz w:val="20"/>
          <w:szCs w:val="20"/>
        </w:rPr>
        <w:lastRenderedPageBreak/>
        <w:t>Eight studies were included in the meta-analysis, and according to the results of the analysis, there was a significant relation between TG2 expression and overall survival (OS) (Figure 4). When the HR obtained as a result of the meta-analysis using the random effects model was examined, it was seen that having high expression of TG2 caused poor overall survival (HR: 1.66, 95% CI: 1.07-2.56, Z: 2.27, p&lt;0.023</w:t>
      </w:r>
      <w:r w:rsidR="00041CA7">
        <w:rPr>
          <w:rFonts w:ascii="Arial" w:hAnsi="Arial" w:cs="Arial"/>
          <w:color w:val="252525"/>
          <w:sz w:val="20"/>
          <w:szCs w:val="20"/>
        </w:rPr>
        <w:t>.</w:t>
      </w:r>
    </w:p>
    <w:p w:rsidR="00EC3BF2" w:rsidRPr="00EC3BF2" w:rsidRDefault="00EC3BF2" w:rsidP="00EC3BF2">
      <w:pPr>
        <w:pStyle w:val="NormalWeb"/>
        <w:spacing w:line="480" w:lineRule="auto"/>
        <w:rPr>
          <w:rFonts w:ascii="Arial" w:hAnsi="Arial" w:cs="Arial"/>
          <w:color w:val="252525"/>
          <w:sz w:val="20"/>
          <w:szCs w:val="20"/>
        </w:rPr>
      </w:pPr>
      <w:r w:rsidRPr="00EC3BF2">
        <w:rPr>
          <w:rStyle w:val="Strong"/>
          <w:rFonts w:ascii="Arial" w:hAnsi="Arial" w:cs="Arial"/>
          <w:color w:val="252525"/>
          <w:sz w:val="20"/>
          <w:szCs w:val="20"/>
        </w:rPr>
        <w:t>Relationship between TG2 expression and Disease-free survival:</w:t>
      </w:r>
    </w:p>
    <w:p w:rsidR="00EC3BF2" w:rsidRDefault="00EC3BF2" w:rsidP="00131911">
      <w:pPr>
        <w:pStyle w:val="NormalWeb"/>
        <w:spacing w:line="480" w:lineRule="auto"/>
        <w:jc w:val="both"/>
        <w:rPr>
          <w:rFonts w:ascii="Arial" w:hAnsi="Arial" w:cs="Arial"/>
          <w:color w:val="252525"/>
          <w:sz w:val="20"/>
          <w:szCs w:val="20"/>
        </w:rPr>
      </w:pPr>
      <w:r w:rsidRPr="00EC3BF2">
        <w:rPr>
          <w:rFonts w:ascii="Arial" w:hAnsi="Arial" w:cs="Arial"/>
          <w:color w:val="252525"/>
          <w:sz w:val="20"/>
          <w:szCs w:val="20"/>
        </w:rPr>
        <w:t>While evaluating the association for disease-free survival (DFS), five studies were included in the meta-analysis. According to the results of the analysis, there was also a relation between TG2 expression and DFS (Figure 5). When the HR obtained the result of the meta-analysis by using the random-effects model, it was seen that having high expression of TG2 caused poor DFS (HR: 1.68, 95%CI: 1.34–2.11, p&lt;0.001).</w:t>
      </w:r>
    </w:p>
    <w:p w:rsidR="00EC3BF2" w:rsidRPr="00041CA7" w:rsidRDefault="00EC3BF2" w:rsidP="00EC3BF2">
      <w:pPr>
        <w:pStyle w:val="NormalWeb"/>
        <w:spacing w:line="480" w:lineRule="auto"/>
        <w:rPr>
          <w:rFonts w:ascii="Arial" w:hAnsi="Arial" w:cs="Arial"/>
          <w:color w:val="252525"/>
          <w:sz w:val="20"/>
          <w:szCs w:val="20"/>
        </w:rPr>
      </w:pPr>
      <w:r>
        <w:rPr>
          <w:rFonts w:ascii="Arial" w:hAnsi="Arial" w:cs="Arial"/>
          <w:color w:val="252525"/>
          <w:sz w:val="20"/>
          <w:szCs w:val="20"/>
        </w:rPr>
        <w:t xml:space="preserve">            </w:t>
      </w:r>
    </w:p>
    <w:p w:rsidR="007F1078" w:rsidRDefault="00A00D4C">
      <w:pPr>
        <w:pStyle w:val="Heading1"/>
      </w:pPr>
      <w:r>
        <w:t>Discussion</w:t>
      </w:r>
    </w:p>
    <w:p w:rsidR="00533608" w:rsidRDefault="00D40F08" w:rsidP="00131911">
      <w:pPr>
        <w:pStyle w:val="NormalWeb"/>
        <w:spacing w:line="480" w:lineRule="auto"/>
        <w:jc w:val="both"/>
        <w:rPr>
          <w:rFonts w:ascii="Arial" w:hAnsi="Arial" w:cs="Arial"/>
          <w:sz w:val="20"/>
          <w:szCs w:val="20"/>
        </w:rPr>
      </w:pPr>
      <w:r w:rsidRPr="00D40F08">
        <w:rPr>
          <w:rFonts w:ascii="Arial" w:hAnsi="Arial" w:cs="Arial"/>
          <w:color w:val="252525"/>
          <w:sz w:val="20"/>
          <w:szCs w:val="20"/>
        </w:rPr>
        <w:t>TG2 is a member of the transglutaminase (TG) family and an 80-kDa multifunctional protein that consists of four domains encoded by a single gene, TGM2, located on chromosome 20q11–12 in humans. TG2 is also known as tissue transglutaminase and is present in both extracellular (cell surface and extracellular matrix) and intracellular compartments (mostly in the cytosol</w:t>
      </w:r>
      <w:r w:rsidR="008663A4">
        <w:rPr>
          <w:rFonts w:ascii="Arial" w:hAnsi="Arial" w:cs="Arial"/>
          <w:color w:val="252525"/>
          <w:sz w:val="20"/>
          <w:szCs w:val="20"/>
        </w:rPr>
        <w:t>)</w:t>
      </w:r>
      <w:r w:rsidRPr="00D40F08">
        <w:rPr>
          <w:rFonts w:ascii="Arial" w:hAnsi="Arial" w:cs="Arial"/>
          <w:color w:val="252525"/>
          <w:sz w:val="20"/>
          <w:szCs w:val="20"/>
        </w:rPr>
        <w:t>, but also in the plasma memb</w:t>
      </w:r>
      <w:r w:rsidR="008663A4">
        <w:rPr>
          <w:rFonts w:ascii="Arial" w:hAnsi="Arial" w:cs="Arial"/>
          <w:color w:val="252525"/>
          <w:sz w:val="20"/>
          <w:szCs w:val="20"/>
        </w:rPr>
        <w:t>rane, nucleus, and mitochondria</w:t>
      </w:r>
      <w:r w:rsidRPr="00D40F08">
        <w:rPr>
          <w:rFonts w:ascii="Arial" w:hAnsi="Arial" w:cs="Arial"/>
          <w:color w:val="252525"/>
          <w:sz w:val="20"/>
          <w:szCs w:val="20"/>
        </w:rPr>
        <w:t xml:space="preserve"> </w:t>
      </w:r>
      <w:r w:rsidR="008663A4">
        <w:rPr>
          <w:rFonts w:ascii="Arial" w:hAnsi="Arial" w:cs="Arial"/>
          <w:color w:val="252525"/>
          <w:sz w:val="20"/>
          <w:szCs w:val="20"/>
        </w:rPr>
        <w:fldChar w:fldCharType="begin" w:fldLock="1"/>
      </w:r>
      <w:r w:rsidR="00F5221A">
        <w:rPr>
          <w:rFonts w:ascii="Arial" w:hAnsi="Arial" w:cs="Arial"/>
          <w:color w:val="252525"/>
          <w:sz w:val="20"/>
          <w:szCs w:val="20"/>
        </w:rPr>
        <w:instrText>ADDIN CSL_CITATION {"citationItems":[{"id":"ITEM-1","itemData":{"DOI":"10.1016/B978-0-12-394305-7.00001-X","ISBN":"9780123943057","ISSN":"19376448","PMID":"22364871","abstract":"Transglutaminase 2 (TG2 or tissue transglutaminase) is a highly complex multifunctional protein that acts as transglutaminase, GTPase/ATPase, protein disulfide isomerase, and protein kinase. Moreover, TG2 has many well-documented nonenzymatic functions that are based on its noncovalent interactions with multiple cellular proteins. A vast array of biochemical activities of TG2 accounts for its involvement in a variety of cellular processes, including adhesion, migration, growth, survival, apoptosis, differentiation, and extracellular matrix organization. In turn, the impact of TG2 on these processes implicates this protein in various physiological responses and pathological states, contributing to wound healing, inflammation, autoimmunity, neurodegeneration, vascular remodeling, tumor growth and metastasis, and tissue fibrosis. TG2 is ubiquitously expressed and is particularly abundant in endothelial cells, fibroblasts, osteoblasts, monocytes/macrophages, and smooth muscle cells. The protein is localized in multiple cellular compartments, including the nucleus, cytosol, mitochondria, endolysosomes, plasma membrane, and cell surface and extracellular matrix, where Ca 2+ , nucleotides, nitric oxide, reactive oxygen species, membrane lipids, and distinct protein-protein interactions in the local microenvironment jointly regulate its activities. In this review, we discuss the complex biochemical activities and molecular interactions of TG2 in the context of diverse subcellular compartments and evaluate its wide ranging and cell type-specific biological functions and their regulation. © 2012 Elsevier Inc.","author":[{"dropping-particle":"V.","family":"Nurminskaya","given":"Maria","non-dropping-particle":"","parse-names":false,"suffix":""},{"dropping-particle":"","family":"Belkin","given":"Alexey M.","non-dropping-particle":"","parse-names":false,"suffix":""}],"container-title":"International Review of Cell and Molecular Biology","id":"ITEM-1","issued":{"date-parts":[["2012"]]},"number-of-pages":"1-97","title":"Cellular Functions of Tissue Transglutaminase","type":"book","volume":"294"},"uris":["http://www.mendeley.com/documents/?uuid=092d9b20-6b03-4184-8c7b-f1e4582d50bf"]}],"mendeley":{"formattedCitation":"(Nurminskaya &amp; Belkin, 2012)","plainTextFormattedCitation":"(Nurminskaya &amp; Belkin, 2012)","previouslyFormattedCitation":"&lt;sup&gt;17&lt;/sup&gt;"},"properties":{"noteIndex":0},"schema":"https://github.com/citation-style-language/schema/raw/master/csl-citation.json"}</w:instrText>
      </w:r>
      <w:r w:rsidR="008663A4">
        <w:rPr>
          <w:rFonts w:ascii="Arial" w:hAnsi="Arial" w:cs="Arial"/>
          <w:color w:val="252525"/>
          <w:sz w:val="20"/>
          <w:szCs w:val="20"/>
        </w:rPr>
        <w:fldChar w:fldCharType="separate"/>
      </w:r>
      <w:r w:rsidR="00F5221A" w:rsidRPr="00F5221A">
        <w:rPr>
          <w:rFonts w:ascii="Arial" w:hAnsi="Arial" w:cs="Arial"/>
          <w:noProof/>
          <w:color w:val="252525"/>
          <w:sz w:val="20"/>
          <w:szCs w:val="20"/>
        </w:rPr>
        <w:t>(Nurminskaya &amp; Belkin, 2012)</w:t>
      </w:r>
      <w:r w:rsidR="008663A4">
        <w:rPr>
          <w:rFonts w:ascii="Arial" w:hAnsi="Arial" w:cs="Arial"/>
          <w:color w:val="252525"/>
          <w:sz w:val="20"/>
          <w:szCs w:val="20"/>
        </w:rPr>
        <w:fldChar w:fldCharType="end"/>
      </w:r>
      <w:r w:rsidR="008663A4">
        <w:rPr>
          <w:rFonts w:ascii="Arial" w:hAnsi="Arial" w:cs="Arial"/>
          <w:color w:val="252525"/>
          <w:sz w:val="20"/>
          <w:szCs w:val="20"/>
        </w:rPr>
        <w:t xml:space="preserve">. </w:t>
      </w:r>
      <w:r w:rsidRPr="00D40F08">
        <w:rPr>
          <w:rFonts w:ascii="Arial" w:hAnsi="Arial" w:cs="Arial"/>
          <w:color w:val="252525"/>
          <w:sz w:val="20"/>
          <w:szCs w:val="20"/>
        </w:rPr>
        <w:t xml:space="preserve">TG2 protein has many functions, such as cross-linking, GTP hydrolysis activities, protein disulfide </w:t>
      </w:r>
      <w:proofErr w:type="spellStart"/>
      <w:r w:rsidRPr="00D40F08">
        <w:rPr>
          <w:rFonts w:ascii="Arial" w:hAnsi="Arial" w:cs="Arial"/>
          <w:color w:val="252525"/>
          <w:sz w:val="20"/>
          <w:szCs w:val="20"/>
        </w:rPr>
        <w:t>isomerase</w:t>
      </w:r>
      <w:proofErr w:type="spellEnd"/>
      <w:r w:rsidRPr="00D40F08">
        <w:rPr>
          <w:rFonts w:ascii="Arial" w:hAnsi="Arial" w:cs="Arial"/>
          <w:color w:val="252525"/>
          <w:sz w:val="20"/>
          <w:szCs w:val="20"/>
        </w:rPr>
        <w:t>, protein kinase, and as a scaffolding factor. Among them, Ca</w:t>
      </w:r>
      <w:r w:rsidRPr="00D40F08">
        <w:rPr>
          <w:rFonts w:ascii="Arial" w:hAnsi="Arial" w:cs="Arial"/>
          <w:color w:val="252525"/>
          <w:sz w:val="20"/>
          <w:szCs w:val="20"/>
          <w:vertAlign w:val="superscript"/>
        </w:rPr>
        <w:t>2+</w:t>
      </w:r>
      <w:r w:rsidRPr="00D40F08">
        <w:rPr>
          <w:rFonts w:ascii="Arial" w:hAnsi="Arial" w:cs="Arial"/>
          <w:color w:val="252525"/>
          <w:sz w:val="20"/>
          <w:szCs w:val="20"/>
        </w:rPr>
        <w:t xml:space="preserve">-dependent post-translational modification of target proteins is the primary function of TG2. TG2 acts as </w:t>
      </w:r>
      <w:proofErr w:type="spellStart"/>
      <w:r w:rsidRPr="00D40F08">
        <w:rPr>
          <w:rFonts w:ascii="Arial" w:hAnsi="Arial" w:cs="Arial"/>
          <w:color w:val="252525"/>
          <w:sz w:val="20"/>
          <w:szCs w:val="20"/>
        </w:rPr>
        <w:t>GTPase</w:t>
      </w:r>
      <w:proofErr w:type="spellEnd"/>
      <w:r w:rsidRPr="00D40F08">
        <w:rPr>
          <w:rFonts w:ascii="Arial" w:hAnsi="Arial" w:cs="Arial"/>
          <w:color w:val="252525"/>
          <w:sz w:val="20"/>
          <w:szCs w:val="20"/>
        </w:rPr>
        <w:t xml:space="preserve"> when Ca2+ concentration is low. As a </w:t>
      </w:r>
      <w:proofErr w:type="spellStart"/>
      <w:r w:rsidRPr="00D40F08">
        <w:rPr>
          <w:rFonts w:ascii="Arial" w:hAnsi="Arial" w:cs="Arial"/>
          <w:color w:val="252525"/>
          <w:sz w:val="20"/>
          <w:szCs w:val="20"/>
        </w:rPr>
        <w:t>GTPase</w:t>
      </w:r>
      <w:proofErr w:type="spellEnd"/>
      <w:r w:rsidRPr="00D40F08">
        <w:rPr>
          <w:rFonts w:ascii="Arial" w:hAnsi="Arial" w:cs="Arial"/>
          <w:color w:val="252525"/>
          <w:sz w:val="20"/>
          <w:szCs w:val="20"/>
        </w:rPr>
        <w:t xml:space="preserve">, TG2 is involved in α1- adrenergic receptor-mediated </w:t>
      </w:r>
      <w:proofErr w:type="spellStart"/>
      <w:r w:rsidRPr="00D40F08">
        <w:rPr>
          <w:rFonts w:ascii="Arial" w:hAnsi="Arial" w:cs="Arial"/>
          <w:color w:val="252525"/>
          <w:sz w:val="20"/>
          <w:szCs w:val="20"/>
        </w:rPr>
        <w:t>transmembrane</w:t>
      </w:r>
      <w:proofErr w:type="spellEnd"/>
      <w:r w:rsidRPr="00D40F08">
        <w:rPr>
          <w:rFonts w:ascii="Arial" w:hAnsi="Arial" w:cs="Arial"/>
          <w:color w:val="252525"/>
          <w:sz w:val="20"/>
          <w:szCs w:val="20"/>
        </w:rPr>
        <w:t xml:space="preserve"> signaling </w:t>
      </w:r>
      <w:r w:rsidR="008663A4">
        <w:rPr>
          <w:rFonts w:ascii="Arial" w:hAnsi="Arial" w:cs="Arial"/>
          <w:color w:val="252525"/>
          <w:sz w:val="20"/>
          <w:szCs w:val="20"/>
        </w:rPr>
        <w:fldChar w:fldCharType="begin" w:fldLock="1"/>
      </w:r>
      <w:r w:rsidR="00F5221A">
        <w:rPr>
          <w:rFonts w:ascii="Arial" w:hAnsi="Arial" w:cs="Arial"/>
          <w:color w:val="252525"/>
          <w:sz w:val="20"/>
          <w:szCs w:val="20"/>
        </w:rPr>
        <w:instrText>ADDIN CSL_CITATION {"citationItems":[{"id":"ITEM-1","itemData":{"ISSN":"1573-675X","author":[{"dropping-particle":"","family":"Lee","given":"Chang Sup","non-dropping-particle":"","parse-names":false,"suffix":""},{"dropping-particle":"","family":"Park","given":"Hyun Ho","non-dropping-particle":"","parse-names":false,"suffix":""}],"container-title":"Apoptosis","id":"ITEM-1","issue":"9","issued":{"date-parts":[["2017"]]},"page":"1057-1068","publisher":"Springer","title":"Structural aspects of transglutaminase 2: functional, structural, and regulatory diversity","type":"article-journal","volume":"22"},"uris":["http://www.mendeley.com/documents/?uuid=1f0a1443-9f06-456e-92f3-7dd394a2000b"]}],"mendeley":{"formattedCitation":"(Lee &amp; Park, 2017)","plainTextFormattedCitation":"(Lee &amp; Park, 2017)","previouslyFormattedCitation":"&lt;sup&gt;18&lt;/sup&gt;"},"properties":{"noteIndex":0},"schema":"https://github.com/citation-style-language/schema/raw/master/csl-citation.json"}</w:instrText>
      </w:r>
      <w:r w:rsidR="008663A4">
        <w:rPr>
          <w:rFonts w:ascii="Arial" w:hAnsi="Arial" w:cs="Arial"/>
          <w:color w:val="252525"/>
          <w:sz w:val="20"/>
          <w:szCs w:val="20"/>
        </w:rPr>
        <w:fldChar w:fldCharType="separate"/>
      </w:r>
      <w:r w:rsidR="00F5221A" w:rsidRPr="00F5221A">
        <w:rPr>
          <w:rFonts w:ascii="Arial" w:hAnsi="Arial" w:cs="Arial"/>
          <w:noProof/>
          <w:color w:val="252525"/>
          <w:sz w:val="20"/>
          <w:szCs w:val="20"/>
        </w:rPr>
        <w:t>(Lee &amp; Park, 2017)</w:t>
      </w:r>
      <w:r w:rsidR="008663A4">
        <w:rPr>
          <w:rFonts w:ascii="Arial" w:hAnsi="Arial" w:cs="Arial"/>
          <w:color w:val="252525"/>
          <w:sz w:val="20"/>
          <w:szCs w:val="20"/>
        </w:rPr>
        <w:fldChar w:fldCharType="end"/>
      </w:r>
      <w:r w:rsidR="008663A4">
        <w:rPr>
          <w:rFonts w:ascii="Arial" w:hAnsi="Arial" w:cs="Arial"/>
          <w:color w:val="252525"/>
          <w:sz w:val="20"/>
          <w:szCs w:val="20"/>
        </w:rPr>
        <w:t xml:space="preserve">. </w:t>
      </w:r>
      <w:r w:rsidRPr="00D40F08">
        <w:rPr>
          <w:rFonts w:ascii="Arial" w:hAnsi="Arial" w:cs="Arial"/>
          <w:sz w:val="20"/>
          <w:szCs w:val="20"/>
        </w:rPr>
        <w:t xml:space="preserve">TG2 is widely expressed in various organs, including the liver, heart, and intestine, as well as blood cells such as erythrocytes </w:t>
      </w:r>
      <w:r w:rsidR="008663A4">
        <w:rPr>
          <w:rFonts w:ascii="Arial" w:hAnsi="Arial" w:cs="Arial"/>
          <w:sz w:val="20"/>
          <w:szCs w:val="20"/>
        </w:rPr>
        <w:fldChar w:fldCharType="begin" w:fldLock="1"/>
      </w:r>
      <w:r w:rsidR="00F5221A">
        <w:rPr>
          <w:rFonts w:ascii="Arial" w:hAnsi="Arial" w:cs="Arial"/>
          <w:sz w:val="20"/>
          <w:szCs w:val="20"/>
        </w:rPr>
        <w:instrText>ADDIN CSL_CITATION {"citationItems":[{"id":"ITEM-1","itemData":{"DOI":"10.1016/s0968-0004(02)02182-5","ISSN":"0968-0004 (Print)","PMID":"12368090","abstract":"Transglutaminase 2 (TG2) is an inducible transamidating acyltransferase that  catalyzes Ca(2+)-dependent protein modifications. It acts as a G protein in transmembrane signalling and as a cell surface adhesion mediator, this distinguishes it from other members of the transglutaminase family. The sequence motifs and domains revealed in the recent TG2 structure, can each be assigned distinct cellular functions, including the regulation of cytoskeleton, cell adhesion and cell death. Ablation of TG2 in mice results in impaired wound healing, autoimmunity and diabetes, reflecting the number and variety of TG2 functions. An important role for the enzyme in the pathogenesis of coeliac disease, fibrosis and neurodegenerative disorders has also been demonstrated, making TG2 an important therapeutic target.","author":[{"dropping-particle":"","family":"Fesus","given":"Laszlo","non-dropping-particle":"","parse-names":false,"suffix":""},{"dropping-particle":"","family":"Piacentini","given":"Mauro","non-dropping-particle":"","parse-names":false,"suffix":""}],"container-title":"Trends in biochemical sciences","id":"ITEM-1","issue":"10","issued":{"date-parts":[["2002","10"]]},"language":"eng","page":"534-539","publisher-place":"England","title":"Transglutaminase 2: an enigmatic enzyme with diverse functions.","type":"article-journal","volume":"27"},"uris":["http://www.mendeley.com/documents/?uuid=1e305c93-5e20-4132-9af7-0292bda01376"]}],"mendeley":{"formattedCitation":"(Fesus &amp; Piacentini, 2002)","plainTextFormattedCitation":"(Fesus &amp; Piacentini, 2002)","previouslyFormattedCitation":"&lt;sup&gt;19&lt;/sup&gt;"},"properties":{"noteIndex":0},"schema":"https://github.com/citation-style-language/schema/raw/master/csl-citation.json"}</w:instrText>
      </w:r>
      <w:r w:rsidR="008663A4">
        <w:rPr>
          <w:rFonts w:ascii="Arial" w:hAnsi="Arial" w:cs="Arial"/>
          <w:sz w:val="20"/>
          <w:szCs w:val="20"/>
        </w:rPr>
        <w:fldChar w:fldCharType="separate"/>
      </w:r>
      <w:r w:rsidR="00F5221A" w:rsidRPr="00F5221A">
        <w:rPr>
          <w:rFonts w:ascii="Arial" w:hAnsi="Arial" w:cs="Arial"/>
          <w:noProof/>
          <w:sz w:val="20"/>
          <w:szCs w:val="20"/>
        </w:rPr>
        <w:t>(Fesus &amp; Piacentini, 2002)</w:t>
      </w:r>
      <w:r w:rsidR="008663A4">
        <w:rPr>
          <w:rFonts w:ascii="Arial" w:hAnsi="Arial" w:cs="Arial"/>
          <w:sz w:val="20"/>
          <w:szCs w:val="20"/>
        </w:rPr>
        <w:fldChar w:fldCharType="end"/>
      </w:r>
      <w:r w:rsidR="008663A4">
        <w:rPr>
          <w:rFonts w:ascii="Arial" w:hAnsi="Arial" w:cs="Arial"/>
          <w:sz w:val="20"/>
          <w:szCs w:val="20"/>
        </w:rPr>
        <w:t xml:space="preserve">. </w:t>
      </w:r>
      <w:r w:rsidRPr="00D40F08">
        <w:rPr>
          <w:rFonts w:ascii="Arial" w:hAnsi="Arial" w:cs="Arial"/>
          <w:sz w:val="20"/>
          <w:szCs w:val="20"/>
        </w:rPr>
        <w:t xml:space="preserve">TG2 has been linked to many human diseases, including celiac disease, </w:t>
      </w:r>
      <w:r w:rsidRPr="00D40F08">
        <w:rPr>
          <w:rFonts w:ascii="Arial" w:hAnsi="Arial" w:cs="Arial"/>
          <w:sz w:val="20"/>
          <w:szCs w:val="20"/>
        </w:rPr>
        <w:lastRenderedPageBreak/>
        <w:t>cancer, fibrosis, cardiovascular disease, and neurological disorders</w:t>
      </w:r>
      <w:r w:rsidR="008663A4">
        <w:rPr>
          <w:rFonts w:ascii="Arial" w:hAnsi="Arial" w:cs="Arial"/>
          <w:sz w:val="20"/>
          <w:szCs w:val="20"/>
        </w:rPr>
        <w:t xml:space="preserve"> </w:t>
      </w:r>
      <w:r w:rsidR="008663A4">
        <w:rPr>
          <w:rFonts w:ascii="Arial" w:hAnsi="Arial" w:cs="Arial"/>
          <w:sz w:val="20"/>
          <w:szCs w:val="20"/>
        </w:rPr>
        <w:fldChar w:fldCharType="begin" w:fldLock="1"/>
      </w:r>
      <w:r w:rsidR="00F5221A">
        <w:rPr>
          <w:rFonts w:ascii="Arial" w:hAnsi="Arial" w:cs="Arial"/>
          <w:sz w:val="20"/>
          <w:szCs w:val="20"/>
        </w:rPr>
        <w:instrText>ADDIN CSL_CITATION {"citationItems":[{"id":"ITEM-1","itemData":{"author":[{"dropping-particle":"","family":"Szondy","given":"Zsuzsa","non-dropping-particle":"","parse-names":false,"suffix":""},{"dropping-particle":"","family":"Korponay-Szabó","given":"Ilma","non-dropping-particle":"","parse-names":false,"suffix":""},{"dropping-particle":"","family":"Király","given":"Robert","non-dropping-particle":"","parse-names":false,"suffix":""},{"dropping-particle":"","family":"Sarang","given":"Zsolt","non-dropping-particle":"","parse-names":false,"suffix":""},{"dropping-particle":"","family":"Tsay","given":"Gregory J","non-dropping-particle":"","parse-names":false,"suffix":""}],"container-title":"BioMedicine","id":"ITEM-1","issue":"3","issued":{"date-parts":[["2017"]]},"publisher":"China Medical University","title":"Transglutaminase 2 in human diseases","type":"article-journal","volume":"7"},"uris":["http://www.mendeley.com/documents/?uuid=0addfd13-e0d2-466c-aa1e-7de1fb73225b"]}],"mendeley":{"formattedCitation":"(Szondy et al., 2017)","plainTextFormattedCitation":"(Szondy et al., 2017)","previouslyFormattedCitation":"&lt;sup&gt;20&lt;/sup&gt;"},"properties":{"noteIndex":0},"schema":"https://github.com/citation-style-language/schema/raw/master/csl-citation.json"}</w:instrText>
      </w:r>
      <w:r w:rsidR="008663A4">
        <w:rPr>
          <w:rFonts w:ascii="Arial" w:hAnsi="Arial" w:cs="Arial"/>
          <w:sz w:val="20"/>
          <w:szCs w:val="20"/>
        </w:rPr>
        <w:fldChar w:fldCharType="separate"/>
      </w:r>
      <w:r w:rsidR="00F5221A" w:rsidRPr="00F5221A">
        <w:rPr>
          <w:rFonts w:ascii="Arial" w:hAnsi="Arial" w:cs="Arial"/>
          <w:noProof/>
          <w:sz w:val="20"/>
          <w:szCs w:val="20"/>
        </w:rPr>
        <w:t>(Szondy et al., 2017)</w:t>
      </w:r>
      <w:r w:rsidR="008663A4">
        <w:rPr>
          <w:rFonts w:ascii="Arial" w:hAnsi="Arial" w:cs="Arial"/>
          <w:sz w:val="20"/>
          <w:szCs w:val="20"/>
        </w:rPr>
        <w:fldChar w:fldCharType="end"/>
      </w:r>
      <w:r w:rsidR="008663A4">
        <w:rPr>
          <w:rFonts w:ascii="Arial" w:hAnsi="Arial" w:cs="Arial"/>
          <w:sz w:val="20"/>
          <w:szCs w:val="20"/>
        </w:rPr>
        <w:t xml:space="preserve">. </w:t>
      </w:r>
      <w:r w:rsidRPr="00D40F08">
        <w:rPr>
          <w:rFonts w:ascii="Arial" w:hAnsi="Arial" w:cs="Arial"/>
          <w:sz w:val="20"/>
          <w:szCs w:val="20"/>
        </w:rPr>
        <w:t xml:space="preserve">TG2 expression has been shown to be increased in breast cancer </w:t>
      </w:r>
      <w:r w:rsidR="008663A4">
        <w:rPr>
          <w:rFonts w:ascii="Arial" w:hAnsi="Arial" w:cs="Arial"/>
          <w:sz w:val="20"/>
          <w:szCs w:val="20"/>
        </w:rPr>
        <w:fldChar w:fldCharType="begin" w:fldLock="1"/>
      </w:r>
      <w:r w:rsidR="00F5221A">
        <w:rPr>
          <w:rFonts w:ascii="Arial" w:hAnsi="Arial" w:cs="Arial"/>
          <w:sz w:val="20"/>
          <w:szCs w:val="20"/>
        </w:rPr>
        <w:instrText>ADDIN CSL_CITATION {"citationItems":[{"id":"ITEM-1","itemData":{"DOI":"10.1371/journal.pone.0074437","ISSN":"19326203","PMID":"24058567","abstract":"Introduction:Molecular markers for predicting breast cancer patients at high risk of recurrence are urgently needed for more effective disease management. The impact of alterations in extracellular matrix components on tumor aggressiveness is under intense investigation. Overexpression of Transglutaminase 2 (TG2), a multifunctional enzyme, in cancer cells impacts epithelial mesenchymal transition, growth, invasion and interactions with tumor microenvironment. The objective of our study is to determine the clinical relevance of stromal TG2 overexpression and explore its potential to identify breast cancers at high risk of recurrence.Methods:This retrospective study is based on immunohistochemical analysis of TG2 expression in normal breast tissues (n = 40) and breast cancers (n = 253) with clinical, pathological and follow-up data available for up to 12 years. TG2 expression was correlated with clinical and pathological parameters as well as disease free survival (DFS) of breast cancer patients.Results:Stromal TG2 overexpression was observed in 114/253 (45.0%) breast cancer tissues as compared to breast normal tissues. Among invasive ductal carcinomas (IDC) of the breast, 97/168 (57.7%) showed strong TG2 expression in tumor stroma. Importantly, IDC patients showing stromal TG2 accumulation had significantly reduced DFS (mean DFS = 110 months) in comparison with patients showing low expression (mean DFS = 130 months) in Kaplan-Meier survival analysis (p&lt;0.001). In Cox multivariate regression analysis, stromal TG2 accumulation was an independent risk factor for recurrence (p = 0.006, Hazard's ratio, H.R. = 3.79). Notably, these breast cancer patients also showed immunostaining of N-epsilon gamma-glutamyl lysine amino residues in tumor stroma demonstrating the transamidating activity of TG2.Conclusions:Accumulation of TG2 in tumor stroma is an independent risk factor for identifying breast cancer patients at high risk of recurrence. TG2 overexpression in tumor stroma may serve as a predictor of poor prognosis for IDC of the breast. © 2013 Assi et al.","author":[{"dropping-particle":"","family":"Assi","given":"Jasmeet","non-dropping-particle":"","parse-names":false,"suffix":""},{"dropping-particle":"","family":"Srivastava","given":"Gunjan","non-dropping-particle":"","parse-names":false,"suffix":""},{"dropping-particle":"","family":"Matta","given":"Ajay","non-dropping-particle":"","parse-names":false,"suffix":""},{"dropping-particle":"","family":"Chang","given":"Martin C.","non-dropping-particle":"","parse-names":false,"suffix":""},{"dropping-particle":"","family":"Walfish","given":"Paul G.","non-dropping-particle":"","parse-names":false,"suffix":""},{"dropping-particle":"","family":"Ralhan","given":"Ranju","non-dropping-particle":"","parse-names":false,"suffix":""}],"container-title":"PLoS ONE","id":"ITEM-1","issue":"9","issued":{"date-parts":[["2013","9","13"]]},"title":"Transglutaminase 2 Overexpression in Tumor Stroma Identifies Invasive Ductal Carcinomas of Breast at High Risk of Recurrence","type":"article-journal","volume":"8"},"uris":["http://www.mendeley.com/documents/?uuid=6d109667-3620-3399-b4ef-28956453784d"]}],"mendeley":{"formattedCitation":"(Assi et al., 2013)","plainTextFormattedCitation":"(Assi et al., 2013)","previouslyFormattedCitation":"&lt;sup&gt;10&lt;/sup&gt;"},"properties":{"noteIndex":0},"schema":"https://github.com/citation-style-language/schema/raw/master/csl-citation.json"}</w:instrText>
      </w:r>
      <w:r w:rsidR="008663A4">
        <w:rPr>
          <w:rFonts w:ascii="Arial" w:hAnsi="Arial" w:cs="Arial"/>
          <w:sz w:val="20"/>
          <w:szCs w:val="20"/>
        </w:rPr>
        <w:fldChar w:fldCharType="separate"/>
      </w:r>
      <w:r w:rsidR="00F5221A" w:rsidRPr="00F5221A">
        <w:rPr>
          <w:rFonts w:ascii="Arial" w:hAnsi="Arial" w:cs="Arial"/>
          <w:noProof/>
          <w:sz w:val="20"/>
          <w:szCs w:val="20"/>
        </w:rPr>
        <w:t>(Assi et al., 2013)</w:t>
      </w:r>
      <w:r w:rsidR="008663A4">
        <w:rPr>
          <w:rFonts w:ascii="Arial" w:hAnsi="Arial" w:cs="Arial"/>
          <w:sz w:val="20"/>
          <w:szCs w:val="20"/>
        </w:rPr>
        <w:fldChar w:fldCharType="end"/>
      </w:r>
      <w:r w:rsidRPr="00D40F08">
        <w:rPr>
          <w:rFonts w:ascii="Arial" w:hAnsi="Arial" w:cs="Arial"/>
          <w:sz w:val="20"/>
          <w:szCs w:val="20"/>
        </w:rPr>
        <w:t>, pancreatic cancer</w:t>
      </w:r>
      <w:r w:rsidR="008663A4">
        <w:rPr>
          <w:rFonts w:ascii="Arial" w:hAnsi="Arial" w:cs="Arial"/>
          <w:sz w:val="20"/>
          <w:szCs w:val="20"/>
        </w:rPr>
        <w:t xml:space="preserve"> </w:t>
      </w:r>
      <w:r w:rsidR="008663A4">
        <w:rPr>
          <w:rFonts w:ascii="Arial" w:hAnsi="Arial" w:cs="Arial"/>
          <w:sz w:val="20"/>
          <w:szCs w:val="20"/>
        </w:rPr>
        <w:fldChar w:fldCharType="begin" w:fldLock="1"/>
      </w:r>
      <w:r w:rsidR="00F5221A">
        <w:rPr>
          <w:rFonts w:ascii="Arial" w:hAnsi="Arial" w:cs="Arial"/>
          <w:sz w:val="20"/>
          <w:szCs w:val="20"/>
        </w:rPr>
        <w:instrText>ADDIN CSL_CITATION {"citationItems":[{"id":"ITEM-1","itemData":{"DOI":"10.1158/1078-0432.CCR-07-4529","ISSN":"1078-0432 (Print)","PMID":"18413840","abstract":"PURPOSE: Tissue transglutaminase (TG2) is a multifunctional protein that is  implicated in development of drug resistance and metastasis. Therefore, we examined therapeutic targeting of TG2 for inhibiting growth and metastasis of in vivo growing pancreatic ductal adenocarcinoma (PDAC) in nude mice. EXPERIMENTAL DESIGN: We implanted Panc-28 pancreatic cancer cells to induce orthotopic PDAC tumors in nude mice and determined the efficacy of liposomal TG2 small interfering RNA (siRNA) either alone or in combination with gemcitabine. RESULTS: We show that down-regulation of endogenous TG2 by siRNA could effectively block the growth of PDAC. Moreover, down-regulation of TG2 significantly enhanced the therapeutic efficacy of gemcitabine against PDAC and inhibited metastatic spread of the disease. The antitumor activity was related to inhibition of proliferation, angiogenesis, and Akt phosphorylation. CONCLUSION: siRNA-mediated down-regulation of TG2 represents a promising therapeutic approach for improved treatment of PDAC.","author":[{"dropping-particle":"","family":"Verma","given":"Amit","non-dropping-particle":"","parse-names":false,"suffix":""},{"dropping-particle":"","family":"Guha","given":"Sushovan","non-dropping-particle":"","parse-names":false,"suffix":""},{"dropping-particle":"","family":"Diagaradjane","given":"Parmeswaran","non-dropping-particle":"","parse-names":false,"suffix":""},{"dropping-particle":"","family":"Kunnumakkara","given":"Ajaikumar B","non-dropping-particle":"","parse-names":false,"suffix":""},{"dropping-particle":"","family":"Sanguino","given":"Angela M","non-dropping-particle":"","parse-names":false,"suffix":""},{"dropping-particle":"","family":"Lopez-Berestein","given":"Gabriel","non-dropping-particle":"","parse-names":false,"suffix":""},{"dropping-particle":"","family":"Sood","given":"Anil K","non-dropping-particle":"","parse-names":false,"suffix":""},{"dropping-particle":"","family":"Aggarwal","given":"Bharat B","non-dropping-particle":"","parse-names":false,"suffix":""},{"dropping-particle":"","family":"Krishnan","given":"Sunil","non-dropping-particle":"","parse-names":false,"suffix":""},{"dropping-particle":"","family":"Gelovani","given":"Juri G","non-dropping-particle":"","parse-names":false,"suffix":""},{"dropping-particle":"","family":"Mehta","given":"Kapil","non-dropping-particle":"","parse-names":false,"suffix":""}],"container-title":"Clinical cancer research : an official journal of the American Association for  Cancer Research","id":"ITEM-1","issue":"8","issued":{"date-parts":[["2008","4"]]},"language":"eng","page":"2476-2483","publisher-place":"United States","title":"Therapeutic significance of elevated tissue transglutaminase expression in  pancreatic cancer.","type":"article-journal","volume":"14"},"uris":["http://www.mendeley.com/documents/?uuid=715869d5-3fb7-4fc4-afe2-8953ac6cb134"]}],"mendeley":{"formattedCitation":"(Verma et al., 2008)","plainTextFormattedCitation":"(Verma et al., 2008)","previouslyFormattedCitation":"&lt;sup&gt;21&lt;/sup&gt;"},"properties":{"noteIndex":0},"schema":"https://github.com/citation-style-language/schema/raw/master/csl-citation.json"}</w:instrText>
      </w:r>
      <w:r w:rsidR="008663A4">
        <w:rPr>
          <w:rFonts w:ascii="Arial" w:hAnsi="Arial" w:cs="Arial"/>
          <w:sz w:val="20"/>
          <w:szCs w:val="20"/>
        </w:rPr>
        <w:fldChar w:fldCharType="separate"/>
      </w:r>
      <w:r w:rsidR="00F5221A" w:rsidRPr="00F5221A">
        <w:rPr>
          <w:rFonts w:ascii="Arial" w:hAnsi="Arial" w:cs="Arial"/>
          <w:noProof/>
          <w:sz w:val="20"/>
          <w:szCs w:val="20"/>
        </w:rPr>
        <w:t>(Verma et al., 2008)</w:t>
      </w:r>
      <w:r w:rsidR="008663A4">
        <w:rPr>
          <w:rFonts w:ascii="Arial" w:hAnsi="Arial" w:cs="Arial"/>
          <w:sz w:val="20"/>
          <w:szCs w:val="20"/>
        </w:rPr>
        <w:fldChar w:fldCharType="end"/>
      </w:r>
      <w:r w:rsidR="008663A4">
        <w:rPr>
          <w:rFonts w:ascii="Arial" w:hAnsi="Arial" w:cs="Arial"/>
          <w:sz w:val="20"/>
          <w:szCs w:val="20"/>
        </w:rPr>
        <w:t xml:space="preserve">, </w:t>
      </w:r>
      <w:r w:rsidRPr="00D40F08">
        <w:rPr>
          <w:rFonts w:ascii="Arial" w:hAnsi="Arial" w:cs="Arial"/>
          <w:sz w:val="20"/>
          <w:szCs w:val="20"/>
        </w:rPr>
        <w:t xml:space="preserve">colon cancer </w:t>
      </w:r>
      <w:r w:rsidR="008663A4">
        <w:rPr>
          <w:rFonts w:ascii="Arial" w:hAnsi="Arial" w:cs="Arial"/>
          <w:sz w:val="20"/>
          <w:szCs w:val="20"/>
        </w:rPr>
        <w:fldChar w:fldCharType="begin" w:fldLock="1"/>
      </w:r>
      <w:r w:rsidR="00F5221A">
        <w:rPr>
          <w:rFonts w:ascii="Arial" w:hAnsi="Arial" w:cs="Arial"/>
          <w:sz w:val="20"/>
          <w:szCs w:val="20"/>
        </w:rPr>
        <w:instrText>ADDIN CSL_CITATION {"citationItems":[{"id":"ITEM-1","itemData":{"ISSN":"1438-2199","author":[{"dropping-particle":"","family":"Kotsakis","given":"Panayiotis","non-dropping-particle":"","parse-names":false,"suffix":""},{"dropping-particle":"","family":"Wang","given":"Zhuo","non-dropping-particle":"","parse-names":false,"suffix":""},{"dropping-particle":"","family":"Collighan","given":"Russell John","non-dropping-particle":"","parse-names":false,"suffix":""},{"dropping-particle":"","family":"Griffin","given":"Martin","non-dropping-particle":"","parse-names":false,"suffix":""}],"container-title":"Amino acids","id":"ITEM-1","issue":"4","issued":{"date-parts":[["2011"]]},"page":"909-921","publisher":"Springer","title":"The role of tissue transglutaminase (TG2) in regulating the tumour progression of the mouse colon carcinoma CT26","type":"article-journal","volume":"41"},"uris":["http://www.mendeley.com/documents/?uuid=45664dfd-1115-4a67-926e-3bd6069900c0"]}],"mendeley":{"formattedCitation":"(Kotsakis et al., 2011)","plainTextFormattedCitation":"(Kotsakis et al., 2011)","previouslyFormattedCitation":"&lt;sup&gt;22&lt;/sup&gt;"},"properties":{"noteIndex":0},"schema":"https://github.com/citation-style-language/schema/raw/master/csl-citation.json"}</w:instrText>
      </w:r>
      <w:r w:rsidR="008663A4">
        <w:rPr>
          <w:rFonts w:ascii="Arial" w:hAnsi="Arial" w:cs="Arial"/>
          <w:sz w:val="20"/>
          <w:szCs w:val="20"/>
        </w:rPr>
        <w:fldChar w:fldCharType="separate"/>
      </w:r>
      <w:r w:rsidR="00F5221A" w:rsidRPr="00F5221A">
        <w:rPr>
          <w:rFonts w:ascii="Arial" w:hAnsi="Arial" w:cs="Arial"/>
          <w:noProof/>
          <w:sz w:val="20"/>
          <w:szCs w:val="20"/>
        </w:rPr>
        <w:t>(Kotsakis et al., 2011)</w:t>
      </w:r>
      <w:r w:rsidR="008663A4">
        <w:rPr>
          <w:rFonts w:ascii="Arial" w:hAnsi="Arial" w:cs="Arial"/>
          <w:sz w:val="20"/>
          <w:szCs w:val="20"/>
        </w:rPr>
        <w:fldChar w:fldCharType="end"/>
      </w:r>
      <w:r w:rsidR="008663A4">
        <w:rPr>
          <w:rFonts w:ascii="Arial" w:hAnsi="Arial" w:cs="Arial"/>
          <w:sz w:val="20"/>
          <w:szCs w:val="20"/>
        </w:rPr>
        <w:t xml:space="preserve">, </w:t>
      </w:r>
      <w:r w:rsidRPr="00D40F08">
        <w:rPr>
          <w:rFonts w:ascii="Arial" w:hAnsi="Arial" w:cs="Arial"/>
          <w:sz w:val="20"/>
          <w:szCs w:val="20"/>
        </w:rPr>
        <w:t xml:space="preserve">lung cancer </w:t>
      </w:r>
      <w:r w:rsidR="008663A4">
        <w:rPr>
          <w:rFonts w:ascii="Arial" w:hAnsi="Arial" w:cs="Arial"/>
          <w:sz w:val="20"/>
          <w:szCs w:val="20"/>
        </w:rPr>
        <w:fldChar w:fldCharType="begin" w:fldLock="1"/>
      </w:r>
      <w:r w:rsidR="00F5221A">
        <w:rPr>
          <w:rFonts w:ascii="Arial" w:hAnsi="Arial" w:cs="Arial"/>
          <w:sz w:val="20"/>
          <w:szCs w:val="20"/>
        </w:rPr>
        <w:instrText>ADDIN CSL_CITATION {"citationItems":[{"id":"ITEM-1","itemData":{"DOI":"10.3346/jkms.2013.28.7.1005","ISSN":"15986357","PMID":"23853482","abstract":"Transglutaminase 2 (TG2), a cross-linking enzyme, is involved in drug resistance and in the constitutive activation of nuclear factor kappa B (NF-B). We investigated the association of non-small cell lung cancer (NSCLC) treatment efficacy with TG2 and NF-B expression in 120 patients: 102 with adenocarcinoma and 18 with other histologic types. All patients underwent surgery; 88 received adjuvant chemotherapy, with 28 receiving platinum-based doublet chemotherapy as first-line treatment and 29 receiving epidermal growth factor receptor (EGFR)-tyrosine kinase inhibitor (TKI) therapy. Patients' TG2 and NF-B expression values were calculated semiquantitatively. The median TG2 value was 50 (range, 0-300) and the median NF-B value was 20 (range, 0-240). Disease-free survival did not differ between the low- and high-TG2 groups. Among patients who received palliative platinumbased doublet chemotherapy, progression free survival (PFS) was longer in the low-TG2 group than in the high-TG2 group (11.0 vs. 7.0 months; P = 0.330). Among those who received EGFR-TKI therapy, PFS was also longer in the low-TG2 group than in the high-TG 2 group (11.0 vs. 2.0 months; P = 0.013). Similarly, in EGFR wild-type patients treatedwith EGFR-TKI, PFS was longer in patients with low TG2 expression (9.0 vs. 2.0 months; P = 0.013). TG2 expression levels can predict PFS in patients with NSCLC treated with EGFR-TKI ©2013 The Korean Academy of Medical Sciences.","author":[{"dropping-particle":"","family":"Jeong","given":"Jae Heon","non-dropping-particle":"","parse-names":false,"suffix":""},{"dropping-particle":"","family":"Cho","given":"Byoung Chul","non-dropping-particle":"","parse-names":false,"suffix":""},{"dropping-particle":"","family":"Shim","given":"Hyo Sup","non-dropping-particle":"","parse-names":false,"suffix":""},{"dropping-particle":"","family":"Kim","given":"Hye Ryun","non-dropping-particle":"","parse-names":false,"suffix":""},{"dropping-particle":"","family":"Lim","given":"Sun Min","non-dropping-particle":"","parse-names":false,"suffix":""},{"dropping-particle":"","family":"Kim","given":"Se Kyu","non-dropping-particle":"","parse-names":false,"suffix":""},{"dropping-particle":"","family":"Chung","given":"Kyung Young","non-dropping-particle":"","parse-names":false,"suffix":""},{"dropping-particle":"","family":"Bakhtiar Ul Islam","given":"S. M.","non-dropping-particle":"","parse-names":false,"suffix":""},{"dropping-particle":"","family":"Song","given":"Jae Jin","non-dropping-particle":"","parse-names":false,"suffix":""},{"dropping-particle":"","family":"Kim","given":"Soo Youl","non-dropping-particle":"","parse-names":false,"suffix":""},{"dropping-particle":"","family":"Kim","given":"Joo Hang","non-dropping-particle":"","parse-names":false,"suffix":""}],"container-title":"Journal of Korean Medical Science","id":"ITEM-1","issue":"7","issued":{"date-parts":[["2013"]]},"page":"1005-1014","publisher":"Korean Academy of Medical Science","title":"Transglutaminase 2 expression predicts progression free survival in non-small cell lung cancer patients treated with epidermal growth factor receptor tyrosine kinase inhibitor","type":"article-journal","volume":"28"},"uris":["http://www.mendeley.com/documents/?uuid=a7cf1739-8f97-37c6-9ac2-738927a888f2"]}],"mendeley":{"formattedCitation":"(Jeong et al., 2013)","plainTextFormattedCitation":"(Jeong et al., 2013)","previouslyFormattedCitation":"&lt;sup&gt;8&lt;/sup&gt;"},"properties":{"noteIndex":0},"schema":"https://github.com/citation-style-language/schema/raw/master/csl-citation.json"}</w:instrText>
      </w:r>
      <w:r w:rsidR="008663A4">
        <w:rPr>
          <w:rFonts w:ascii="Arial" w:hAnsi="Arial" w:cs="Arial"/>
          <w:sz w:val="20"/>
          <w:szCs w:val="20"/>
        </w:rPr>
        <w:fldChar w:fldCharType="separate"/>
      </w:r>
      <w:r w:rsidR="00F5221A" w:rsidRPr="00F5221A">
        <w:rPr>
          <w:rFonts w:ascii="Arial" w:hAnsi="Arial" w:cs="Arial"/>
          <w:noProof/>
          <w:sz w:val="20"/>
          <w:szCs w:val="20"/>
        </w:rPr>
        <w:t>(Jeong et al., 2013)</w:t>
      </w:r>
      <w:r w:rsidR="008663A4">
        <w:rPr>
          <w:rFonts w:ascii="Arial" w:hAnsi="Arial" w:cs="Arial"/>
          <w:sz w:val="20"/>
          <w:szCs w:val="20"/>
        </w:rPr>
        <w:fldChar w:fldCharType="end"/>
      </w:r>
      <w:r w:rsidR="008663A4">
        <w:rPr>
          <w:rFonts w:ascii="Arial" w:hAnsi="Arial" w:cs="Arial"/>
          <w:sz w:val="20"/>
          <w:szCs w:val="20"/>
        </w:rPr>
        <w:t xml:space="preserve">, </w:t>
      </w:r>
      <w:r w:rsidRPr="00D40F08">
        <w:rPr>
          <w:rFonts w:ascii="Arial" w:hAnsi="Arial" w:cs="Arial"/>
          <w:sz w:val="20"/>
          <w:szCs w:val="20"/>
        </w:rPr>
        <w:t xml:space="preserve">ovarian cancer </w:t>
      </w:r>
      <w:r w:rsidR="008663A4">
        <w:rPr>
          <w:rFonts w:ascii="Arial" w:hAnsi="Arial" w:cs="Arial"/>
          <w:sz w:val="20"/>
          <w:szCs w:val="20"/>
        </w:rPr>
        <w:fldChar w:fldCharType="begin" w:fldLock="1"/>
      </w:r>
      <w:r w:rsidR="00F5221A">
        <w:rPr>
          <w:rFonts w:ascii="Arial" w:hAnsi="Arial" w:cs="Arial"/>
          <w:sz w:val="20"/>
          <w:szCs w:val="20"/>
        </w:rPr>
        <w:instrText>ADDIN CSL_CITATION {"citationItems":[{"id":"ITEM-1","itemData":{"DOI":"10.1158/1535-7163.MCT-10-0912","ISSN":"1538-8514 (Electronic)","PMID":"21330459","abstract":"Tissue transglutaminase (TG2) is a transpeptidase involved in protein  cross-linking through generation of ε-(γ-glutamyl)lysine isopeptide bonds. It also promotes cell adhesion through interaction with fibronectin and facilitates formation of fibronectin-integrin complexes. This interaction is involved in tumor cell adhesion to the matrix and in the process of tumor dissemination. Its inhibition by small molecules may therefore be useful in blocking metastasis. To that end, we screened more than 800,000 compounds following an in silico docking approach targeting two distinct cavities in the vicinity of the fibronectin-binding site on TG2. A total of 120 compounds were acquired and tested in cell culture-based assays for inhibition of ovarian tumor cell adhesion and proliferation. Seven compounds showed more than 50% inhibition of cell adhesion at a concentration of 25 μmol/L. A follow-up fluorescence polarization study revealed that one compound in particular (ITP-79) inhibited binding of a TG2 peptide to a 42-kDa fragment of fibronectin in a dose-dependent manner. This inhibition was confirmed in cancer cells by coimmunoprecipitation. A competition assay with surface plasmon resonance showed that ITP-79 modulated binding of TG2 to fibronectin. Direct binding of compounds that inhibited adhesion to TG2 were examined with differential scanning fluorimetry, which measures the effect of the compound on the melting temperature of the target. Two compounds, including ITP-79, reduced TG2 stabilization, mimicking the effects of GTP, a known negative allosteric regulator of TG2 enzymatic function. This suggests a potential allosteric mechanism for the compound in light of its distal target site.","author":[{"dropping-particle":"","family":"Khanna","given":"May","non-dropping-particle":"","parse-names":false,"suffix":""},{"dropping-particle":"","family":"Chelladurai","given":"Bhadrani","non-dropping-particle":"","parse-names":false,"suffix":""},{"dropping-particle":"","family":"Gavini","given":"Aruna","non-dropping-particle":"","parse-names":false,"suffix":""},{"dropping-particle":"","family":"Li","given":"Liwei","non-dropping-particle":"","parse-names":false,"suffix":""},{"dropping-particle":"","family":"Shao","given":"Minghai","non-dropping-particle":"","parse-names":false,"suffix":""},{"dropping-particle":"","family":"Courtney","given":"David","non-dropping-particle":"","parse-names":false,"suffix":""},{"dropping-particle":"","family":"Turchi","given":"John J","non-dropping-particle":"","parse-names":false,"suffix":""},{"dropping-particle":"","family":"Matei","given":"Daniela","non-dropping-particle":"","parse-names":false,"suffix":""},{"dropping-particle":"","family":"Meroueh","given":"Samy","non-dropping-particle":"","parse-names":false,"suffix":""}],"container-title":"Molecular cancer therapeutics","id":"ITEM-1","issue":"4","issued":{"date-parts":[["2011","4"]]},"language":"eng","page":"626-636","publisher-place":"United States","title":"Targeting ovarian tumor cell adhesion mediated by tissue transglutaminase.","type":"article-journal","volume":"10"},"uris":["http://www.mendeley.com/documents/?uuid=fd5acbd3-02fc-40b9-b202-d90858ac8775"]}],"mendeley":{"formattedCitation":"(Khanna et al., 2011)","plainTextFormattedCitation":"(Khanna et al., 2011)","previouslyFormattedCitation":"&lt;sup&gt;23&lt;/sup&gt;"},"properties":{"noteIndex":0},"schema":"https://github.com/citation-style-language/schema/raw/master/csl-citation.json"}</w:instrText>
      </w:r>
      <w:r w:rsidR="008663A4">
        <w:rPr>
          <w:rFonts w:ascii="Arial" w:hAnsi="Arial" w:cs="Arial"/>
          <w:sz w:val="20"/>
          <w:szCs w:val="20"/>
        </w:rPr>
        <w:fldChar w:fldCharType="separate"/>
      </w:r>
      <w:r w:rsidR="00F5221A" w:rsidRPr="00F5221A">
        <w:rPr>
          <w:rFonts w:ascii="Arial" w:hAnsi="Arial" w:cs="Arial"/>
          <w:noProof/>
          <w:sz w:val="20"/>
          <w:szCs w:val="20"/>
        </w:rPr>
        <w:t>(Khanna et al., 2011)</w:t>
      </w:r>
      <w:r w:rsidR="008663A4">
        <w:rPr>
          <w:rFonts w:ascii="Arial" w:hAnsi="Arial" w:cs="Arial"/>
          <w:sz w:val="20"/>
          <w:szCs w:val="20"/>
        </w:rPr>
        <w:fldChar w:fldCharType="end"/>
      </w:r>
      <w:r w:rsidR="001655A6">
        <w:rPr>
          <w:rFonts w:ascii="Arial" w:hAnsi="Arial" w:cs="Arial"/>
          <w:sz w:val="20"/>
          <w:szCs w:val="20"/>
        </w:rPr>
        <w:t xml:space="preserve">, </w:t>
      </w:r>
      <w:proofErr w:type="spellStart"/>
      <w:r w:rsidRPr="00D40F08">
        <w:rPr>
          <w:rFonts w:ascii="Arial" w:hAnsi="Arial" w:cs="Arial"/>
          <w:sz w:val="20"/>
          <w:szCs w:val="20"/>
        </w:rPr>
        <w:t>glioblastoma</w:t>
      </w:r>
      <w:proofErr w:type="spellEnd"/>
      <w:r w:rsidRPr="00D40F08">
        <w:rPr>
          <w:rFonts w:ascii="Arial" w:hAnsi="Arial" w:cs="Arial"/>
          <w:sz w:val="20"/>
          <w:szCs w:val="20"/>
        </w:rPr>
        <w:t xml:space="preserve"> cancer</w:t>
      </w:r>
      <w:r w:rsidR="008663A4">
        <w:rPr>
          <w:rFonts w:ascii="Arial" w:hAnsi="Arial" w:cs="Arial"/>
          <w:sz w:val="20"/>
          <w:szCs w:val="20"/>
        </w:rPr>
        <w:fldChar w:fldCharType="begin" w:fldLock="1"/>
      </w:r>
      <w:r w:rsidR="00F5221A">
        <w:rPr>
          <w:rFonts w:ascii="Arial" w:hAnsi="Arial" w:cs="Arial"/>
          <w:sz w:val="20"/>
          <w:szCs w:val="20"/>
        </w:rPr>
        <w:instrText>ADDIN CSL_CITATION {"citationItems":[{"id":"ITEM-1","itemData":{"DOI":"10.1038/sj.onc.1210048","ISSN":"09509232","PMID":"17099729","abstract":"Transglutaminase 2 (TG2, a.k.a. tissue transglutaminase) belongs to a family of transglutaminase enzymes that stabilize proteins by affecting covalent crosslinking via formation of amide bonds. Cell surface TG2 is directly involved as an adhesive receptor in cell-extracellular matrix (ECM) interactions. Here, we show that TG2 activity is elevated in glioblastomas compared with non-neoplastic brain. Immunofluorescent studies showed increased staining of fibronectin colocalized with TG2 in the ECM in glioblastomas. In addition, small clusters of invading human glioblastoma cells present in non-neoplastic brain parenchyma secrete high levels of TG2 and fibronectin that distinguish them from normal brain stroma. Downregulation of TG2 in U87MG glioblastoma cells with RNAi demonstrated decreased assembly of fibronectin in the ECM. Treatment with KCC009 blocked the remodeling of fibronectin in the ECM in glioblastomas in both in vitro and in vivo studies. KCC009 treatment in mice harboring orthotopic glioblastomas (DBT-FG) sensitized the tumors to N,N′-bis(2-chloroethyl)-N-nitrosourea chemotherapy, as measured by reduced bioluminescence, increased apoptosis and prolonged survival. The ability of KCC009 to interfere with the permissive remodeling of fibronectin in the ECM in glioblastomas suggests a novel target to enhance sensitivity to chemotherapy directed not only at the tumor mass, but also invading glioblastoma cells. © 2007 Nature Publishing Group All rights reserved.","author":[{"dropping-particle":"","family":"Yuan","given":"L.","non-dropping-particle":"","parse-names":false,"suffix":""},{"dropping-particle":"","family":"Siegel","given":"M.","non-dropping-particle":"","parse-names":false,"suffix":""},{"dropping-particle":"","family":"Choi","given":"K.","non-dropping-particle":"","parse-names":false,"suffix":""},{"dropping-particle":"","family":"Khosla","given":"C.","non-dropping-particle":"","parse-names":false,"suffix":""},{"dropping-particle":"","family":"Miller","given":"C. R.","non-dropping-particle":"","parse-names":false,"suffix":""},{"dropping-particle":"","family":"Jackson","given":"E. N.","non-dropping-particle":"","parse-names":false,"suffix":""},{"dropping-particle":"","family":"Piwnica-Worms","given":"D.","non-dropping-particle":"","parse-names":false,"suffix":""},{"dropping-particle":"","family":"Rich","given":"K. M.","non-dropping-particle":"","parse-names":false,"suffix":""}],"container-title":"Oncogene","id":"ITEM-1","issue":"18","issued":{"date-parts":[["2007","4","19"]]},"page":"2563-2573","title":"Transglutaminase 2 inhibitor, KCC009, disrupts fibronectin assembly in the extracellular matrix and sensitizes orthotopic glioblastomas to chemotherapy","type":"article-journal","volume":"26"},"uris":["http://www.mendeley.com/documents/?uuid=643da7d8-2115-369f-93c0-850f0d5f31c9"]}],"mendeley":{"formattedCitation":"(Yuan et al., 2007)","plainTextFormattedCitation":"(Yuan et al., 2007)","previouslyFormattedCitation":"&lt;sup&gt;24&lt;/sup&gt;"},"properties":{"noteIndex":0},"schema":"https://github.com/citation-style-language/schema/raw/master/csl-citation.json"}</w:instrText>
      </w:r>
      <w:r w:rsidR="008663A4">
        <w:rPr>
          <w:rFonts w:ascii="Arial" w:hAnsi="Arial" w:cs="Arial"/>
          <w:sz w:val="20"/>
          <w:szCs w:val="20"/>
        </w:rPr>
        <w:fldChar w:fldCharType="separate"/>
      </w:r>
      <w:r w:rsidR="00F5221A" w:rsidRPr="00F5221A">
        <w:rPr>
          <w:rFonts w:ascii="Arial" w:hAnsi="Arial" w:cs="Arial"/>
          <w:noProof/>
          <w:sz w:val="20"/>
          <w:szCs w:val="20"/>
        </w:rPr>
        <w:t>(Yuan et al., 2007)</w:t>
      </w:r>
      <w:r w:rsidR="008663A4">
        <w:rPr>
          <w:rFonts w:ascii="Arial" w:hAnsi="Arial" w:cs="Arial"/>
          <w:sz w:val="20"/>
          <w:szCs w:val="20"/>
        </w:rPr>
        <w:fldChar w:fldCharType="end"/>
      </w:r>
      <w:r w:rsidR="008663A4">
        <w:rPr>
          <w:rFonts w:ascii="Arial" w:hAnsi="Arial" w:cs="Arial"/>
          <w:sz w:val="20"/>
          <w:szCs w:val="20"/>
        </w:rPr>
        <w:t xml:space="preserve">, </w:t>
      </w:r>
      <w:r w:rsidRPr="00D40F08">
        <w:rPr>
          <w:rFonts w:ascii="Arial" w:hAnsi="Arial" w:cs="Arial"/>
          <w:sz w:val="20"/>
          <w:szCs w:val="20"/>
        </w:rPr>
        <w:t>laryngeal cancer</w:t>
      </w:r>
      <w:r w:rsidR="008663A4">
        <w:rPr>
          <w:rFonts w:ascii="Arial" w:hAnsi="Arial" w:cs="Arial"/>
          <w:sz w:val="20"/>
          <w:szCs w:val="20"/>
        </w:rPr>
        <w:fldChar w:fldCharType="begin" w:fldLock="1"/>
      </w:r>
      <w:r w:rsidR="00F5221A">
        <w:rPr>
          <w:rFonts w:ascii="Arial" w:hAnsi="Arial" w:cs="Arial"/>
          <w:sz w:val="20"/>
          <w:szCs w:val="20"/>
        </w:rPr>
        <w:instrText>ADDIN CSL_CITATION {"citationItems":[{"id":"ITEM-1","itemData":{"DOI":"10.1186/1479-5876-10-64","ISSN":"14795876","PMID":"22458929","abstract":"Background: This study was designed to determine the pattern and correlation between expression of the HIF-1α transcriptional targets TGM2 and BNIP3 in laryngeal cancer, and investigate the association of BNIP3 and TGM2 with clinical outcome in laryngeal squamous cell carcinoma (SCC) patients receiving postoperative radiotherapy.Methods: Immunostaining with antibodies specific to BNIP3 and TGM2 was performed in formalin-fixed, paraffin-embedded specimens from 148 laryngeal SCC patients. BNIP3 and TGM2 expression was scored as high or low, based on the number of tumor cells stained and the staining intensity. All patients received postoperative radiotherapy. Patient follow up and clinicopathological data were compared using the Chi-squared test, univariate and multivariate analyses, and survival curves were generated using the Kaplan-Meier method and log-rank test.Results: The 3, 5 and 10-year overall survival rates (OS) for all patients were 77.7%, 71.6%, 56.4%, respectively. Primary tumor site, T stage, overall stage, lymph-node metastasis, BNIP3 expression and TGM2 expression were significant prognostic factors for OS in univariate analysis. Negative cervical lymph nodes, high BNIP3 expression and low TGM2 expression were independent prognostic factors of improved OS in multivariate analysis. BNIP3 expression correlates with TGM2 expression in laryngeal SCC (P = 0.012).Conclusions: This study indicates that lymph-node metastasis, BNIP3 expression and TGM2 expression are independent prognostic factors in laryngeal SCC patients receiving postoperative radiotherapy. Further studies are required to investigate how BNIP3 and/or TGM2 influence the prognosis of laryngeal SCC patients treated with postoperative radiotherapy, and to determine how TGM2 and BNIP3 expression are regulated. © 2012 Jin et al; licensee BioMed Central Ltd.","author":[{"dropping-particle":"","family":"Jin","given":"Ting","non-dropping-particle":"","parse-names":false,"suffix":""},{"dropping-particle":"","family":"Lin","given":"Huan Xin","non-dropping-particle":"","parse-names":false,"suffix":""},{"dropping-particle":"","family":"Lin","given":"Hui","non-dropping-particle":"","parse-names":false,"suffix":""},{"dropping-particle":"","family":"Guo","given":"Li Bing","non-dropping-particle":"","parse-names":false,"suffix":""},{"dropping-particle":"","family":"Ge","given":"Nan","non-dropping-particle":"","parse-names":false,"suffix":""},{"dropping-particle":"","family":"Cai","given":"Xiu Yu","non-dropping-particle":"","parse-names":false,"suffix":""},{"dropping-particle":"","family":"Sun","given":"Rui","non-dropping-particle":"","parse-names":false,"suffix":""},{"dropping-particle":"","family":"Chen","given":"Wen Kuan","non-dropping-particle":"","parse-names":false,"suffix":""},{"dropping-particle":"","family":"Li","given":"Qiu Li","non-dropping-particle":"","parse-names":false,"suffix":""},{"dropping-particle":"","family":"Hu","given":"Wei Han","non-dropping-particle":"","parse-names":false,"suffix":""}],"container-title":"Journal of Translational Medicine","id":"ITEM-1","issue":"1","issued":{"date-parts":[["2012","3","30"]]},"title":"Expression TGM2 and BNIP3 have prognostic significance in laryngeal cancer patients receiving surgery and postoperative radiotherapy: A retrospective study","type":"article-journal","volume":"10"},"uris":["http://www.mendeley.com/documents/?uuid=b98a4c8a-ce5d-3209-81db-6cb1c2c67848"]}],"mendeley":{"formattedCitation":"(Jin et al., 2012)","plainTextFormattedCitation":"(Jin et al., 2012)","previouslyFormattedCitation":"&lt;sup&gt;15&lt;/sup&gt;"},"properties":{"noteIndex":0},"schema":"https://github.com/citation-style-language/schema/raw/master/csl-citation.json"}</w:instrText>
      </w:r>
      <w:r w:rsidR="008663A4">
        <w:rPr>
          <w:rFonts w:ascii="Arial" w:hAnsi="Arial" w:cs="Arial"/>
          <w:sz w:val="20"/>
          <w:szCs w:val="20"/>
        </w:rPr>
        <w:fldChar w:fldCharType="separate"/>
      </w:r>
      <w:r w:rsidR="00F5221A" w:rsidRPr="00F5221A">
        <w:rPr>
          <w:rFonts w:ascii="Arial" w:hAnsi="Arial" w:cs="Arial"/>
          <w:noProof/>
          <w:sz w:val="20"/>
          <w:szCs w:val="20"/>
        </w:rPr>
        <w:t>(Jin et al., 2012)</w:t>
      </w:r>
      <w:r w:rsidR="008663A4">
        <w:rPr>
          <w:rFonts w:ascii="Arial" w:hAnsi="Arial" w:cs="Arial"/>
          <w:sz w:val="20"/>
          <w:szCs w:val="20"/>
        </w:rPr>
        <w:fldChar w:fldCharType="end"/>
      </w:r>
      <w:r w:rsidR="008663A4">
        <w:rPr>
          <w:rFonts w:ascii="Arial" w:hAnsi="Arial" w:cs="Arial"/>
          <w:sz w:val="20"/>
          <w:szCs w:val="20"/>
        </w:rPr>
        <w:t xml:space="preserve">, </w:t>
      </w:r>
      <w:r w:rsidRPr="00D40F08">
        <w:rPr>
          <w:rFonts w:ascii="Arial" w:hAnsi="Arial" w:cs="Arial"/>
          <w:sz w:val="20"/>
          <w:szCs w:val="20"/>
        </w:rPr>
        <w:t xml:space="preserve">esophageal adenocarcinomas </w:t>
      </w:r>
      <w:r w:rsidR="008663A4">
        <w:rPr>
          <w:rFonts w:ascii="Arial" w:hAnsi="Arial" w:cs="Arial"/>
          <w:sz w:val="20"/>
          <w:szCs w:val="20"/>
        </w:rPr>
        <w:fldChar w:fldCharType="begin" w:fldLock="1"/>
      </w:r>
      <w:r w:rsidR="00F5221A">
        <w:rPr>
          <w:rFonts w:ascii="Arial" w:hAnsi="Arial" w:cs="Arial"/>
          <w:sz w:val="20"/>
          <w:szCs w:val="20"/>
        </w:rPr>
        <w:instrText>ADDIN CSL_CITATION {"citationItems":[{"id":"ITEM-1","itemData":{"DOI":"10.1097/JTO.0000000000000229","ISSN":"15561380","PMID":"24828664","abstract":"INTRODUCTION:: Esophageal adenocarcinomas (EAC) are aggressive cancers that are increasing in incidence and associated with a poor prognosis. The identification of highly expressed genes in EAC relative to metaplastic Barrett's esophagus (BE) may provide new targets for novel early cancer detection strategies using endoscopically administered, fluorescently labeled peptides. METHODS:: Gene expression analysis of BE and EACs were used to identify the cell surface marker transglutaminase 2 (TGM2) as overexpressed in cancer. The expression of two major isoforms of TGM2 was determined by qRT-polymerase chain reaction in an independent cohort of 128 EACs. Protein expression was confirmed by tissue microarrays and immunoblot analysis of EAC cell lines. TGM2 DNA copy number was assessed using single nucleotide polymorphism microarrays and confirmed by qPCR. TGM2 expression in neoadjuvantly treated EACs and following small interfering RNA-mediated knockdown in cisplatin-treated EAC cells was used to determine its possible role in chemoresistance. RESULTS:: TGM2 is overexpressed in 15 EACs relative to 26 BE samples. Overexpression of both TGM2 isoforms was confirmed in 128 EACs and associated with higher tumor stage, poor differentiation, and increased inflammatory and desmoplastic response. Tissue microarrays and immunohistochemistry confirmed elevated TGM2 protein expression in EAC. Single nucleotide polymorphism and qPCR analysis revealed increased TGM2 gene copy number as one mechanism underlying elevated TGM2 expression. TGM2 was highly expressed in resistant EAC after patient treatment with neoadjuvant chemotherapy/radiation suggesting a role for TGM2 in chemoresistance. CONCLUSION:: TGM2 may be a useful cell surface biomarker for early detection of EAC. Copyright © 2014 by the International Association for the Study of Lung Cancer.","author":[{"dropping-particle":"","family":"Leicht","given":"Deborah T.","non-dropping-particle":"","parse-names":false,"suffix":""},{"dropping-particle":"","family":"Kausar","given":"Tasneem","non-dropping-particle":"","parse-names":false,"suffix":""},{"dropping-particle":"","family":"Wang","given":"Zhuwen","non-dropping-particle":"","parse-names":false,"suffix":""},{"dropping-particle":"","family":"Ferrer-Torres","given":"Daysha","non-dropping-particle":"","parse-names":false,"suffix":""},{"dropping-particle":"","family":"Wang","given":"Thomas D.","non-dropping-particle":"","parse-names":false,"suffix":""},{"dropping-particle":"","family":"Thomas","given":"Dafydd G.","non-dropping-particle":"","parse-names":false,"suffix":""},{"dropping-particle":"","family":"Lin","given":"Jules","non-dropping-particle":"","parse-names":false,"suffix":""},{"dropping-particle":"","family":"Chang","given":"Andrew C.","non-dropping-particle":"","parse-names":false,"suffix":""},{"dropping-particle":"","family":"Lin","given":"Lin","non-dropping-particle":"","parse-names":false,"suffix":""},{"dropping-particle":"","family":"Beer","given":"David G.","non-dropping-particle":"","parse-names":false,"suffix":""}],"container-title":"Journal of Thoracic Oncology","id":"ITEM-1","issue":"6","issued":{"date-parts":[["2014"]]},"page":"872-881","publisher":"International Association for the Study of Lung Cancer","title":"TGM2: A cell surface marker in esophageal adenocarcinomas","type":"article-journal","volume":"9"},"uris":["http://www.mendeley.com/documents/?uuid=9b4c3f14-f9b0-4e6f-a63b-1e991b2dd684"]}],"mendeley":{"formattedCitation":"(Leicht et al., 2014)","plainTextFormattedCitation":"(Leicht et al., 2014)","previouslyFormattedCitation":"&lt;sup&gt;25&lt;/sup&gt;"},"properties":{"noteIndex":0},"schema":"https://github.com/citation-style-language/schema/raw/master/csl-citation.json"}</w:instrText>
      </w:r>
      <w:r w:rsidR="008663A4">
        <w:rPr>
          <w:rFonts w:ascii="Arial" w:hAnsi="Arial" w:cs="Arial"/>
          <w:sz w:val="20"/>
          <w:szCs w:val="20"/>
        </w:rPr>
        <w:fldChar w:fldCharType="separate"/>
      </w:r>
      <w:r w:rsidR="00F5221A" w:rsidRPr="00F5221A">
        <w:rPr>
          <w:rFonts w:ascii="Arial" w:hAnsi="Arial" w:cs="Arial"/>
          <w:noProof/>
          <w:sz w:val="20"/>
          <w:szCs w:val="20"/>
        </w:rPr>
        <w:t>(Leicht et al., 2014)</w:t>
      </w:r>
      <w:r w:rsidR="008663A4">
        <w:rPr>
          <w:rFonts w:ascii="Arial" w:hAnsi="Arial" w:cs="Arial"/>
          <w:sz w:val="20"/>
          <w:szCs w:val="20"/>
        </w:rPr>
        <w:fldChar w:fldCharType="end"/>
      </w:r>
      <w:r w:rsidR="008663A4">
        <w:rPr>
          <w:rFonts w:ascii="Arial" w:hAnsi="Arial" w:cs="Arial"/>
          <w:sz w:val="20"/>
          <w:szCs w:val="20"/>
        </w:rPr>
        <w:t xml:space="preserve">, </w:t>
      </w:r>
      <w:r w:rsidRPr="00D40F08">
        <w:rPr>
          <w:rFonts w:ascii="Arial" w:hAnsi="Arial" w:cs="Arial"/>
          <w:sz w:val="20"/>
          <w:szCs w:val="20"/>
        </w:rPr>
        <w:t>colorectal cancer</w:t>
      </w:r>
      <w:r w:rsidR="008663A4">
        <w:rPr>
          <w:rFonts w:ascii="Arial" w:hAnsi="Arial" w:cs="Arial"/>
          <w:sz w:val="20"/>
          <w:szCs w:val="20"/>
        </w:rPr>
        <w:fldChar w:fldCharType="begin" w:fldLock="1"/>
      </w:r>
      <w:r w:rsidR="00F5221A">
        <w:rPr>
          <w:rFonts w:ascii="Arial" w:hAnsi="Arial" w:cs="Arial"/>
          <w:sz w:val="20"/>
          <w:szCs w:val="20"/>
        </w:rPr>
        <w:instrText>ADDIN CSL_CITATION {"citationItems":[{"id":"ITEM-1","itemData":{"ISSN":"0250-7005","author":[{"dropping-particle":"","family":"Kang","given":"Sanghee","non-dropping-particle":"","parse-names":false,"suffix":""},{"dropping-particle":"","family":"Oh","given":"Sang Cheul","non-dropping-particle":"","parse-names":false,"suffix":""},{"dropping-particle":"","family":"Min","given":"Byung Wook","non-dropping-particle":"","parse-names":false,"suffix":""},{"dropping-particle":"","family":"Lee","given":"Dae-Hee","non-dropping-particle":"","parse-names":false,"suffix":""}],"container-title":"Anticancer research","id":"ITEM-1","issue":"2","issued":{"date-parts":[["2018"]]},"page":"787-794","publisher":"International Institute of Anticancer Research","title":"Transglutaminase 2 regulates self-renewal and stem cell marker of human colorectal cancer stem cells","type":"article-journal","volume":"38"},"uris":["http://www.mendeley.com/documents/?uuid=63d3a80b-e972-4da8-935b-29ea2eb387b2"]}],"mendeley":{"formattedCitation":"(Kang et al., 2018)","plainTextFormattedCitation":"(Kang et al., 2018)","previouslyFormattedCitation":"&lt;sup&gt;26&lt;/sup&gt;"},"properties":{"noteIndex":0},"schema":"https://github.com/citation-style-language/schema/raw/master/csl-citation.json"}</w:instrText>
      </w:r>
      <w:r w:rsidR="008663A4">
        <w:rPr>
          <w:rFonts w:ascii="Arial" w:hAnsi="Arial" w:cs="Arial"/>
          <w:sz w:val="20"/>
          <w:szCs w:val="20"/>
        </w:rPr>
        <w:fldChar w:fldCharType="separate"/>
      </w:r>
      <w:r w:rsidR="00F5221A" w:rsidRPr="00F5221A">
        <w:rPr>
          <w:rFonts w:ascii="Arial" w:hAnsi="Arial" w:cs="Arial"/>
          <w:noProof/>
          <w:sz w:val="20"/>
          <w:szCs w:val="20"/>
        </w:rPr>
        <w:t>(Kang et al., 2018)</w:t>
      </w:r>
      <w:r w:rsidR="008663A4">
        <w:rPr>
          <w:rFonts w:ascii="Arial" w:hAnsi="Arial" w:cs="Arial"/>
          <w:sz w:val="20"/>
          <w:szCs w:val="20"/>
        </w:rPr>
        <w:fldChar w:fldCharType="end"/>
      </w:r>
      <w:r w:rsidR="008663A4">
        <w:rPr>
          <w:rFonts w:ascii="Arial" w:hAnsi="Arial" w:cs="Arial"/>
          <w:sz w:val="20"/>
          <w:szCs w:val="20"/>
        </w:rPr>
        <w:t xml:space="preserve">, </w:t>
      </w:r>
      <w:r w:rsidRPr="00D40F08">
        <w:rPr>
          <w:rFonts w:ascii="Arial" w:hAnsi="Arial" w:cs="Arial"/>
          <w:sz w:val="20"/>
          <w:szCs w:val="20"/>
        </w:rPr>
        <w:t xml:space="preserve">melanoma </w:t>
      </w:r>
      <w:r w:rsidR="008663A4">
        <w:rPr>
          <w:rFonts w:ascii="Arial" w:hAnsi="Arial" w:cs="Arial"/>
          <w:sz w:val="20"/>
          <w:szCs w:val="20"/>
        </w:rPr>
        <w:fldChar w:fldCharType="begin" w:fldLock="1"/>
      </w:r>
      <w:r w:rsidR="00F5221A">
        <w:rPr>
          <w:rFonts w:ascii="Arial" w:hAnsi="Arial" w:cs="Arial"/>
          <w:sz w:val="20"/>
          <w:szCs w:val="20"/>
        </w:rPr>
        <w:instrText>ADDIN CSL_CITATION {"citationItems":[{"id":"ITEM-1","itemData":{"DOI":"10.1158/1535-7163.MCT-06-0083","ISSN":"15357163","PMID":"16818508","abstract":"Human malignant melanoma is a highly aggressive form of cancer; the 5-year survival rate in patients with stage III or IV disease is &lt;5%. In patients with metastatic melanoma, systemic therapy becomes ineffective because of the high resistance of melanoma cells to various anticancer therapies. We have found previously that development of the drug resistance and metastatic phenotypes in breast cancer cells is associated with increased tissue transglutaminase (TG2) expression. In the study reported here, we investigated TG2 expression and its implications in metastatic melanoma. We found that metastatic melanoma cell lines expressed levels of TG2 up to 24-fold higher than levels in radial growth phase of primary melanoma cell lines. Activation of endogenous TG2 by the calcium ionophore A23187 induced a rapid and strong apoptotic response in A375 cells and A23187-induced apoptosis could be blocked by TG2-specific inhibitors. These findings indicated that activation of endogenous TG2 could serve as a strategy for inducing apoptosis in malignant melanomas. Importantly, tumor samples from patients with malignant melanomas showed strong expression of TG2, suggesting that TG2 expression is selectively upregulated during advanced developmental stages of melanoma. We observed that 20% to 30% of TG2 protein was present on cell membranes in association with β 1 and β5 integrins. This association of TG2 with cell surface integrins promoted strong attachment of A375 cells to fibronectin-coated surfaces, resulting in increased cell survival in serum-free medium. Inhibition of TG2 by small interfering RNA inhibited fibronectin-mediated cell attachment and cell survival functions in A375 cells. Overall, our results suggest that TG2 expression contributes to the development of chemoresistance in malignant melanoma cells by exploiting integrin-mediated cell survival signaling pathways. Copyright © 2006 American Association for Cancer Research.","author":[{"dropping-particle":"","family":"Kok","given":"Jansina Y.","non-dropping-particle":"","parse-names":false,"suffix":""},{"dropping-particle":"","family":"Ekmekcioglu","given":"Suhendan","non-dropping-particle":"","parse-names":false,"suffix":""},{"dropping-particle":"","family":"Mehta","given":"Kapil","non-dropping-particle":"","parse-names":false,"suffix":""}],"container-title":"Molecular Cancer Therapeutics","id":"ITEM-1","issue":"6","issued":{"date-parts":[["2006","6"]]},"page":"1493-1503","title":"Implications of tissue transglutaminase expression in malignant melanoma","type":"article-journal","volume":"5"},"uris":["http://www.mendeley.com/documents/?uuid=75567e0a-a99e-3444-b545-be3d225387c3"]}],"mendeley":{"formattedCitation":"(Kok et al., 2006)","plainTextFormattedCitation":"(Kok et al., 2006)","previouslyFormattedCitation":"&lt;sup&gt;27&lt;/sup&gt;"},"properties":{"noteIndex":0},"schema":"https://github.com/citation-style-language/schema/raw/master/csl-citation.json"}</w:instrText>
      </w:r>
      <w:r w:rsidR="008663A4">
        <w:rPr>
          <w:rFonts w:ascii="Arial" w:hAnsi="Arial" w:cs="Arial"/>
          <w:sz w:val="20"/>
          <w:szCs w:val="20"/>
        </w:rPr>
        <w:fldChar w:fldCharType="separate"/>
      </w:r>
      <w:r w:rsidR="00F5221A" w:rsidRPr="00F5221A">
        <w:rPr>
          <w:rFonts w:ascii="Arial" w:hAnsi="Arial" w:cs="Arial"/>
          <w:noProof/>
          <w:sz w:val="20"/>
          <w:szCs w:val="20"/>
        </w:rPr>
        <w:t>(Kok et al., 2006)</w:t>
      </w:r>
      <w:r w:rsidR="008663A4">
        <w:rPr>
          <w:rFonts w:ascii="Arial" w:hAnsi="Arial" w:cs="Arial"/>
          <w:sz w:val="20"/>
          <w:szCs w:val="20"/>
        </w:rPr>
        <w:fldChar w:fldCharType="end"/>
      </w:r>
      <w:r w:rsidR="008663A4">
        <w:rPr>
          <w:rFonts w:ascii="Arial" w:hAnsi="Arial" w:cs="Arial"/>
          <w:sz w:val="20"/>
          <w:szCs w:val="20"/>
        </w:rPr>
        <w:t xml:space="preserve">, </w:t>
      </w:r>
      <w:r w:rsidRPr="00D40F08">
        <w:rPr>
          <w:rFonts w:ascii="Arial" w:hAnsi="Arial" w:cs="Arial"/>
          <w:sz w:val="20"/>
          <w:szCs w:val="20"/>
        </w:rPr>
        <w:t xml:space="preserve">mesothelioma </w:t>
      </w:r>
      <w:r w:rsidR="008663A4">
        <w:rPr>
          <w:rFonts w:ascii="Arial" w:hAnsi="Arial" w:cs="Arial"/>
          <w:sz w:val="20"/>
          <w:szCs w:val="20"/>
        </w:rPr>
        <w:fldChar w:fldCharType="begin" w:fldLock="1"/>
      </w:r>
      <w:r w:rsidR="00F5221A">
        <w:rPr>
          <w:rFonts w:ascii="Arial" w:hAnsi="Arial" w:cs="Arial"/>
          <w:sz w:val="20"/>
          <w:szCs w:val="20"/>
        </w:rPr>
        <w:instrText>ADDIN CSL_CITATION {"citationItems":[{"id":"ITEM-1","itemData":{"DOI":"10.18632/oncotarget.26130","ISSN":"1949-2553","PMID":"30349644","abstract":"Mesothelioma is a rare cancer of the mesothelial cell layer of the pleura, peritoneum, pericardium and tunica vaginalis. It is typically caused by asbestos, notoriously resistant to chemotherapy and generally considered incurable with a poor life expectancy. Transglutaminase 2 (TG2), a GTP binding regulatory protein, is an important cancer stem cell survival and therapy resistance factor. We show that TG2 is highly expressed in human mesothelioma tumors and in mesothelioma cancer stem cells (MCS cells). TG2 knockdown or TG2 inhibitor treatment reduces MCS cell spheroid formation, matrigel invasion, migration and tumor formation. Time to tumor first appearance is doubled in TG2 knockout cells as compared to wild-type. In addition, TG2 loss is associated with reduced expression of stemness, and epithelial mesenchymal transition markers, and enhanced apoptosis. These studies indicate that TG2 is an important MCS cell survival protein and suggest that TG2 may serve as a mesothelioma cancer stem cell therapy target.","author":[{"dropping-particle":"","family":"Adhikary","given":"Gautam","non-dropping-particle":"","parse-names":false,"suffix":""},{"dropping-particle":"","family":"Grun","given":"Daniel","non-dropping-particle":"","parse-names":false,"suffix":""},{"dropping-particle":"","family":"Alexander","given":"H Richard","non-dropping-particle":"","parse-names":false,"suffix":""},{"dropping-particle":"","family":"Friedberg","given":"Joseph S","non-dropping-particle":"","parse-names":false,"suffix":""},{"dropping-particle":"","family":"Xu","given":"Wen","non-dropping-particle":"","parse-names":false,"suffix":""},{"dropping-particle":"","family":"Keillor","given":"Jeffrey W","non-dropping-particle":"","parse-names":false,"suffix":""},{"dropping-particle":"","family":"Kandasamy","given":"Sivaveera","non-dropping-particle":"","parse-names":false,"suffix":""},{"dropping-particle":"","family":"Eckert","given":"Richard L","non-dropping-particle":"","parse-names":false,"suffix":""}],"container-title":"Oncotarget","id":"ITEM-1","issue":"77","issued":{"date-parts":[["2018","10","2"]]},"page":"34495-34505","publisher":"Impact Journals LLC","title":"Transglutaminase is a mesothelioma cancer stem cell survival protein that is required for tumor formation.","type":"article-journal","volume":"9"},"uris":["http://www.mendeley.com/documents/?uuid=48612559-8998-3230-98ad-19111659f6e8"]}],"mendeley":{"formattedCitation":"(Adhikary et al., 2018)","plainTextFormattedCitation":"(Adhikary et al., 2018)","previouslyFormattedCitation":"&lt;sup&gt;28&lt;/sup&gt;"},"properties":{"noteIndex":0},"schema":"https://github.com/citation-style-language/schema/raw/master/csl-citation.json"}</w:instrText>
      </w:r>
      <w:r w:rsidR="008663A4">
        <w:rPr>
          <w:rFonts w:ascii="Arial" w:hAnsi="Arial" w:cs="Arial"/>
          <w:sz w:val="20"/>
          <w:szCs w:val="20"/>
        </w:rPr>
        <w:fldChar w:fldCharType="separate"/>
      </w:r>
      <w:r w:rsidR="00F5221A" w:rsidRPr="00F5221A">
        <w:rPr>
          <w:rFonts w:ascii="Arial" w:hAnsi="Arial" w:cs="Arial"/>
          <w:noProof/>
          <w:sz w:val="20"/>
          <w:szCs w:val="20"/>
        </w:rPr>
        <w:t>(Adhikary et al., 2018)</w:t>
      </w:r>
      <w:r w:rsidR="008663A4">
        <w:rPr>
          <w:rFonts w:ascii="Arial" w:hAnsi="Arial" w:cs="Arial"/>
          <w:sz w:val="20"/>
          <w:szCs w:val="20"/>
        </w:rPr>
        <w:fldChar w:fldCharType="end"/>
      </w:r>
      <w:r w:rsidR="008663A4">
        <w:rPr>
          <w:rFonts w:ascii="Arial" w:hAnsi="Arial" w:cs="Arial"/>
          <w:sz w:val="20"/>
          <w:szCs w:val="20"/>
        </w:rPr>
        <w:t xml:space="preserve">, and </w:t>
      </w:r>
      <w:r w:rsidRPr="00D40F08">
        <w:rPr>
          <w:rFonts w:ascii="Arial" w:hAnsi="Arial" w:cs="Arial"/>
          <w:sz w:val="20"/>
          <w:szCs w:val="20"/>
        </w:rPr>
        <w:t>renal cell carcinoma</w:t>
      </w:r>
      <w:r w:rsidR="008663A4">
        <w:rPr>
          <w:rFonts w:ascii="Arial" w:hAnsi="Arial" w:cs="Arial"/>
          <w:sz w:val="20"/>
          <w:szCs w:val="20"/>
        </w:rPr>
        <w:fldChar w:fldCharType="begin" w:fldLock="1"/>
      </w:r>
      <w:r w:rsidR="00F5221A">
        <w:rPr>
          <w:rFonts w:ascii="Arial" w:hAnsi="Arial" w:cs="Arial"/>
          <w:sz w:val="20"/>
          <w:szCs w:val="20"/>
        </w:rPr>
        <w:instrText>ADDIN CSL_CITATION {"citationItems":[{"id":"ITEM-1","itemData":{"author":[{"dropping-particle":"","family":"Hidaka","given":"Hideo","non-dropping-particle":"","parse-names":false,"suffix":""},{"dropping-particle":"","family":"Seki","given":"Naohiko","non-dropping-particle":"","parse-names":false,"suffix":""},{"dropping-particle":"","family":"Yoshino","given":"Hirofumi","non-dropping-particle":"","parse-names":false,"suffix":""},{"dropping-particle":"","family":"Yamasaki","given":"Takeshi","non-dropping-particle":"","parse-names":false,"suffix":""},{"dropping-particle":"","family":"Yamada","given":"Yasutoshi","non-dropping-particle":"","parse-names":false,"suffix":""},{"dropping-particle":"","family":"Nohata","given":"Nijiro","non-dropping-particle":"","parse-names":false,"suffix":""},{"dropping-particle":"","family":"Fuse","given":"Miki","non-dropping-particle":"","parse-names":false,"suffix":""},{"dropping-particle":"","family":"Nakagawa","given":"Masayuki","non-dropping-particle":"","parse-names":false,"suffix":""},{"dropping-particle":"","family":"Enokida","given":"Hideki","non-dropping-particle":"","parse-names":false,"suffix":""}],"container-title":"Oncotarget","id":"ITEM-1","issue":"1","issued":{"date-parts":[["2012"]]},"page":"44","publisher":"Impact Journals, LLC","title":"Tumor suppressive microRNA-1285 regulates novel molecular targets: aberrant expression and functional significance in renal cell carcinoma","type":"article-journal","volume":"3"},"uris":["http://www.mendeley.com/documents/?uuid=ce995143-17a2-4039-bc72-f8989487b42e"]}],"mendeley":{"formattedCitation":"(Hidaka et al., 2012)","plainTextFormattedCitation":"(Hidaka et al., 2012)","previouslyFormattedCitation":"&lt;sup&gt;29&lt;/sup&gt;"},"properties":{"noteIndex":0},"schema":"https://github.com/citation-style-language/schema/raw/master/csl-citation.json"}</w:instrText>
      </w:r>
      <w:r w:rsidR="008663A4">
        <w:rPr>
          <w:rFonts w:ascii="Arial" w:hAnsi="Arial" w:cs="Arial"/>
          <w:sz w:val="20"/>
          <w:szCs w:val="20"/>
        </w:rPr>
        <w:fldChar w:fldCharType="separate"/>
      </w:r>
      <w:r w:rsidR="00F5221A" w:rsidRPr="00F5221A">
        <w:rPr>
          <w:rFonts w:ascii="Arial" w:hAnsi="Arial" w:cs="Arial"/>
          <w:noProof/>
          <w:sz w:val="20"/>
          <w:szCs w:val="20"/>
        </w:rPr>
        <w:t>(Hidaka et al., 2012)</w:t>
      </w:r>
      <w:r w:rsidR="008663A4">
        <w:rPr>
          <w:rFonts w:ascii="Arial" w:hAnsi="Arial" w:cs="Arial"/>
          <w:sz w:val="20"/>
          <w:szCs w:val="20"/>
        </w:rPr>
        <w:fldChar w:fldCharType="end"/>
      </w:r>
      <w:r w:rsidRPr="00D40F08">
        <w:rPr>
          <w:rFonts w:ascii="Arial" w:hAnsi="Arial" w:cs="Arial"/>
          <w:sz w:val="20"/>
          <w:szCs w:val="20"/>
        </w:rPr>
        <w:t xml:space="preserve">. Transglutaminase 2 (TG2) has been identified as a critical regulator of cancer cell survival that promotes epithelial to </w:t>
      </w:r>
      <w:proofErr w:type="spellStart"/>
      <w:r w:rsidRPr="00D40F08">
        <w:rPr>
          <w:rFonts w:ascii="Arial" w:hAnsi="Arial" w:cs="Arial"/>
          <w:sz w:val="20"/>
          <w:szCs w:val="20"/>
        </w:rPr>
        <w:t>mesenchymal</w:t>
      </w:r>
      <w:proofErr w:type="spellEnd"/>
      <w:r w:rsidRPr="00D40F08">
        <w:rPr>
          <w:rFonts w:ascii="Arial" w:hAnsi="Arial" w:cs="Arial"/>
          <w:sz w:val="20"/>
          <w:szCs w:val="20"/>
        </w:rPr>
        <w:t xml:space="preserve"> transition, invasion and migration, angiogenesis, metastasis, inflammation, and drug resistance. It also promotes the survival and </w:t>
      </w:r>
      <w:proofErr w:type="spellStart"/>
      <w:r w:rsidRPr="00D40F08">
        <w:rPr>
          <w:rFonts w:ascii="Arial" w:hAnsi="Arial" w:cs="Arial"/>
          <w:sz w:val="20"/>
          <w:szCs w:val="20"/>
        </w:rPr>
        <w:t>stemness</w:t>
      </w:r>
      <w:proofErr w:type="spellEnd"/>
      <w:r w:rsidRPr="00D40F08">
        <w:rPr>
          <w:rFonts w:ascii="Arial" w:hAnsi="Arial" w:cs="Arial"/>
          <w:sz w:val="20"/>
          <w:szCs w:val="20"/>
        </w:rPr>
        <w:t xml:space="preserve"> of cancer stem cells </w:t>
      </w:r>
      <w:r w:rsidR="008663A4">
        <w:rPr>
          <w:rFonts w:ascii="Arial" w:hAnsi="Arial" w:cs="Arial"/>
          <w:sz w:val="20"/>
          <w:szCs w:val="20"/>
        </w:rPr>
        <w:fldChar w:fldCharType="begin" w:fldLock="1"/>
      </w:r>
      <w:r w:rsidR="00F5221A">
        <w:rPr>
          <w:rFonts w:ascii="Arial" w:hAnsi="Arial" w:cs="Arial"/>
          <w:sz w:val="20"/>
          <w:szCs w:val="20"/>
        </w:rPr>
        <w:instrText>ADDIN CSL_CITATION {"citationItems":[{"id":"ITEM-1","itemData":{"DOI":"10.1002/mc.22986","ISSN":"10982744","PMID":"30693974","abstract":"Transglutaminase 2 (TG2) has emerged as a key cancer cell survival factor that drives epithelial to mesenchymal transition, angiogenesis, metastasis, inflammation, drug resistance, cancer stem cell survival and stemness, and invasion and migration. TG2 can exist in a GTP-bound signaling-active conformation or in a transamidase-active conformation. The GTP bound conformation of TG2 contributes to cell survival and the transamidase conformation can contribute to cell survival or death. We present evidence suggesting that TG2 has a role in human cancer, summarize what is known about the TG2 mechanism of action in a range of cancer types, and discuss TG2 as a cancer therapy target.","author":[{"dropping-particle":"","family":"Eckert","given":"Richard L.","non-dropping-particle":"","parse-names":false,"suffix":""}],"container-title":"Molecular Carcinogenesis","id":"ITEM-1","issue":"6","issued":{"date-parts":[["2019"]]},"page":"837-853","title":"Transglutaminase 2 takes center stage as a cancer cell survival factor and therapy target","type":"article-journal","volume":"58"},"uris":["http://www.mendeley.com/documents/?uuid=46848053-83e5-461f-8a3b-9b4535ece79a"]}],"mendeley":{"formattedCitation":"(Eckert, 2019)","plainTextFormattedCitation":"(Eckert, 2019)","previouslyFormattedCitation":"&lt;sup&gt;4&lt;/sup&gt;"},"properties":{"noteIndex":0},"schema":"https://github.com/citation-style-language/schema/raw/master/csl-citation.json"}</w:instrText>
      </w:r>
      <w:r w:rsidR="008663A4">
        <w:rPr>
          <w:rFonts w:ascii="Arial" w:hAnsi="Arial" w:cs="Arial"/>
          <w:sz w:val="20"/>
          <w:szCs w:val="20"/>
        </w:rPr>
        <w:fldChar w:fldCharType="separate"/>
      </w:r>
      <w:r w:rsidR="00F5221A" w:rsidRPr="00F5221A">
        <w:rPr>
          <w:rFonts w:ascii="Arial" w:hAnsi="Arial" w:cs="Arial"/>
          <w:noProof/>
          <w:sz w:val="20"/>
          <w:szCs w:val="20"/>
        </w:rPr>
        <w:t>(Eckert, 2019)</w:t>
      </w:r>
      <w:r w:rsidR="008663A4">
        <w:rPr>
          <w:rFonts w:ascii="Arial" w:hAnsi="Arial" w:cs="Arial"/>
          <w:sz w:val="20"/>
          <w:szCs w:val="20"/>
        </w:rPr>
        <w:fldChar w:fldCharType="end"/>
      </w:r>
      <w:r w:rsidR="00EF4997">
        <w:rPr>
          <w:rFonts w:ascii="Arial" w:hAnsi="Arial" w:cs="Arial"/>
          <w:sz w:val="20"/>
          <w:szCs w:val="20"/>
        </w:rPr>
        <w:t xml:space="preserve">. </w:t>
      </w:r>
      <w:r w:rsidRPr="00D40F08">
        <w:rPr>
          <w:rFonts w:ascii="Arial" w:hAnsi="Arial" w:cs="Arial"/>
          <w:sz w:val="20"/>
          <w:szCs w:val="20"/>
        </w:rPr>
        <w:t xml:space="preserve">However, Choi et al., did not find an effect of TG2 on EMT marker </w:t>
      </w:r>
      <w:r w:rsidRPr="00EF4997">
        <w:rPr>
          <w:rFonts w:ascii="Arial" w:hAnsi="Arial" w:cs="Arial"/>
          <w:sz w:val="20"/>
          <w:szCs w:val="20"/>
        </w:rPr>
        <w:t>expression in squamous lung cancer</w:t>
      </w:r>
      <w:r w:rsidR="00EF4997">
        <w:rPr>
          <w:rFonts w:cs="Arial"/>
          <w:szCs w:val="20"/>
        </w:rPr>
        <w:t xml:space="preserve"> </w:t>
      </w:r>
      <w:r w:rsidR="00EF4997">
        <w:rPr>
          <w:rFonts w:cs="Arial"/>
          <w:szCs w:val="20"/>
        </w:rPr>
        <w:fldChar w:fldCharType="begin" w:fldLock="1"/>
      </w:r>
      <w:r w:rsidR="00F5221A">
        <w:rPr>
          <w:rFonts w:cs="Arial"/>
          <w:szCs w:val="20"/>
        </w:rPr>
        <w:instrText>ADDIN CSL_CITATION {"citationItems":[{"id":"ITEM-1","itemData":{"DOI":"10.1186/1476-4598-10-119","ISSN":"14764598","PMID":"21943122","abstract":"Background: Expression of transglutaminase 2 (TGase 2) is related to invasion and resistance to chemotherapeutic agents in several cancer cells. However, there has been only limited clinical validation of TGase 2 as an independent prognostic marker in cancer.Methods: The significance of TGase 2 expression as an invasive/migratory factor was addressed by in vitro assays employing down-regulation of TGase 2. TGase 2 expression as a prognostic indicator was assessed in 429 Korean patients with early-stage non-small cell lung cancer (NSCLC) by immunohistochemical staining.Results: TGase 2 expression increased the invasive and migratory properties of NSCLC cells in vitro, which might be related to the induction of MMP-9. In the analysis of the immunohistochemical staining, TGase 2 expression in tumors was significantly correlated with recurrence in NSCLC (p = 0.005) or in the non-adenocarcinoma subtype (p = 0.031). Additionally, a multivariate analysis also showed a significant correlation between strong TGase 2 expression and shorter disease-free survival (DFS) in NSCLC (p = 0.029 and HR = 1.554) and in the non-adenocarcinoma subtype (p = 0.030 and HR = 2.184). However, the correlation in the adenocarcinoma subtype was not significant.Conclusions: TGase 2 expression was significantly correlated with recurrence and shorter DFS in NSCLC, especially in the non-adenocarcinoma subtype including squamous cell carcinoma. © 2011 Choi et al; licensee BioMed Central Ltd.","author":[{"dropping-particle":"","family":"Choi","given":"Chang Min","non-dropping-particle":"","parse-names":false,"suffix":""},{"dropping-particle":"","family":"Jang","given":"Se Jin","non-dropping-particle":"","parse-names":false,"suffix":""},{"dropping-particle":"","family":"Park","given":"Seong Yeol","non-dropping-particle":"","parse-names":false,"suffix":""},{"dropping-particle":"","family":"Choi","given":"Yong Bock","non-dropping-particle":"","parse-names":false,"suffix":""},{"dropping-particle":"","family":"Jeong","given":"Jae Heon","non-dropping-particle":"","parse-names":false,"suffix":""},{"dropping-particle":"","family":"Kim","given":"Dae Seok","non-dropping-particle":"","parse-names":false,"suffix":""},{"dropping-particle":"","family":"Kim","given":"Hyun Kyoung","non-dropping-particle":"","parse-names":false,"suffix":""},{"dropping-particle":"","family":"Park","given":"Kang Seo","non-dropping-particle":"","parse-names":false,"suffix":""},{"dropping-particle":"","family":"Nam","given":"Byung Ho","non-dropping-particle":"","parse-names":false,"suffix":""},{"dropping-particle":"","family":"Kim","given":"Hyeong Ryul","non-dropping-particle":"","parse-names":false,"suffix":""},{"dropping-particle":"","family":"Kim","given":"Soo Youl","non-dropping-particle":"","parse-names":false,"suffix":""},{"dropping-particle":"","family":"Hong","given":"Kyeong Man","non-dropping-particle":"","parse-names":false,"suffix":""}],"container-title":"Molecular Cancer","id":"ITEM-1","issued":{"date-parts":[["2011","9","24"]]},"title":"Transglutaminase 2 as an independent prognostic marker for survival of patients with non-adenocarcinoma subtype of non-small cell lung cancer","type":"article-journal","volume":"10"},"uris":["http://www.mendeley.com/documents/?uuid=95b4b143-6ea3-3907-aa07-034e45e9909b"]}],"mendeley":{"formattedCitation":"(Choi et al., 2011)","plainTextFormattedCitation":"(Choi et al., 2011)","previouslyFormattedCitation":"&lt;sup&gt;7&lt;/sup&gt;"},"properties":{"noteIndex":0},"schema":"https://github.com/citation-style-language/schema/raw/master/csl-citation.json"}</w:instrText>
      </w:r>
      <w:r w:rsidR="00EF4997">
        <w:rPr>
          <w:rFonts w:cs="Arial"/>
          <w:szCs w:val="20"/>
        </w:rPr>
        <w:fldChar w:fldCharType="separate"/>
      </w:r>
      <w:r w:rsidR="00F5221A" w:rsidRPr="00F5221A">
        <w:rPr>
          <w:rFonts w:cs="Arial"/>
          <w:noProof/>
          <w:szCs w:val="20"/>
        </w:rPr>
        <w:t>(Choi et al., 2011)</w:t>
      </w:r>
      <w:r w:rsidR="00EF4997">
        <w:rPr>
          <w:rFonts w:cs="Arial"/>
          <w:szCs w:val="20"/>
        </w:rPr>
        <w:fldChar w:fldCharType="end"/>
      </w:r>
      <w:r w:rsidRPr="00D40F08">
        <w:rPr>
          <w:rFonts w:ascii="Arial" w:hAnsi="Arial" w:cs="Arial"/>
          <w:sz w:val="20"/>
          <w:szCs w:val="20"/>
        </w:rPr>
        <w:t>. TG2 activates various carcinogenic pathways, such as the nuclear factor kappa-light-chain-enhancer of activated B cells/NF-</w:t>
      </w:r>
      <w:proofErr w:type="spellStart"/>
      <w:r w:rsidRPr="00D40F08">
        <w:rPr>
          <w:rFonts w:ascii="Arial" w:hAnsi="Arial" w:cs="Arial"/>
          <w:sz w:val="20"/>
          <w:szCs w:val="20"/>
        </w:rPr>
        <w:t>κB</w:t>
      </w:r>
      <w:proofErr w:type="spellEnd"/>
      <w:r w:rsidRPr="00D40F08">
        <w:rPr>
          <w:rFonts w:ascii="Arial" w:hAnsi="Arial" w:cs="Arial"/>
          <w:sz w:val="20"/>
          <w:szCs w:val="20"/>
        </w:rPr>
        <w:t>, focal adhesion kinase/FAK, protein kinase B/</w:t>
      </w:r>
      <w:proofErr w:type="spellStart"/>
      <w:r w:rsidRPr="00D40F08">
        <w:rPr>
          <w:rFonts w:ascii="Arial" w:hAnsi="Arial" w:cs="Arial"/>
          <w:sz w:val="20"/>
          <w:szCs w:val="20"/>
        </w:rPr>
        <w:t>Akt</w:t>
      </w:r>
      <w:proofErr w:type="spellEnd"/>
      <w:r w:rsidRPr="00D40F08">
        <w:rPr>
          <w:rFonts w:ascii="Arial" w:hAnsi="Arial" w:cs="Arial"/>
          <w:sz w:val="20"/>
          <w:szCs w:val="20"/>
        </w:rPr>
        <w:t xml:space="preserve">, β-catenin, </w:t>
      </w:r>
      <w:proofErr w:type="spellStart"/>
      <w:r w:rsidRPr="00D40F08">
        <w:rPr>
          <w:rFonts w:ascii="Arial" w:hAnsi="Arial" w:cs="Arial"/>
          <w:sz w:val="20"/>
          <w:szCs w:val="20"/>
        </w:rPr>
        <w:t>Ras</w:t>
      </w:r>
      <w:proofErr w:type="spellEnd"/>
      <w:r w:rsidRPr="00D40F08">
        <w:rPr>
          <w:rFonts w:ascii="Arial" w:hAnsi="Arial" w:cs="Arial"/>
          <w:sz w:val="20"/>
          <w:szCs w:val="20"/>
        </w:rPr>
        <w:t xml:space="preserve"> homolog family member A (</w:t>
      </w:r>
      <w:proofErr w:type="spellStart"/>
      <w:r w:rsidRPr="00D40F08">
        <w:rPr>
          <w:rFonts w:ascii="Arial" w:hAnsi="Arial" w:cs="Arial"/>
          <w:sz w:val="20"/>
          <w:szCs w:val="20"/>
        </w:rPr>
        <w:t>RhoA</w:t>
      </w:r>
      <w:proofErr w:type="spellEnd"/>
      <w:r w:rsidRPr="00D40F08">
        <w:rPr>
          <w:rFonts w:ascii="Arial" w:hAnsi="Arial" w:cs="Arial"/>
          <w:sz w:val="20"/>
          <w:szCs w:val="20"/>
        </w:rPr>
        <w:t>)</w:t>
      </w:r>
      <w:r w:rsidR="00EF4997">
        <w:rPr>
          <w:rFonts w:ascii="Arial" w:hAnsi="Arial" w:cs="Arial"/>
          <w:sz w:val="20"/>
          <w:szCs w:val="20"/>
        </w:rPr>
        <w:fldChar w:fldCharType="begin" w:fldLock="1"/>
      </w:r>
      <w:r w:rsidR="00F5221A">
        <w:rPr>
          <w:rFonts w:ascii="Arial" w:hAnsi="Arial" w:cs="Arial"/>
          <w:sz w:val="20"/>
          <w:szCs w:val="20"/>
        </w:rPr>
        <w:instrText>ADDIN CSL_CITATION {"citationItems":[{"id":"ITEM-1","itemData":{"DOI":"10.3390/CELLS11111779","ISSN":"20734409","abstract":"Tissue transglutaminase (TG2) is a member of the transglutaminase family that catalyzes Ca2+-dependent protein crosslinks and hydrolyzes guanosine 5′-triphosphate (GTP). The conformation and functions of TG2 are regulated by Ca2+ and GTP levels; the TG2 enzymatically active open conformation is modulated by high Ca2+ concentrations, while high intracellular GTP promotes the closed conformation, with inhibition of the TG-ase activity. TG2’s unique characteristics and its ubiquitous distribution in the intracellular compartment, coupled with its secretion in the extracellular matrix, contribute to modulate the functions of the protein. Its aberrant expression has been observed in several cancer types where it was linked to metastatic progression, resistance to chemotherapy, stemness, and worse clinical outcomes. The N-terminal domain of TG2 binds to the 42 kDa gelatin-binding domain of fibronectin with high affinity, facilitating the formation of a complex with β-integrins, essential for cellular adhesion to the matrix. This mechanism allows TG2 to interact with key matrix proteins and to regulate epithelial to mesenchymal transition and stemness. Here, we highlight the current knowledge on TG2 involvement in cancer, focusing on its roles trans-lating extracellular cues into activation of oncogenic programs. Improved understanding of these mechanisms could lead to new therapeutic strategies targeting this multi-functional protein.","author":[{"dropping-particle":"","family":"Sima","given":"Livia Elena","non-dropping-particle":"","parse-names":false,"suffix":""},{"dropping-particle":"","family":"Matei","given":"Daniela","non-dropping-particle":"","parse-names":false,"suffix":""},{"dropping-particle":"","family":"Condello","given":"Salvatore","non-dropping-particle":"","parse-names":false,"suffix":""}],"container-title":"Cells","id":"ITEM-1","issue":"11","issued":{"date-parts":[["2022","6","1"]]},"publisher":"MDPI","title":"The Outside-In Journey of Tissue Transglutaminase in Cancer","type":"article-journal","volume":"11"},"uris":["http://www.mendeley.com/documents/?uuid=70ae60fb-15c0-36ba-83d6-de4b1d0a2899"]}],"mendeley":{"formattedCitation":"(Sima et al., 2022)","plainTextFormattedCitation":"(Sima et al., 2022)","previouslyFormattedCitation":"&lt;sup&gt;30&lt;/sup&gt;"},"properties":{"noteIndex":0},"schema":"https://github.com/citation-style-language/schema/raw/master/csl-citation.json"}</w:instrText>
      </w:r>
      <w:r w:rsidR="00EF4997">
        <w:rPr>
          <w:rFonts w:ascii="Arial" w:hAnsi="Arial" w:cs="Arial"/>
          <w:sz w:val="20"/>
          <w:szCs w:val="20"/>
        </w:rPr>
        <w:fldChar w:fldCharType="separate"/>
      </w:r>
      <w:r w:rsidR="00F5221A" w:rsidRPr="00F5221A">
        <w:rPr>
          <w:rFonts w:ascii="Arial" w:hAnsi="Arial" w:cs="Arial"/>
          <w:noProof/>
          <w:sz w:val="20"/>
          <w:szCs w:val="20"/>
        </w:rPr>
        <w:t>(</w:t>
      </w:r>
      <w:proofErr w:type="spellStart"/>
      <w:r w:rsidR="00F5221A" w:rsidRPr="00F5221A">
        <w:rPr>
          <w:rFonts w:ascii="Arial" w:hAnsi="Arial" w:cs="Arial"/>
          <w:noProof/>
          <w:sz w:val="20"/>
          <w:szCs w:val="20"/>
        </w:rPr>
        <w:t>Sima</w:t>
      </w:r>
      <w:proofErr w:type="spellEnd"/>
      <w:r w:rsidR="00F5221A" w:rsidRPr="00F5221A">
        <w:rPr>
          <w:rFonts w:ascii="Arial" w:hAnsi="Arial" w:cs="Arial"/>
          <w:noProof/>
          <w:sz w:val="20"/>
          <w:szCs w:val="20"/>
        </w:rPr>
        <w:t xml:space="preserve"> et al., 2022)</w:t>
      </w:r>
      <w:r w:rsidR="00EF4997">
        <w:rPr>
          <w:rFonts w:ascii="Arial" w:hAnsi="Arial" w:cs="Arial"/>
          <w:sz w:val="20"/>
          <w:szCs w:val="20"/>
        </w:rPr>
        <w:fldChar w:fldCharType="end"/>
      </w:r>
      <w:r w:rsidR="00EF4997">
        <w:rPr>
          <w:rFonts w:ascii="Arial" w:hAnsi="Arial" w:cs="Arial"/>
          <w:sz w:val="20"/>
          <w:szCs w:val="20"/>
        </w:rPr>
        <w:t xml:space="preserve">. </w:t>
      </w:r>
      <w:r w:rsidRPr="00D40F08">
        <w:rPr>
          <w:rFonts w:ascii="Arial" w:hAnsi="Arial" w:cs="Arial"/>
          <w:sz w:val="20"/>
          <w:szCs w:val="20"/>
        </w:rPr>
        <w:t xml:space="preserve">Some studies showed that high TG2 expression was a prognostic factor in cancer patients. In the case of gallbladder cancer, </w:t>
      </w:r>
    </w:p>
    <w:p w:rsidR="00D40F08" w:rsidRPr="008663A4" w:rsidRDefault="00D40F08" w:rsidP="00131911">
      <w:pPr>
        <w:pStyle w:val="NormalWeb"/>
        <w:spacing w:line="480" w:lineRule="auto"/>
        <w:jc w:val="both"/>
        <w:rPr>
          <w:rFonts w:ascii="Arial" w:hAnsi="Arial" w:cs="Arial"/>
          <w:color w:val="252525"/>
          <w:sz w:val="20"/>
          <w:szCs w:val="20"/>
        </w:rPr>
      </w:pPr>
      <w:r w:rsidRPr="00D40F08">
        <w:rPr>
          <w:rFonts w:ascii="Arial" w:hAnsi="Arial" w:cs="Arial"/>
          <w:sz w:val="20"/>
          <w:szCs w:val="20"/>
        </w:rPr>
        <w:t xml:space="preserve">Gupta et al., found that </w:t>
      </w:r>
      <w:r w:rsidRPr="00EF4997">
        <w:rPr>
          <w:rFonts w:ascii="Arial" w:hAnsi="Arial" w:cs="Arial"/>
          <w:sz w:val="20"/>
          <w:szCs w:val="20"/>
        </w:rPr>
        <w:t>patients with TG2 positivity had shorter survival times than patients with TG2 negativity</w:t>
      </w:r>
      <w:r w:rsidR="00EF4997">
        <w:rPr>
          <w:rFonts w:ascii="Arial" w:hAnsi="Arial" w:cs="Arial"/>
          <w:sz w:val="20"/>
          <w:szCs w:val="20"/>
        </w:rPr>
        <w:fldChar w:fldCharType="begin" w:fldLock="1"/>
      </w:r>
      <w:r w:rsidR="00F5221A">
        <w:rPr>
          <w:rFonts w:ascii="Arial" w:hAnsi="Arial" w:cs="Arial"/>
          <w:sz w:val="20"/>
          <w:szCs w:val="20"/>
        </w:rPr>
        <w:instrText>ADDIN CSL_CITATION {"citationItems":[{"id":"ITEM-1","itemData":{"DOI":"10.14701/ahbps.2020.24.4.460","ISSN":"2508-5859","PMID":"33234749","abstract":"BACKGROUNDS/AIMS Transglutaminase 2 (TG2) is known to be an important mediator of inflammation induced carcinogenesis pathway. Chronic inflammation is the most important causative factor in Gallbladder cancer (GBC) carcinogenesis. We analyzed the expression of TG2 in GBC and its role as potential prognostic marker, first of its kind study. METHODS We analyzed TG2 expression in 100 cases of GBC and 28 cases of non-cancer gallbladder specimen (calculus cholecystitis). We studied TG2 expression in GBC in comparison to control group and evaluated its role as a potential prognostic marker. RESULTS TG2 score (1-9) was calculated by multiplying percentage cytoplasmic expression (P) with intensity of expression (I) in tumor cells. Positive TG-2 expression was observed in 62% of GBC patients compared to only 21% (n=6) in control group (p=0.001). In curative resection subgroup (n=54), TG2 positive patients showed shorter disease free survival rate (p=0.04) and higher rate of recurrence (p=0.03) compared to TG2 negative patients. TG2 positive expression was observed in 15/16 of patients with recurrent disease. In palliative treatment subgroup, patients with strong TG2 positive expression had poorer disease specific survival (p=0.01) as compared to weakly positive group. On multivariate analysis, lymph node status (p=0.03) and TG2 expression (p=0.037), were found to be significant predictor of recurrence and eventual survival. CONCLUSIONS Positive TG2 expression was related to higher recurrence rates post curative surgery, shorter disease free and overall survival and ultimately portended poor prognosis. It may be helpful in better prognostication and tailoring therapeutic approach for better management of GBC.","author":[{"dropping-particle":"","family":"Gupta","given":"Sameer","non-dropping-particle":"","parse-names":false,"suffix":""},{"dropping-particle":"","family":"Garg","given":"Sudeep","non-dropping-particle":"","parse-names":false,"suffix":""},{"dropping-particle":"","family":"Kumar","given":"Vijay","non-dropping-particle":"","parse-names":false,"suffix":""},{"dropping-particle":"","family":"Chaturvedi","given":"Arun","non-dropping-particle":"","parse-names":false,"suffix":""},{"dropping-particle":"","family":"Misra","given":"Sanjeev","non-dropping-particle":"","parse-names":false,"suffix":""},{"dropping-particle":"","family":"Akhtar","given":"Naseem","non-dropping-particle":"","parse-names":false,"suffix":""},{"dropping-particle":"","family":"Rajan","given":"Shiv","non-dropping-particle":"","parse-names":false,"suffix":""},{"dropping-particle":"","family":"Kaur","given":"Jatinder","non-dropping-particle":"","parse-names":false,"suffix":""},{"dropping-particle":"","family":"Lakshmanan","given":"Manikandan","non-dropping-particle":"","parse-names":false,"suffix":""},{"dropping-particle":"","family":"Jain","given":"Kavitha","non-dropping-particle":"","parse-names":false,"suffix":""}],"container-title":"Annals of hepato-biliary-pancreatic surgery","id":"ITEM-1","issue":"4","issued":{"date-parts":[["2020","11","30"]]},"page":"460-468","publisher":"The Korean Association of Hepato-Biliary-Pancreatic Surgery","title":"Study of tumor transglutaminase 2 expression in gallbladder cancer - Is it a novel predictor of survival?","type":"article-journal","volume":"24"},"uris":["http://www.mendeley.com/documents/?uuid=44279035-9374-3c8e-b41b-168d24671c63"]}],"mendeley":{"formattedCitation":"(Gupta et al., 2020)","plainTextFormattedCitation":"(Gupta et al., 2020)","previouslyFormattedCitation":"&lt;sup&gt;31&lt;/sup&gt;"},"properties":{"noteIndex":0},"schema":"https://github.com/citation-style-language/schema/raw/master/csl-citation.json"}</w:instrText>
      </w:r>
      <w:r w:rsidR="00EF4997">
        <w:rPr>
          <w:rFonts w:ascii="Arial" w:hAnsi="Arial" w:cs="Arial"/>
          <w:sz w:val="20"/>
          <w:szCs w:val="20"/>
        </w:rPr>
        <w:fldChar w:fldCharType="separate"/>
      </w:r>
      <w:r w:rsidR="00F5221A" w:rsidRPr="00F5221A">
        <w:rPr>
          <w:rFonts w:ascii="Arial" w:hAnsi="Arial" w:cs="Arial"/>
          <w:noProof/>
          <w:sz w:val="20"/>
          <w:szCs w:val="20"/>
        </w:rPr>
        <w:t>(Gupta et al., 2020)</w:t>
      </w:r>
      <w:r w:rsidR="00EF4997">
        <w:rPr>
          <w:rFonts w:ascii="Arial" w:hAnsi="Arial" w:cs="Arial"/>
          <w:sz w:val="20"/>
          <w:szCs w:val="20"/>
        </w:rPr>
        <w:fldChar w:fldCharType="end"/>
      </w:r>
      <w:r w:rsidR="00EF4997">
        <w:rPr>
          <w:rFonts w:cs="Arial"/>
          <w:szCs w:val="20"/>
        </w:rPr>
        <w:t xml:space="preserve">. </w:t>
      </w:r>
      <w:r w:rsidRPr="00D40F08">
        <w:rPr>
          <w:rFonts w:ascii="Arial" w:hAnsi="Arial" w:cs="Arial"/>
          <w:sz w:val="20"/>
          <w:szCs w:val="20"/>
        </w:rPr>
        <w:t xml:space="preserve">Similarly, patients with low TG2 expression had longer overall survival and disease-free survival in NSCLC patients than TG2 high-expression patients </w:t>
      </w:r>
      <w:r w:rsidR="00EF4997">
        <w:rPr>
          <w:rFonts w:ascii="Arial" w:hAnsi="Arial" w:cs="Arial"/>
          <w:sz w:val="20"/>
          <w:szCs w:val="20"/>
        </w:rPr>
        <w:fldChar w:fldCharType="begin" w:fldLock="1"/>
      </w:r>
      <w:r w:rsidR="00F5221A">
        <w:rPr>
          <w:rFonts w:ascii="Arial" w:hAnsi="Arial" w:cs="Arial"/>
          <w:sz w:val="20"/>
          <w:szCs w:val="20"/>
        </w:rPr>
        <w:instrText>ADDIN CSL_CITATION {"citationItems":[{"id":"ITEM-1","itemData":{"DOI":"10.18632/oncotarget.17374","ISSN":"1949-2553","PMID":"28715877","abstract":"Transglutaminase 2 (TG2) plays important roles in cell survival and cancer progression. In this study, we examined TG2 expression in specimen of 194 patients diagnosed with non-small cell lung cancer (NSCLC), and found that the TG2 gene expression was significantly higher in lung cancer tissues as compared to paired incisal marginal tissues or normal tissues. Our data revealed that patients with lower level of TG2 expression detected in cancer tissues had longer disease free survival and overall survival as compared to the patients with higher TG2 expression. We also found that TG2 expression level correlated to NSCLC recurrence. These results suggest a potential prognosis impact of TG2 for NSCLC patients.","author":[{"dropping-particle":"","family":"Chihong","given":"Zhu","non-dropping-particle":"","parse-names":false,"suffix":""},{"dropping-particle":"","family":"Yutian","given":"Ling","non-dropping-particle":"","parse-names":false,"suffix":""},{"dropping-particle":"","family":"Danying","given":"Wan","non-dropping-particle":"","parse-names":false,"suffix":""},{"dropping-particle":"","family":"Ruibin","given":"Jiang","non-dropping-particle":"","parse-names":false,"suffix":""},{"dropping-particle":"","family":"Huaying","given":"Sheng","non-dropping-particle":"","parse-names":false,"suffix":""},{"dropping-particle":"","family":"Linhui","given":"Gu","non-dropping-particle":"","parse-names":false,"suffix":""},{"dropping-particle":"","family":"Jianguo","given":"Feng","non-dropping-particle":"","parse-names":false,"suffix":""}],"container-title":"Oncotarget","id":"ITEM-1","issue":"28","issued":{"date-parts":[["2017","7","11"]]},"page":"45577-45584","publisher":"Impact Journals LLC","title":"Prognostic value of Transglutaminase 2 in non-small cell lung cancer patients.","type":"article-journal","volume":"8"},"uris":["http://www.mendeley.com/documents/?uuid=c357dd8b-a12e-30db-b2c2-88814cf0122f"]}],"mendeley":{"formattedCitation":"(Chihong et al., 2017)","plainTextFormattedCitation":"(Chihong et al., 2017)","previouslyFormattedCitation":"&lt;sup&gt;9&lt;/sup&gt;"},"properties":{"noteIndex":0},"schema":"https://github.com/citation-style-language/schema/raw/master/csl-citation.json"}</w:instrText>
      </w:r>
      <w:r w:rsidR="00EF4997">
        <w:rPr>
          <w:rFonts w:ascii="Arial" w:hAnsi="Arial" w:cs="Arial"/>
          <w:sz w:val="20"/>
          <w:szCs w:val="20"/>
        </w:rPr>
        <w:fldChar w:fldCharType="separate"/>
      </w:r>
      <w:r w:rsidR="00F5221A" w:rsidRPr="00F5221A">
        <w:rPr>
          <w:rFonts w:ascii="Arial" w:hAnsi="Arial" w:cs="Arial"/>
          <w:noProof/>
          <w:sz w:val="20"/>
          <w:szCs w:val="20"/>
        </w:rPr>
        <w:t>(Chihong et al., 2017)</w:t>
      </w:r>
      <w:r w:rsidR="00EF4997">
        <w:rPr>
          <w:rFonts w:ascii="Arial" w:hAnsi="Arial" w:cs="Arial"/>
          <w:sz w:val="20"/>
          <w:szCs w:val="20"/>
        </w:rPr>
        <w:fldChar w:fldCharType="end"/>
      </w:r>
      <w:r w:rsidR="00EF4997">
        <w:rPr>
          <w:rFonts w:ascii="Arial" w:hAnsi="Arial" w:cs="Arial"/>
          <w:sz w:val="20"/>
          <w:szCs w:val="20"/>
        </w:rPr>
        <w:t xml:space="preserve">. </w:t>
      </w:r>
      <w:r w:rsidRPr="00D40F08">
        <w:rPr>
          <w:rFonts w:ascii="Arial" w:hAnsi="Arial" w:cs="Arial"/>
          <w:sz w:val="20"/>
          <w:szCs w:val="20"/>
        </w:rPr>
        <w:t>Miyoshi et al.</w:t>
      </w:r>
      <w:r w:rsidRPr="00D40F08">
        <w:rPr>
          <w:rFonts w:ascii="Arial" w:hAnsi="Arial" w:cs="Arial"/>
          <w:color w:val="252525"/>
          <w:sz w:val="20"/>
          <w:szCs w:val="20"/>
          <w:vertAlign w:val="superscript"/>
        </w:rPr>
        <w:t xml:space="preserve"> </w:t>
      </w:r>
      <w:r w:rsidRPr="00D40F08">
        <w:rPr>
          <w:rFonts w:ascii="Arial" w:hAnsi="Arial" w:cs="Arial"/>
          <w:sz w:val="20"/>
          <w:szCs w:val="20"/>
        </w:rPr>
        <w:t>analyzed TG2 expression in 91 paired cases of colorectal cancer (CRC) and noncancerous regions and showed a poorer overall survival rate in the high TG2 expression group than in the low expression group</w:t>
      </w:r>
      <w:r w:rsidR="00EF4997">
        <w:rPr>
          <w:rFonts w:ascii="Arial" w:hAnsi="Arial" w:cs="Arial"/>
          <w:sz w:val="20"/>
          <w:szCs w:val="20"/>
        </w:rPr>
        <w:fldChar w:fldCharType="begin" w:fldLock="1"/>
      </w:r>
      <w:r w:rsidR="00F5221A">
        <w:rPr>
          <w:rFonts w:ascii="Arial" w:hAnsi="Arial" w:cs="Arial"/>
          <w:sz w:val="20"/>
          <w:szCs w:val="20"/>
        </w:rPr>
        <w:instrText>ADDIN CSL_CITATION {"citationItems":[{"id":"ITEM-1","itemData":{"DOI":"10.1245/s10434-009-0865-y","ISSN":"10689265","PMID":"20033322","abstract":"Background: Transglutaminase 2 (TGM2) plays a role in cell growth and survival through the antiapoptosis signaling pathway. Methods: We analyzed TGM2 gene expression in 91 paired cases of colorectal cancer (CRC) and noncancerous regions and seven CRC cell lines to demonstrate the importance of TGM2 expression for the prediction of prognosis of CRC. TGM2 expression was higher in CRC tissue than in corresponding normal tissue by real-time reverse transcriptase-polymerase chain reaction (P = .015). Results: Patients in the high TGM2 expression group showed a poorer overall survival rate than those in the low expression group (P = .001), indicating that the increase in TGM2 expression was an independent prognostic factor. TGM2 was also expressed in the seven CRC cell lines. The in vitro proliferation assay showed that TGM2 expression is involved with tumor growth. Conclusions: The present study suggests that TGM2 is useful as a predictive marker for patient prognosis and may be a novel therapeutic target for CRC. © 2009 Society of Surgical Oncology.","author":[{"dropping-particle":"","family":"Miyoshi","given":"Norikatsu","non-dropping-particle":"","parse-names":false,"suffix":""},{"dropping-particle":"","family":"Ishii","given":"Hideshi","non-dropping-particle":"","parse-names":false,"suffix":""},{"dropping-particle":"","family":"Mimori","given":"Koshi","non-dropping-particle":"","parse-names":false,"suffix":""},{"dropping-particle":"","family":"Tanaka","given":"Fumiaki","non-dropping-particle":"","parse-names":false,"suffix":""},{"dropping-particle":"","family":"Hitora","given":"Toshiki","non-dropping-particle":"","parse-names":false,"suffix":""},{"dropping-particle":"","family":"Tei","given":"Mitsuyoshi","non-dropping-particle":"","parse-names":false,"suffix":""},{"dropping-particle":"","family":"Sekimoto","given":"Mitsugu","non-dropping-particle":"","parse-names":false,"suffix":""},{"dropping-particle":"","family":"Doki","given":"Yuichiro","non-dropping-particle":"","parse-names":false,"suffix":""},{"dropping-particle":"","family":"Mori","given":"Masaki","non-dropping-particle":"","parse-names":false,"suffix":""}],"container-title":"Annals of Surgical Oncology","id":"ITEM-1","issue":"4","issued":{"date-parts":[["2010","4"]]},"page":"967-972","title":"TGM2 is a novel marker for prognosis and therapeutic target in colorectal cancer","type":"article-journal","volume":"17"},"uris":["http://www.mendeley.com/documents/?uuid=cb46117c-d57f-3b1a-a13f-05ea687e2a3d"]}],"mendeley":{"formattedCitation":"(Miyoshi et al., 2010)","plainTextFormattedCitation":"(Miyoshi et al., 2010)","previouslyFormattedCitation":"&lt;sup&gt;5&lt;/sup&gt;"},"properties":{"noteIndex":0},"schema":"https://github.com/citation-style-language/schema/raw/master/csl-citation.json"}</w:instrText>
      </w:r>
      <w:r w:rsidR="00EF4997">
        <w:rPr>
          <w:rFonts w:ascii="Arial" w:hAnsi="Arial" w:cs="Arial"/>
          <w:sz w:val="20"/>
          <w:szCs w:val="20"/>
        </w:rPr>
        <w:fldChar w:fldCharType="separate"/>
      </w:r>
      <w:r w:rsidR="00F5221A" w:rsidRPr="00F5221A">
        <w:rPr>
          <w:rFonts w:ascii="Arial" w:hAnsi="Arial" w:cs="Arial"/>
          <w:noProof/>
          <w:sz w:val="20"/>
          <w:szCs w:val="20"/>
        </w:rPr>
        <w:t>(Miyoshi et al., 2010)</w:t>
      </w:r>
      <w:r w:rsidR="00EF4997">
        <w:rPr>
          <w:rFonts w:ascii="Arial" w:hAnsi="Arial" w:cs="Arial"/>
          <w:sz w:val="20"/>
          <w:szCs w:val="20"/>
        </w:rPr>
        <w:fldChar w:fldCharType="end"/>
      </w:r>
      <w:r w:rsidR="00EF4997">
        <w:rPr>
          <w:rFonts w:ascii="Arial" w:hAnsi="Arial" w:cs="Arial"/>
          <w:sz w:val="20"/>
          <w:szCs w:val="20"/>
        </w:rPr>
        <w:t xml:space="preserve">. </w:t>
      </w:r>
      <w:r w:rsidRPr="00D40F08">
        <w:rPr>
          <w:rFonts w:ascii="Arial" w:hAnsi="Arial" w:cs="Arial"/>
          <w:sz w:val="20"/>
          <w:szCs w:val="20"/>
        </w:rPr>
        <w:t>Strong epithelial TG2 expression has been linked to a poor prognosis in renal cell carcinoma</w:t>
      </w:r>
      <w:r w:rsidR="00EF4997">
        <w:rPr>
          <w:rFonts w:ascii="Arial" w:hAnsi="Arial" w:cs="Arial"/>
          <w:sz w:val="20"/>
          <w:szCs w:val="20"/>
        </w:rPr>
        <w:fldChar w:fldCharType="begin" w:fldLock="1"/>
      </w:r>
      <w:r w:rsidR="00F5221A">
        <w:rPr>
          <w:rFonts w:ascii="Arial" w:hAnsi="Arial" w:cs="Arial"/>
          <w:sz w:val="20"/>
          <w:szCs w:val="20"/>
        </w:rPr>
        <w:instrText>ADDIN CSL_CITATION {"citationItems":[{"id":"ITEM-1","itemData":{"DOI":"10.4132/jptm.2014.10.25","ISSN":"2383-7837","PMID":"25812656","abstract":"BACKGROUND A few recent studies have demonstrated a possible role of transglutaminase 2 (TG2) in tumorigenesis or progression of renal cell carcinoma (RCC). The aim of this study was to examine TG2 expression and its clinicopathologic significance in a large number of human clear cell RCCs (CCRCCs). METHODS We analyzed 638 CCRCC patients who underwent partial or radical nephrectomy between 1995 and 2005. The expression of TG2 was determined by immunohistochemistry and categorized into four groups, according to staining intensity: negative (0), mild (1+), moderate (2+), and strong (3+). RESULTS TG2 staining intensity was negative in 8.5% of CCRCC (n=54), 1+ in 32.6% (n=208), 2+ in 50.5% (n=322), and 3+ in 8.5% (n=54). Strong TG2 expression was correlated with high Fuhrman nuclear grade (p=.011), high T category (p=.049), metastasis (p=.043) and male sex (p&lt;.001) but not with N category.The survival analysis showed a significant association between strong TG2 expression and worse overall and cancer-specific survival (p=.027 and p=.010, respectively). On multivariate analysis, strong TG2 expression was a marginally significant prognostic indicator for Fuhrman nuclear grade and TNM staging (p=.054). CONCLUSIONS Our study is the first to demonstrate the clinicopathologic significance of TG2 expression in a large number of human CCRCC samples. Strong TG2 expression was associated with high nuclear grade and poor prognosis.","author":[{"dropping-particle":"","family":"Park","given":"Min Jee","non-dropping-particle":"","parse-names":false,"suffix":""},{"dropping-particle":"","family":"Baek","given":"Hae Woon","non-dropping-particle":"","parse-names":false,"suffix":""},{"dropping-particle":"","family":"Rhee","given":"Ye-Young","non-dropping-particle":"","parse-names":false,"suffix":""},{"dropping-particle":"","family":"Lee","given":"Cheol","non-dropping-particle":"","parse-names":false,"suffix":""},{"dropping-particle":"","family":"Park","given":"Jeong Whan","non-dropping-particle":"","parse-names":false,"suffix":""},{"dropping-particle":"","family":"Kim","given":"Hwal Woong","non-dropping-particle":"","parse-names":false,"suffix":""},{"dropping-particle":"","family":"Moon","given":"Kyung Chul","non-dropping-particle":"","parse-names":false,"suffix":""}],"container-title":"Journal of pathology and translational medicine","id":"ITEM-1","issue":"1","issued":{"date-parts":[["2015","1"]]},"page":"37-43","publisher":"Seoul National University","title":"Transglutaminase 2 expression and its prognostic significance in clear cell renal cell carcinoma.","type":"article-journal","volume":"49"},"uris":["http://www.mendeley.com/documents/?uuid=155c36cb-be45-3312-b49c-1736b2871c0c"]}],"mendeley":{"formattedCitation":"(Park et al., 2015)","plainTextFormattedCitation":"(Park et al., 2015)","previouslyFormattedCitation":"&lt;sup&gt;12&lt;/sup&gt;"},"properties":{"noteIndex":0},"schema":"https://github.com/citation-style-language/schema/raw/master/csl-citation.json"}</w:instrText>
      </w:r>
      <w:r w:rsidR="00EF4997">
        <w:rPr>
          <w:rFonts w:ascii="Arial" w:hAnsi="Arial" w:cs="Arial"/>
          <w:sz w:val="20"/>
          <w:szCs w:val="20"/>
        </w:rPr>
        <w:fldChar w:fldCharType="separate"/>
      </w:r>
      <w:r w:rsidR="00F5221A" w:rsidRPr="00F5221A">
        <w:rPr>
          <w:rFonts w:ascii="Arial" w:hAnsi="Arial" w:cs="Arial"/>
          <w:noProof/>
          <w:sz w:val="20"/>
          <w:szCs w:val="20"/>
        </w:rPr>
        <w:t>(Park et al., 2015)</w:t>
      </w:r>
      <w:r w:rsidR="00EF4997">
        <w:rPr>
          <w:rFonts w:ascii="Arial" w:hAnsi="Arial" w:cs="Arial"/>
          <w:sz w:val="20"/>
          <w:szCs w:val="20"/>
        </w:rPr>
        <w:fldChar w:fldCharType="end"/>
      </w:r>
      <w:r w:rsidR="00EF4997">
        <w:rPr>
          <w:rFonts w:ascii="Arial" w:hAnsi="Arial" w:cs="Arial"/>
          <w:sz w:val="20"/>
          <w:szCs w:val="20"/>
        </w:rPr>
        <w:t xml:space="preserve">. </w:t>
      </w:r>
      <w:r w:rsidRPr="00D40F08">
        <w:rPr>
          <w:rFonts w:ascii="Arial" w:hAnsi="Arial" w:cs="Arial"/>
          <w:sz w:val="20"/>
          <w:szCs w:val="20"/>
        </w:rPr>
        <w:t xml:space="preserve"> In breast cancer patients, stromal TG2 expression was inversely correlated with disease-free survival </w:t>
      </w:r>
      <w:r w:rsidR="00EF4997">
        <w:rPr>
          <w:rFonts w:ascii="Arial" w:hAnsi="Arial" w:cs="Arial"/>
          <w:sz w:val="20"/>
          <w:szCs w:val="20"/>
        </w:rPr>
        <w:fldChar w:fldCharType="begin" w:fldLock="1"/>
      </w:r>
      <w:r w:rsidR="00F5221A">
        <w:rPr>
          <w:rFonts w:ascii="Arial" w:hAnsi="Arial" w:cs="Arial"/>
          <w:sz w:val="20"/>
          <w:szCs w:val="20"/>
        </w:rPr>
        <w:instrText>ADDIN CSL_CITATION {"citationItems":[{"id":"ITEM-1","itemData":{"DOI":"10.1371/journal.pone.0074437","ISSN":"19326203","PMID":"24058567","abstract":"Introduction:Molecular markers for predicting breast cancer patients at high risk of recurrence are urgently needed for more effective disease management. The impact of alterations in extracellular matrix components on tumor aggressiveness is under intense investigation. Overexpression of Transglutaminase 2 (TG2), a multifunctional enzyme, in cancer cells impacts epithelial mesenchymal transition, growth, invasion and interactions with tumor microenvironment. The objective of our study is to determine the clinical relevance of stromal TG2 overexpression and explore its potential to identify breast cancers at high risk of recurrence.Methods:This retrospective study is based on immunohistochemical analysis of TG2 expression in normal breast tissues (n = 40) and breast cancers (n = 253) with clinical, pathological and follow-up data available for up to 12 years. TG2 expression was correlated with clinical and pathological parameters as well as disease free survival (DFS) of breast cancer patients.Results:Stromal TG2 overexpression was observed in 114/253 (45.0%) breast cancer tissues as compared to breast normal tissues. Among invasive ductal carcinomas (IDC) of the breast, 97/168 (57.7%) showed strong TG2 expression in tumor stroma. Importantly, IDC patients showing stromal TG2 accumulation had significantly reduced DFS (mean DFS = 110 months) in comparison with patients showing low expression (mean DFS = 130 months) in Kaplan-Meier survival analysis (p&lt;0.001). In Cox multivariate regression analysis, stromal TG2 accumulation was an independent risk factor for recurrence (p = 0.006, Hazard's ratio, H.R. = 3.79). Notably, these breast cancer patients also showed immunostaining of N-epsilon gamma-glutamyl lysine amino residues in tumor stroma demonstrating the transamidating activity of TG2.Conclusions:Accumulation of TG2 in tumor stroma is an independent risk factor for identifying breast cancer patients at high risk of recurrence. TG2 overexpression in tumor stroma may serve as a predictor of poor prognosis for IDC of the breast. © 2013 Assi et al.","author":[{"dropping-particle":"","family":"Assi","given":"Jasmeet","non-dropping-particle":"","parse-names":false,"suffix":""},{"dropping-particle":"","family":"Srivastava","given":"Gunjan","non-dropping-particle":"","parse-names":false,"suffix":""},{"dropping-particle":"","family":"Matta","given":"Ajay","non-dropping-particle":"","parse-names":false,"suffix":""},{"dropping-particle":"","family":"Chang","given":"Martin C.","non-dropping-particle":"","parse-names":false,"suffix":""},{"dropping-particle":"","family":"Walfish","given":"Paul G.","non-dropping-particle":"","parse-names":false,"suffix":""},{"dropping-particle":"","family":"Ralhan","given":"Ranju","non-dropping-particle":"","parse-names":false,"suffix":""}],"container-title":"PLoS ONE","id":"ITEM-1","issue":"9","issued":{"date-parts":[["2013","9","13"]]},"title":"Transglutaminase 2 Overexpression in Tumor Stroma Identifies Invasive Ductal Carcinomas of Breast at High Risk of Recurrence","type":"article-journal","volume":"8"},"uris":["http://www.mendeley.com/documents/?uuid=6d109667-3620-3399-b4ef-28956453784d"]}],"mendeley":{"formattedCitation":"(Assi et al., 2013)","plainTextFormattedCitation":"(Assi et al., 2013)","previouslyFormattedCitation":"&lt;sup&gt;10&lt;/sup&gt;"},"properties":{"noteIndex":0},"schema":"https://github.com/citation-style-language/schema/raw/master/csl-citation.json"}</w:instrText>
      </w:r>
      <w:r w:rsidR="00EF4997">
        <w:rPr>
          <w:rFonts w:ascii="Arial" w:hAnsi="Arial" w:cs="Arial"/>
          <w:sz w:val="20"/>
          <w:szCs w:val="20"/>
        </w:rPr>
        <w:fldChar w:fldCharType="separate"/>
      </w:r>
      <w:r w:rsidR="00F5221A" w:rsidRPr="00F5221A">
        <w:rPr>
          <w:rFonts w:ascii="Arial" w:hAnsi="Arial" w:cs="Arial"/>
          <w:noProof/>
          <w:sz w:val="20"/>
          <w:szCs w:val="20"/>
        </w:rPr>
        <w:t>(Assi et al., 2013)</w:t>
      </w:r>
      <w:r w:rsidR="00EF4997">
        <w:rPr>
          <w:rFonts w:ascii="Arial" w:hAnsi="Arial" w:cs="Arial"/>
          <w:sz w:val="20"/>
          <w:szCs w:val="20"/>
        </w:rPr>
        <w:fldChar w:fldCharType="end"/>
      </w:r>
      <w:r w:rsidR="00EF4997">
        <w:rPr>
          <w:rFonts w:ascii="Arial" w:hAnsi="Arial" w:cs="Arial"/>
          <w:sz w:val="20"/>
          <w:szCs w:val="20"/>
        </w:rPr>
        <w:t xml:space="preserve"> </w:t>
      </w:r>
      <w:r w:rsidRPr="00D40F08">
        <w:rPr>
          <w:rFonts w:ascii="Arial" w:hAnsi="Arial" w:cs="Arial"/>
          <w:sz w:val="20"/>
          <w:szCs w:val="20"/>
        </w:rPr>
        <w:t>and high expression was significantly linked to poor patient survival</w:t>
      </w:r>
      <w:r w:rsidR="00EF4997">
        <w:rPr>
          <w:rFonts w:ascii="Arial" w:hAnsi="Arial" w:cs="Arial"/>
          <w:sz w:val="20"/>
          <w:szCs w:val="20"/>
        </w:rPr>
        <w:fldChar w:fldCharType="begin" w:fldLock="1"/>
      </w:r>
      <w:r w:rsidR="00F5221A">
        <w:rPr>
          <w:rFonts w:ascii="Arial" w:hAnsi="Arial" w:cs="Arial"/>
          <w:sz w:val="20"/>
          <w:szCs w:val="20"/>
        </w:rPr>
        <w:instrText>ADDIN CSL_CITATION {"citationItems":[{"id":"ITEM-1","itemData":{"DOI":"10.1158/0008-5472.CAN-07-6130","ISSN":"1538-7445 (Electronic)","PMID":"18632639","abstract":"Tissue type transglutaminase (TG2) is a unique multifunctional protein that plays a role in many steps in the cancer metastatic cascade. Here, we examined the clinical (n = 93 epithelial ovarian cancers) and biological (in vitro adhesion, invasion, and survival and in vivo therapeutic targeting) significance of TG2 in ovarian cancer. The overexpression of TG2 was associated with significantly worse overall patient survival in both univariate and multivariate analyses. Transfection of TG2 into SKOV3ip1 cells promoted attachment and spreading on fibronectin-coated surfaces and increased the in vitro invasive potential of these cells. Conversely, TG2 silencing with small interfering RNA (siRNA) of HeyA8 cells significantly decreased the invasive potential of the cells and also increased docetaxel-induced cell death. In vivo therapy experiments using chemotherapy-sensitive (HeyA8) and chemotherapy-resistant (HeyA8-MDR and RMG2) models showed significant antitumor activity both with TG2 siRNA-1,2-dioleoyl-sn-glycero-3-phosphatidylcholine alone and in combination with docetaxel chemotherapy. This antitumor activity was related to decreased proliferation and angiogenesis and increased tumor cell apoptosis in vivo. Taken together, these findings indicate that TG2 overexpression is an adverse prognostic factor in ovarian carcinoma and TG2 targeting may be an attractive therapeutic approach.","author":[{"dropping-particle":"","family":"Hwang","given":"Jee Young","non-dropping-particle":"","parse-names":false,"suffix":""},{"dropping-particle":"","family":"Mangala","given":"Lingegowda S","non-dropping-particle":"","parse-names":false,"suffix":""},{"dropping-particle":"","family":"Fok","given":"Jansina Y","non-dropping-particle":"","parse-names":false,"suffix":""},{"dropping-particle":"","family":"Lin","given":"Yvonne G","non-dropping-particle":"","parse-names":false,"suffix":""},{"dropping-particle":"","family":"Merritt","given":"William M","non-dropping-particle":"","parse-names":false,"suffix":""},{"dropping-particle":"","family":"Spannuth","given":"Whitney A","non-dropping-particle":"","parse-names":false,"suffix":""},{"dropping-particle":"","family":"Nick","given":"Alpa M","non-dropping-particle":"","parse-names":false,"suffix":""},{"dropping-particle":"","family":"Fiterman","given":"Derek J","non-dropping-particle":"","parse-names":false,"suffix":""},{"dropping-particle":"","family":"Vivas-Mejia","given":"Pablo E","non-dropping-particle":"","parse-names":false,"suffix":""},{"dropping-particle":"","family":"Deavers","given":"Michael T","non-dropping-particle":"","parse-names":false,"suffix":""},{"dropping-particle":"","family":"Coleman","given":"Robert L","non-dropping-particle":"","parse-names":false,"suffix":""},{"dropping-particle":"","family":"Lopez-Berestein","given":"Gabriel","non-dropping-particle":"","parse-names":false,"suffix":""},{"dropping-particle":"","family":"Mehta","given":"Kapil","non-dropping-particle":"","parse-names":false,"suffix":""},{"dropping-particle":"","family":"Sood","given":"Anil K","non-dropping-particle":"","parse-names":false,"suffix":""}],"container-title":"Cancer research","id":"ITEM-1","issue":"14","issued":{"date-parts":[["2008","7"]]},"page":"5849-5858","title":"Clinical and biological significance of tissue transglutaminase in ovarian carcinoma.","type":"article-journal","volume":"68"},"uris":["http://www.mendeley.com/documents/?uuid=97497c89-6095-4921-8890-79b1669db2a2"]}],"mendeley":{"formattedCitation":"(Hwang et al., 2008)","plainTextFormattedCitation":"(Hwang et al., 2008)","previouslyFormattedCitation":"&lt;sup&gt;16&lt;/sup&gt;"},"properties":{"noteIndex":0},"schema":"https://github.com/citation-style-language/schema/raw/master/csl-citation.json"}</w:instrText>
      </w:r>
      <w:r w:rsidR="00EF4997">
        <w:rPr>
          <w:rFonts w:ascii="Arial" w:hAnsi="Arial" w:cs="Arial"/>
          <w:sz w:val="20"/>
          <w:szCs w:val="20"/>
        </w:rPr>
        <w:fldChar w:fldCharType="separate"/>
      </w:r>
      <w:r w:rsidR="00F5221A" w:rsidRPr="00F5221A">
        <w:rPr>
          <w:rFonts w:ascii="Arial" w:hAnsi="Arial" w:cs="Arial"/>
          <w:noProof/>
          <w:sz w:val="20"/>
          <w:szCs w:val="20"/>
        </w:rPr>
        <w:t>(Hwang et al., 2008)</w:t>
      </w:r>
      <w:r w:rsidR="00EF4997">
        <w:rPr>
          <w:rFonts w:ascii="Arial" w:hAnsi="Arial" w:cs="Arial"/>
          <w:sz w:val="20"/>
          <w:szCs w:val="20"/>
        </w:rPr>
        <w:fldChar w:fldCharType="end"/>
      </w:r>
      <w:r w:rsidR="00EF4997">
        <w:rPr>
          <w:rFonts w:ascii="Arial" w:hAnsi="Arial" w:cs="Arial"/>
          <w:sz w:val="20"/>
          <w:szCs w:val="20"/>
        </w:rPr>
        <w:t xml:space="preserve">. </w:t>
      </w:r>
      <w:r w:rsidRPr="00D40F08">
        <w:rPr>
          <w:rFonts w:ascii="Arial" w:hAnsi="Arial" w:cs="Arial"/>
          <w:sz w:val="20"/>
          <w:szCs w:val="20"/>
        </w:rPr>
        <w:t xml:space="preserve">But </w:t>
      </w:r>
      <w:proofErr w:type="spellStart"/>
      <w:r w:rsidRPr="00D40F08">
        <w:rPr>
          <w:rFonts w:ascii="Arial" w:hAnsi="Arial" w:cs="Arial"/>
          <w:sz w:val="20"/>
          <w:szCs w:val="20"/>
        </w:rPr>
        <w:t>Krafft</w:t>
      </w:r>
      <w:proofErr w:type="spellEnd"/>
      <w:r w:rsidRPr="00D40F08">
        <w:rPr>
          <w:rFonts w:ascii="Arial" w:hAnsi="Arial" w:cs="Arial"/>
          <w:sz w:val="20"/>
          <w:szCs w:val="20"/>
        </w:rPr>
        <w:t xml:space="preserve"> et al., did not find a prognostic role for TG2 expression in bladder cancer</w:t>
      </w:r>
      <w:r w:rsidR="00EF4997">
        <w:rPr>
          <w:rFonts w:ascii="Arial" w:hAnsi="Arial" w:cs="Arial"/>
          <w:sz w:val="20"/>
          <w:szCs w:val="20"/>
        </w:rPr>
        <w:fldChar w:fldCharType="begin" w:fldLock="1"/>
      </w:r>
      <w:r w:rsidR="00F5221A">
        <w:rPr>
          <w:rFonts w:ascii="Arial" w:hAnsi="Arial" w:cs="Arial"/>
          <w:sz w:val="20"/>
          <w:szCs w:val="20"/>
        </w:rPr>
        <w:instrText>ADDIN CSL_CITATION {"citationItems":[{"id":"ITEM-1","itemData":{"ISBN":"1078-1439","author":[{"dropping-particle":"","family":"Krafft","given":"Ulrich","non-dropping-particle":"","parse-names":false,"suffix":""},{"dropping-particle":"","family":"Tschirdewahn","given":"Stephan","non-dropping-particle":"","parse-names":false,"suffix":""},{"dropping-particle":"","family":"Hess","given":"Jochen","non-dropping-particle":"","parse-names":false,"suffix":""},{"dropping-particle":"","family":"Harke","given":"Nina N","non-dropping-particle":"","parse-names":false,"suffix":""},{"dropping-particle":"","family":"Hadaschik","given":"Boris","non-dropping-particle":"","parse-names":false,"suffix":""},{"dropping-particle":"","family":"Olah","given":"Csilla","non-dropping-particle":"","parse-names":false,"suffix":""},{"dropping-particle":"","family":"Krege","given":"Susanne","non-dropping-particle":"","parse-names":false,"suffix":""},{"dropping-particle":"","family":"Nyirády","given":"Peter","non-dropping-particle":"","parse-names":false,"suffix":""},{"dropping-particle":"","family":"Szendröi","given":"Attila","non-dropping-particle":"","parse-names":false,"suffix":""},{"dropping-particle":"","family":"Szücs","given":"Miklós","non-dropping-particle":"","parse-names":false,"suffix":""}],"container-title":"Urologic Oncology: Seminars and Original Investigations","id":"ITEM-1","issue":"11","issued":{"date-parts":[["2019"]]},"page":"810-e7","publisher":"Elsevier","title":"Validation of survivin and HMGA2 as biomarkers for cisplatin resistance in bladder cancer","type":"paper-conference","volume":"37"},"uris":["http://www.mendeley.com/documents/?uuid=7333ddec-e42a-4e2e-a4c6-b74b1c58c1fa"]}],"mendeley":{"formattedCitation":"(Krafft et al., 2019)","plainTextFormattedCitation":"(Krafft et al., 2019)","previouslyFormattedCitation":"&lt;sup&gt;14&lt;/sup&gt;"},"properties":{"noteIndex":0},"schema":"https://github.com/citation-style-language/schema/raw/master/csl-citation.json"}</w:instrText>
      </w:r>
      <w:r w:rsidR="00EF4997">
        <w:rPr>
          <w:rFonts w:ascii="Arial" w:hAnsi="Arial" w:cs="Arial"/>
          <w:sz w:val="20"/>
          <w:szCs w:val="20"/>
        </w:rPr>
        <w:fldChar w:fldCharType="separate"/>
      </w:r>
      <w:r w:rsidR="00F5221A" w:rsidRPr="00F5221A">
        <w:rPr>
          <w:rFonts w:ascii="Arial" w:hAnsi="Arial" w:cs="Arial"/>
          <w:noProof/>
          <w:sz w:val="20"/>
          <w:szCs w:val="20"/>
        </w:rPr>
        <w:t>(Krafft et al., 2019)</w:t>
      </w:r>
      <w:r w:rsidR="00EF4997">
        <w:rPr>
          <w:rFonts w:ascii="Arial" w:hAnsi="Arial" w:cs="Arial"/>
          <w:sz w:val="20"/>
          <w:szCs w:val="20"/>
        </w:rPr>
        <w:fldChar w:fldCharType="end"/>
      </w:r>
      <w:r w:rsidRPr="00D40F08">
        <w:rPr>
          <w:rFonts w:ascii="Arial" w:hAnsi="Arial" w:cs="Arial"/>
          <w:sz w:val="20"/>
          <w:szCs w:val="20"/>
        </w:rPr>
        <w:t xml:space="preserve"> </w:t>
      </w:r>
      <w:r w:rsidR="00EF4997">
        <w:rPr>
          <w:rFonts w:ascii="Arial" w:hAnsi="Arial" w:cs="Arial"/>
          <w:sz w:val="20"/>
          <w:szCs w:val="20"/>
        </w:rPr>
        <w:t xml:space="preserve">. </w:t>
      </w:r>
      <w:r w:rsidRPr="00D40F08">
        <w:rPr>
          <w:rFonts w:ascii="Arial" w:hAnsi="Arial" w:cs="Arial"/>
          <w:sz w:val="20"/>
          <w:szCs w:val="20"/>
        </w:rPr>
        <w:t xml:space="preserve">For this contradictory result, we conducted this meta-analysis to understand the prognostic role of TG2 in cancer patients. In this study, we included 11 studies </w:t>
      </w:r>
      <w:r w:rsidRPr="00D40F08">
        <w:rPr>
          <w:rFonts w:ascii="Arial" w:hAnsi="Arial" w:cs="Arial"/>
          <w:sz w:val="20"/>
          <w:szCs w:val="20"/>
        </w:rPr>
        <w:lastRenderedPageBreak/>
        <w:t xml:space="preserve">and a total of 2714 cancer patients. In our meta-analysis, which was performed by using studies that examined the relationship between </w:t>
      </w:r>
      <w:r w:rsidRPr="00EF4997">
        <w:rPr>
          <w:rFonts w:ascii="Arial" w:hAnsi="Arial" w:cs="Arial"/>
          <w:sz w:val="20"/>
          <w:szCs w:val="20"/>
        </w:rPr>
        <w:t>TG2 expression level and survival and also reported contradictory results in the literature;</w:t>
      </w:r>
      <w:r w:rsidRPr="00D40F08">
        <w:rPr>
          <w:rFonts w:ascii="Arial" w:hAnsi="Arial" w:cs="Arial"/>
          <w:sz w:val="20"/>
          <w:szCs w:val="20"/>
        </w:rPr>
        <w:t xml:space="preserve"> it was shown that a high TG2 expression level causes poor overall and disease-free survival.</w:t>
      </w:r>
    </w:p>
    <w:p w:rsidR="007F1078" w:rsidRDefault="00A00D4C">
      <w:pPr>
        <w:pStyle w:val="Heading1"/>
      </w:pPr>
      <w:r>
        <w:t>Acknowledgments</w:t>
      </w:r>
      <w:r w:rsidR="00777DFF">
        <w:t>:</w:t>
      </w:r>
      <w:r>
        <w:t xml:space="preserve"> </w:t>
      </w:r>
      <w:r w:rsidR="00777DFF" w:rsidRPr="00777DFF">
        <w:rPr>
          <w:b w:val="0"/>
          <w:bCs w:val="0"/>
          <w:sz w:val="20"/>
          <w:szCs w:val="20"/>
        </w:rPr>
        <w:t>This research received no grant from any funding agency in the public, commercial, or not-for-profit sectors.</w:t>
      </w:r>
    </w:p>
    <w:p w:rsidR="00533608" w:rsidRDefault="00041CA7">
      <w:pPr>
        <w:rPr>
          <w:color w:val="FF0000"/>
        </w:rPr>
      </w:pPr>
      <w:r>
        <w:rPr>
          <w:b/>
          <w:bCs/>
          <w:sz w:val="32"/>
          <w:szCs w:val="40"/>
        </w:rPr>
        <w:t xml:space="preserve">Disclosure: </w:t>
      </w:r>
      <w:r w:rsidR="00A00D4C">
        <w:t xml:space="preserve">The author reports no conflicts of interest in this work. </w:t>
      </w:r>
      <w:r w:rsidR="00A00D4C">
        <w:rPr>
          <w:color w:val="FF0000"/>
        </w:rPr>
        <w:br/>
      </w:r>
    </w:p>
    <w:p w:rsidR="007F1078" w:rsidRDefault="00A00D4C">
      <w:pPr>
        <w:pStyle w:val="Heading1"/>
      </w:pPr>
      <w:r>
        <w:t xml:space="preserve">References </w:t>
      </w:r>
    </w:p>
    <w:p w:rsidR="00F5221A" w:rsidRPr="00F5221A" w:rsidRDefault="00F5221A" w:rsidP="00F5221A">
      <w:pPr>
        <w:widowControl w:val="0"/>
        <w:autoSpaceDE w:val="0"/>
        <w:autoSpaceDN w:val="0"/>
        <w:adjustRightInd w:val="0"/>
        <w:ind w:left="480" w:hanging="480"/>
        <w:rPr>
          <w:rFonts w:cs="Arial"/>
          <w:noProof/>
        </w:rPr>
      </w:pPr>
      <w:r>
        <w:fldChar w:fldCharType="begin" w:fldLock="1"/>
      </w:r>
      <w:r>
        <w:instrText xml:space="preserve">ADDIN Mendeley Bibliography CSL_BIBLIOGRAPHY </w:instrText>
      </w:r>
      <w:r>
        <w:fldChar w:fldCharType="separate"/>
      </w:r>
      <w:r w:rsidRPr="00F5221A">
        <w:rPr>
          <w:rFonts w:cs="Arial"/>
          <w:noProof/>
        </w:rPr>
        <w:t xml:space="preserve">Adhikary, G., Grun, D., Alexander, H. R., Friedberg, J. S., Xu, W., Keillor, J. W., Kandasamy, S., &amp; Eckert, R. L. (2018). Transglutaminase is a mesothelioma cancer stem cell survival protein that is required for tumor formation. </w:t>
      </w:r>
      <w:r w:rsidRPr="00F5221A">
        <w:rPr>
          <w:rFonts w:cs="Arial"/>
          <w:i/>
          <w:iCs/>
          <w:noProof/>
        </w:rPr>
        <w:t>Oncotarget</w:t>
      </w:r>
      <w:r w:rsidRPr="00F5221A">
        <w:rPr>
          <w:rFonts w:cs="Arial"/>
          <w:noProof/>
        </w:rPr>
        <w:t xml:space="preserve">, </w:t>
      </w:r>
      <w:r w:rsidRPr="00F5221A">
        <w:rPr>
          <w:rFonts w:cs="Arial"/>
          <w:i/>
          <w:iCs/>
          <w:noProof/>
        </w:rPr>
        <w:t>9</w:t>
      </w:r>
      <w:r w:rsidRPr="00F5221A">
        <w:rPr>
          <w:rFonts w:cs="Arial"/>
          <w:noProof/>
        </w:rPr>
        <w:t>(77), 34495–34505. https://doi.org/10.18632/oncotarget.26130</w:t>
      </w:r>
    </w:p>
    <w:p w:rsidR="00F5221A" w:rsidRPr="00F5221A" w:rsidRDefault="00F5221A" w:rsidP="00F5221A">
      <w:pPr>
        <w:widowControl w:val="0"/>
        <w:autoSpaceDE w:val="0"/>
        <w:autoSpaceDN w:val="0"/>
        <w:adjustRightInd w:val="0"/>
        <w:ind w:left="480" w:hanging="480"/>
        <w:rPr>
          <w:rFonts w:cs="Arial"/>
          <w:noProof/>
        </w:rPr>
      </w:pPr>
      <w:r w:rsidRPr="00F5221A">
        <w:rPr>
          <w:rFonts w:cs="Arial"/>
          <w:noProof/>
        </w:rPr>
        <w:t xml:space="preserve">Assi, J., Srivastava, G., Matta, A., Chang, M. C., Walfish, P. G., &amp; Ralhan, R. (2013). Transglutaminase 2 Overexpression in Tumor Stroma Identifies Invasive Ductal Carcinomas of Breast at High Risk of Recurrence. </w:t>
      </w:r>
      <w:r w:rsidRPr="00F5221A">
        <w:rPr>
          <w:rFonts w:cs="Arial"/>
          <w:i/>
          <w:iCs/>
          <w:noProof/>
        </w:rPr>
        <w:t>PLoS ONE</w:t>
      </w:r>
      <w:r w:rsidRPr="00F5221A">
        <w:rPr>
          <w:rFonts w:cs="Arial"/>
          <w:noProof/>
        </w:rPr>
        <w:t xml:space="preserve">, </w:t>
      </w:r>
      <w:r w:rsidRPr="00F5221A">
        <w:rPr>
          <w:rFonts w:cs="Arial"/>
          <w:i/>
          <w:iCs/>
          <w:noProof/>
        </w:rPr>
        <w:t>8</w:t>
      </w:r>
      <w:r w:rsidRPr="00F5221A">
        <w:rPr>
          <w:rFonts w:cs="Arial"/>
          <w:noProof/>
        </w:rPr>
        <w:t>(9). https://doi.org/10.1371/journal.pone.0074437</w:t>
      </w:r>
    </w:p>
    <w:p w:rsidR="00F5221A" w:rsidRPr="00F5221A" w:rsidRDefault="00F5221A" w:rsidP="00F5221A">
      <w:pPr>
        <w:widowControl w:val="0"/>
        <w:autoSpaceDE w:val="0"/>
        <w:autoSpaceDN w:val="0"/>
        <w:adjustRightInd w:val="0"/>
        <w:ind w:left="480" w:hanging="480"/>
        <w:rPr>
          <w:rFonts w:cs="Arial"/>
          <w:noProof/>
        </w:rPr>
      </w:pPr>
      <w:r w:rsidRPr="00F5221A">
        <w:rPr>
          <w:rFonts w:cs="Arial"/>
          <w:noProof/>
        </w:rPr>
        <w:t xml:space="preserve">Chihong, Z., Yutian, L., Danying, W., Ruibin, J., Huaying, S., Linhui, G., &amp; Jianguo, F. (2017). Prognostic value of Transglutaminase 2 in non-small cell lung cancer patients. </w:t>
      </w:r>
      <w:r w:rsidRPr="00F5221A">
        <w:rPr>
          <w:rFonts w:cs="Arial"/>
          <w:i/>
          <w:iCs/>
          <w:noProof/>
        </w:rPr>
        <w:t>Oncotarget</w:t>
      </w:r>
      <w:r w:rsidRPr="00F5221A">
        <w:rPr>
          <w:rFonts w:cs="Arial"/>
          <w:noProof/>
        </w:rPr>
        <w:t xml:space="preserve">, </w:t>
      </w:r>
      <w:r w:rsidRPr="00F5221A">
        <w:rPr>
          <w:rFonts w:cs="Arial"/>
          <w:i/>
          <w:iCs/>
          <w:noProof/>
        </w:rPr>
        <w:t>8</w:t>
      </w:r>
      <w:r w:rsidRPr="00F5221A">
        <w:rPr>
          <w:rFonts w:cs="Arial"/>
          <w:noProof/>
        </w:rPr>
        <w:t>(28), 45577–45584. https://doi.org/10.18632/oncotarget.17374</w:t>
      </w:r>
    </w:p>
    <w:p w:rsidR="00F5221A" w:rsidRPr="00F5221A" w:rsidRDefault="00F5221A" w:rsidP="00F5221A">
      <w:pPr>
        <w:widowControl w:val="0"/>
        <w:autoSpaceDE w:val="0"/>
        <w:autoSpaceDN w:val="0"/>
        <w:adjustRightInd w:val="0"/>
        <w:ind w:left="480" w:hanging="480"/>
        <w:rPr>
          <w:rFonts w:cs="Arial"/>
          <w:noProof/>
        </w:rPr>
      </w:pPr>
      <w:r w:rsidRPr="00F5221A">
        <w:rPr>
          <w:rFonts w:cs="Arial"/>
          <w:noProof/>
        </w:rPr>
        <w:t xml:space="preserve">Choi, C. M., Jang, S. J., Park, S. Y., Choi, Y. B., Jeong, J. H., Kim, D. S., Kim, H. K., Park, K. S., Nam, B. H., Kim, H. R., Kim, S. Y., &amp; Hong, K. M. (2011). Transglutaminase 2 as an independent prognostic marker for survival of patients with non-adenocarcinoma subtype of non-small cell lung cancer. </w:t>
      </w:r>
      <w:r w:rsidRPr="00F5221A">
        <w:rPr>
          <w:rFonts w:cs="Arial"/>
          <w:i/>
          <w:iCs/>
          <w:noProof/>
        </w:rPr>
        <w:t>Molecular Cancer</w:t>
      </w:r>
      <w:r w:rsidRPr="00F5221A">
        <w:rPr>
          <w:rFonts w:cs="Arial"/>
          <w:noProof/>
        </w:rPr>
        <w:t xml:space="preserve">, </w:t>
      </w:r>
      <w:r w:rsidRPr="00F5221A">
        <w:rPr>
          <w:rFonts w:cs="Arial"/>
          <w:i/>
          <w:iCs/>
          <w:noProof/>
        </w:rPr>
        <w:t>10</w:t>
      </w:r>
      <w:r w:rsidRPr="00F5221A">
        <w:rPr>
          <w:rFonts w:cs="Arial"/>
          <w:noProof/>
        </w:rPr>
        <w:t>. https://doi.org/10.1186/1476-4598-10-119</w:t>
      </w:r>
    </w:p>
    <w:p w:rsidR="00F5221A" w:rsidRPr="00F5221A" w:rsidRDefault="00F5221A" w:rsidP="00F5221A">
      <w:pPr>
        <w:widowControl w:val="0"/>
        <w:autoSpaceDE w:val="0"/>
        <w:autoSpaceDN w:val="0"/>
        <w:adjustRightInd w:val="0"/>
        <w:ind w:left="480" w:hanging="480"/>
        <w:rPr>
          <w:rFonts w:cs="Arial"/>
          <w:noProof/>
        </w:rPr>
      </w:pPr>
      <w:r w:rsidRPr="00F5221A">
        <w:rPr>
          <w:rFonts w:cs="Arial"/>
          <w:noProof/>
        </w:rPr>
        <w:t xml:space="preserve">Eckert, R. L. (2019). Transglutaminase 2 takes center stage as a cancer cell survival factor and </w:t>
      </w:r>
      <w:r w:rsidRPr="00F5221A">
        <w:rPr>
          <w:rFonts w:cs="Arial"/>
          <w:noProof/>
        </w:rPr>
        <w:lastRenderedPageBreak/>
        <w:t xml:space="preserve">therapy target. </w:t>
      </w:r>
      <w:r w:rsidRPr="00F5221A">
        <w:rPr>
          <w:rFonts w:cs="Arial"/>
          <w:i/>
          <w:iCs/>
          <w:noProof/>
        </w:rPr>
        <w:t>Molecular Carcinogenesis</w:t>
      </w:r>
      <w:r w:rsidRPr="00F5221A">
        <w:rPr>
          <w:rFonts w:cs="Arial"/>
          <w:noProof/>
        </w:rPr>
        <w:t xml:space="preserve">, </w:t>
      </w:r>
      <w:r w:rsidRPr="00F5221A">
        <w:rPr>
          <w:rFonts w:cs="Arial"/>
          <w:i/>
          <w:iCs/>
          <w:noProof/>
        </w:rPr>
        <w:t>58</w:t>
      </w:r>
      <w:r w:rsidRPr="00F5221A">
        <w:rPr>
          <w:rFonts w:cs="Arial"/>
          <w:noProof/>
        </w:rPr>
        <w:t>(6), 837–853. https://doi.org/10.1002/mc.22986</w:t>
      </w:r>
    </w:p>
    <w:p w:rsidR="00F5221A" w:rsidRPr="00F5221A" w:rsidRDefault="00F5221A" w:rsidP="00F5221A">
      <w:pPr>
        <w:widowControl w:val="0"/>
        <w:autoSpaceDE w:val="0"/>
        <w:autoSpaceDN w:val="0"/>
        <w:adjustRightInd w:val="0"/>
        <w:ind w:left="480" w:hanging="480"/>
        <w:rPr>
          <w:rFonts w:cs="Arial"/>
          <w:noProof/>
        </w:rPr>
      </w:pPr>
      <w:r w:rsidRPr="00F5221A">
        <w:rPr>
          <w:rFonts w:cs="Arial"/>
          <w:noProof/>
        </w:rPr>
        <w:t xml:space="preserve">Fernández-Aceñero, M. J., Torres, S., Garcia-Palmero, I., Díaz del Arco, C., &amp; Casal, J. I. (2016). Prognostic role of tissue transglutaminase 2 in colon carcinoma. </w:t>
      </w:r>
      <w:r w:rsidRPr="00F5221A">
        <w:rPr>
          <w:rFonts w:cs="Arial"/>
          <w:i/>
          <w:iCs/>
          <w:noProof/>
        </w:rPr>
        <w:t>Virchows Archiv</w:t>
      </w:r>
      <w:r w:rsidRPr="00F5221A">
        <w:rPr>
          <w:rFonts w:cs="Arial"/>
          <w:noProof/>
        </w:rPr>
        <w:t xml:space="preserve">, </w:t>
      </w:r>
      <w:r w:rsidRPr="00F5221A">
        <w:rPr>
          <w:rFonts w:cs="Arial"/>
          <w:i/>
          <w:iCs/>
          <w:noProof/>
        </w:rPr>
        <w:t>469</w:t>
      </w:r>
      <w:r w:rsidRPr="00F5221A">
        <w:rPr>
          <w:rFonts w:cs="Arial"/>
          <w:noProof/>
        </w:rPr>
        <w:t>(6), 611–619. https://doi.org/10.1007/s00428-016-2020-z</w:t>
      </w:r>
    </w:p>
    <w:p w:rsidR="00F5221A" w:rsidRPr="00F5221A" w:rsidRDefault="00F5221A" w:rsidP="00F5221A">
      <w:pPr>
        <w:widowControl w:val="0"/>
        <w:autoSpaceDE w:val="0"/>
        <w:autoSpaceDN w:val="0"/>
        <w:adjustRightInd w:val="0"/>
        <w:ind w:left="480" w:hanging="480"/>
        <w:rPr>
          <w:rFonts w:cs="Arial"/>
          <w:noProof/>
        </w:rPr>
      </w:pPr>
      <w:r w:rsidRPr="00F5221A">
        <w:rPr>
          <w:rFonts w:cs="Arial"/>
          <w:noProof/>
        </w:rPr>
        <w:t xml:space="preserve">Fesus, L., &amp; Piacentini, M. (2002). Transglutaminase 2: an enigmatic enzyme with diverse functions. </w:t>
      </w:r>
      <w:r w:rsidRPr="00F5221A">
        <w:rPr>
          <w:rFonts w:cs="Arial"/>
          <w:i/>
          <w:iCs/>
          <w:noProof/>
        </w:rPr>
        <w:t>Trends in Biochemical Sciences</w:t>
      </w:r>
      <w:r w:rsidRPr="00F5221A">
        <w:rPr>
          <w:rFonts w:cs="Arial"/>
          <w:noProof/>
        </w:rPr>
        <w:t xml:space="preserve">, </w:t>
      </w:r>
      <w:r w:rsidRPr="00F5221A">
        <w:rPr>
          <w:rFonts w:cs="Arial"/>
          <w:i/>
          <w:iCs/>
          <w:noProof/>
        </w:rPr>
        <w:t>27</w:t>
      </w:r>
      <w:r w:rsidRPr="00F5221A">
        <w:rPr>
          <w:rFonts w:cs="Arial"/>
          <w:noProof/>
        </w:rPr>
        <w:t>(10), 534–539. https://doi.org/10.1016/s0968-0004(02)02182-5</w:t>
      </w:r>
    </w:p>
    <w:p w:rsidR="00F5221A" w:rsidRPr="00F5221A" w:rsidRDefault="00F5221A" w:rsidP="00F5221A">
      <w:pPr>
        <w:widowControl w:val="0"/>
        <w:autoSpaceDE w:val="0"/>
        <w:autoSpaceDN w:val="0"/>
        <w:adjustRightInd w:val="0"/>
        <w:ind w:left="480" w:hanging="480"/>
        <w:rPr>
          <w:rFonts w:cs="Arial"/>
          <w:noProof/>
        </w:rPr>
      </w:pPr>
      <w:r w:rsidRPr="00F5221A">
        <w:rPr>
          <w:rFonts w:cs="Arial"/>
          <w:noProof/>
        </w:rPr>
        <w:t xml:space="preserve">Gupta, S., Garg, S., Kumar, V., Chaturvedi, A., Misra, S., Akhtar, N., Rajan, S., Kaur, J., Lakshmanan, M., &amp; Jain, K. (2020). Study of tumor transglutaminase 2 expression in gallbladder cancer - Is it a novel predictor of survival? </w:t>
      </w:r>
      <w:r w:rsidRPr="00F5221A">
        <w:rPr>
          <w:rFonts w:cs="Arial"/>
          <w:i/>
          <w:iCs/>
          <w:noProof/>
        </w:rPr>
        <w:t>Annals of Hepato-Biliary-Pancreatic Surgery</w:t>
      </w:r>
      <w:r w:rsidRPr="00F5221A">
        <w:rPr>
          <w:rFonts w:cs="Arial"/>
          <w:noProof/>
        </w:rPr>
        <w:t xml:space="preserve">, </w:t>
      </w:r>
      <w:r w:rsidRPr="00F5221A">
        <w:rPr>
          <w:rFonts w:cs="Arial"/>
          <w:i/>
          <w:iCs/>
          <w:noProof/>
        </w:rPr>
        <w:t>24</w:t>
      </w:r>
      <w:r w:rsidRPr="00F5221A">
        <w:rPr>
          <w:rFonts w:cs="Arial"/>
          <w:noProof/>
        </w:rPr>
        <w:t>(4), 460–468. https://doi.org/10.14701/ahbps.2020.24.4.460</w:t>
      </w:r>
    </w:p>
    <w:p w:rsidR="00F5221A" w:rsidRPr="00F5221A" w:rsidRDefault="00F5221A" w:rsidP="00F5221A">
      <w:pPr>
        <w:widowControl w:val="0"/>
        <w:autoSpaceDE w:val="0"/>
        <w:autoSpaceDN w:val="0"/>
        <w:adjustRightInd w:val="0"/>
        <w:ind w:left="480" w:hanging="480"/>
        <w:rPr>
          <w:rFonts w:cs="Arial"/>
          <w:noProof/>
        </w:rPr>
      </w:pPr>
      <w:r w:rsidRPr="00F5221A">
        <w:rPr>
          <w:rFonts w:cs="Arial"/>
          <w:noProof/>
        </w:rPr>
        <w:t xml:space="preserve">Hidaka, H., Seki, N., Yoshino, H., Yamasaki, T., Yamada, Y., Nohata, N., Fuse, M., Nakagawa, M., &amp; Enokida, H. (2012). Tumor suppressive microRNA-1285 regulates novel molecular targets: aberrant expression and functional significance in renal cell carcinoma. </w:t>
      </w:r>
      <w:r w:rsidRPr="00F5221A">
        <w:rPr>
          <w:rFonts w:cs="Arial"/>
          <w:i/>
          <w:iCs/>
          <w:noProof/>
        </w:rPr>
        <w:t>Oncotarget</w:t>
      </w:r>
      <w:r w:rsidRPr="00F5221A">
        <w:rPr>
          <w:rFonts w:cs="Arial"/>
          <w:noProof/>
        </w:rPr>
        <w:t xml:space="preserve">, </w:t>
      </w:r>
      <w:r w:rsidRPr="00F5221A">
        <w:rPr>
          <w:rFonts w:cs="Arial"/>
          <w:i/>
          <w:iCs/>
          <w:noProof/>
        </w:rPr>
        <w:t>3</w:t>
      </w:r>
      <w:r w:rsidRPr="00F5221A">
        <w:rPr>
          <w:rFonts w:cs="Arial"/>
          <w:noProof/>
        </w:rPr>
        <w:t>(1), 44.</w:t>
      </w:r>
    </w:p>
    <w:p w:rsidR="00F5221A" w:rsidRPr="00F5221A" w:rsidRDefault="00F5221A" w:rsidP="00F5221A">
      <w:pPr>
        <w:widowControl w:val="0"/>
        <w:autoSpaceDE w:val="0"/>
        <w:autoSpaceDN w:val="0"/>
        <w:adjustRightInd w:val="0"/>
        <w:ind w:left="480" w:hanging="480"/>
        <w:rPr>
          <w:rFonts w:cs="Arial"/>
          <w:noProof/>
        </w:rPr>
      </w:pPr>
      <w:r w:rsidRPr="00F5221A">
        <w:rPr>
          <w:rFonts w:cs="Arial"/>
          <w:noProof/>
        </w:rPr>
        <w:t xml:space="preserve">Huang, L., Xu, A. M., &amp; Liu, W. (2015). Transglutaminase 2 in cancer. </w:t>
      </w:r>
      <w:r w:rsidRPr="00F5221A">
        <w:rPr>
          <w:rFonts w:cs="Arial"/>
          <w:i/>
          <w:iCs/>
          <w:noProof/>
        </w:rPr>
        <w:t>American Journal of Cancer Research</w:t>
      </w:r>
      <w:r w:rsidRPr="00F5221A">
        <w:rPr>
          <w:rFonts w:cs="Arial"/>
          <w:noProof/>
        </w:rPr>
        <w:t xml:space="preserve">, </w:t>
      </w:r>
      <w:r w:rsidRPr="00F5221A">
        <w:rPr>
          <w:rFonts w:cs="Arial"/>
          <w:i/>
          <w:iCs/>
          <w:noProof/>
        </w:rPr>
        <w:t>5</w:t>
      </w:r>
      <w:r w:rsidRPr="00F5221A">
        <w:rPr>
          <w:rFonts w:cs="Arial"/>
          <w:noProof/>
        </w:rPr>
        <w:t>(9), 2756–2776.</w:t>
      </w:r>
    </w:p>
    <w:p w:rsidR="00F5221A" w:rsidRPr="00F5221A" w:rsidRDefault="00F5221A" w:rsidP="00F5221A">
      <w:pPr>
        <w:widowControl w:val="0"/>
        <w:autoSpaceDE w:val="0"/>
        <w:autoSpaceDN w:val="0"/>
        <w:adjustRightInd w:val="0"/>
        <w:ind w:left="480" w:hanging="480"/>
        <w:rPr>
          <w:rFonts w:cs="Arial"/>
          <w:noProof/>
        </w:rPr>
      </w:pPr>
      <w:r w:rsidRPr="00F5221A">
        <w:rPr>
          <w:rFonts w:cs="Arial"/>
          <w:noProof/>
        </w:rPr>
        <w:t xml:space="preserve">Hwang, J. Y., Mangala, L. S., Fok, J. Y., Lin, Y. G., Merritt, W. M., Spannuth, W. A., Nick, A. M., Fiterman, D. J., Vivas-Mejia, P. E., Deavers, M. T., Coleman, R. L., Lopez-Berestein, G., Mehta, K., &amp; Sood, A. K. (2008). Clinical and biological significance of tissue transglutaminase in ovarian carcinoma. </w:t>
      </w:r>
      <w:r w:rsidRPr="00F5221A">
        <w:rPr>
          <w:rFonts w:cs="Arial"/>
          <w:i/>
          <w:iCs/>
          <w:noProof/>
        </w:rPr>
        <w:t>Cancer Research</w:t>
      </w:r>
      <w:r w:rsidRPr="00F5221A">
        <w:rPr>
          <w:rFonts w:cs="Arial"/>
          <w:noProof/>
        </w:rPr>
        <w:t xml:space="preserve">, </w:t>
      </w:r>
      <w:r w:rsidRPr="00F5221A">
        <w:rPr>
          <w:rFonts w:cs="Arial"/>
          <w:i/>
          <w:iCs/>
          <w:noProof/>
        </w:rPr>
        <w:t>68</w:t>
      </w:r>
      <w:r w:rsidRPr="00F5221A">
        <w:rPr>
          <w:rFonts w:cs="Arial"/>
          <w:noProof/>
        </w:rPr>
        <w:t>(14), 5849–5858. https://doi.org/10.1158/0008-5472.CAN-07-6130</w:t>
      </w:r>
    </w:p>
    <w:p w:rsidR="00F5221A" w:rsidRPr="00F5221A" w:rsidRDefault="00F5221A" w:rsidP="00F5221A">
      <w:pPr>
        <w:widowControl w:val="0"/>
        <w:autoSpaceDE w:val="0"/>
        <w:autoSpaceDN w:val="0"/>
        <w:adjustRightInd w:val="0"/>
        <w:ind w:left="480" w:hanging="480"/>
        <w:rPr>
          <w:rFonts w:cs="Arial"/>
          <w:noProof/>
        </w:rPr>
      </w:pPr>
      <w:r w:rsidRPr="00F5221A">
        <w:rPr>
          <w:rFonts w:cs="Arial"/>
          <w:noProof/>
        </w:rPr>
        <w:t xml:space="preserve">Iismaa, S. E., Mearns, B. M., Lorand, L., &amp; Graham, R. M. (2009). Transglutaminases and disease: lessons from genetically engineered mouse models and inherited disorders. </w:t>
      </w:r>
      <w:r w:rsidRPr="00F5221A">
        <w:rPr>
          <w:rFonts w:cs="Arial"/>
          <w:i/>
          <w:iCs/>
          <w:noProof/>
        </w:rPr>
        <w:t>Physiological Reviews</w:t>
      </w:r>
      <w:r w:rsidRPr="00F5221A">
        <w:rPr>
          <w:rFonts w:cs="Arial"/>
          <w:noProof/>
        </w:rPr>
        <w:t xml:space="preserve">, </w:t>
      </w:r>
      <w:r w:rsidRPr="00F5221A">
        <w:rPr>
          <w:rFonts w:cs="Arial"/>
          <w:i/>
          <w:iCs/>
          <w:noProof/>
        </w:rPr>
        <w:t>89</w:t>
      </w:r>
      <w:r w:rsidRPr="00F5221A">
        <w:rPr>
          <w:rFonts w:cs="Arial"/>
          <w:noProof/>
        </w:rPr>
        <w:t>(3), 991–1023.</w:t>
      </w:r>
    </w:p>
    <w:p w:rsidR="00F5221A" w:rsidRPr="00F5221A" w:rsidRDefault="00F5221A" w:rsidP="00F5221A">
      <w:pPr>
        <w:widowControl w:val="0"/>
        <w:autoSpaceDE w:val="0"/>
        <w:autoSpaceDN w:val="0"/>
        <w:adjustRightInd w:val="0"/>
        <w:ind w:left="480" w:hanging="480"/>
        <w:rPr>
          <w:rFonts w:cs="Arial"/>
          <w:noProof/>
        </w:rPr>
      </w:pPr>
      <w:r w:rsidRPr="00F5221A">
        <w:rPr>
          <w:rFonts w:cs="Arial"/>
          <w:noProof/>
        </w:rPr>
        <w:t xml:space="preserve">Jeong, J. H., Cho, B. C., Shim, H. S., Kim, H. R., Lim, S. M., Kim, S. K., Chung, K. Y., Bakhtiar Ul Islam, S. M., Song, J. J., Kim, S. Y., &amp; Kim, J. H. (2013). Transglutaminase 2 expression predicts progression free survival in non-small cell lung cancer patients treated with </w:t>
      </w:r>
      <w:r w:rsidRPr="00F5221A">
        <w:rPr>
          <w:rFonts w:cs="Arial"/>
          <w:noProof/>
        </w:rPr>
        <w:lastRenderedPageBreak/>
        <w:t xml:space="preserve">epidermal growth factor receptor tyrosine kinase inhibitor. </w:t>
      </w:r>
      <w:r w:rsidRPr="00F5221A">
        <w:rPr>
          <w:rFonts w:cs="Arial"/>
          <w:i/>
          <w:iCs/>
          <w:noProof/>
        </w:rPr>
        <w:t>Journal of Korean Medical Science</w:t>
      </w:r>
      <w:r w:rsidRPr="00F5221A">
        <w:rPr>
          <w:rFonts w:cs="Arial"/>
          <w:noProof/>
        </w:rPr>
        <w:t xml:space="preserve">, </w:t>
      </w:r>
      <w:r w:rsidRPr="00F5221A">
        <w:rPr>
          <w:rFonts w:cs="Arial"/>
          <w:i/>
          <w:iCs/>
          <w:noProof/>
        </w:rPr>
        <w:t>28</w:t>
      </w:r>
      <w:r w:rsidRPr="00F5221A">
        <w:rPr>
          <w:rFonts w:cs="Arial"/>
          <w:noProof/>
        </w:rPr>
        <w:t>(7), 1005–1014. https://doi.org/10.3346/jkms.2013.28.7.1005</w:t>
      </w:r>
    </w:p>
    <w:p w:rsidR="00F5221A" w:rsidRPr="00F5221A" w:rsidRDefault="00F5221A" w:rsidP="00F5221A">
      <w:pPr>
        <w:widowControl w:val="0"/>
        <w:autoSpaceDE w:val="0"/>
        <w:autoSpaceDN w:val="0"/>
        <w:adjustRightInd w:val="0"/>
        <w:ind w:left="480" w:hanging="480"/>
        <w:rPr>
          <w:rFonts w:cs="Arial"/>
          <w:noProof/>
        </w:rPr>
      </w:pPr>
      <w:r w:rsidRPr="00F5221A">
        <w:rPr>
          <w:rFonts w:cs="Arial"/>
          <w:noProof/>
        </w:rPr>
        <w:t xml:space="preserve">Jin, T., Lin, H. X., Lin, H., Guo, L. B., Ge, N., Cai, X. Y., Sun, R., Chen, W. K., Li, Q. L., &amp; Hu, W. H. (2012). Expression TGM2 and BNIP3 have prognostic significance in laryngeal cancer patients receiving surgery and postoperative radiotherapy: A retrospective study. </w:t>
      </w:r>
      <w:r w:rsidRPr="00F5221A">
        <w:rPr>
          <w:rFonts w:cs="Arial"/>
          <w:i/>
          <w:iCs/>
          <w:noProof/>
        </w:rPr>
        <w:t>Journal of Translational Medicine</w:t>
      </w:r>
      <w:r w:rsidRPr="00F5221A">
        <w:rPr>
          <w:rFonts w:cs="Arial"/>
          <w:noProof/>
        </w:rPr>
        <w:t xml:space="preserve">, </w:t>
      </w:r>
      <w:r w:rsidRPr="00F5221A">
        <w:rPr>
          <w:rFonts w:cs="Arial"/>
          <w:i/>
          <w:iCs/>
          <w:noProof/>
        </w:rPr>
        <w:t>10</w:t>
      </w:r>
      <w:r w:rsidRPr="00F5221A">
        <w:rPr>
          <w:rFonts w:cs="Arial"/>
          <w:noProof/>
        </w:rPr>
        <w:t>(1). https://doi.org/10.1186/1479-5876-10-64</w:t>
      </w:r>
    </w:p>
    <w:p w:rsidR="00F5221A" w:rsidRPr="00F5221A" w:rsidRDefault="00F5221A" w:rsidP="00F5221A">
      <w:pPr>
        <w:widowControl w:val="0"/>
        <w:autoSpaceDE w:val="0"/>
        <w:autoSpaceDN w:val="0"/>
        <w:adjustRightInd w:val="0"/>
        <w:ind w:left="480" w:hanging="480"/>
        <w:rPr>
          <w:rFonts w:cs="Arial"/>
          <w:noProof/>
        </w:rPr>
      </w:pPr>
      <w:r w:rsidRPr="00F5221A">
        <w:rPr>
          <w:rFonts w:cs="Arial"/>
          <w:noProof/>
        </w:rPr>
        <w:t xml:space="preserve">Kang, S., Oh, S. C., Min, B. W., &amp; Lee, D.-H. (2018). Transglutaminase 2 regulates self-renewal and stem cell marker of human colorectal cancer stem cells. </w:t>
      </w:r>
      <w:r w:rsidRPr="00F5221A">
        <w:rPr>
          <w:rFonts w:cs="Arial"/>
          <w:i/>
          <w:iCs/>
          <w:noProof/>
        </w:rPr>
        <w:t>Anticancer Research</w:t>
      </w:r>
      <w:r w:rsidRPr="00F5221A">
        <w:rPr>
          <w:rFonts w:cs="Arial"/>
          <w:noProof/>
        </w:rPr>
        <w:t xml:space="preserve">, </w:t>
      </w:r>
      <w:r w:rsidRPr="00F5221A">
        <w:rPr>
          <w:rFonts w:cs="Arial"/>
          <w:i/>
          <w:iCs/>
          <w:noProof/>
        </w:rPr>
        <w:t>38</w:t>
      </w:r>
      <w:r w:rsidRPr="00F5221A">
        <w:rPr>
          <w:rFonts w:cs="Arial"/>
          <w:noProof/>
        </w:rPr>
        <w:t>(2), 787–794.</w:t>
      </w:r>
    </w:p>
    <w:p w:rsidR="00F5221A" w:rsidRPr="00F5221A" w:rsidRDefault="00F5221A" w:rsidP="00F5221A">
      <w:pPr>
        <w:widowControl w:val="0"/>
        <w:autoSpaceDE w:val="0"/>
        <w:autoSpaceDN w:val="0"/>
        <w:adjustRightInd w:val="0"/>
        <w:ind w:left="480" w:hanging="480"/>
        <w:rPr>
          <w:rFonts w:cs="Arial"/>
          <w:noProof/>
        </w:rPr>
      </w:pPr>
      <w:r w:rsidRPr="00F5221A">
        <w:rPr>
          <w:rFonts w:cs="Arial"/>
          <w:noProof/>
        </w:rPr>
        <w:t xml:space="preserve">Khanna, M., Chelladurai, B., Gavini, A., Li, L., Shao, M., Courtney, D., Turchi, J. J., Matei, D., &amp; Meroueh, S. (2011). Targeting ovarian tumor cell adhesion mediated by tissue transglutaminase. </w:t>
      </w:r>
      <w:r w:rsidRPr="00F5221A">
        <w:rPr>
          <w:rFonts w:cs="Arial"/>
          <w:i/>
          <w:iCs/>
          <w:noProof/>
        </w:rPr>
        <w:t>Molecular Cancer Therapeutics</w:t>
      </w:r>
      <w:r w:rsidRPr="00F5221A">
        <w:rPr>
          <w:rFonts w:cs="Arial"/>
          <w:noProof/>
        </w:rPr>
        <w:t xml:space="preserve">, </w:t>
      </w:r>
      <w:r w:rsidRPr="00F5221A">
        <w:rPr>
          <w:rFonts w:cs="Arial"/>
          <w:i/>
          <w:iCs/>
          <w:noProof/>
        </w:rPr>
        <w:t>10</w:t>
      </w:r>
      <w:r w:rsidRPr="00F5221A">
        <w:rPr>
          <w:rFonts w:cs="Arial"/>
          <w:noProof/>
        </w:rPr>
        <w:t>(4), 626–636. https://doi.org/10.1158/1535-7163.MCT-10-0912</w:t>
      </w:r>
    </w:p>
    <w:p w:rsidR="00F5221A" w:rsidRPr="00F5221A" w:rsidRDefault="00F5221A" w:rsidP="00F5221A">
      <w:pPr>
        <w:widowControl w:val="0"/>
        <w:autoSpaceDE w:val="0"/>
        <w:autoSpaceDN w:val="0"/>
        <w:adjustRightInd w:val="0"/>
        <w:ind w:left="480" w:hanging="480"/>
        <w:rPr>
          <w:rFonts w:cs="Arial"/>
          <w:noProof/>
        </w:rPr>
      </w:pPr>
      <w:r w:rsidRPr="00F5221A">
        <w:rPr>
          <w:rFonts w:cs="Arial"/>
          <w:noProof/>
        </w:rPr>
        <w:t xml:space="preserve">Kim, S. H., Park, W. S., Park, E. Y., Park, B., Joo, J., Joung, J. Y., Seo, H. K., Lee, K. H., &amp; Chung, J. (2017). The prognostic value of BAP1, PBRM1, pS6, PTEN, TGase2, PD-L1, CA9, PSMA, and Ki-67 tissue markers in localized renal cell carcinoma: A retrospective study of tissue microarrays using immunohistochemistry. </w:t>
      </w:r>
      <w:r w:rsidRPr="00F5221A">
        <w:rPr>
          <w:rFonts w:cs="Arial"/>
          <w:i/>
          <w:iCs/>
          <w:noProof/>
        </w:rPr>
        <w:t>PLoS ONE</w:t>
      </w:r>
      <w:r w:rsidRPr="00F5221A">
        <w:rPr>
          <w:rFonts w:cs="Arial"/>
          <w:noProof/>
        </w:rPr>
        <w:t xml:space="preserve">, </w:t>
      </w:r>
      <w:r w:rsidRPr="00F5221A">
        <w:rPr>
          <w:rFonts w:cs="Arial"/>
          <w:i/>
          <w:iCs/>
          <w:noProof/>
        </w:rPr>
        <w:t>12</w:t>
      </w:r>
      <w:r w:rsidRPr="00F5221A">
        <w:rPr>
          <w:rFonts w:cs="Arial"/>
          <w:noProof/>
        </w:rPr>
        <w:t>(6), 1–11. https://doi.org/10.1371/journal.pone.0179610</w:t>
      </w:r>
    </w:p>
    <w:p w:rsidR="00F5221A" w:rsidRPr="00F5221A" w:rsidRDefault="00F5221A" w:rsidP="00F5221A">
      <w:pPr>
        <w:widowControl w:val="0"/>
        <w:autoSpaceDE w:val="0"/>
        <w:autoSpaceDN w:val="0"/>
        <w:adjustRightInd w:val="0"/>
        <w:ind w:left="480" w:hanging="480"/>
        <w:rPr>
          <w:rFonts w:cs="Arial"/>
          <w:noProof/>
        </w:rPr>
      </w:pPr>
      <w:r w:rsidRPr="00F5221A">
        <w:rPr>
          <w:rFonts w:cs="Arial"/>
          <w:noProof/>
        </w:rPr>
        <w:t xml:space="preserve">Kok, J. Y., Ekmekcioglu, S., &amp; Mehta, K. (2006). Implications of tissue transglutaminase expression in malignant melanoma. </w:t>
      </w:r>
      <w:r w:rsidRPr="00F5221A">
        <w:rPr>
          <w:rFonts w:cs="Arial"/>
          <w:i/>
          <w:iCs/>
          <w:noProof/>
        </w:rPr>
        <w:t>Molecular Cancer Therapeutics</w:t>
      </w:r>
      <w:r w:rsidRPr="00F5221A">
        <w:rPr>
          <w:rFonts w:cs="Arial"/>
          <w:noProof/>
        </w:rPr>
        <w:t xml:space="preserve">, </w:t>
      </w:r>
      <w:r w:rsidRPr="00F5221A">
        <w:rPr>
          <w:rFonts w:cs="Arial"/>
          <w:i/>
          <w:iCs/>
          <w:noProof/>
        </w:rPr>
        <w:t>5</w:t>
      </w:r>
      <w:r w:rsidRPr="00F5221A">
        <w:rPr>
          <w:rFonts w:cs="Arial"/>
          <w:noProof/>
        </w:rPr>
        <w:t>(6), 1493–1503. https://doi.org/10.1158/1535-7163.MCT-06-0083</w:t>
      </w:r>
    </w:p>
    <w:p w:rsidR="00F5221A" w:rsidRPr="00F5221A" w:rsidRDefault="00F5221A" w:rsidP="00F5221A">
      <w:pPr>
        <w:widowControl w:val="0"/>
        <w:autoSpaceDE w:val="0"/>
        <w:autoSpaceDN w:val="0"/>
        <w:adjustRightInd w:val="0"/>
        <w:ind w:left="480" w:hanging="480"/>
        <w:rPr>
          <w:rFonts w:cs="Arial"/>
          <w:noProof/>
        </w:rPr>
      </w:pPr>
      <w:r w:rsidRPr="00F5221A">
        <w:rPr>
          <w:rFonts w:cs="Arial"/>
          <w:noProof/>
        </w:rPr>
        <w:t xml:space="preserve">Kotsakis, P., Wang, Z., Collighan, R. J., &amp; Griffin, M. (2011). The role of tissue transglutaminase (TG2) in regulating the tumour progression of the mouse colon carcinoma CT26. </w:t>
      </w:r>
      <w:r w:rsidRPr="00F5221A">
        <w:rPr>
          <w:rFonts w:cs="Arial"/>
          <w:i/>
          <w:iCs/>
          <w:noProof/>
        </w:rPr>
        <w:t>Amino Acids</w:t>
      </w:r>
      <w:r w:rsidRPr="00F5221A">
        <w:rPr>
          <w:rFonts w:cs="Arial"/>
          <w:noProof/>
        </w:rPr>
        <w:t xml:space="preserve">, </w:t>
      </w:r>
      <w:r w:rsidRPr="00F5221A">
        <w:rPr>
          <w:rFonts w:cs="Arial"/>
          <w:i/>
          <w:iCs/>
          <w:noProof/>
        </w:rPr>
        <w:t>41</w:t>
      </w:r>
      <w:r w:rsidRPr="00F5221A">
        <w:rPr>
          <w:rFonts w:cs="Arial"/>
          <w:noProof/>
        </w:rPr>
        <w:t>(4), 909–921.</w:t>
      </w:r>
    </w:p>
    <w:p w:rsidR="00F5221A" w:rsidRPr="00F5221A" w:rsidRDefault="00F5221A" w:rsidP="00F5221A">
      <w:pPr>
        <w:widowControl w:val="0"/>
        <w:autoSpaceDE w:val="0"/>
        <w:autoSpaceDN w:val="0"/>
        <w:adjustRightInd w:val="0"/>
        <w:ind w:left="480" w:hanging="480"/>
        <w:rPr>
          <w:rFonts w:cs="Arial"/>
          <w:noProof/>
        </w:rPr>
      </w:pPr>
      <w:r w:rsidRPr="00F5221A">
        <w:rPr>
          <w:rFonts w:cs="Arial"/>
          <w:noProof/>
        </w:rPr>
        <w:t xml:space="preserve">Krafft, U., Tschirdewahn, S., Hess, J., Harke, N. N., Hadaschik, B., Olah, C., Krege, S., Nyirády, P., Szendröi, A., &amp; Szücs, M. (2019). Validation of survivin and HMGA2 as biomarkers for cisplatin resistance in bladder cancer. </w:t>
      </w:r>
      <w:r w:rsidRPr="00F5221A">
        <w:rPr>
          <w:rFonts w:cs="Arial"/>
          <w:i/>
          <w:iCs/>
          <w:noProof/>
        </w:rPr>
        <w:t>Urologic Oncology: Seminars and Original Investigations</w:t>
      </w:r>
      <w:r w:rsidRPr="00F5221A">
        <w:rPr>
          <w:rFonts w:cs="Arial"/>
          <w:noProof/>
        </w:rPr>
        <w:t xml:space="preserve">, </w:t>
      </w:r>
      <w:r w:rsidRPr="00F5221A">
        <w:rPr>
          <w:rFonts w:cs="Arial"/>
          <w:i/>
          <w:iCs/>
          <w:noProof/>
        </w:rPr>
        <w:t>37</w:t>
      </w:r>
      <w:r w:rsidRPr="00F5221A">
        <w:rPr>
          <w:rFonts w:cs="Arial"/>
          <w:noProof/>
        </w:rPr>
        <w:t>(11), 810-e7.</w:t>
      </w:r>
    </w:p>
    <w:p w:rsidR="00F5221A" w:rsidRPr="00F5221A" w:rsidRDefault="00F5221A" w:rsidP="00F5221A">
      <w:pPr>
        <w:widowControl w:val="0"/>
        <w:autoSpaceDE w:val="0"/>
        <w:autoSpaceDN w:val="0"/>
        <w:adjustRightInd w:val="0"/>
        <w:ind w:left="480" w:hanging="480"/>
        <w:rPr>
          <w:rFonts w:cs="Arial"/>
          <w:noProof/>
        </w:rPr>
      </w:pPr>
      <w:r w:rsidRPr="00F5221A">
        <w:rPr>
          <w:rFonts w:cs="Arial"/>
          <w:noProof/>
        </w:rPr>
        <w:lastRenderedPageBreak/>
        <w:t xml:space="preserve">Kumar, A., Xu, J., Brady, S., Gao, H., Yu, D., Reuben, J., &amp; Mehta, K. (2010). Tissue transglutaminase promotes drug resistance and invasion by inducing mesenchymal transition in mammary epithelial cells. </w:t>
      </w:r>
      <w:r w:rsidRPr="00F5221A">
        <w:rPr>
          <w:rFonts w:cs="Arial"/>
          <w:i/>
          <w:iCs/>
          <w:noProof/>
        </w:rPr>
        <w:t>PLoS ONE</w:t>
      </w:r>
      <w:r w:rsidRPr="00F5221A">
        <w:rPr>
          <w:rFonts w:cs="Arial"/>
          <w:noProof/>
        </w:rPr>
        <w:t xml:space="preserve">, </w:t>
      </w:r>
      <w:r w:rsidRPr="00F5221A">
        <w:rPr>
          <w:rFonts w:cs="Arial"/>
          <w:i/>
          <w:iCs/>
          <w:noProof/>
        </w:rPr>
        <w:t>5</w:t>
      </w:r>
      <w:r w:rsidRPr="00F5221A">
        <w:rPr>
          <w:rFonts w:cs="Arial"/>
          <w:noProof/>
        </w:rPr>
        <w:t>(10). https://doi.org/10.1371/journal.pone.0013390</w:t>
      </w:r>
    </w:p>
    <w:p w:rsidR="00F5221A" w:rsidRPr="00F5221A" w:rsidRDefault="00F5221A" w:rsidP="00F5221A">
      <w:pPr>
        <w:widowControl w:val="0"/>
        <w:autoSpaceDE w:val="0"/>
        <w:autoSpaceDN w:val="0"/>
        <w:adjustRightInd w:val="0"/>
        <w:ind w:left="480" w:hanging="480"/>
        <w:rPr>
          <w:rFonts w:cs="Arial"/>
          <w:noProof/>
        </w:rPr>
      </w:pPr>
      <w:r w:rsidRPr="00F5221A">
        <w:rPr>
          <w:rFonts w:cs="Arial"/>
          <w:noProof/>
        </w:rPr>
        <w:t xml:space="preserve">Lee, C. S., &amp; Park, H. H. (2017). Structural aspects of transglutaminase 2: functional, structural, and regulatory diversity. </w:t>
      </w:r>
      <w:r w:rsidRPr="00F5221A">
        <w:rPr>
          <w:rFonts w:cs="Arial"/>
          <w:i/>
          <w:iCs/>
          <w:noProof/>
        </w:rPr>
        <w:t>Apoptosis</w:t>
      </w:r>
      <w:r w:rsidRPr="00F5221A">
        <w:rPr>
          <w:rFonts w:cs="Arial"/>
          <w:noProof/>
        </w:rPr>
        <w:t xml:space="preserve">, </w:t>
      </w:r>
      <w:r w:rsidRPr="00F5221A">
        <w:rPr>
          <w:rFonts w:cs="Arial"/>
          <w:i/>
          <w:iCs/>
          <w:noProof/>
        </w:rPr>
        <w:t>22</w:t>
      </w:r>
      <w:r w:rsidRPr="00F5221A">
        <w:rPr>
          <w:rFonts w:cs="Arial"/>
          <w:noProof/>
        </w:rPr>
        <w:t>(9), 1057–1068.</w:t>
      </w:r>
    </w:p>
    <w:p w:rsidR="00F5221A" w:rsidRPr="00F5221A" w:rsidRDefault="00F5221A" w:rsidP="00F5221A">
      <w:pPr>
        <w:widowControl w:val="0"/>
        <w:autoSpaceDE w:val="0"/>
        <w:autoSpaceDN w:val="0"/>
        <w:adjustRightInd w:val="0"/>
        <w:ind w:left="480" w:hanging="480"/>
        <w:rPr>
          <w:rFonts w:cs="Arial"/>
          <w:noProof/>
        </w:rPr>
      </w:pPr>
      <w:r w:rsidRPr="00F5221A">
        <w:rPr>
          <w:rFonts w:cs="Arial"/>
          <w:noProof/>
        </w:rPr>
        <w:t xml:space="preserve">Leicht, D. T., Kausar, T., Wang, Z., Ferrer-Torres, D., Wang, T. D., Thomas, D. G., Lin, J., Chang, A. C., Lin, L., &amp; Beer, D. G. (2014). TGM2: A cell surface marker in esophageal adenocarcinomas. </w:t>
      </w:r>
      <w:r w:rsidRPr="00F5221A">
        <w:rPr>
          <w:rFonts w:cs="Arial"/>
          <w:i/>
          <w:iCs/>
          <w:noProof/>
        </w:rPr>
        <w:t>Journal of Thoracic Oncology</w:t>
      </w:r>
      <w:r w:rsidRPr="00F5221A">
        <w:rPr>
          <w:rFonts w:cs="Arial"/>
          <w:noProof/>
        </w:rPr>
        <w:t xml:space="preserve">, </w:t>
      </w:r>
      <w:r w:rsidRPr="00F5221A">
        <w:rPr>
          <w:rFonts w:cs="Arial"/>
          <w:i/>
          <w:iCs/>
          <w:noProof/>
        </w:rPr>
        <w:t>9</w:t>
      </w:r>
      <w:r w:rsidRPr="00F5221A">
        <w:rPr>
          <w:rFonts w:cs="Arial"/>
          <w:noProof/>
        </w:rPr>
        <w:t>(6), 872–881. https://doi.org/10.1097/JTO.0000000000000229</w:t>
      </w:r>
    </w:p>
    <w:p w:rsidR="00F5221A" w:rsidRPr="00F5221A" w:rsidRDefault="00F5221A" w:rsidP="00F5221A">
      <w:pPr>
        <w:widowControl w:val="0"/>
        <w:autoSpaceDE w:val="0"/>
        <w:autoSpaceDN w:val="0"/>
        <w:adjustRightInd w:val="0"/>
        <w:ind w:left="480" w:hanging="480"/>
        <w:rPr>
          <w:rFonts w:cs="Arial"/>
          <w:noProof/>
        </w:rPr>
      </w:pPr>
      <w:r w:rsidRPr="00F5221A">
        <w:rPr>
          <w:rFonts w:cs="Arial"/>
          <w:noProof/>
        </w:rPr>
        <w:t xml:space="preserve">Miyoshi, N., Ishii, H., Mimori, K., Tanaka, F., Hitora, T., Tei, M., Sekimoto, M., Doki, Y., &amp; Mori, M. (2010). TGM2 is a novel marker for prognosis and therapeutic target in colorectal cancer. </w:t>
      </w:r>
      <w:r w:rsidRPr="00F5221A">
        <w:rPr>
          <w:rFonts w:cs="Arial"/>
          <w:i/>
          <w:iCs/>
          <w:noProof/>
        </w:rPr>
        <w:t>Annals of Surgical Oncology</w:t>
      </w:r>
      <w:r w:rsidRPr="00F5221A">
        <w:rPr>
          <w:rFonts w:cs="Arial"/>
          <w:noProof/>
        </w:rPr>
        <w:t xml:space="preserve">, </w:t>
      </w:r>
      <w:r w:rsidRPr="00F5221A">
        <w:rPr>
          <w:rFonts w:cs="Arial"/>
          <w:i/>
          <w:iCs/>
          <w:noProof/>
        </w:rPr>
        <w:t>17</w:t>
      </w:r>
      <w:r w:rsidRPr="00F5221A">
        <w:rPr>
          <w:rFonts w:cs="Arial"/>
          <w:noProof/>
        </w:rPr>
        <w:t>(4), 967–972. https://doi.org/10.1245/s10434-009-0865-y</w:t>
      </w:r>
    </w:p>
    <w:p w:rsidR="00F5221A" w:rsidRPr="00F5221A" w:rsidRDefault="00F5221A" w:rsidP="00F5221A">
      <w:pPr>
        <w:widowControl w:val="0"/>
        <w:autoSpaceDE w:val="0"/>
        <w:autoSpaceDN w:val="0"/>
        <w:adjustRightInd w:val="0"/>
        <w:ind w:left="480" w:hanging="480"/>
        <w:rPr>
          <w:rFonts w:cs="Arial"/>
          <w:noProof/>
        </w:rPr>
      </w:pPr>
      <w:r w:rsidRPr="00F5221A">
        <w:rPr>
          <w:rFonts w:cs="Arial"/>
          <w:noProof/>
        </w:rPr>
        <w:t xml:space="preserve">Nurminskaya, M. V., &amp; Belkin, A. M. (2012). Cellular Functions of Tissue Transglutaminase. In </w:t>
      </w:r>
      <w:r w:rsidRPr="00F5221A">
        <w:rPr>
          <w:rFonts w:cs="Arial"/>
          <w:i/>
          <w:iCs/>
          <w:noProof/>
        </w:rPr>
        <w:t>International Review of Cell and Molecular Biology</w:t>
      </w:r>
      <w:r w:rsidRPr="00F5221A">
        <w:rPr>
          <w:rFonts w:cs="Arial"/>
          <w:noProof/>
        </w:rPr>
        <w:t xml:space="preserve"> (Vol. 294). https://doi.org/10.1016/B978-0-12-394305-7.00001-X</w:t>
      </w:r>
    </w:p>
    <w:p w:rsidR="00F5221A" w:rsidRPr="00F5221A" w:rsidRDefault="00F5221A" w:rsidP="00F5221A">
      <w:pPr>
        <w:widowControl w:val="0"/>
        <w:autoSpaceDE w:val="0"/>
        <w:autoSpaceDN w:val="0"/>
        <w:adjustRightInd w:val="0"/>
        <w:ind w:left="480" w:hanging="480"/>
        <w:rPr>
          <w:rFonts w:cs="Arial"/>
          <w:noProof/>
        </w:rPr>
      </w:pPr>
      <w:r w:rsidRPr="00F5221A">
        <w:rPr>
          <w:rFonts w:cs="Arial"/>
          <w:noProof/>
        </w:rPr>
        <w:t xml:space="preserve">Park, M. J., Baek, H. W., Rhee, Y.-Y., Lee, C., Park, J. W., Kim, H. W., &amp; Moon, K. C. (2015). Transglutaminase 2 expression and its prognostic significance in clear cell renal cell carcinoma. </w:t>
      </w:r>
      <w:r w:rsidRPr="00F5221A">
        <w:rPr>
          <w:rFonts w:cs="Arial"/>
          <w:i/>
          <w:iCs/>
          <w:noProof/>
        </w:rPr>
        <w:t>Journal of Pathology and Translational Medicine</w:t>
      </w:r>
      <w:r w:rsidRPr="00F5221A">
        <w:rPr>
          <w:rFonts w:cs="Arial"/>
          <w:noProof/>
        </w:rPr>
        <w:t xml:space="preserve">, </w:t>
      </w:r>
      <w:r w:rsidRPr="00F5221A">
        <w:rPr>
          <w:rFonts w:cs="Arial"/>
          <w:i/>
          <w:iCs/>
          <w:noProof/>
        </w:rPr>
        <w:t>49</w:t>
      </w:r>
      <w:r w:rsidRPr="00F5221A">
        <w:rPr>
          <w:rFonts w:cs="Arial"/>
          <w:noProof/>
        </w:rPr>
        <w:t>(1), 37–43. https://doi.org/10.4132/jptm.2014.10.25</w:t>
      </w:r>
    </w:p>
    <w:p w:rsidR="00F5221A" w:rsidRPr="00F5221A" w:rsidRDefault="00F5221A" w:rsidP="00F5221A">
      <w:pPr>
        <w:widowControl w:val="0"/>
        <w:autoSpaceDE w:val="0"/>
        <w:autoSpaceDN w:val="0"/>
        <w:adjustRightInd w:val="0"/>
        <w:ind w:left="480" w:hanging="480"/>
        <w:rPr>
          <w:rFonts w:cs="Arial"/>
          <w:noProof/>
        </w:rPr>
      </w:pPr>
      <w:r w:rsidRPr="00F5221A">
        <w:rPr>
          <w:rFonts w:cs="Arial"/>
          <w:noProof/>
        </w:rPr>
        <w:t xml:space="preserve">Sima, L. E., Matei, D., &amp; Condello, S. (2022). The Outside-In Journey of Tissue Transglutaminase in Cancer. </w:t>
      </w:r>
      <w:r w:rsidRPr="00F5221A">
        <w:rPr>
          <w:rFonts w:cs="Arial"/>
          <w:i/>
          <w:iCs/>
          <w:noProof/>
        </w:rPr>
        <w:t>Cells</w:t>
      </w:r>
      <w:r w:rsidRPr="00F5221A">
        <w:rPr>
          <w:rFonts w:cs="Arial"/>
          <w:noProof/>
        </w:rPr>
        <w:t xml:space="preserve">, </w:t>
      </w:r>
      <w:r w:rsidRPr="00F5221A">
        <w:rPr>
          <w:rFonts w:cs="Arial"/>
          <w:i/>
          <w:iCs/>
          <w:noProof/>
        </w:rPr>
        <w:t>11</w:t>
      </w:r>
      <w:r w:rsidRPr="00F5221A">
        <w:rPr>
          <w:rFonts w:cs="Arial"/>
          <w:noProof/>
        </w:rPr>
        <w:t>(11). https://doi.org/10.3390/CELLS11111779</w:t>
      </w:r>
    </w:p>
    <w:p w:rsidR="00F5221A" w:rsidRPr="00F5221A" w:rsidRDefault="00F5221A" w:rsidP="00F5221A">
      <w:pPr>
        <w:widowControl w:val="0"/>
        <w:autoSpaceDE w:val="0"/>
        <w:autoSpaceDN w:val="0"/>
        <w:adjustRightInd w:val="0"/>
        <w:ind w:left="480" w:hanging="480"/>
        <w:rPr>
          <w:rFonts w:cs="Arial"/>
          <w:noProof/>
        </w:rPr>
      </w:pPr>
      <w:r w:rsidRPr="00F5221A">
        <w:rPr>
          <w:rFonts w:cs="Arial"/>
          <w:noProof/>
        </w:rPr>
        <w:t xml:space="preserve">Szondy, Z., Korponay-Szabó, I., Király, R., Sarang, Z., &amp; Tsay, G. J. (2017). Transglutaminase 2 in human diseases. </w:t>
      </w:r>
      <w:r w:rsidRPr="00F5221A">
        <w:rPr>
          <w:rFonts w:cs="Arial"/>
          <w:i/>
          <w:iCs/>
          <w:noProof/>
        </w:rPr>
        <w:t>BioMedicine</w:t>
      </w:r>
      <w:r w:rsidRPr="00F5221A">
        <w:rPr>
          <w:rFonts w:cs="Arial"/>
          <w:noProof/>
        </w:rPr>
        <w:t xml:space="preserve">, </w:t>
      </w:r>
      <w:r w:rsidRPr="00F5221A">
        <w:rPr>
          <w:rFonts w:cs="Arial"/>
          <w:i/>
          <w:iCs/>
          <w:noProof/>
        </w:rPr>
        <w:t>7</w:t>
      </w:r>
      <w:r w:rsidRPr="00F5221A">
        <w:rPr>
          <w:rFonts w:cs="Arial"/>
          <w:noProof/>
        </w:rPr>
        <w:t>(3).</w:t>
      </w:r>
    </w:p>
    <w:p w:rsidR="00F5221A" w:rsidRPr="00F5221A" w:rsidRDefault="00F5221A" w:rsidP="00F5221A">
      <w:pPr>
        <w:widowControl w:val="0"/>
        <w:autoSpaceDE w:val="0"/>
        <w:autoSpaceDN w:val="0"/>
        <w:adjustRightInd w:val="0"/>
        <w:ind w:left="480" w:hanging="480"/>
        <w:rPr>
          <w:rFonts w:cs="Arial"/>
          <w:noProof/>
        </w:rPr>
      </w:pPr>
      <w:r w:rsidRPr="00F5221A">
        <w:rPr>
          <w:rFonts w:cs="Arial"/>
          <w:noProof/>
        </w:rPr>
        <w:t xml:space="preserve">Verma, A., Guha, S., Diagaradjane, P., Kunnumakkara, A. B., Sanguino, A. M., Lopez-Berestein, G., Sood, A. K., Aggarwal, B. B., Krishnan, S., Gelovani, J. G., &amp; Mehta, K. (2008). Therapeutic significance of elevated tissue transglutaminase expression in  pancreatic cancer. </w:t>
      </w:r>
      <w:r w:rsidRPr="00F5221A">
        <w:rPr>
          <w:rFonts w:cs="Arial"/>
          <w:i/>
          <w:iCs/>
          <w:noProof/>
        </w:rPr>
        <w:t xml:space="preserve">Clinical Cancer Research : An Official Journal of the American Association for  </w:t>
      </w:r>
      <w:r w:rsidRPr="00F5221A">
        <w:rPr>
          <w:rFonts w:cs="Arial"/>
          <w:i/>
          <w:iCs/>
          <w:noProof/>
        </w:rPr>
        <w:lastRenderedPageBreak/>
        <w:t>Cancer Research</w:t>
      </w:r>
      <w:r w:rsidRPr="00F5221A">
        <w:rPr>
          <w:rFonts w:cs="Arial"/>
          <w:noProof/>
        </w:rPr>
        <w:t xml:space="preserve">, </w:t>
      </w:r>
      <w:r w:rsidRPr="00F5221A">
        <w:rPr>
          <w:rFonts w:cs="Arial"/>
          <w:i/>
          <w:iCs/>
          <w:noProof/>
        </w:rPr>
        <w:t>14</w:t>
      </w:r>
      <w:r w:rsidRPr="00F5221A">
        <w:rPr>
          <w:rFonts w:cs="Arial"/>
          <w:noProof/>
        </w:rPr>
        <w:t>(8), 2476–2483. https://doi.org/10.1158/1078-0432.CCR-07-4529</w:t>
      </w:r>
    </w:p>
    <w:p w:rsidR="00F5221A" w:rsidRPr="00F5221A" w:rsidRDefault="00F5221A" w:rsidP="00F5221A">
      <w:pPr>
        <w:widowControl w:val="0"/>
        <w:autoSpaceDE w:val="0"/>
        <w:autoSpaceDN w:val="0"/>
        <w:adjustRightInd w:val="0"/>
        <w:ind w:left="480" w:hanging="480"/>
        <w:rPr>
          <w:rFonts w:cs="Arial"/>
          <w:noProof/>
        </w:rPr>
      </w:pPr>
      <w:r w:rsidRPr="00F5221A">
        <w:rPr>
          <w:rFonts w:cs="Arial"/>
          <w:noProof/>
        </w:rPr>
        <w:t xml:space="preserve">Xu, D., Xu, N., Sun, L., Yang, Z., He, M., &amp; Li, Y. (2022). TG2 as a novel breast cancer prognostic marker promotes cell proliferation and glycolysis by activating the MEK/ERK/LDH pathway. </w:t>
      </w:r>
      <w:r w:rsidRPr="00F5221A">
        <w:rPr>
          <w:rFonts w:cs="Arial"/>
          <w:i/>
          <w:iCs/>
          <w:noProof/>
        </w:rPr>
        <w:t>BMC Cancer</w:t>
      </w:r>
      <w:r w:rsidRPr="00F5221A">
        <w:rPr>
          <w:rFonts w:cs="Arial"/>
          <w:noProof/>
        </w:rPr>
        <w:t xml:space="preserve">, </w:t>
      </w:r>
      <w:r w:rsidRPr="00F5221A">
        <w:rPr>
          <w:rFonts w:cs="Arial"/>
          <w:i/>
          <w:iCs/>
          <w:noProof/>
        </w:rPr>
        <w:t>22</w:t>
      </w:r>
      <w:r w:rsidRPr="00F5221A">
        <w:rPr>
          <w:rFonts w:cs="Arial"/>
          <w:noProof/>
        </w:rPr>
        <w:t>(1), 1267. https://doi.org/10.1186/s12885-022-10364-2</w:t>
      </w:r>
    </w:p>
    <w:p w:rsidR="00F5221A" w:rsidRPr="00F5221A" w:rsidRDefault="00F5221A" w:rsidP="00F5221A">
      <w:pPr>
        <w:widowControl w:val="0"/>
        <w:autoSpaceDE w:val="0"/>
        <w:autoSpaceDN w:val="0"/>
        <w:adjustRightInd w:val="0"/>
        <w:ind w:left="480" w:hanging="480"/>
        <w:rPr>
          <w:rFonts w:cs="Arial"/>
          <w:noProof/>
        </w:rPr>
      </w:pPr>
      <w:r w:rsidRPr="00F5221A">
        <w:rPr>
          <w:rFonts w:cs="Arial"/>
          <w:noProof/>
        </w:rPr>
        <w:t xml:space="preserve">Yuan, L., Siegel, M., Choi, K., Khosla, C., Miller, C. R., Jackson, E. N., Piwnica-Worms, D., &amp; Rich, K. M. (2007). Transglutaminase 2 inhibitor, KCC009, disrupts fibronectin assembly in the extracellular matrix and sensitizes orthotopic glioblastomas to chemotherapy. </w:t>
      </w:r>
      <w:r w:rsidRPr="00F5221A">
        <w:rPr>
          <w:rFonts w:cs="Arial"/>
          <w:i/>
          <w:iCs/>
          <w:noProof/>
        </w:rPr>
        <w:t>Oncogene</w:t>
      </w:r>
      <w:r w:rsidRPr="00F5221A">
        <w:rPr>
          <w:rFonts w:cs="Arial"/>
          <w:noProof/>
        </w:rPr>
        <w:t xml:space="preserve">, </w:t>
      </w:r>
      <w:r w:rsidRPr="00F5221A">
        <w:rPr>
          <w:rFonts w:cs="Arial"/>
          <w:i/>
          <w:iCs/>
          <w:noProof/>
        </w:rPr>
        <w:t>26</w:t>
      </w:r>
      <w:r w:rsidRPr="00F5221A">
        <w:rPr>
          <w:rFonts w:cs="Arial"/>
          <w:noProof/>
        </w:rPr>
        <w:t>(18), 2563–2573. https://doi.org/10.1038/sj.onc.1210048</w:t>
      </w:r>
    </w:p>
    <w:p w:rsidR="007F1078" w:rsidRDefault="00F5221A">
      <w:r>
        <w:fldChar w:fldCharType="end"/>
      </w:r>
    </w:p>
    <w:p w:rsidR="00041CA7" w:rsidRDefault="00041CA7"/>
    <w:p w:rsidR="00041CA7" w:rsidRDefault="00041CA7"/>
    <w:p w:rsidR="00041CA7" w:rsidRDefault="00041CA7"/>
    <w:p w:rsidR="00041CA7" w:rsidRDefault="00041CA7"/>
    <w:p w:rsidR="00041CA7" w:rsidRDefault="00041CA7"/>
    <w:p w:rsidR="00041CA7" w:rsidRDefault="00041CA7"/>
    <w:p w:rsidR="00041CA7" w:rsidRDefault="00041CA7"/>
    <w:p w:rsidR="00041CA7" w:rsidRDefault="00041CA7"/>
    <w:p w:rsidR="00041CA7" w:rsidRDefault="00041CA7"/>
    <w:p w:rsidR="00041CA7" w:rsidRDefault="00041CA7"/>
    <w:p w:rsidR="00041CA7" w:rsidRDefault="00041CA7"/>
    <w:p w:rsidR="00041CA7" w:rsidRDefault="00041CA7"/>
    <w:p w:rsidR="00041CA7" w:rsidRDefault="00041CA7"/>
    <w:p w:rsidR="00041CA7" w:rsidRDefault="00041CA7"/>
    <w:p w:rsidR="00041CA7" w:rsidRDefault="00041CA7"/>
    <w:p w:rsidR="00041CA7" w:rsidRDefault="00041CA7"/>
    <w:p w:rsidR="00041CA7" w:rsidRDefault="00041CA7"/>
    <w:p w:rsidR="00041CA7" w:rsidRDefault="00041CA7"/>
    <w:p w:rsidR="00041CA7" w:rsidRDefault="00041CA7"/>
    <w:tbl>
      <w:tblPr>
        <w:tblStyle w:val="TableGrid"/>
        <w:tblpPr w:leftFromText="180" w:rightFromText="180" w:vertAnchor="page" w:horzAnchor="margin" w:tblpY="14005"/>
        <w:tblW w:w="8490" w:type="dxa"/>
        <w:tblLook w:val="04A0" w:firstRow="1" w:lastRow="0" w:firstColumn="1" w:lastColumn="0" w:noHBand="0" w:noVBand="1"/>
      </w:tblPr>
      <w:tblGrid>
        <w:gridCol w:w="1415"/>
        <w:gridCol w:w="1121"/>
        <w:gridCol w:w="1160"/>
        <w:gridCol w:w="990"/>
        <w:gridCol w:w="1146"/>
        <w:gridCol w:w="829"/>
        <w:gridCol w:w="720"/>
        <w:gridCol w:w="1109"/>
      </w:tblGrid>
      <w:tr w:rsidR="00041CA7" w:rsidRPr="0037738B" w:rsidTr="00041CA7">
        <w:trPr>
          <w:trHeight w:val="732"/>
        </w:trPr>
        <w:tc>
          <w:tcPr>
            <w:tcW w:w="1415" w:type="dxa"/>
            <w:noWrap/>
            <w:hideMark/>
          </w:tcPr>
          <w:p w:rsidR="00041CA7" w:rsidRPr="0037738B" w:rsidRDefault="00041CA7" w:rsidP="00041CA7">
            <w:pPr>
              <w:rPr>
                <w:rFonts w:cs="Arial"/>
                <w:szCs w:val="20"/>
              </w:rPr>
            </w:pPr>
            <w:r w:rsidRPr="0037738B">
              <w:rPr>
                <w:rFonts w:cs="Arial"/>
                <w:szCs w:val="20"/>
              </w:rPr>
              <w:lastRenderedPageBreak/>
              <w:t>1</w:t>
            </w:r>
            <w:r w:rsidRPr="0037738B">
              <w:rPr>
                <w:rFonts w:cs="Arial"/>
                <w:szCs w:val="20"/>
                <w:vertAlign w:val="superscript"/>
              </w:rPr>
              <w:t>st</w:t>
            </w:r>
            <w:r w:rsidRPr="0037738B">
              <w:rPr>
                <w:rFonts w:cs="Arial"/>
                <w:szCs w:val="20"/>
              </w:rPr>
              <w:t xml:space="preserve"> Author &amp; year</w:t>
            </w:r>
          </w:p>
        </w:tc>
        <w:tc>
          <w:tcPr>
            <w:tcW w:w="1121" w:type="dxa"/>
            <w:noWrap/>
            <w:hideMark/>
          </w:tcPr>
          <w:p w:rsidR="00041CA7" w:rsidRPr="0037738B" w:rsidRDefault="00041CA7" w:rsidP="00041CA7">
            <w:pPr>
              <w:rPr>
                <w:rFonts w:cs="Arial"/>
                <w:szCs w:val="20"/>
              </w:rPr>
            </w:pPr>
            <w:r w:rsidRPr="0037738B">
              <w:rPr>
                <w:rFonts w:cs="Arial"/>
                <w:szCs w:val="20"/>
              </w:rPr>
              <w:t>Country</w:t>
            </w:r>
          </w:p>
        </w:tc>
        <w:tc>
          <w:tcPr>
            <w:tcW w:w="1160" w:type="dxa"/>
            <w:noWrap/>
            <w:hideMark/>
          </w:tcPr>
          <w:p w:rsidR="00041CA7" w:rsidRPr="0037738B" w:rsidRDefault="00041CA7" w:rsidP="00041CA7">
            <w:pPr>
              <w:rPr>
                <w:rFonts w:cs="Arial"/>
                <w:szCs w:val="20"/>
              </w:rPr>
            </w:pPr>
            <w:r w:rsidRPr="0037738B">
              <w:rPr>
                <w:rFonts w:cs="Arial"/>
                <w:szCs w:val="20"/>
              </w:rPr>
              <w:t>Study period</w:t>
            </w:r>
          </w:p>
        </w:tc>
        <w:tc>
          <w:tcPr>
            <w:tcW w:w="990" w:type="dxa"/>
            <w:noWrap/>
            <w:hideMark/>
          </w:tcPr>
          <w:p w:rsidR="00041CA7" w:rsidRPr="0037738B" w:rsidRDefault="00041CA7" w:rsidP="00041CA7">
            <w:pPr>
              <w:rPr>
                <w:rFonts w:cs="Arial"/>
                <w:szCs w:val="20"/>
              </w:rPr>
            </w:pPr>
            <w:r w:rsidRPr="0037738B">
              <w:rPr>
                <w:rFonts w:cs="Arial"/>
                <w:szCs w:val="20"/>
              </w:rPr>
              <w:t>Sample size</w:t>
            </w:r>
          </w:p>
        </w:tc>
        <w:tc>
          <w:tcPr>
            <w:tcW w:w="1146" w:type="dxa"/>
            <w:noWrap/>
            <w:hideMark/>
          </w:tcPr>
          <w:p w:rsidR="00041CA7" w:rsidRPr="0037738B" w:rsidRDefault="00041CA7" w:rsidP="00041CA7">
            <w:pPr>
              <w:rPr>
                <w:rFonts w:cs="Arial"/>
                <w:szCs w:val="20"/>
              </w:rPr>
            </w:pPr>
            <w:r w:rsidRPr="0037738B">
              <w:rPr>
                <w:rFonts w:cs="Arial"/>
                <w:szCs w:val="20"/>
              </w:rPr>
              <w:t>Cancer type</w:t>
            </w:r>
          </w:p>
        </w:tc>
        <w:tc>
          <w:tcPr>
            <w:tcW w:w="829" w:type="dxa"/>
            <w:noWrap/>
            <w:hideMark/>
          </w:tcPr>
          <w:p w:rsidR="00041CA7" w:rsidRDefault="00041CA7" w:rsidP="00041CA7">
            <w:pPr>
              <w:rPr>
                <w:rFonts w:cs="Arial"/>
                <w:szCs w:val="20"/>
              </w:rPr>
            </w:pPr>
            <w:r w:rsidRPr="0037738B">
              <w:rPr>
                <w:rFonts w:cs="Arial"/>
                <w:szCs w:val="20"/>
              </w:rPr>
              <w:t xml:space="preserve">TG2 </w:t>
            </w:r>
          </w:p>
          <w:p w:rsidR="00041CA7" w:rsidRPr="0037738B" w:rsidRDefault="00041CA7" w:rsidP="00041CA7">
            <w:pPr>
              <w:rPr>
                <w:rFonts w:cs="Arial"/>
                <w:szCs w:val="20"/>
              </w:rPr>
            </w:pPr>
            <w:r w:rsidRPr="0037738B">
              <w:rPr>
                <w:rFonts w:cs="Arial"/>
                <w:szCs w:val="20"/>
              </w:rPr>
              <w:t>High</w:t>
            </w:r>
          </w:p>
        </w:tc>
        <w:tc>
          <w:tcPr>
            <w:tcW w:w="720" w:type="dxa"/>
            <w:noWrap/>
            <w:hideMark/>
          </w:tcPr>
          <w:p w:rsidR="00041CA7" w:rsidRDefault="00041CA7" w:rsidP="00041CA7">
            <w:pPr>
              <w:rPr>
                <w:rFonts w:cs="Arial"/>
                <w:szCs w:val="20"/>
              </w:rPr>
            </w:pPr>
            <w:r w:rsidRPr="0037738B">
              <w:rPr>
                <w:rFonts w:cs="Arial"/>
                <w:szCs w:val="20"/>
              </w:rPr>
              <w:t xml:space="preserve">TG2 </w:t>
            </w:r>
          </w:p>
          <w:p w:rsidR="00041CA7" w:rsidRPr="0037738B" w:rsidRDefault="00041CA7" w:rsidP="00041CA7">
            <w:pPr>
              <w:rPr>
                <w:rFonts w:cs="Arial"/>
                <w:szCs w:val="20"/>
              </w:rPr>
            </w:pPr>
            <w:r w:rsidRPr="0037738B">
              <w:rPr>
                <w:rFonts w:cs="Arial"/>
                <w:szCs w:val="20"/>
              </w:rPr>
              <w:t>Low</w:t>
            </w:r>
          </w:p>
        </w:tc>
        <w:tc>
          <w:tcPr>
            <w:tcW w:w="1109" w:type="dxa"/>
            <w:noWrap/>
            <w:hideMark/>
          </w:tcPr>
          <w:p w:rsidR="00041CA7" w:rsidRPr="0037738B" w:rsidRDefault="00041CA7" w:rsidP="00041CA7">
            <w:pPr>
              <w:rPr>
                <w:rFonts w:cs="Arial"/>
                <w:szCs w:val="20"/>
              </w:rPr>
            </w:pPr>
            <w:r w:rsidRPr="0037738B">
              <w:rPr>
                <w:rFonts w:cs="Arial"/>
                <w:szCs w:val="20"/>
              </w:rPr>
              <w:t xml:space="preserve">Outcome </w:t>
            </w:r>
          </w:p>
        </w:tc>
      </w:tr>
      <w:tr w:rsidR="00041CA7" w:rsidRPr="0037738B" w:rsidTr="00041CA7">
        <w:trPr>
          <w:trHeight w:val="288"/>
        </w:trPr>
        <w:tc>
          <w:tcPr>
            <w:tcW w:w="1415" w:type="dxa"/>
            <w:noWrap/>
            <w:hideMark/>
          </w:tcPr>
          <w:p w:rsidR="00041CA7" w:rsidRPr="0037738B" w:rsidRDefault="00041CA7" w:rsidP="00041CA7">
            <w:pPr>
              <w:rPr>
                <w:rFonts w:cs="Arial"/>
                <w:szCs w:val="20"/>
              </w:rPr>
            </w:pPr>
            <w:r w:rsidRPr="0037738B">
              <w:rPr>
                <w:rFonts w:cs="Arial"/>
                <w:szCs w:val="20"/>
              </w:rPr>
              <w:fldChar w:fldCharType="begin" w:fldLock="1"/>
            </w:r>
            <w:r>
              <w:rPr>
                <w:rFonts w:cs="Arial"/>
                <w:szCs w:val="20"/>
              </w:rPr>
              <w:instrText>ADDIN CSL_CITATION {"citationItems":[{"id":"ITEM-1","itemData":{"DOI":"10.1186/1476-4598-10-119","ISSN":"14764598","PMID":"21943122","abstract":"Background: Expression of transglutaminase 2 (TGase 2) is related to invasion and resistance to chemotherapeutic agents in several cancer cells. However, there has been only limited clinical validation of TGase 2 as an independent prognostic marker in cancer.Methods: The significance of TGase 2 expression as an invasive/migratory factor was addressed by in vitro assays employing down-regulation of TGase 2. TGase 2 expression as a prognostic indicator was assessed in 429 Korean patients with early-stage non-small cell lung cancer (NSCLC) by immunohistochemical staining.Results: TGase 2 expression increased the invasive and migratory properties of NSCLC cells in vitro, which might be related to the induction of MMP-9. In the analysis of the immunohistochemical staining, TGase 2 expression in tumors was significantly correlated with recurrence in NSCLC (p = 0.005) or in the non-adenocarcinoma subtype (p = 0.031). Additionally, a multivariate analysis also showed a significant correlation between strong TGase 2 expression and shorter disease-free survival (DFS) in NSCLC (p = 0.029 and HR = 1.554) and in the non-adenocarcinoma subtype (p = 0.030 and HR = 2.184). However, the correlation in the adenocarcinoma subtype was not significant.Conclusions: TGase 2 expression was significantly correlated with recurrence and shorter DFS in NSCLC, especially in the non-adenocarcinoma subtype including squamous cell carcinoma. © 2011 Choi et al; licensee BioMed Central Ltd.","author":[{"dropping-particle":"","family":"Choi","given":"Chang Min","non-dropping-particle":"","parse-names":false,"suffix":""},{"dropping-particle":"","family":"Jang","given":"Se Jin","non-dropping-particle":"","parse-names":false,"suffix":""},{"dropping-particle":"","family":"Park","given":"Seong Yeol","non-dropping-particle":"","parse-names":false,"suffix":""},{"dropping-particle":"","family":"Choi","given":"Yong Bock","non-dropping-particle":"","parse-names":false,"suffix":""},{"dropping-particle":"","family":"Jeong","given":"Jae Heon","non-dropping-particle":"","parse-names":false,"suffix":""},{"dropping-particle":"","family":"Kim","given":"Dae Seok","non-dropping-particle":"","parse-names":false,"suffix":""},{"dropping-particle":"","family":"Kim","given":"Hyun Kyoung","non-dropping-particle":"","parse-names":false,"suffix":""},{"dropping-particle":"","family":"Park","given":"Kang Seo","non-dropping-particle":"","parse-names":false,"suffix":""},{"dropping-particle":"","family":"Nam","given":"Byung Ho","non-dropping-particle":"","parse-names":false,"suffix":""},{"dropping-particle":"","family":"Kim","given":"Hyeong Ryul","non-dropping-particle":"","parse-names":false,"suffix":""},{"dropping-particle":"","family":"Kim","given":"Soo Youl","non-dropping-particle":"","parse-names":false,"suffix":""},{"dropping-particle":"","family":"Hong","given":"Kyeong Man","non-dropping-particle":"","parse-names":false,"suffix":""}],"container-title":"Molecular Cancer","id":"ITEM-1","issued":{"date-parts":[["2011","9","24"]]},"title":"Transglutaminase 2 as an independent prognostic marker for survival of patients with non-adenocarcinoma subtype of non-small cell lung cancer","type":"article-journal","volume":"10"},"uris":["http://www.mendeley.com/documents/?uuid=95b4b143-6ea3-3907-aa07-034e45e9909b"]}],"mendeley":{"formattedCitation":"(Choi et al., 2011)","plainTextFormattedCitation":"(Choi et al., 2011)","previouslyFormattedCitation":"&lt;sup&gt;7&lt;/sup&gt;"},"properties":{"noteIndex":0},"schema":"https://github.com/citation-style-language/schema/raw/master/csl-citation.json"}</w:instrText>
            </w:r>
            <w:r w:rsidRPr="0037738B">
              <w:rPr>
                <w:rFonts w:cs="Arial"/>
                <w:szCs w:val="20"/>
              </w:rPr>
              <w:fldChar w:fldCharType="separate"/>
            </w:r>
            <w:r w:rsidRPr="00F5221A">
              <w:rPr>
                <w:rFonts w:cs="Arial"/>
                <w:noProof/>
                <w:szCs w:val="20"/>
              </w:rPr>
              <w:t>(Choi et al., 2011)</w:t>
            </w:r>
            <w:r w:rsidRPr="0037738B">
              <w:rPr>
                <w:rFonts w:cs="Arial"/>
                <w:szCs w:val="20"/>
              </w:rPr>
              <w:fldChar w:fldCharType="end"/>
            </w:r>
          </w:p>
        </w:tc>
        <w:tc>
          <w:tcPr>
            <w:tcW w:w="1121" w:type="dxa"/>
            <w:noWrap/>
            <w:hideMark/>
          </w:tcPr>
          <w:p w:rsidR="00041CA7" w:rsidRPr="0037738B" w:rsidRDefault="00041CA7" w:rsidP="00041CA7">
            <w:pPr>
              <w:rPr>
                <w:rFonts w:cs="Arial"/>
                <w:szCs w:val="20"/>
              </w:rPr>
            </w:pPr>
            <w:r w:rsidRPr="0037738B">
              <w:rPr>
                <w:rFonts w:cs="Arial"/>
                <w:szCs w:val="20"/>
              </w:rPr>
              <w:t>Korea</w:t>
            </w:r>
          </w:p>
        </w:tc>
        <w:tc>
          <w:tcPr>
            <w:tcW w:w="1160" w:type="dxa"/>
            <w:noWrap/>
            <w:hideMark/>
          </w:tcPr>
          <w:p w:rsidR="00041CA7" w:rsidRPr="0037738B" w:rsidRDefault="00041CA7" w:rsidP="00041CA7">
            <w:pPr>
              <w:rPr>
                <w:rFonts w:cs="Arial"/>
                <w:szCs w:val="20"/>
              </w:rPr>
            </w:pPr>
            <w:r w:rsidRPr="0037738B">
              <w:rPr>
                <w:rFonts w:cs="Arial"/>
                <w:szCs w:val="20"/>
              </w:rPr>
              <w:t>2000-2003</w:t>
            </w:r>
          </w:p>
        </w:tc>
        <w:tc>
          <w:tcPr>
            <w:tcW w:w="990" w:type="dxa"/>
            <w:noWrap/>
            <w:hideMark/>
          </w:tcPr>
          <w:p w:rsidR="00041CA7" w:rsidRPr="0037738B" w:rsidRDefault="00041CA7" w:rsidP="00041CA7">
            <w:pPr>
              <w:rPr>
                <w:rFonts w:cs="Arial"/>
                <w:szCs w:val="20"/>
              </w:rPr>
            </w:pPr>
            <w:r w:rsidRPr="0037738B">
              <w:rPr>
                <w:rFonts w:cs="Arial"/>
                <w:szCs w:val="20"/>
              </w:rPr>
              <w:t>429</w:t>
            </w:r>
          </w:p>
        </w:tc>
        <w:tc>
          <w:tcPr>
            <w:tcW w:w="1146" w:type="dxa"/>
            <w:noWrap/>
            <w:hideMark/>
          </w:tcPr>
          <w:p w:rsidR="00041CA7" w:rsidRPr="0037738B" w:rsidRDefault="00041CA7" w:rsidP="00041CA7">
            <w:pPr>
              <w:rPr>
                <w:rFonts w:cs="Arial"/>
                <w:szCs w:val="20"/>
              </w:rPr>
            </w:pPr>
            <w:r w:rsidRPr="0037738B">
              <w:rPr>
                <w:rFonts w:cs="Arial"/>
                <w:szCs w:val="20"/>
              </w:rPr>
              <w:t>NSCLC</w:t>
            </w:r>
          </w:p>
        </w:tc>
        <w:tc>
          <w:tcPr>
            <w:tcW w:w="829" w:type="dxa"/>
            <w:noWrap/>
            <w:hideMark/>
          </w:tcPr>
          <w:p w:rsidR="00041CA7" w:rsidRPr="0037738B" w:rsidRDefault="00041CA7" w:rsidP="00041CA7">
            <w:pPr>
              <w:rPr>
                <w:rFonts w:cs="Arial"/>
                <w:szCs w:val="20"/>
              </w:rPr>
            </w:pPr>
            <w:r w:rsidRPr="0037738B">
              <w:rPr>
                <w:rFonts w:cs="Arial"/>
                <w:szCs w:val="20"/>
              </w:rPr>
              <w:t>181</w:t>
            </w:r>
          </w:p>
        </w:tc>
        <w:tc>
          <w:tcPr>
            <w:tcW w:w="720" w:type="dxa"/>
            <w:noWrap/>
            <w:hideMark/>
          </w:tcPr>
          <w:p w:rsidR="00041CA7" w:rsidRPr="0037738B" w:rsidRDefault="00041CA7" w:rsidP="00041CA7">
            <w:pPr>
              <w:rPr>
                <w:rFonts w:cs="Arial"/>
                <w:szCs w:val="20"/>
              </w:rPr>
            </w:pPr>
            <w:r w:rsidRPr="0037738B">
              <w:rPr>
                <w:rFonts w:cs="Arial"/>
                <w:szCs w:val="20"/>
              </w:rPr>
              <w:t>248</w:t>
            </w:r>
          </w:p>
        </w:tc>
        <w:tc>
          <w:tcPr>
            <w:tcW w:w="1109" w:type="dxa"/>
            <w:noWrap/>
            <w:hideMark/>
          </w:tcPr>
          <w:p w:rsidR="00041CA7" w:rsidRPr="0037738B" w:rsidRDefault="00041CA7" w:rsidP="00041CA7">
            <w:pPr>
              <w:rPr>
                <w:rFonts w:cs="Arial"/>
                <w:szCs w:val="20"/>
              </w:rPr>
            </w:pPr>
            <w:r w:rsidRPr="0037738B">
              <w:rPr>
                <w:rFonts w:cs="Arial"/>
                <w:szCs w:val="20"/>
              </w:rPr>
              <w:t>DFS</w:t>
            </w:r>
          </w:p>
        </w:tc>
      </w:tr>
      <w:tr w:rsidR="00041CA7" w:rsidRPr="0037738B" w:rsidTr="00041CA7">
        <w:trPr>
          <w:trHeight w:val="647"/>
        </w:trPr>
        <w:tc>
          <w:tcPr>
            <w:tcW w:w="1415" w:type="dxa"/>
            <w:noWrap/>
            <w:hideMark/>
          </w:tcPr>
          <w:p w:rsidR="00041CA7" w:rsidRPr="0037738B" w:rsidRDefault="00041CA7" w:rsidP="00041CA7">
            <w:pPr>
              <w:rPr>
                <w:rFonts w:cs="Arial"/>
                <w:szCs w:val="20"/>
              </w:rPr>
            </w:pPr>
            <w:r w:rsidRPr="0037738B">
              <w:rPr>
                <w:rFonts w:cs="Arial"/>
                <w:szCs w:val="20"/>
              </w:rPr>
              <w:fldChar w:fldCharType="begin" w:fldLock="1"/>
            </w:r>
            <w:r>
              <w:rPr>
                <w:rFonts w:cs="Arial"/>
                <w:szCs w:val="20"/>
              </w:rPr>
              <w:instrText>ADDIN CSL_CITATION {"citationItems":[{"id":"ITEM-1","itemData":{"DOI":"10.3346/jkms.2013.28.7.1005","ISSN":"15986357","PMID":"23853482","abstract":"Transglutaminase 2 (TG2), a cross-linking enzyme, is involved in drug resistance and in the constitutive activation of nuclear factor kappa B (NF-B). We investigated the association of non-small cell lung cancer (NSCLC) treatment efficacy with TG2 and NF-B expression in 120 patients: 102 with adenocarcinoma and 18 with other histologic types. All patients underwent surgery; 88 received adjuvant chemotherapy, with 28 receiving platinum-based doublet chemotherapy as first-line treatment and 29 receiving epidermal growth factor receptor (EGFR)-tyrosine kinase inhibitor (TKI) therapy. Patients' TG2 and NF-B expression values were calculated semiquantitatively. The median TG2 value was 50 (range, 0-300) and the median NF-B value was 20 (range, 0-240). Disease-free survival did not differ between the low- and high-TG2 groups. Among patients who received palliative platinumbased doublet chemotherapy, progression free survival (PFS) was longer in the low-TG2 group than in the high-TG2 group (11.0 vs. 7.0 months; P = 0.330). Among those who received EGFR-TKI therapy, PFS was also longer in the low-TG2 group than in the high-TG 2 group (11.0 vs. 2.0 months; P = 0.013). Similarly, in EGFR wild-type patients treatedwith EGFR-TKI, PFS was longer in patients with low TG2 expression (9.0 vs. 2.0 months; P = 0.013). TG2 expression levels can predict PFS in patients with NSCLC treated with EGFR-TKI ©2013 The Korean Academy of Medical Sciences.","author":[{"dropping-particle":"","family":"Jeong","given":"Jae Heon","non-dropping-particle":"","parse-names":false,"suffix":""},{"dropping-particle":"","family":"Cho","given":"Byoung Chul","non-dropping-particle":"","parse-names":false,"suffix":""},{"dropping-particle":"","family":"Shim","given":"Hyo Sup","non-dropping-particle":"","parse-names":false,"suffix":""},{"dropping-particle":"","family":"Kim","given":"Hye Ryun","non-dropping-particle":"","parse-names":false,"suffix":""},{"dropping-particle":"","family":"Lim","given":"Sun Min","non-dropping-particle":"","parse-names":false,"suffix":""},{"dropping-particle":"","family":"Kim","given":"Se Kyu","non-dropping-particle":"","parse-names":false,"suffix":""},{"dropping-particle":"","family":"Chung","given":"Kyung Young","non-dropping-particle":"","parse-names":false,"suffix":""},{"dropping-particle":"","family":"Bakhtiar Ul Islam","given":"S. M.","non-dropping-particle":"","parse-names":false,"suffix":""},{"dropping-particle":"","family":"Song","given":"Jae Jin","non-dropping-particle":"","parse-names":false,"suffix":""},{"dropping-particle":"","family":"Kim","given":"Soo Youl","non-dropping-particle":"","parse-names":false,"suffix":""},{"dropping-particle":"","family":"Kim","given":"Joo Hang","non-dropping-particle":"","parse-names":false,"suffix":""}],"container-title":"Journal of Korean Medical Science","id":"ITEM-1","issue":"7","issued":{"date-parts":[["2013"]]},"page":"1005-1014","publisher":"Korean Academy of Medical Science","title":"Transglutaminase 2 expression predicts progression free survival in non-small cell lung cancer patients treated with epidermal growth factor receptor tyrosine kinase inhibitor","type":"article-journal","volume":"28"},"uris":["http://www.mendeley.com/documents/?uuid=a7cf1739-8f97-37c6-9ac2-738927a888f2"]}],"mendeley":{"formattedCitation":"(Jeong et al., 2013)","plainTextFormattedCitation":"(Jeong et al., 2013)","previouslyFormattedCitation":"&lt;sup&gt;8&lt;/sup&gt;"},"properties":{"noteIndex":0},"schema":"https://github.com/citation-style-language/schema/raw/master/csl-citation.json"}</w:instrText>
            </w:r>
            <w:r w:rsidRPr="0037738B">
              <w:rPr>
                <w:rFonts w:cs="Arial"/>
                <w:szCs w:val="20"/>
              </w:rPr>
              <w:fldChar w:fldCharType="separate"/>
            </w:r>
            <w:r w:rsidRPr="00F5221A">
              <w:rPr>
                <w:rFonts w:cs="Arial"/>
                <w:noProof/>
                <w:szCs w:val="20"/>
              </w:rPr>
              <w:t>(Jeong et al., 2013)</w:t>
            </w:r>
            <w:r w:rsidRPr="0037738B">
              <w:rPr>
                <w:rFonts w:cs="Arial"/>
                <w:szCs w:val="20"/>
              </w:rPr>
              <w:fldChar w:fldCharType="end"/>
            </w:r>
            <w:r w:rsidRPr="0037738B">
              <w:rPr>
                <w:rFonts w:cs="Arial"/>
                <w:szCs w:val="20"/>
              </w:rPr>
              <w:t xml:space="preserve"> </w:t>
            </w:r>
          </w:p>
        </w:tc>
        <w:tc>
          <w:tcPr>
            <w:tcW w:w="1121" w:type="dxa"/>
            <w:noWrap/>
            <w:hideMark/>
          </w:tcPr>
          <w:p w:rsidR="00041CA7" w:rsidRPr="0037738B" w:rsidRDefault="00041CA7" w:rsidP="00041CA7">
            <w:pPr>
              <w:rPr>
                <w:rFonts w:cs="Arial"/>
                <w:szCs w:val="20"/>
              </w:rPr>
            </w:pPr>
            <w:r w:rsidRPr="0037738B">
              <w:rPr>
                <w:rFonts w:cs="Arial"/>
                <w:szCs w:val="20"/>
              </w:rPr>
              <w:t>Korea</w:t>
            </w:r>
          </w:p>
        </w:tc>
        <w:tc>
          <w:tcPr>
            <w:tcW w:w="1160" w:type="dxa"/>
            <w:noWrap/>
            <w:hideMark/>
          </w:tcPr>
          <w:p w:rsidR="00041CA7" w:rsidRPr="0037738B" w:rsidRDefault="00041CA7" w:rsidP="00041CA7">
            <w:pPr>
              <w:rPr>
                <w:rFonts w:cs="Arial"/>
                <w:szCs w:val="20"/>
              </w:rPr>
            </w:pPr>
            <w:r w:rsidRPr="0037738B">
              <w:rPr>
                <w:rFonts w:cs="Arial"/>
                <w:szCs w:val="20"/>
              </w:rPr>
              <w:t>2004-2011</w:t>
            </w:r>
          </w:p>
        </w:tc>
        <w:tc>
          <w:tcPr>
            <w:tcW w:w="990" w:type="dxa"/>
            <w:noWrap/>
            <w:hideMark/>
          </w:tcPr>
          <w:p w:rsidR="00041CA7" w:rsidRPr="0037738B" w:rsidRDefault="00041CA7" w:rsidP="00041CA7">
            <w:pPr>
              <w:rPr>
                <w:rFonts w:cs="Arial"/>
                <w:szCs w:val="20"/>
              </w:rPr>
            </w:pPr>
            <w:r w:rsidRPr="0037738B">
              <w:rPr>
                <w:rFonts w:cs="Arial"/>
                <w:szCs w:val="20"/>
              </w:rPr>
              <w:t>120</w:t>
            </w:r>
          </w:p>
        </w:tc>
        <w:tc>
          <w:tcPr>
            <w:tcW w:w="1146" w:type="dxa"/>
            <w:noWrap/>
            <w:hideMark/>
          </w:tcPr>
          <w:p w:rsidR="00041CA7" w:rsidRPr="0037738B" w:rsidRDefault="00041CA7" w:rsidP="00041CA7">
            <w:pPr>
              <w:rPr>
                <w:rFonts w:cs="Arial"/>
                <w:szCs w:val="20"/>
              </w:rPr>
            </w:pPr>
            <w:r w:rsidRPr="0037738B">
              <w:rPr>
                <w:rFonts w:cs="Arial"/>
                <w:szCs w:val="20"/>
              </w:rPr>
              <w:t>NSCLC</w:t>
            </w:r>
          </w:p>
        </w:tc>
        <w:tc>
          <w:tcPr>
            <w:tcW w:w="829" w:type="dxa"/>
            <w:noWrap/>
            <w:hideMark/>
          </w:tcPr>
          <w:p w:rsidR="00041CA7" w:rsidRPr="0037738B" w:rsidRDefault="00041CA7" w:rsidP="00041CA7">
            <w:pPr>
              <w:rPr>
                <w:rFonts w:cs="Arial"/>
                <w:szCs w:val="20"/>
              </w:rPr>
            </w:pPr>
            <w:r w:rsidRPr="0037738B">
              <w:rPr>
                <w:rFonts w:cs="Arial"/>
                <w:szCs w:val="20"/>
              </w:rPr>
              <w:t>56</w:t>
            </w:r>
          </w:p>
        </w:tc>
        <w:tc>
          <w:tcPr>
            <w:tcW w:w="720" w:type="dxa"/>
            <w:noWrap/>
            <w:hideMark/>
          </w:tcPr>
          <w:p w:rsidR="00041CA7" w:rsidRPr="0037738B" w:rsidRDefault="00041CA7" w:rsidP="00041CA7">
            <w:pPr>
              <w:rPr>
                <w:rFonts w:cs="Arial"/>
                <w:szCs w:val="20"/>
              </w:rPr>
            </w:pPr>
            <w:r w:rsidRPr="0037738B">
              <w:rPr>
                <w:rFonts w:cs="Arial"/>
                <w:szCs w:val="20"/>
              </w:rPr>
              <w:t>64</w:t>
            </w:r>
          </w:p>
        </w:tc>
        <w:tc>
          <w:tcPr>
            <w:tcW w:w="1109" w:type="dxa"/>
            <w:noWrap/>
            <w:hideMark/>
          </w:tcPr>
          <w:p w:rsidR="00041CA7" w:rsidRPr="0037738B" w:rsidRDefault="00041CA7" w:rsidP="00041CA7">
            <w:pPr>
              <w:rPr>
                <w:rFonts w:cs="Arial"/>
                <w:szCs w:val="20"/>
              </w:rPr>
            </w:pPr>
            <w:r w:rsidRPr="0037738B">
              <w:rPr>
                <w:rFonts w:cs="Arial"/>
                <w:szCs w:val="20"/>
              </w:rPr>
              <w:t xml:space="preserve">OS,DFS                  </w:t>
            </w:r>
          </w:p>
        </w:tc>
      </w:tr>
      <w:tr w:rsidR="00041CA7" w:rsidRPr="0037738B" w:rsidTr="00041CA7">
        <w:trPr>
          <w:trHeight w:val="288"/>
        </w:trPr>
        <w:tc>
          <w:tcPr>
            <w:tcW w:w="1415" w:type="dxa"/>
            <w:noWrap/>
            <w:hideMark/>
          </w:tcPr>
          <w:p w:rsidR="00041CA7" w:rsidRPr="0037738B" w:rsidRDefault="00041CA7" w:rsidP="00041CA7">
            <w:pPr>
              <w:rPr>
                <w:rFonts w:cs="Arial"/>
                <w:szCs w:val="20"/>
              </w:rPr>
            </w:pPr>
            <w:r w:rsidRPr="0037738B">
              <w:rPr>
                <w:rFonts w:cs="Arial"/>
                <w:szCs w:val="20"/>
              </w:rPr>
              <w:fldChar w:fldCharType="begin" w:fldLock="1"/>
            </w:r>
            <w:r>
              <w:rPr>
                <w:rFonts w:cs="Arial"/>
                <w:szCs w:val="20"/>
              </w:rPr>
              <w:instrText>ADDIN CSL_CITATION {"citationItems":[{"id":"ITEM-1","itemData":{"DOI":"10.18632/oncotarget.17374","ISSN":"1949-2553","PMID":"28715877","abstract":"Transglutaminase 2 (TG2) plays important roles in cell survival and cancer progression. In this study, we examined TG2 expression in specimen of 194 patients diagnosed with non-small cell lung cancer (NSCLC), and found that the TG2 gene expression was significantly higher in lung cancer tissues as compared to paired incisal marginal tissues or normal tissues. Our data revealed that patients with lower level of TG2 expression detected in cancer tissues had longer disease free survival and overall survival as compared to the patients with higher TG2 expression. We also found that TG2 expression level correlated to NSCLC recurrence. These results suggest a potential prognosis impact of TG2 for NSCLC patients.","author":[{"dropping-particle":"","family":"Chihong","given":"Zhu","non-dropping-particle":"","parse-names":false,"suffix":""},{"dropping-particle":"","family":"Yutian","given":"Ling","non-dropping-particle":"","parse-names":false,"suffix":""},{"dropping-particle":"","family":"Danying","given":"Wan","non-dropping-particle":"","parse-names":false,"suffix":""},{"dropping-particle":"","family":"Ruibin","given":"Jiang","non-dropping-particle":"","parse-names":false,"suffix":""},{"dropping-particle":"","family":"Huaying","given":"Sheng","non-dropping-particle":"","parse-names":false,"suffix":""},{"dropping-particle":"","family":"Linhui","given":"Gu","non-dropping-particle":"","parse-names":false,"suffix":""},{"dropping-particle":"","family":"Jianguo","given":"Feng","non-dropping-particle":"","parse-names":false,"suffix":""}],"container-title":"Oncotarget","id":"ITEM-1","issue":"28","issued":{"date-parts":[["2017","7","11"]]},"page":"45577-45584","publisher":"Impact Journals LLC","title":"Prognostic value of Transglutaminase 2 in non-small cell lung cancer patients.","type":"article-journal","volume":"8"},"uris":["http://www.mendeley.com/documents/?uuid=c357dd8b-a12e-30db-b2c2-88814cf0122f"]}],"mendeley":{"formattedCitation":"(Chihong et al., 2017)","plainTextFormattedCitation":"(Chihong et al., 2017)","previouslyFormattedCitation":"&lt;sup&gt;9&lt;/sup&gt;"},"properties":{"noteIndex":0},"schema":"https://github.com/citation-style-language/schema/raw/master/csl-citation.json"}</w:instrText>
            </w:r>
            <w:r w:rsidRPr="0037738B">
              <w:rPr>
                <w:rFonts w:cs="Arial"/>
                <w:szCs w:val="20"/>
              </w:rPr>
              <w:fldChar w:fldCharType="separate"/>
            </w:r>
            <w:r w:rsidRPr="00F5221A">
              <w:rPr>
                <w:rFonts w:cs="Arial"/>
                <w:noProof/>
                <w:szCs w:val="20"/>
              </w:rPr>
              <w:t>(Chihong et al., 2017)</w:t>
            </w:r>
            <w:r w:rsidRPr="0037738B">
              <w:rPr>
                <w:rFonts w:cs="Arial"/>
                <w:szCs w:val="20"/>
              </w:rPr>
              <w:fldChar w:fldCharType="end"/>
            </w:r>
          </w:p>
        </w:tc>
        <w:tc>
          <w:tcPr>
            <w:tcW w:w="1121" w:type="dxa"/>
            <w:noWrap/>
            <w:hideMark/>
          </w:tcPr>
          <w:p w:rsidR="00041CA7" w:rsidRPr="0037738B" w:rsidRDefault="00041CA7" w:rsidP="00041CA7">
            <w:pPr>
              <w:rPr>
                <w:rFonts w:cs="Arial"/>
                <w:szCs w:val="20"/>
              </w:rPr>
            </w:pPr>
            <w:r w:rsidRPr="0037738B">
              <w:rPr>
                <w:rFonts w:cs="Arial"/>
                <w:szCs w:val="20"/>
              </w:rPr>
              <w:t>China</w:t>
            </w:r>
          </w:p>
        </w:tc>
        <w:tc>
          <w:tcPr>
            <w:tcW w:w="1160" w:type="dxa"/>
            <w:noWrap/>
            <w:hideMark/>
          </w:tcPr>
          <w:p w:rsidR="00041CA7" w:rsidRPr="0037738B" w:rsidRDefault="00041CA7" w:rsidP="00041CA7">
            <w:pPr>
              <w:rPr>
                <w:rFonts w:cs="Arial"/>
                <w:szCs w:val="20"/>
              </w:rPr>
            </w:pPr>
            <w:r w:rsidRPr="0037738B">
              <w:rPr>
                <w:rFonts w:cs="Arial"/>
                <w:szCs w:val="20"/>
              </w:rPr>
              <w:t>2006-2010</w:t>
            </w:r>
          </w:p>
        </w:tc>
        <w:tc>
          <w:tcPr>
            <w:tcW w:w="990" w:type="dxa"/>
            <w:noWrap/>
            <w:hideMark/>
          </w:tcPr>
          <w:p w:rsidR="00041CA7" w:rsidRPr="0037738B" w:rsidRDefault="00041CA7" w:rsidP="00041CA7">
            <w:pPr>
              <w:rPr>
                <w:rFonts w:cs="Arial"/>
                <w:szCs w:val="20"/>
              </w:rPr>
            </w:pPr>
            <w:r w:rsidRPr="0037738B">
              <w:rPr>
                <w:rFonts w:cs="Arial"/>
                <w:szCs w:val="20"/>
              </w:rPr>
              <w:t>194</w:t>
            </w:r>
          </w:p>
        </w:tc>
        <w:tc>
          <w:tcPr>
            <w:tcW w:w="1146" w:type="dxa"/>
            <w:noWrap/>
            <w:hideMark/>
          </w:tcPr>
          <w:p w:rsidR="00041CA7" w:rsidRPr="0037738B" w:rsidRDefault="00041CA7" w:rsidP="00041CA7">
            <w:pPr>
              <w:rPr>
                <w:rFonts w:cs="Arial"/>
                <w:szCs w:val="20"/>
              </w:rPr>
            </w:pPr>
            <w:r w:rsidRPr="0037738B">
              <w:rPr>
                <w:rFonts w:cs="Arial"/>
                <w:szCs w:val="20"/>
              </w:rPr>
              <w:t>NSCLC</w:t>
            </w:r>
          </w:p>
        </w:tc>
        <w:tc>
          <w:tcPr>
            <w:tcW w:w="829" w:type="dxa"/>
            <w:noWrap/>
            <w:hideMark/>
          </w:tcPr>
          <w:p w:rsidR="00041CA7" w:rsidRPr="0037738B" w:rsidRDefault="00041CA7" w:rsidP="00041CA7">
            <w:pPr>
              <w:rPr>
                <w:rFonts w:cs="Arial"/>
                <w:szCs w:val="20"/>
              </w:rPr>
            </w:pPr>
            <w:r w:rsidRPr="0037738B">
              <w:rPr>
                <w:rFonts w:cs="Arial"/>
                <w:szCs w:val="20"/>
              </w:rPr>
              <w:t>75</w:t>
            </w:r>
          </w:p>
        </w:tc>
        <w:tc>
          <w:tcPr>
            <w:tcW w:w="720" w:type="dxa"/>
            <w:noWrap/>
            <w:hideMark/>
          </w:tcPr>
          <w:p w:rsidR="00041CA7" w:rsidRPr="0037738B" w:rsidRDefault="00041CA7" w:rsidP="00041CA7">
            <w:pPr>
              <w:rPr>
                <w:rFonts w:cs="Arial"/>
                <w:szCs w:val="20"/>
              </w:rPr>
            </w:pPr>
            <w:r w:rsidRPr="0037738B">
              <w:rPr>
                <w:rFonts w:cs="Arial"/>
                <w:szCs w:val="20"/>
              </w:rPr>
              <w:t>119</w:t>
            </w:r>
          </w:p>
        </w:tc>
        <w:tc>
          <w:tcPr>
            <w:tcW w:w="1109" w:type="dxa"/>
            <w:noWrap/>
            <w:hideMark/>
          </w:tcPr>
          <w:p w:rsidR="00041CA7" w:rsidRPr="0037738B" w:rsidRDefault="00041CA7" w:rsidP="00041CA7">
            <w:pPr>
              <w:rPr>
                <w:rFonts w:cs="Arial"/>
                <w:szCs w:val="20"/>
              </w:rPr>
            </w:pPr>
            <w:r w:rsidRPr="0037738B">
              <w:rPr>
                <w:rFonts w:cs="Arial"/>
                <w:szCs w:val="20"/>
              </w:rPr>
              <w:t xml:space="preserve">OS,DFS   </w:t>
            </w:r>
          </w:p>
        </w:tc>
      </w:tr>
      <w:tr w:rsidR="00041CA7" w:rsidRPr="0037738B" w:rsidTr="00041CA7">
        <w:trPr>
          <w:trHeight w:val="288"/>
        </w:trPr>
        <w:tc>
          <w:tcPr>
            <w:tcW w:w="1415" w:type="dxa"/>
            <w:noWrap/>
            <w:hideMark/>
          </w:tcPr>
          <w:p w:rsidR="00041CA7" w:rsidRPr="0037738B" w:rsidRDefault="00041CA7" w:rsidP="00041CA7">
            <w:pPr>
              <w:rPr>
                <w:rFonts w:cs="Arial"/>
                <w:noProof/>
                <w:szCs w:val="20"/>
              </w:rPr>
            </w:pPr>
            <w:r w:rsidRPr="0037738B">
              <w:rPr>
                <w:rFonts w:cs="Arial"/>
                <w:szCs w:val="20"/>
              </w:rPr>
              <w:fldChar w:fldCharType="begin" w:fldLock="1"/>
            </w:r>
            <w:r>
              <w:rPr>
                <w:rFonts w:cs="Arial"/>
                <w:szCs w:val="20"/>
              </w:rPr>
              <w:instrText>ADDIN CSL_CITATION {"citationItems":[{"id":"ITEM-1","itemData":{"DOI":"10.1371/journal.pone.0074437","ISSN":"19326203","PMID":"24058567","abstract":"Introduction:Molecular markers for predicting breast cancer patients at high risk of recurrence are urgently needed for more effective disease management. The impact of alterations in extracellular matrix components on tumor aggressiveness is under intense investigation. Overexpression of Transglutaminase 2 (TG2), a multifunctional enzyme, in cancer cells impacts epithelial mesenchymal transition, growth, invasion and interactions with tumor microenvironment. The objective of our study is to determine the clinical relevance of stromal TG2 overexpression and explore its potential to identify breast cancers at high risk of recurrence.Methods:This retrospective study is based on immunohistochemical analysis of TG2 expression in normal breast tissues (n = 40) and breast cancers (n = 253) with clinical, pathological and follow-up data available for up to 12 years. TG2 expression was correlated with clinical and pathological parameters as well as disease free survival (DFS) of breast cancer patients.Results:Stromal TG2 overexpression was observed in 114/253 (45.0%) breast cancer tissues as compared to breast normal tissues. Among invasive ductal carcinomas (IDC) of the breast, 97/168 (57.7%) showed strong TG2 expression in tumor stroma. Importantly, IDC patients showing stromal TG2 accumulation had significantly reduced DFS (mean DFS = 110 months) in comparison with patients showing low expression (mean DFS = 130 months) in Kaplan-Meier survival analysis (p&lt;0.001). In Cox multivariate regression analysis, stromal TG2 accumulation was an independent risk factor for recurrence (p = 0.006, Hazard's ratio, H.R. = 3.79). Notably, these breast cancer patients also showed immunostaining of N-epsilon gamma-glutamyl lysine amino residues in tumor stroma demonstrating the transamidating activity of TG2.Conclusions:Accumulation of TG2 in tumor stroma is an independent risk factor for identifying breast cancer patients at high risk of recurrence. TG2 overexpression in tumor stroma may serve as a predictor of poor prognosis for IDC of the breast. © 2013 Assi et al.","author":[{"dropping-particle":"","family":"Assi","given":"Jasmeet","non-dropping-particle":"","parse-names":false,"suffix":""},{"dropping-particle":"","family":"Srivastava","given":"Gunjan","non-dropping-particle":"","parse-names":false,"suffix":""},{"dropping-particle":"","family":"Matta","given":"Ajay","non-dropping-particle":"","parse-names":false,"suffix":""},{"dropping-particle":"","family":"Chang","given":"Martin C.","non-dropping-particle":"","parse-names":false,"suffix":""},{"dropping-particle":"","family":"Walfish","given":"Paul G.","non-dropping-particle":"","parse-names":false,"suffix":""},{"dropping-particle":"","family":"Ralhan","given":"Ranju","non-dropping-particle":"","parse-names":false,"suffix":""}],"container-title":"PLoS ONE","id":"ITEM-1","issue":"9","issued":{"date-parts":[["2013","9","13"]]},"title":"Transglutaminase 2 Overexpression in Tumor Stroma Identifies Invasive Ductal Carcinomas of Breast at High Risk of Recurrence","type":"article-journal","volume":"8"},"uris":["http://www.mendeley.com/documents/?uuid=6d109667-3620-3399-b4ef-28956453784d"]}],"mendeley":{"formattedCitation":"(Assi et al., 2013)","plainTextFormattedCitation":"(Assi et al., 2013)","previouslyFormattedCitation":"&lt;sup&gt;10&lt;/sup&gt;"},"properties":{"noteIndex":0},"schema":"https://github.com/citation-style-language/schema/raw/master/csl-citation.json"}</w:instrText>
            </w:r>
            <w:r w:rsidRPr="0037738B">
              <w:rPr>
                <w:rFonts w:cs="Arial"/>
                <w:szCs w:val="20"/>
              </w:rPr>
              <w:fldChar w:fldCharType="separate"/>
            </w:r>
            <w:r w:rsidRPr="00F5221A">
              <w:rPr>
                <w:rFonts w:cs="Arial"/>
                <w:noProof/>
                <w:szCs w:val="20"/>
              </w:rPr>
              <w:t>(Assi et al., 2013)</w:t>
            </w:r>
            <w:r w:rsidRPr="0037738B">
              <w:rPr>
                <w:rFonts w:cs="Arial"/>
                <w:szCs w:val="20"/>
              </w:rPr>
              <w:fldChar w:fldCharType="end"/>
            </w:r>
          </w:p>
        </w:tc>
        <w:tc>
          <w:tcPr>
            <w:tcW w:w="1121" w:type="dxa"/>
            <w:noWrap/>
            <w:hideMark/>
          </w:tcPr>
          <w:p w:rsidR="00041CA7" w:rsidRPr="0037738B" w:rsidRDefault="00041CA7" w:rsidP="00041CA7">
            <w:pPr>
              <w:rPr>
                <w:rFonts w:cs="Arial"/>
                <w:szCs w:val="20"/>
              </w:rPr>
            </w:pPr>
            <w:r w:rsidRPr="0037738B">
              <w:rPr>
                <w:rFonts w:cs="Arial"/>
                <w:szCs w:val="20"/>
              </w:rPr>
              <w:t>Canada</w:t>
            </w:r>
          </w:p>
        </w:tc>
        <w:tc>
          <w:tcPr>
            <w:tcW w:w="1160" w:type="dxa"/>
            <w:noWrap/>
            <w:hideMark/>
          </w:tcPr>
          <w:p w:rsidR="00041CA7" w:rsidRPr="0037738B" w:rsidRDefault="00041CA7" w:rsidP="00041CA7">
            <w:pPr>
              <w:rPr>
                <w:rFonts w:cs="Arial"/>
                <w:szCs w:val="20"/>
              </w:rPr>
            </w:pPr>
            <w:r w:rsidRPr="0037738B">
              <w:rPr>
                <w:rFonts w:cs="Arial"/>
                <w:szCs w:val="20"/>
              </w:rPr>
              <w:t>NR</w:t>
            </w:r>
          </w:p>
        </w:tc>
        <w:tc>
          <w:tcPr>
            <w:tcW w:w="990" w:type="dxa"/>
            <w:noWrap/>
            <w:hideMark/>
          </w:tcPr>
          <w:p w:rsidR="00041CA7" w:rsidRPr="0037738B" w:rsidRDefault="00041CA7" w:rsidP="00041CA7">
            <w:pPr>
              <w:rPr>
                <w:rFonts w:cs="Arial"/>
                <w:szCs w:val="20"/>
              </w:rPr>
            </w:pPr>
            <w:r w:rsidRPr="0037738B">
              <w:rPr>
                <w:rFonts w:cs="Arial"/>
                <w:szCs w:val="20"/>
              </w:rPr>
              <w:t>253</w:t>
            </w:r>
          </w:p>
        </w:tc>
        <w:tc>
          <w:tcPr>
            <w:tcW w:w="1146" w:type="dxa"/>
            <w:noWrap/>
            <w:hideMark/>
          </w:tcPr>
          <w:p w:rsidR="00041CA7" w:rsidRPr="0037738B" w:rsidRDefault="00041CA7" w:rsidP="00041CA7">
            <w:pPr>
              <w:rPr>
                <w:rFonts w:cs="Arial"/>
                <w:szCs w:val="20"/>
              </w:rPr>
            </w:pPr>
            <w:r w:rsidRPr="0037738B">
              <w:rPr>
                <w:rFonts w:cs="Arial"/>
                <w:szCs w:val="20"/>
              </w:rPr>
              <w:t xml:space="preserve">Breast </w:t>
            </w:r>
          </w:p>
        </w:tc>
        <w:tc>
          <w:tcPr>
            <w:tcW w:w="829" w:type="dxa"/>
            <w:noWrap/>
            <w:hideMark/>
          </w:tcPr>
          <w:p w:rsidR="00041CA7" w:rsidRPr="0037738B" w:rsidRDefault="00041CA7" w:rsidP="00041CA7">
            <w:pPr>
              <w:rPr>
                <w:rFonts w:cs="Arial"/>
                <w:szCs w:val="20"/>
              </w:rPr>
            </w:pPr>
            <w:r w:rsidRPr="0037738B">
              <w:rPr>
                <w:rFonts w:cs="Arial"/>
                <w:szCs w:val="20"/>
              </w:rPr>
              <w:t>199</w:t>
            </w:r>
          </w:p>
        </w:tc>
        <w:tc>
          <w:tcPr>
            <w:tcW w:w="720" w:type="dxa"/>
            <w:noWrap/>
            <w:hideMark/>
          </w:tcPr>
          <w:p w:rsidR="00041CA7" w:rsidRPr="0037738B" w:rsidRDefault="00041CA7" w:rsidP="00041CA7">
            <w:pPr>
              <w:rPr>
                <w:rFonts w:cs="Arial"/>
                <w:szCs w:val="20"/>
              </w:rPr>
            </w:pPr>
            <w:r w:rsidRPr="0037738B">
              <w:rPr>
                <w:rFonts w:cs="Arial"/>
                <w:szCs w:val="20"/>
              </w:rPr>
              <w:t>54</w:t>
            </w:r>
          </w:p>
        </w:tc>
        <w:tc>
          <w:tcPr>
            <w:tcW w:w="1109" w:type="dxa"/>
            <w:noWrap/>
            <w:hideMark/>
          </w:tcPr>
          <w:p w:rsidR="00041CA7" w:rsidRPr="0037738B" w:rsidRDefault="00041CA7" w:rsidP="00041CA7">
            <w:pPr>
              <w:rPr>
                <w:rFonts w:cs="Arial"/>
                <w:szCs w:val="20"/>
              </w:rPr>
            </w:pPr>
            <w:r w:rsidRPr="0037738B">
              <w:rPr>
                <w:rFonts w:cs="Arial"/>
                <w:szCs w:val="20"/>
              </w:rPr>
              <w:t>DFS</w:t>
            </w:r>
          </w:p>
        </w:tc>
      </w:tr>
      <w:tr w:rsidR="00041CA7" w:rsidRPr="0037738B" w:rsidTr="00041CA7">
        <w:trPr>
          <w:trHeight w:val="288"/>
        </w:trPr>
        <w:tc>
          <w:tcPr>
            <w:tcW w:w="1415" w:type="dxa"/>
            <w:noWrap/>
            <w:hideMark/>
          </w:tcPr>
          <w:p w:rsidR="00041CA7" w:rsidRPr="0037738B" w:rsidRDefault="00041CA7" w:rsidP="00041CA7">
            <w:pPr>
              <w:rPr>
                <w:rFonts w:cs="Arial"/>
                <w:szCs w:val="20"/>
              </w:rPr>
            </w:pPr>
            <w:r w:rsidRPr="0037738B">
              <w:rPr>
                <w:rFonts w:cs="Arial"/>
                <w:szCs w:val="20"/>
              </w:rPr>
              <w:fldChar w:fldCharType="begin" w:fldLock="1"/>
            </w:r>
            <w:r>
              <w:rPr>
                <w:rFonts w:cs="Arial"/>
                <w:szCs w:val="20"/>
              </w:rPr>
              <w:instrText>ADDIN CSL_CITATION {"citationItems":[{"id":"ITEM-1","itemData":{"DOI":"10.1186/s12885-022-10364-2","ISSN":"1471-2407","PMID":"36471278","abstract":"BACKGROUND Breast cancer (BC) is the most common malignant tumor among women worldwide. Tissue transglutaminase 2 (TG2) has been reported as a major player across several types of cancer. However, the effects of TG2 in breast cancer are less known. METHODS The expression of TG2 in patients with BC was detected by immunochemistry staining and RT-qPCR. The correlation of TG2 expression and clinicopathological factors or overall survival (OS) was analyzed by Chi-square test, Kaplan-Meier, and Cox-regression analysis. The effects of TG2 on cell proliferation and glycolysis were investigated in vivo and in vitro by gain- and loss-of-function experiments. RESULT Both mRNA and protein levels of TG2 were overexpressed in BC tissues and cultured cells. Clinical stage (p = 0.011), molecular subtype (p&lt;0.001) and survival status (p&lt;0.001) were significantly correlated with TG2 expression. Specifically, TG2 expression was positively associated with the clinical stage (r = 0.193, p = 0.005) and OS (r = 0.230, p = 0.001), while negatively associated with molecular subtype (r = - 0.161, p = 0.020). Overexpressed TG2 was a prognostic factor of poor OS by Cox-regression analysis. Gain- and loss-of-function experiments indicated that cell proliferation and glycolysis were regulated by TG2 via the MEK/ERK/LDH pathway. TG2-induced activation of the MEK/ERK/LDH pathway and glycolysis were attenuated by MEK inhibitor U0126. CONCLUSION TG2 is overexpressed in BC, which can serve as an independent prognostic factor for OS. TG2 promotes tumor cell proliferation and increases glycolysis associated with the activation of the MEK/ERK/LHD pathway.","author":[{"dropping-particle":"","family":"Xu","given":"Dahai","non-dropping-particle":"","parse-names":false,"suffix":""},{"dropping-particle":"","family":"Xu","given":"Ning","non-dropping-particle":"","parse-names":false,"suffix":""},{"dropping-particle":"","family":"Sun","given":"Liang","non-dropping-particle":"","parse-names":false,"suffix":""},{"dropping-particle":"","family":"Yang","given":"Zhaoying","non-dropping-particle":"","parse-names":false,"suffix":""},{"dropping-particle":"","family":"He","given":"Miao","non-dropping-particle":"","parse-names":false,"suffix":""},{"dropping-particle":"","family":"Li","given":"Youjun","non-dropping-particle":"","parse-names":false,"suffix":""}],"container-title":"BMC cancer","id":"ITEM-1","issue":"1","issued":{"date-parts":[["2022","12","5"]]},"page":"1267","publisher":"BioMed Central Ltd","title":"TG2 as a novel breast cancer prognostic marker promotes cell proliferation and glycolysis by activating the MEK/ERK/LDH pathway.","type":"article-journal","volume":"22"},"uris":["http://www.mendeley.com/documents/?uuid=c698801f-c51b-3c6a-ab0e-58f05265e4fe"]}],"mendeley":{"formattedCitation":"(Xu et al., 2022)","plainTextFormattedCitation":"(Xu et al., 2022)","previouslyFormattedCitation":"&lt;sup&gt;11&lt;/sup&gt;"},"properties":{"noteIndex":0},"schema":"https://github.com/citation-style-language/schema/raw/master/csl-citation.json"}</w:instrText>
            </w:r>
            <w:r w:rsidRPr="0037738B">
              <w:rPr>
                <w:rFonts w:cs="Arial"/>
                <w:szCs w:val="20"/>
              </w:rPr>
              <w:fldChar w:fldCharType="separate"/>
            </w:r>
            <w:r w:rsidRPr="00F5221A">
              <w:rPr>
                <w:rFonts w:cs="Arial"/>
                <w:noProof/>
                <w:szCs w:val="20"/>
              </w:rPr>
              <w:t>(Xu et al., 2022)</w:t>
            </w:r>
            <w:r w:rsidRPr="0037738B">
              <w:rPr>
                <w:rFonts w:cs="Arial"/>
                <w:szCs w:val="20"/>
              </w:rPr>
              <w:fldChar w:fldCharType="end"/>
            </w:r>
          </w:p>
        </w:tc>
        <w:tc>
          <w:tcPr>
            <w:tcW w:w="1121" w:type="dxa"/>
            <w:noWrap/>
            <w:hideMark/>
          </w:tcPr>
          <w:p w:rsidR="00041CA7" w:rsidRPr="0037738B" w:rsidRDefault="00041CA7" w:rsidP="00041CA7">
            <w:pPr>
              <w:rPr>
                <w:rFonts w:cs="Arial"/>
                <w:szCs w:val="20"/>
              </w:rPr>
            </w:pPr>
            <w:r w:rsidRPr="0037738B">
              <w:rPr>
                <w:rFonts w:cs="Arial"/>
                <w:szCs w:val="20"/>
              </w:rPr>
              <w:t>China</w:t>
            </w:r>
          </w:p>
        </w:tc>
        <w:tc>
          <w:tcPr>
            <w:tcW w:w="1160" w:type="dxa"/>
            <w:noWrap/>
            <w:hideMark/>
          </w:tcPr>
          <w:p w:rsidR="00041CA7" w:rsidRPr="0037738B" w:rsidRDefault="00041CA7" w:rsidP="00041CA7">
            <w:pPr>
              <w:rPr>
                <w:rFonts w:cs="Arial"/>
                <w:szCs w:val="20"/>
              </w:rPr>
            </w:pPr>
            <w:r w:rsidRPr="0037738B">
              <w:rPr>
                <w:rFonts w:cs="Arial"/>
                <w:szCs w:val="20"/>
              </w:rPr>
              <w:t>2012-2015</w:t>
            </w:r>
          </w:p>
        </w:tc>
        <w:tc>
          <w:tcPr>
            <w:tcW w:w="990" w:type="dxa"/>
            <w:noWrap/>
            <w:hideMark/>
          </w:tcPr>
          <w:p w:rsidR="00041CA7" w:rsidRPr="0037738B" w:rsidRDefault="00041CA7" w:rsidP="00041CA7">
            <w:pPr>
              <w:rPr>
                <w:rFonts w:cs="Arial"/>
                <w:szCs w:val="20"/>
              </w:rPr>
            </w:pPr>
            <w:r w:rsidRPr="0037738B">
              <w:rPr>
                <w:rFonts w:cs="Arial"/>
                <w:szCs w:val="20"/>
              </w:rPr>
              <w:t>210</w:t>
            </w:r>
          </w:p>
        </w:tc>
        <w:tc>
          <w:tcPr>
            <w:tcW w:w="1146" w:type="dxa"/>
            <w:noWrap/>
            <w:hideMark/>
          </w:tcPr>
          <w:p w:rsidR="00041CA7" w:rsidRPr="0037738B" w:rsidRDefault="00041CA7" w:rsidP="00041CA7">
            <w:pPr>
              <w:rPr>
                <w:rFonts w:cs="Arial"/>
                <w:szCs w:val="20"/>
              </w:rPr>
            </w:pPr>
            <w:r w:rsidRPr="0037738B">
              <w:rPr>
                <w:rFonts w:cs="Arial"/>
                <w:szCs w:val="20"/>
              </w:rPr>
              <w:t xml:space="preserve">Breast </w:t>
            </w:r>
          </w:p>
        </w:tc>
        <w:tc>
          <w:tcPr>
            <w:tcW w:w="829" w:type="dxa"/>
            <w:noWrap/>
            <w:hideMark/>
          </w:tcPr>
          <w:p w:rsidR="00041CA7" w:rsidRPr="0037738B" w:rsidRDefault="00041CA7" w:rsidP="00041CA7">
            <w:pPr>
              <w:rPr>
                <w:rFonts w:cs="Arial"/>
                <w:szCs w:val="20"/>
              </w:rPr>
            </w:pPr>
            <w:r w:rsidRPr="0037738B">
              <w:rPr>
                <w:rFonts w:cs="Arial"/>
                <w:szCs w:val="20"/>
              </w:rPr>
              <w:t>126</w:t>
            </w:r>
          </w:p>
        </w:tc>
        <w:tc>
          <w:tcPr>
            <w:tcW w:w="720" w:type="dxa"/>
            <w:noWrap/>
            <w:hideMark/>
          </w:tcPr>
          <w:p w:rsidR="00041CA7" w:rsidRPr="0037738B" w:rsidRDefault="00041CA7" w:rsidP="00041CA7">
            <w:pPr>
              <w:rPr>
                <w:rFonts w:cs="Arial"/>
                <w:szCs w:val="20"/>
              </w:rPr>
            </w:pPr>
            <w:r w:rsidRPr="0037738B">
              <w:rPr>
                <w:rFonts w:cs="Arial"/>
                <w:szCs w:val="20"/>
              </w:rPr>
              <w:t>84</w:t>
            </w:r>
          </w:p>
        </w:tc>
        <w:tc>
          <w:tcPr>
            <w:tcW w:w="1109" w:type="dxa"/>
            <w:noWrap/>
            <w:hideMark/>
          </w:tcPr>
          <w:p w:rsidR="00041CA7" w:rsidRPr="0037738B" w:rsidRDefault="00041CA7" w:rsidP="00041CA7">
            <w:pPr>
              <w:rPr>
                <w:rFonts w:cs="Arial"/>
                <w:szCs w:val="20"/>
              </w:rPr>
            </w:pPr>
            <w:r w:rsidRPr="0037738B">
              <w:rPr>
                <w:rFonts w:cs="Arial"/>
                <w:szCs w:val="20"/>
              </w:rPr>
              <w:t xml:space="preserve"> OS</w:t>
            </w:r>
          </w:p>
        </w:tc>
      </w:tr>
      <w:tr w:rsidR="00041CA7" w:rsidRPr="0037738B" w:rsidTr="00041CA7">
        <w:trPr>
          <w:trHeight w:val="288"/>
        </w:trPr>
        <w:tc>
          <w:tcPr>
            <w:tcW w:w="1415" w:type="dxa"/>
            <w:noWrap/>
            <w:hideMark/>
          </w:tcPr>
          <w:p w:rsidR="00041CA7" w:rsidRPr="0037738B" w:rsidRDefault="00041CA7" w:rsidP="00041CA7">
            <w:pPr>
              <w:rPr>
                <w:rFonts w:cs="Arial"/>
                <w:szCs w:val="20"/>
              </w:rPr>
            </w:pPr>
            <w:r w:rsidRPr="0037738B">
              <w:rPr>
                <w:rFonts w:cs="Arial"/>
                <w:szCs w:val="20"/>
              </w:rPr>
              <w:fldChar w:fldCharType="begin" w:fldLock="1"/>
            </w:r>
            <w:r>
              <w:rPr>
                <w:rFonts w:cs="Arial"/>
                <w:szCs w:val="20"/>
              </w:rPr>
              <w:instrText>ADDIN CSL_CITATION {"citationItems":[{"id":"ITEM-1","itemData":{"DOI":"10.4132/jptm.2014.10.25","ISSN":"2383-7837","PMID":"25812656","abstract":"BACKGROUND A few recent studies have demonstrated a possible role of transglutaminase 2 (TG2) in tumorigenesis or progression of renal cell carcinoma (RCC). The aim of this study was to examine TG2 expression and its clinicopathologic significance in a large number of human clear cell RCCs (CCRCCs). METHODS We analyzed 638 CCRCC patients who underwent partial or radical nephrectomy between 1995 and 2005. The expression of TG2 was determined by immunohistochemistry and categorized into four groups, according to staining intensity: negative (0), mild (1+), moderate (2+), and strong (3+). RESULTS TG2 staining intensity was negative in 8.5% of CCRCC (n=54), 1+ in 32.6% (n=208), 2+ in 50.5% (n=322), and 3+ in 8.5% (n=54). Strong TG2 expression was correlated with high Fuhrman nuclear grade (p=.011), high T category (p=.049), metastasis (p=.043) and male sex (p&lt;.001) but not with N category.The survival analysis showed a significant association between strong TG2 expression and worse overall and cancer-specific survival (p=.027 and p=.010, respectively). On multivariate analysis, strong TG2 expression was a marginally significant prognostic indicator for Fuhrman nuclear grade and TNM staging (p=.054). CONCLUSIONS Our study is the first to demonstrate the clinicopathologic significance of TG2 expression in a large number of human CCRCC samples. Strong TG2 expression was associated with high nuclear grade and poor prognosis.","author":[{"dropping-particle":"","family":"Park","given":"Min Jee","non-dropping-particle":"","parse-names":false,"suffix":""},{"dropping-particle":"","family":"Baek","given":"Hae Woon","non-dropping-particle":"","parse-names":false,"suffix":""},{"dropping-particle":"","family":"Rhee","given":"Ye-Young","non-dropping-particle":"","parse-names":false,"suffix":""},{"dropping-particle":"","family":"Lee","given":"Cheol","non-dropping-particle":"","parse-names":false,"suffix":""},{"dropping-particle":"","family":"Park","given":"Jeong Whan","non-dropping-particle":"","parse-names":false,"suffix":""},{"dropping-particle":"","family":"Kim","given":"Hwal Woong","non-dropping-particle":"","parse-names":false,"suffix":""},{"dropping-particle":"","family":"Moon","given":"Kyung Chul","non-dropping-particle":"","parse-names":false,"suffix":""}],"container-title":"Journal of pathology and translational medicine","id":"ITEM-1","issue":"1","issued":{"date-parts":[["2015","1"]]},"page":"37-43","publisher":"Seoul National University","title":"Transglutaminase 2 expression and its prognostic significance in clear cell renal cell carcinoma.","type":"article-journal","volume":"49"},"uris":["http://www.mendeley.com/documents/?uuid=155c36cb-be45-3312-b49c-1736b2871c0c"]}],"mendeley":{"formattedCitation":"(Park et al., 2015)","plainTextFormattedCitation":"(Park et al., 2015)","previouslyFormattedCitation":"&lt;sup&gt;12&lt;/sup&gt;"},"properties":{"noteIndex":0},"schema":"https://github.com/citation-style-language/schema/raw/master/csl-citation.json"}</w:instrText>
            </w:r>
            <w:r w:rsidRPr="0037738B">
              <w:rPr>
                <w:rFonts w:cs="Arial"/>
                <w:szCs w:val="20"/>
              </w:rPr>
              <w:fldChar w:fldCharType="separate"/>
            </w:r>
            <w:r w:rsidRPr="00F5221A">
              <w:rPr>
                <w:rFonts w:cs="Arial"/>
                <w:noProof/>
                <w:szCs w:val="20"/>
              </w:rPr>
              <w:t>(Park et al., 2015)</w:t>
            </w:r>
            <w:r w:rsidRPr="0037738B">
              <w:rPr>
                <w:rFonts w:cs="Arial"/>
                <w:szCs w:val="20"/>
              </w:rPr>
              <w:fldChar w:fldCharType="end"/>
            </w:r>
          </w:p>
        </w:tc>
        <w:tc>
          <w:tcPr>
            <w:tcW w:w="1121" w:type="dxa"/>
            <w:noWrap/>
            <w:hideMark/>
          </w:tcPr>
          <w:p w:rsidR="00041CA7" w:rsidRPr="0037738B" w:rsidRDefault="00041CA7" w:rsidP="00041CA7">
            <w:pPr>
              <w:rPr>
                <w:rFonts w:cs="Arial"/>
                <w:szCs w:val="20"/>
              </w:rPr>
            </w:pPr>
            <w:r w:rsidRPr="0037738B">
              <w:rPr>
                <w:rFonts w:cs="Arial"/>
                <w:szCs w:val="20"/>
              </w:rPr>
              <w:t>Korea</w:t>
            </w:r>
          </w:p>
        </w:tc>
        <w:tc>
          <w:tcPr>
            <w:tcW w:w="1160" w:type="dxa"/>
            <w:noWrap/>
            <w:hideMark/>
          </w:tcPr>
          <w:p w:rsidR="00041CA7" w:rsidRPr="0037738B" w:rsidRDefault="00041CA7" w:rsidP="00041CA7">
            <w:pPr>
              <w:rPr>
                <w:rFonts w:cs="Arial"/>
                <w:szCs w:val="20"/>
              </w:rPr>
            </w:pPr>
            <w:r w:rsidRPr="0037738B">
              <w:rPr>
                <w:rFonts w:cs="Arial"/>
                <w:szCs w:val="20"/>
              </w:rPr>
              <w:t>1995-2005</w:t>
            </w:r>
          </w:p>
        </w:tc>
        <w:tc>
          <w:tcPr>
            <w:tcW w:w="990" w:type="dxa"/>
            <w:noWrap/>
            <w:hideMark/>
          </w:tcPr>
          <w:p w:rsidR="00041CA7" w:rsidRPr="0037738B" w:rsidRDefault="00041CA7" w:rsidP="00041CA7">
            <w:pPr>
              <w:rPr>
                <w:rFonts w:cs="Arial"/>
                <w:szCs w:val="20"/>
              </w:rPr>
            </w:pPr>
            <w:r w:rsidRPr="0037738B">
              <w:rPr>
                <w:rFonts w:cs="Arial"/>
                <w:szCs w:val="20"/>
              </w:rPr>
              <w:t>638</w:t>
            </w:r>
          </w:p>
        </w:tc>
        <w:tc>
          <w:tcPr>
            <w:tcW w:w="1146" w:type="dxa"/>
            <w:noWrap/>
            <w:hideMark/>
          </w:tcPr>
          <w:p w:rsidR="00041CA7" w:rsidRPr="0037738B" w:rsidRDefault="00041CA7" w:rsidP="00041CA7">
            <w:pPr>
              <w:rPr>
                <w:rFonts w:cs="Arial"/>
                <w:szCs w:val="20"/>
              </w:rPr>
            </w:pPr>
            <w:r w:rsidRPr="0037738B">
              <w:rPr>
                <w:rFonts w:cs="Arial"/>
                <w:szCs w:val="20"/>
              </w:rPr>
              <w:t>CCRCC</w:t>
            </w:r>
          </w:p>
        </w:tc>
        <w:tc>
          <w:tcPr>
            <w:tcW w:w="829" w:type="dxa"/>
            <w:noWrap/>
            <w:hideMark/>
          </w:tcPr>
          <w:p w:rsidR="00041CA7" w:rsidRPr="0037738B" w:rsidRDefault="00041CA7" w:rsidP="00041CA7">
            <w:pPr>
              <w:rPr>
                <w:rFonts w:cs="Arial"/>
                <w:szCs w:val="20"/>
              </w:rPr>
            </w:pPr>
            <w:r w:rsidRPr="0037738B">
              <w:rPr>
                <w:rFonts w:cs="Arial"/>
                <w:szCs w:val="20"/>
              </w:rPr>
              <w:t xml:space="preserve"> 54</w:t>
            </w:r>
          </w:p>
        </w:tc>
        <w:tc>
          <w:tcPr>
            <w:tcW w:w="720" w:type="dxa"/>
            <w:noWrap/>
            <w:hideMark/>
          </w:tcPr>
          <w:p w:rsidR="00041CA7" w:rsidRPr="0037738B" w:rsidRDefault="00041CA7" w:rsidP="00041CA7">
            <w:pPr>
              <w:rPr>
                <w:rFonts w:cs="Arial"/>
                <w:szCs w:val="20"/>
              </w:rPr>
            </w:pPr>
            <w:r w:rsidRPr="0037738B">
              <w:rPr>
                <w:rFonts w:cs="Arial"/>
                <w:szCs w:val="20"/>
              </w:rPr>
              <w:t>554</w:t>
            </w:r>
          </w:p>
        </w:tc>
        <w:tc>
          <w:tcPr>
            <w:tcW w:w="1109" w:type="dxa"/>
            <w:noWrap/>
            <w:hideMark/>
          </w:tcPr>
          <w:p w:rsidR="00041CA7" w:rsidRPr="0037738B" w:rsidRDefault="00041CA7" w:rsidP="00041CA7">
            <w:pPr>
              <w:rPr>
                <w:rFonts w:cs="Arial"/>
                <w:szCs w:val="20"/>
              </w:rPr>
            </w:pPr>
            <w:r w:rsidRPr="0037738B">
              <w:rPr>
                <w:rFonts w:cs="Arial"/>
                <w:szCs w:val="20"/>
              </w:rPr>
              <w:t xml:space="preserve"> OS</w:t>
            </w:r>
          </w:p>
        </w:tc>
      </w:tr>
      <w:tr w:rsidR="00041CA7" w:rsidRPr="0037738B" w:rsidTr="00041CA7">
        <w:trPr>
          <w:trHeight w:val="288"/>
        </w:trPr>
        <w:tc>
          <w:tcPr>
            <w:tcW w:w="1415" w:type="dxa"/>
            <w:noWrap/>
            <w:hideMark/>
          </w:tcPr>
          <w:p w:rsidR="00041CA7" w:rsidRPr="0037738B" w:rsidRDefault="00041CA7" w:rsidP="00041CA7">
            <w:pPr>
              <w:rPr>
                <w:rFonts w:cs="Arial"/>
                <w:szCs w:val="20"/>
              </w:rPr>
            </w:pPr>
            <w:r w:rsidRPr="0037738B">
              <w:rPr>
                <w:rFonts w:cs="Arial"/>
                <w:szCs w:val="20"/>
              </w:rPr>
              <w:fldChar w:fldCharType="begin" w:fldLock="1"/>
            </w:r>
            <w:r>
              <w:rPr>
                <w:rFonts w:cs="Arial"/>
                <w:szCs w:val="20"/>
              </w:rPr>
              <w:instrText>ADDIN CSL_CITATION {"citationItems":[{"id":"ITEM-1","itemData":{"DOI":"10.1371/journal.pone.0179610","ISBN":"1111111111","ISSN":"19326203","PMID":"28654655","abstract":"Objective: To assess the prognostic roles of BAP1, PBRM1, pS6, PTEN, TGase2, PD-L1, CA9, PSMA, and Ki-67 tissue biomarkers in localized renal cell carcinoma (RCC). Methods: Patients who underwent a nephrectomy during 1992±2015 and had a primary specimen of their kidney tumor were included. The nine tissue biomarkers were immunohistochemically stained on tissue microarrays of RCC, and the semi-quantitative H-score, including intensity score, was used to grade the sample. The Cox proportional hazards model was used to evaluate tissue markers significant for overall survival (OS), cancer-specific survival (CSS), and recurrence-free survival (RFS) after adjusting for significant clinicopathological parameters. Results: Samples from 351 RCC patients were included. The mean age of the patients was 53.9 years; the rates of pathologic T1-2/≥T3 stage, Fuhrman 1+2/3+4 grade, recurrence, and death were 269/65(80.5/19.5%), 222/107 (67.5/32.5%), 6.6%, and 10.5%, respectively. Median OS, CSS, and RFS were 220.6, 220.6, and 147.1 months, respectively. The multivariable analysis showed that pathologic T stage and Fuhrman nuclear grade were significantly associated with OS and CSS. Pathologic T stage and tumor size were associated with RFS. After adjusting for these significant prognostic clinicopathological factors, Ki-67 was significantly associated with OS (hazard ratio [HR], 2.7), CSS (HR, 3.82), and RFS (HR, 4.85) and pS6 was associated with CSS (HR, 8.63) and RFS (HR, 8.51) in the multivariable model (p&lt;0.05). Conclusion: pS6 and Ki-67 are significant prognostic factors of RCC; however, BAP1, PBRM1, TGase 2, PD-L1, CA9, PTEN loss, and PSMA markers did not show this association.","author":[{"dropping-particle":"","family":"Kim","given":"Sung Han","non-dropping-particle":"","parse-names":false,"suffix":""},{"dropping-particle":"","family":"Park","given":"Weon Seo","non-dropping-particle":"","parse-names":false,"suffix":""},{"dropping-particle":"","family":"Park","given":"Eun Young","non-dropping-particle":"","parse-names":false,"suffix":""},{"dropping-particle":"","family":"Park","given":"Boram","non-dropping-particle":"","parse-names":false,"suffix":""},{"dropping-particle":"","family":"Joo","given":"Jungnam","non-dropping-particle":"","parse-names":false,"suffix":""},{"dropping-particle":"","family":"Joung","given":"Jae Young","non-dropping-particle":"","parse-names":false,"suffix":""},{"dropping-particle":"","family":"Seo","given":"Ho Kyung","non-dropping-particle":"","parse-names":false,"suffix":""},{"dropping-particle":"","family":"Lee","given":"Kang Hyun","non-dropping-particle":"","parse-names":false,"suffix":""},{"dropping-particle":"","family":"Chung","given":"Jinsoo","non-dropping-particle":"","parse-names":false,"suffix":""}],"container-title":"PLoS ONE","id":"ITEM-1","issue":"6","issued":{"date-parts":[["2017"]]},"page":"1-11","title":"The prognostic value of BAP1, PBRM1, pS6, PTEN, TGase2, PD-L1, CA9, PSMA, and Ki-67 tissue markers in localized renal cell carcinoma: A retrospective study of tissue microarrays using immunohistochemistry","type":"article-journal","volume":"12"},"uris":["http://www.mendeley.com/documents/?uuid=2f6944f8-994b-4c3e-8948-a45bd7c325ba"]}],"mendeley":{"formattedCitation":"(Kim et al., 2017)","plainTextFormattedCitation":"(Kim et al., 2017)","previouslyFormattedCitation":"&lt;sup&gt;13&lt;/sup&gt;"},"properties":{"noteIndex":0},"schema":"https://github.com/citation-style-language/schema/raw/master/csl-citation.json"}</w:instrText>
            </w:r>
            <w:r w:rsidRPr="0037738B">
              <w:rPr>
                <w:rFonts w:cs="Arial"/>
                <w:szCs w:val="20"/>
              </w:rPr>
              <w:fldChar w:fldCharType="separate"/>
            </w:r>
            <w:r w:rsidRPr="00F5221A">
              <w:rPr>
                <w:rFonts w:cs="Arial"/>
                <w:noProof/>
                <w:szCs w:val="20"/>
              </w:rPr>
              <w:t>(Kim et al., 2017)</w:t>
            </w:r>
            <w:r w:rsidRPr="0037738B">
              <w:rPr>
                <w:rFonts w:cs="Arial"/>
                <w:szCs w:val="20"/>
              </w:rPr>
              <w:fldChar w:fldCharType="end"/>
            </w:r>
            <w:r w:rsidRPr="0037738B">
              <w:rPr>
                <w:rFonts w:cs="Arial"/>
                <w:szCs w:val="20"/>
              </w:rPr>
              <w:t xml:space="preserve"> </w:t>
            </w:r>
          </w:p>
        </w:tc>
        <w:tc>
          <w:tcPr>
            <w:tcW w:w="1121" w:type="dxa"/>
            <w:noWrap/>
            <w:hideMark/>
          </w:tcPr>
          <w:p w:rsidR="00041CA7" w:rsidRPr="0037738B" w:rsidRDefault="00041CA7" w:rsidP="00041CA7">
            <w:pPr>
              <w:rPr>
                <w:rFonts w:cs="Arial"/>
                <w:szCs w:val="20"/>
              </w:rPr>
            </w:pPr>
            <w:r w:rsidRPr="0037738B">
              <w:rPr>
                <w:rFonts w:cs="Arial"/>
                <w:szCs w:val="20"/>
              </w:rPr>
              <w:t>Korea</w:t>
            </w:r>
          </w:p>
        </w:tc>
        <w:tc>
          <w:tcPr>
            <w:tcW w:w="1160" w:type="dxa"/>
            <w:noWrap/>
            <w:hideMark/>
          </w:tcPr>
          <w:p w:rsidR="00041CA7" w:rsidRPr="0037738B" w:rsidRDefault="00041CA7" w:rsidP="00041CA7">
            <w:pPr>
              <w:rPr>
                <w:rFonts w:cs="Arial"/>
                <w:szCs w:val="20"/>
              </w:rPr>
            </w:pPr>
            <w:r w:rsidRPr="0037738B">
              <w:rPr>
                <w:rFonts w:cs="Arial"/>
                <w:szCs w:val="20"/>
              </w:rPr>
              <w:t>1992-2015</w:t>
            </w:r>
          </w:p>
        </w:tc>
        <w:tc>
          <w:tcPr>
            <w:tcW w:w="990" w:type="dxa"/>
            <w:noWrap/>
            <w:hideMark/>
          </w:tcPr>
          <w:p w:rsidR="00041CA7" w:rsidRPr="0037738B" w:rsidRDefault="00041CA7" w:rsidP="00041CA7">
            <w:pPr>
              <w:rPr>
                <w:rFonts w:cs="Arial"/>
                <w:szCs w:val="20"/>
              </w:rPr>
            </w:pPr>
            <w:r w:rsidRPr="0037738B">
              <w:rPr>
                <w:rFonts w:cs="Arial"/>
                <w:szCs w:val="20"/>
              </w:rPr>
              <w:t>351</w:t>
            </w:r>
          </w:p>
        </w:tc>
        <w:tc>
          <w:tcPr>
            <w:tcW w:w="1146" w:type="dxa"/>
            <w:noWrap/>
            <w:hideMark/>
          </w:tcPr>
          <w:p w:rsidR="00041CA7" w:rsidRPr="0037738B" w:rsidRDefault="00041CA7" w:rsidP="00041CA7">
            <w:pPr>
              <w:rPr>
                <w:rFonts w:cs="Arial"/>
                <w:szCs w:val="20"/>
              </w:rPr>
            </w:pPr>
            <w:r w:rsidRPr="0037738B">
              <w:rPr>
                <w:rFonts w:cs="Arial"/>
                <w:szCs w:val="20"/>
              </w:rPr>
              <w:t>RCC</w:t>
            </w:r>
          </w:p>
        </w:tc>
        <w:tc>
          <w:tcPr>
            <w:tcW w:w="829" w:type="dxa"/>
            <w:noWrap/>
            <w:hideMark/>
          </w:tcPr>
          <w:p w:rsidR="00041CA7" w:rsidRPr="0037738B" w:rsidRDefault="00041CA7" w:rsidP="00041CA7">
            <w:pPr>
              <w:rPr>
                <w:rFonts w:cs="Arial"/>
                <w:szCs w:val="20"/>
              </w:rPr>
            </w:pPr>
            <w:r w:rsidRPr="0037738B">
              <w:rPr>
                <w:rFonts w:cs="Arial"/>
                <w:szCs w:val="20"/>
              </w:rPr>
              <w:t>205</w:t>
            </w:r>
          </w:p>
        </w:tc>
        <w:tc>
          <w:tcPr>
            <w:tcW w:w="720" w:type="dxa"/>
            <w:noWrap/>
            <w:hideMark/>
          </w:tcPr>
          <w:p w:rsidR="00041CA7" w:rsidRPr="0037738B" w:rsidRDefault="00041CA7" w:rsidP="00041CA7">
            <w:pPr>
              <w:rPr>
                <w:rFonts w:cs="Arial"/>
                <w:szCs w:val="20"/>
              </w:rPr>
            </w:pPr>
            <w:r w:rsidRPr="0037738B">
              <w:rPr>
                <w:rFonts w:cs="Arial"/>
                <w:szCs w:val="20"/>
              </w:rPr>
              <w:t>146</w:t>
            </w:r>
          </w:p>
        </w:tc>
        <w:tc>
          <w:tcPr>
            <w:tcW w:w="1109" w:type="dxa"/>
            <w:noWrap/>
            <w:hideMark/>
          </w:tcPr>
          <w:p w:rsidR="00041CA7" w:rsidRPr="0037738B" w:rsidRDefault="00041CA7" w:rsidP="00041CA7">
            <w:pPr>
              <w:rPr>
                <w:rFonts w:cs="Arial"/>
                <w:szCs w:val="20"/>
              </w:rPr>
            </w:pPr>
            <w:r w:rsidRPr="0037738B">
              <w:rPr>
                <w:rFonts w:cs="Arial"/>
                <w:szCs w:val="20"/>
              </w:rPr>
              <w:t xml:space="preserve"> OS </w:t>
            </w:r>
          </w:p>
        </w:tc>
      </w:tr>
      <w:tr w:rsidR="00041CA7" w:rsidRPr="0037738B" w:rsidTr="00041CA7">
        <w:trPr>
          <w:trHeight w:val="288"/>
        </w:trPr>
        <w:tc>
          <w:tcPr>
            <w:tcW w:w="1415" w:type="dxa"/>
            <w:noWrap/>
            <w:hideMark/>
          </w:tcPr>
          <w:p w:rsidR="00041CA7" w:rsidRPr="0037738B" w:rsidRDefault="00041CA7" w:rsidP="00041CA7">
            <w:pPr>
              <w:rPr>
                <w:rFonts w:cs="Arial"/>
                <w:szCs w:val="20"/>
              </w:rPr>
            </w:pPr>
            <w:r w:rsidRPr="0037738B">
              <w:rPr>
                <w:rFonts w:cs="Arial"/>
                <w:szCs w:val="20"/>
              </w:rPr>
              <w:fldChar w:fldCharType="begin" w:fldLock="1"/>
            </w:r>
            <w:r>
              <w:rPr>
                <w:rFonts w:cs="Arial"/>
                <w:szCs w:val="20"/>
              </w:rPr>
              <w:instrText>ADDIN CSL_CITATION {"citationItems":[{"id":"ITEM-1","itemData":{"DOI":"10.1007/s00428-016-2020-z","ISSN":"14322307","PMID":"27620315","abstract":"Tissue transglutaminase 2 (TG2) is involved in many biological processes, from wound healing to neurodegeneration. Recently, there has been an increasing interest in this enzyme as a potential prognostic marker or therapy target in human neoplasms. The aim of this study was to analyze expression of TG2 messenger RNA (mRNA) and protein in colon cancer samples and to evaluate the potential value of TG2 as prognostic marker. We investigated not only expression level but also location of the protein in a series of human tumors. In silico analysis using the GSE39582 dataset showed that TG2 mRNA expression is associated with earlier relapse. The results of qPCR in our cohort showed TG2 mRNA to be up-regulated in 25 out of 70 samples (34 %). Kaplan-Meier plots and log-rank test showed that patients with high TG2 mRNA expression have significantly worse prognosis in terms of overall survival (OS) and a trend to earlier recurrence. Immunohistochemical staining of tumor sections for TG2 revealed stromal staining in 152 cases (88 %) and epithelial cell staining in 105 cases (62 %). In stage II patients, stromal expression showed a significant association with disease-free survival (DFS). In patients with metastatic disease, TG2 expression was also associated with poor prognosis. Cox multivariate analysis showed that TG2 expression in epithelial cells is significantly and independently associated with OS, together with node involvement and presence of metastasis. Stromal TG2 expression was associated with DFS. In summary, in non-metastatic colorectal cancer patients, stromal TG2 expression is significantly associated with DFS and epithelial TG2 expression with OS, independently of node involvement and metastasis.","author":[{"dropping-particle":"","family":"Fernández-Aceñero","given":"María Jesús","non-dropping-particle":"","parse-names":false,"suffix":""},{"dropping-particle":"","family":"Torres","given":"Sofía","non-dropping-particle":"","parse-names":false,"suffix":""},{"dropping-particle":"","family":"Garcia-Palmero","given":"Irene","non-dropping-particle":"","parse-names":false,"suffix":""},{"dropping-particle":"","family":"Díaz del Arco","given":"Cristina","non-dropping-particle":"","parse-names":false,"suffix":""},{"dropping-particle":"","family":"Casal","given":"J. Ignacio","non-dropping-particle":"","parse-names":false,"suffix":""}],"container-title":"Virchows Archiv","id":"ITEM-1","issue":"6","issued":{"date-parts":[["2016","12","1"]]},"page":"611-619","publisher":"Springer Verlag","title":"Prognostic role of tissue transglutaminase 2 in colon carcinoma","type":"article-journal","volume":"469"},"uris":["http://www.mendeley.com/documents/?uuid=d3cdc9aa-d4a1-36bb-aefe-704256d216da"]}],"mendeley":{"formattedCitation":"(Fernández-Aceñero et al., 2016)","plainTextFormattedCitation":"(Fernández-Aceñero et al., 2016)","previouslyFormattedCitation":"&lt;sup&gt;6&lt;/sup&gt;"},"properties":{"noteIndex":0},"schema":"https://github.com/citation-style-language/schema/raw/master/csl-citation.json"}</w:instrText>
            </w:r>
            <w:r w:rsidRPr="0037738B">
              <w:rPr>
                <w:rFonts w:cs="Arial"/>
                <w:szCs w:val="20"/>
              </w:rPr>
              <w:fldChar w:fldCharType="separate"/>
            </w:r>
            <w:r w:rsidRPr="00F5221A">
              <w:rPr>
                <w:rFonts w:cs="Arial"/>
                <w:noProof/>
                <w:szCs w:val="20"/>
              </w:rPr>
              <w:t>(Fernández-Aceñero et al., 2016)</w:t>
            </w:r>
            <w:r w:rsidRPr="0037738B">
              <w:rPr>
                <w:rFonts w:cs="Arial"/>
                <w:szCs w:val="20"/>
              </w:rPr>
              <w:fldChar w:fldCharType="end"/>
            </w:r>
          </w:p>
        </w:tc>
        <w:tc>
          <w:tcPr>
            <w:tcW w:w="1121" w:type="dxa"/>
            <w:noWrap/>
            <w:hideMark/>
          </w:tcPr>
          <w:p w:rsidR="00041CA7" w:rsidRPr="0037738B" w:rsidRDefault="00041CA7" w:rsidP="00041CA7">
            <w:pPr>
              <w:rPr>
                <w:rFonts w:cs="Arial"/>
                <w:szCs w:val="20"/>
              </w:rPr>
            </w:pPr>
            <w:r w:rsidRPr="0037738B">
              <w:rPr>
                <w:rFonts w:cs="Arial"/>
                <w:szCs w:val="20"/>
              </w:rPr>
              <w:t>Spain</w:t>
            </w:r>
          </w:p>
        </w:tc>
        <w:tc>
          <w:tcPr>
            <w:tcW w:w="1160" w:type="dxa"/>
            <w:noWrap/>
            <w:hideMark/>
          </w:tcPr>
          <w:p w:rsidR="00041CA7" w:rsidRPr="0037738B" w:rsidRDefault="00041CA7" w:rsidP="00041CA7">
            <w:pPr>
              <w:rPr>
                <w:rFonts w:cs="Arial"/>
                <w:szCs w:val="20"/>
              </w:rPr>
            </w:pPr>
            <w:r w:rsidRPr="0037738B">
              <w:rPr>
                <w:rFonts w:cs="Arial"/>
                <w:szCs w:val="20"/>
              </w:rPr>
              <w:t>2003-2009</w:t>
            </w:r>
          </w:p>
        </w:tc>
        <w:tc>
          <w:tcPr>
            <w:tcW w:w="990" w:type="dxa"/>
            <w:noWrap/>
            <w:hideMark/>
          </w:tcPr>
          <w:p w:rsidR="00041CA7" w:rsidRPr="0037738B" w:rsidRDefault="00041CA7" w:rsidP="00041CA7">
            <w:pPr>
              <w:rPr>
                <w:rFonts w:cs="Arial"/>
                <w:szCs w:val="20"/>
              </w:rPr>
            </w:pPr>
            <w:r w:rsidRPr="0037738B">
              <w:rPr>
                <w:rFonts w:cs="Arial"/>
                <w:szCs w:val="20"/>
              </w:rPr>
              <w:t>172</w:t>
            </w:r>
          </w:p>
        </w:tc>
        <w:tc>
          <w:tcPr>
            <w:tcW w:w="1146" w:type="dxa"/>
            <w:noWrap/>
            <w:hideMark/>
          </w:tcPr>
          <w:p w:rsidR="00041CA7" w:rsidRPr="0037738B" w:rsidRDefault="00041CA7" w:rsidP="00041CA7">
            <w:pPr>
              <w:rPr>
                <w:rFonts w:cs="Arial"/>
                <w:szCs w:val="20"/>
              </w:rPr>
            </w:pPr>
            <w:r w:rsidRPr="0037738B">
              <w:rPr>
                <w:rFonts w:cs="Arial"/>
                <w:szCs w:val="20"/>
              </w:rPr>
              <w:t xml:space="preserve">Colon </w:t>
            </w:r>
          </w:p>
        </w:tc>
        <w:tc>
          <w:tcPr>
            <w:tcW w:w="829" w:type="dxa"/>
            <w:noWrap/>
            <w:hideMark/>
          </w:tcPr>
          <w:p w:rsidR="00041CA7" w:rsidRPr="0037738B" w:rsidRDefault="00041CA7" w:rsidP="00041CA7">
            <w:pPr>
              <w:rPr>
                <w:rFonts w:cs="Arial"/>
                <w:szCs w:val="20"/>
              </w:rPr>
            </w:pPr>
            <w:r w:rsidRPr="0037738B">
              <w:rPr>
                <w:rFonts w:cs="Arial"/>
                <w:szCs w:val="20"/>
              </w:rPr>
              <w:t>105</w:t>
            </w:r>
          </w:p>
        </w:tc>
        <w:tc>
          <w:tcPr>
            <w:tcW w:w="720" w:type="dxa"/>
            <w:noWrap/>
            <w:hideMark/>
          </w:tcPr>
          <w:p w:rsidR="00041CA7" w:rsidRPr="0037738B" w:rsidRDefault="00041CA7" w:rsidP="00041CA7">
            <w:pPr>
              <w:rPr>
                <w:rFonts w:cs="Arial"/>
                <w:szCs w:val="20"/>
              </w:rPr>
            </w:pPr>
            <w:r w:rsidRPr="0037738B">
              <w:rPr>
                <w:rFonts w:cs="Arial"/>
                <w:szCs w:val="20"/>
              </w:rPr>
              <w:t>67</w:t>
            </w:r>
          </w:p>
        </w:tc>
        <w:tc>
          <w:tcPr>
            <w:tcW w:w="1109" w:type="dxa"/>
            <w:noWrap/>
            <w:hideMark/>
          </w:tcPr>
          <w:p w:rsidR="00041CA7" w:rsidRPr="0037738B" w:rsidRDefault="00041CA7" w:rsidP="00041CA7">
            <w:pPr>
              <w:rPr>
                <w:rFonts w:cs="Arial"/>
                <w:szCs w:val="20"/>
              </w:rPr>
            </w:pPr>
            <w:r w:rsidRPr="0037738B">
              <w:rPr>
                <w:rFonts w:cs="Arial"/>
                <w:szCs w:val="20"/>
              </w:rPr>
              <w:t xml:space="preserve"> OS,DFS</w:t>
            </w:r>
          </w:p>
        </w:tc>
      </w:tr>
      <w:tr w:rsidR="00041CA7" w:rsidRPr="0037738B" w:rsidTr="00041CA7">
        <w:trPr>
          <w:trHeight w:val="288"/>
        </w:trPr>
        <w:tc>
          <w:tcPr>
            <w:tcW w:w="1415" w:type="dxa"/>
            <w:noWrap/>
            <w:hideMark/>
          </w:tcPr>
          <w:p w:rsidR="00041CA7" w:rsidRPr="0037738B" w:rsidRDefault="00041CA7" w:rsidP="00041CA7">
            <w:pPr>
              <w:rPr>
                <w:rFonts w:cs="Arial"/>
                <w:szCs w:val="20"/>
              </w:rPr>
            </w:pPr>
            <w:r>
              <w:rPr>
                <w:rFonts w:cs="Arial"/>
                <w:szCs w:val="20"/>
              </w:rPr>
              <w:t>(</w:t>
            </w:r>
            <w:r w:rsidRPr="0037738B">
              <w:rPr>
                <w:rFonts w:cs="Arial"/>
                <w:szCs w:val="20"/>
              </w:rPr>
              <w:fldChar w:fldCharType="begin" w:fldLock="1"/>
            </w:r>
            <w:r>
              <w:rPr>
                <w:rFonts w:cs="Arial"/>
                <w:szCs w:val="20"/>
              </w:rPr>
              <w:instrText>ADDIN CSL_CITATION {"citationItems":[{"id":"ITEM-1","itemData":{"ISBN":"1078-1439","author":[{"dropping-particle":"","family":"Krafft","given":"Ulrich","non-dropping-particle":"","parse-names":false,"suffix":""},{"dropping-particle":"","family":"Tschirdewahn","given":"Stephan","non-dropping-particle":"","parse-names":false,"suffix":""},{"dropping-particle":"","family":"Hess","given":"Jochen","non-dropping-particle":"","parse-names":false,"suffix":""},{"dropping-particle":"","family":"Harke","given":"Nina N","non-dropping-particle":"","parse-names":false,"suffix":""},{"dropping-particle":"","family":"Hadaschik","given":"Boris","non-dropping-particle":"","parse-names":false,"suffix":""},{"dropping-particle":"","family":"Olah","given":"Csilla","non-dropping-particle":"","parse-names":false,"suffix":""},{"dropping-particle":"","family":"Krege","given":"Susanne","non-dropping-particle":"","parse-names":false,"suffix":""},{"dropping-particle":"","family":"Nyirády","given":"Peter","non-dropping-particle":"","parse-names":false,"suffix":""},{"dropping-particle":"","family":"Szendröi","given":"Attila","non-dropping-particle":"","parse-names":false,"suffix":""},{"dropping-particle":"","family":"Szücs","given":"Miklós","non-dropping-particle":"","parse-names":false,"suffix":""}],"container-title":"Urologic Oncology: Seminars and Original Investigations","id":"ITEM-1","issue":"11","issued":{"date-parts":[["2019"]]},"page":"810-e7","publisher":"Elsevier","title":"Validation of survivin and HMGA2 as biomarkers for cisplatin resistance in bladder cancer","type":"paper-conference","volume":"37"},"uris":["http://www.mendeley.com/documents/?uuid=7333ddec-e42a-4e2e-a4c6-b74b1c58c1fa"]}],"mendeley":{"formattedCitation":"(Krafft et al., 2019)","plainTextFormattedCitation":"(Krafft et al., 2019)","previouslyFormattedCitation":"&lt;sup&gt;14&lt;/sup&gt;"},"properties":{"noteIndex":0},"schema":"https://github.com/citation-style-language/schema/raw/master/csl-citation.json"}</w:instrText>
            </w:r>
            <w:r w:rsidRPr="0037738B">
              <w:rPr>
                <w:rFonts w:cs="Arial"/>
                <w:szCs w:val="20"/>
              </w:rPr>
              <w:fldChar w:fldCharType="separate"/>
            </w:r>
            <w:r w:rsidRPr="00F5221A">
              <w:rPr>
                <w:rFonts w:cs="Arial"/>
                <w:noProof/>
                <w:szCs w:val="20"/>
              </w:rPr>
              <w:t>Krafft et al., 2019)</w:t>
            </w:r>
            <w:r w:rsidRPr="0037738B">
              <w:rPr>
                <w:rFonts w:cs="Arial"/>
                <w:szCs w:val="20"/>
              </w:rPr>
              <w:fldChar w:fldCharType="end"/>
            </w:r>
          </w:p>
        </w:tc>
        <w:tc>
          <w:tcPr>
            <w:tcW w:w="1121" w:type="dxa"/>
            <w:noWrap/>
            <w:hideMark/>
          </w:tcPr>
          <w:p w:rsidR="00041CA7" w:rsidRPr="0037738B" w:rsidRDefault="00041CA7" w:rsidP="00041CA7">
            <w:pPr>
              <w:rPr>
                <w:rFonts w:cs="Arial"/>
                <w:szCs w:val="20"/>
              </w:rPr>
            </w:pPr>
            <w:r w:rsidRPr="0037738B">
              <w:rPr>
                <w:rFonts w:cs="Arial"/>
                <w:szCs w:val="20"/>
              </w:rPr>
              <w:t>Germany</w:t>
            </w:r>
          </w:p>
        </w:tc>
        <w:tc>
          <w:tcPr>
            <w:tcW w:w="1160" w:type="dxa"/>
            <w:noWrap/>
            <w:hideMark/>
          </w:tcPr>
          <w:p w:rsidR="00041CA7" w:rsidRPr="0037738B" w:rsidRDefault="00041CA7" w:rsidP="00041CA7">
            <w:pPr>
              <w:rPr>
                <w:rFonts w:cs="Arial"/>
                <w:szCs w:val="20"/>
              </w:rPr>
            </w:pPr>
            <w:r w:rsidRPr="0037738B">
              <w:rPr>
                <w:rFonts w:cs="Arial"/>
                <w:szCs w:val="20"/>
              </w:rPr>
              <w:t>NR</w:t>
            </w:r>
          </w:p>
        </w:tc>
        <w:tc>
          <w:tcPr>
            <w:tcW w:w="990" w:type="dxa"/>
            <w:noWrap/>
            <w:hideMark/>
          </w:tcPr>
          <w:p w:rsidR="00041CA7" w:rsidRPr="0037738B" w:rsidRDefault="00041CA7" w:rsidP="00041CA7">
            <w:pPr>
              <w:rPr>
                <w:rFonts w:cs="Arial"/>
                <w:szCs w:val="20"/>
              </w:rPr>
            </w:pPr>
            <w:r w:rsidRPr="0037738B">
              <w:rPr>
                <w:rFonts w:cs="Arial"/>
                <w:szCs w:val="20"/>
              </w:rPr>
              <w:t>106</w:t>
            </w:r>
          </w:p>
        </w:tc>
        <w:tc>
          <w:tcPr>
            <w:tcW w:w="1146" w:type="dxa"/>
            <w:noWrap/>
            <w:hideMark/>
          </w:tcPr>
          <w:p w:rsidR="00041CA7" w:rsidRPr="0037738B" w:rsidRDefault="00041CA7" w:rsidP="00041CA7">
            <w:pPr>
              <w:rPr>
                <w:rFonts w:cs="Arial"/>
                <w:szCs w:val="20"/>
              </w:rPr>
            </w:pPr>
            <w:proofErr w:type="spellStart"/>
            <w:r w:rsidRPr="0037738B">
              <w:rPr>
                <w:rFonts w:cs="Arial"/>
                <w:szCs w:val="20"/>
              </w:rPr>
              <w:t>Urothelial</w:t>
            </w:r>
            <w:proofErr w:type="spellEnd"/>
            <w:r w:rsidRPr="0037738B">
              <w:rPr>
                <w:rFonts w:cs="Arial"/>
                <w:szCs w:val="20"/>
              </w:rPr>
              <w:t xml:space="preserve"> </w:t>
            </w:r>
          </w:p>
        </w:tc>
        <w:tc>
          <w:tcPr>
            <w:tcW w:w="829" w:type="dxa"/>
            <w:noWrap/>
            <w:hideMark/>
          </w:tcPr>
          <w:p w:rsidR="00041CA7" w:rsidRPr="0037738B" w:rsidRDefault="00041CA7" w:rsidP="00041CA7">
            <w:pPr>
              <w:rPr>
                <w:rFonts w:cs="Arial"/>
                <w:szCs w:val="20"/>
              </w:rPr>
            </w:pPr>
            <w:r w:rsidRPr="0037738B">
              <w:rPr>
                <w:rFonts w:cs="Arial"/>
                <w:szCs w:val="20"/>
              </w:rPr>
              <w:t>38</w:t>
            </w:r>
          </w:p>
        </w:tc>
        <w:tc>
          <w:tcPr>
            <w:tcW w:w="720" w:type="dxa"/>
            <w:noWrap/>
            <w:hideMark/>
          </w:tcPr>
          <w:p w:rsidR="00041CA7" w:rsidRPr="0037738B" w:rsidRDefault="00041CA7" w:rsidP="00041CA7">
            <w:pPr>
              <w:rPr>
                <w:rFonts w:cs="Arial"/>
                <w:szCs w:val="20"/>
              </w:rPr>
            </w:pPr>
            <w:r w:rsidRPr="0037738B">
              <w:rPr>
                <w:rFonts w:cs="Arial"/>
                <w:szCs w:val="20"/>
              </w:rPr>
              <w:t>62</w:t>
            </w:r>
          </w:p>
        </w:tc>
        <w:tc>
          <w:tcPr>
            <w:tcW w:w="1109" w:type="dxa"/>
            <w:noWrap/>
            <w:hideMark/>
          </w:tcPr>
          <w:p w:rsidR="00041CA7" w:rsidRPr="0037738B" w:rsidRDefault="00041CA7" w:rsidP="00041CA7">
            <w:pPr>
              <w:rPr>
                <w:rFonts w:cs="Arial"/>
                <w:szCs w:val="20"/>
              </w:rPr>
            </w:pPr>
            <w:r w:rsidRPr="0037738B">
              <w:rPr>
                <w:rFonts w:cs="Arial"/>
                <w:szCs w:val="20"/>
              </w:rPr>
              <w:t xml:space="preserve"> OS</w:t>
            </w:r>
          </w:p>
        </w:tc>
      </w:tr>
      <w:tr w:rsidR="00041CA7" w:rsidRPr="0037738B" w:rsidTr="00041CA7">
        <w:trPr>
          <w:trHeight w:val="288"/>
        </w:trPr>
        <w:tc>
          <w:tcPr>
            <w:tcW w:w="1415" w:type="dxa"/>
            <w:noWrap/>
            <w:hideMark/>
          </w:tcPr>
          <w:p w:rsidR="00041CA7" w:rsidRPr="0037738B" w:rsidRDefault="00041CA7" w:rsidP="00041CA7">
            <w:pPr>
              <w:rPr>
                <w:rFonts w:cs="Arial"/>
                <w:szCs w:val="20"/>
              </w:rPr>
            </w:pPr>
            <w:r w:rsidRPr="0037738B">
              <w:rPr>
                <w:rFonts w:cs="Arial"/>
                <w:szCs w:val="20"/>
              </w:rPr>
              <w:fldChar w:fldCharType="begin" w:fldLock="1"/>
            </w:r>
            <w:r>
              <w:rPr>
                <w:rFonts w:cs="Arial"/>
                <w:szCs w:val="20"/>
              </w:rPr>
              <w:instrText>ADDIN CSL_CITATION {"citationItems":[{"id":"ITEM-1","itemData":{"DOI":"10.1186/1479-5876-10-64","ISSN":"14795876","PMID":"22458929","abstract":"Background: This study was designed to determine the pattern and correlation between expression of the HIF-1α transcriptional targets TGM2 and BNIP3 in laryngeal cancer, and investigate the association of BNIP3 and TGM2 with clinical outcome in laryngeal squamous cell carcinoma (SCC) patients receiving postoperative radiotherapy.Methods: Immunostaining with antibodies specific to BNIP3 and TGM2 was performed in formalin-fixed, paraffin-embedded specimens from 148 laryngeal SCC patients. BNIP3 and TGM2 expression was scored as high or low, based on the number of tumor cells stained and the staining intensity. All patients received postoperative radiotherapy. Patient follow up and clinicopathological data were compared using the Chi-squared test, univariate and multivariate analyses, and survival curves were generated using the Kaplan-Meier method and log-rank test.Results: The 3, 5 and 10-year overall survival rates (OS) for all patients were 77.7%, 71.6%, 56.4%, respectively. Primary tumor site, T stage, overall stage, lymph-node metastasis, BNIP3 expression and TGM2 expression were significant prognostic factors for OS in univariate analysis. Negative cervical lymph nodes, high BNIP3 expression and low TGM2 expression were independent prognostic factors of improved OS in multivariate analysis. BNIP3 expression correlates with TGM2 expression in laryngeal SCC (P = 0.012).Conclusions: This study indicates that lymph-node metastasis, BNIP3 expression and TGM2 expression are independent prognostic factors in laryngeal SCC patients receiving postoperative radiotherapy. Further studies are required to investigate how BNIP3 and/or TGM2 influence the prognosis of laryngeal SCC patients treated with postoperative radiotherapy, and to determine how TGM2 and BNIP3 expression are regulated. © 2012 Jin et al; licensee BioMed Central Ltd.","author":[{"dropping-particle":"","family":"Jin","given":"Ting","non-dropping-particle":"","parse-names":false,"suffix":""},{"dropping-particle":"","family":"Lin","given":"Huan Xin","non-dropping-particle":"","parse-names":false,"suffix":""},{"dropping-particle":"","family":"Lin","given":"Hui","non-dropping-particle":"","parse-names":false,"suffix":""},{"dropping-particle":"","family":"Guo","given":"Li Bing","non-dropping-particle":"","parse-names":false,"suffix":""},{"dropping-particle":"","family":"Ge","given":"Nan","non-dropping-particle":"","parse-names":false,"suffix":""},{"dropping-particle":"","family":"Cai","given":"Xiu Yu","non-dropping-particle":"","parse-names":false,"suffix":""},{"dropping-particle":"","family":"Sun","given":"Rui","non-dropping-particle":"","parse-names":false,"suffix":""},{"dropping-particle":"","family":"Chen","given":"Wen Kuan","non-dropping-particle":"","parse-names":false,"suffix":""},{"dropping-particle":"","family":"Li","given":"Qiu Li","non-dropping-particle":"","parse-names":false,"suffix":""},{"dropping-particle":"","family":"Hu","given":"Wei Han","non-dropping-particle":"","parse-names":false,"suffix":""}],"container-title":"Journal of Translational Medicine","id":"ITEM-1","issue":"1","issued":{"date-parts":[["2012","3","30"]]},"title":"Expression TGM2 and BNIP3 have prognostic significance in laryngeal cancer patients receiving surgery and postoperative radiotherapy: A retrospective study","type":"article-journal","volume":"10"},"uris":["http://www.mendeley.com/documents/?uuid=b98a4c8a-ce5d-3209-81db-6cb1c2c67848"]}],"mendeley":{"formattedCitation":"(Jin et al., 2012)","plainTextFormattedCitation":"(Jin et al., 2012)","previouslyFormattedCitation":"&lt;sup&gt;15&lt;/sup&gt;"},"properties":{"noteIndex":0},"schema":"https://github.com/citation-style-language/schema/raw/master/csl-citation.json"}</w:instrText>
            </w:r>
            <w:r w:rsidRPr="0037738B">
              <w:rPr>
                <w:rFonts w:cs="Arial"/>
                <w:szCs w:val="20"/>
              </w:rPr>
              <w:fldChar w:fldCharType="separate"/>
            </w:r>
            <w:r w:rsidRPr="00F5221A">
              <w:rPr>
                <w:rFonts w:cs="Arial"/>
                <w:noProof/>
                <w:szCs w:val="20"/>
              </w:rPr>
              <w:t>(Jin et al., 2012)</w:t>
            </w:r>
            <w:r w:rsidRPr="0037738B">
              <w:rPr>
                <w:rFonts w:cs="Arial"/>
                <w:szCs w:val="20"/>
              </w:rPr>
              <w:fldChar w:fldCharType="end"/>
            </w:r>
          </w:p>
        </w:tc>
        <w:tc>
          <w:tcPr>
            <w:tcW w:w="1121" w:type="dxa"/>
            <w:noWrap/>
            <w:hideMark/>
          </w:tcPr>
          <w:p w:rsidR="00041CA7" w:rsidRPr="0037738B" w:rsidRDefault="00041CA7" w:rsidP="00041CA7">
            <w:pPr>
              <w:rPr>
                <w:rFonts w:cs="Arial"/>
                <w:szCs w:val="20"/>
              </w:rPr>
            </w:pPr>
            <w:r w:rsidRPr="0037738B">
              <w:rPr>
                <w:rFonts w:cs="Arial"/>
                <w:szCs w:val="20"/>
              </w:rPr>
              <w:t>China</w:t>
            </w:r>
          </w:p>
        </w:tc>
        <w:tc>
          <w:tcPr>
            <w:tcW w:w="1160" w:type="dxa"/>
            <w:noWrap/>
            <w:hideMark/>
          </w:tcPr>
          <w:p w:rsidR="00041CA7" w:rsidRPr="0037738B" w:rsidRDefault="00041CA7" w:rsidP="00041CA7">
            <w:pPr>
              <w:rPr>
                <w:rFonts w:cs="Arial"/>
                <w:szCs w:val="20"/>
              </w:rPr>
            </w:pPr>
            <w:r w:rsidRPr="0037738B">
              <w:rPr>
                <w:rFonts w:cs="Arial"/>
                <w:szCs w:val="20"/>
              </w:rPr>
              <w:t>1997-2003</w:t>
            </w:r>
          </w:p>
        </w:tc>
        <w:tc>
          <w:tcPr>
            <w:tcW w:w="990" w:type="dxa"/>
            <w:noWrap/>
            <w:hideMark/>
          </w:tcPr>
          <w:p w:rsidR="00041CA7" w:rsidRPr="0037738B" w:rsidRDefault="00041CA7" w:rsidP="00041CA7">
            <w:pPr>
              <w:rPr>
                <w:rFonts w:cs="Arial"/>
                <w:szCs w:val="20"/>
              </w:rPr>
            </w:pPr>
            <w:r w:rsidRPr="0037738B">
              <w:rPr>
                <w:rFonts w:cs="Arial"/>
                <w:szCs w:val="20"/>
              </w:rPr>
              <w:t>148</w:t>
            </w:r>
          </w:p>
        </w:tc>
        <w:tc>
          <w:tcPr>
            <w:tcW w:w="1146" w:type="dxa"/>
            <w:noWrap/>
            <w:hideMark/>
          </w:tcPr>
          <w:p w:rsidR="00041CA7" w:rsidRPr="0037738B" w:rsidRDefault="00041CA7" w:rsidP="00041CA7">
            <w:pPr>
              <w:rPr>
                <w:rFonts w:cs="Arial"/>
                <w:szCs w:val="20"/>
              </w:rPr>
            </w:pPr>
            <w:r w:rsidRPr="0037738B">
              <w:rPr>
                <w:rFonts w:cs="Arial"/>
                <w:szCs w:val="20"/>
              </w:rPr>
              <w:t>LSCC</w:t>
            </w:r>
          </w:p>
        </w:tc>
        <w:tc>
          <w:tcPr>
            <w:tcW w:w="829" w:type="dxa"/>
            <w:noWrap/>
            <w:hideMark/>
          </w:tcPr>
          <w:p w:rsidR="00041CA7" w:rsidRPr="0037738B" w:rsidRDefault="00041CA7" w:rsidP="00041CA7">
            <w:pPr>
              <w:rPr>
                <w:rFonts w:cs="Arial"/>
                <w:szCs w:val="20"/>
              </w:rPr>
            </w:pPr>
            <w:r w:rsidRPr="0037738B">
              <w:rPr>
                <w:rFonts w:cs="Arial"/>
                <w:szCs w:val="20"/>
              </w:rPr>
              <w:t>70</w:t>
            </w:r>
          </w:p>
        </w:tc>
        <w:tc>
          <w:tcPr>
            <w:tcW w:w="720" w:type="dxa"/>
            <w:noWrap/>
            <w:hideMark/>
          </w:tcPr>
          <w:p w:rsidR="00041CA7" w:rsidRPr="0037738B" w:rsidRDefault="00041CA7" w:rsidP="00041CA7">
            <w:pPr>
              <w:rPr>
                <w:rFonts w:cs="Arial"/>
                <w:szCs w:val="20"/>
              </w:rPr>
            </w:pPr>
            <w:r w:rsidRPr="0037738B">
              <w:rPr>
                <w:rFonts w:cs="Arial"/>
                <w:szCs w:val="20"/>
              </w:rPr>
              <w:t>78</w:t>
            </w:r>
          </w:p>
        </w:tc>
        <w:tc>
          <w:tcPr>
            <w:tcW w:w="1109" w:type="dxa"/>
            <w:noWrap/>
            <w:hideMark/>
          </w:tcPr>
          <w:p w:rsidR="00041CA7" w:rsidRPr="0037738B" w:rsidRDefault="00041CA7" w:rsidP="00041CA7">
            <w:pPr>
              <w:rPr>
                <w:rFonts w:cs="Arial"/>
                <w:szCs w:val="20"/>
              </w:rPr>
            </w:pPr>
            <w:r w:rsidRPr="0037738B">
              <w:rPr>
                <w:rFonts w:cs="Arial"/>
                <w:szCs w:val="20"/>
              </w:rPr>
              <w:t xml:space="preserve">  OS</w:t>
            </w:r>
          </w:p>
        </w:tc>
      </w:tr>
      <w:tr w:rsidR="00041CA7" w:rsidRPr="0037738B" w:rsidTr="00041CA7">
        <w:trPr>
          <w:trHeight w:val="935"/>
        </w:trPr>
        <w:tc>
          <w:tcPr>
            <w:tcW w:w="1415" w:type="dxa"/>
            <w:noWrap/>
            <w:hideMark/>
          </w:tcPr>
          <w:p w:rsidR="00041CA7" w:rsidRPr="0037738B" w:rsidRDefault="00041CA7" w:rsidP="00041CA7">
            <w:pPr>
              <w:rPr>
                <w:rFonts w:cs="Arial"/>
                <w:szCs w:val="20"/>
              </w:rPr>
            </w:pPr>
            <w:r w:rsidRPr="0037738B">
              <w:rPr>
                <w:rFonts w:cs="Arial"/>
                <w:szCs w:val="20"/>
              </w:rPr>
              <w:fldChar w:fldCharType="begin" w:fldLock="1"/>
            </w:r>
            <w:r>
              <w:rPr>
                <w:rFonts w:cs="Arial"/>
                <w:szCs w:val="20"/>
              </w:rPr>
              <w:instrText>ADDIN CSL_CITATION {"citationItems":[{"id":"ITEM-1","itemData":{"DOI":"10.1158/0008-5472.CAN-07-6130","ISSN":"1538-7445 (Electronic)","PMID":"18632639","abstract":"Tissue type transglutaminase (TG2) is a unique multifunctional protein that plays a role in many steps in the cancer metastatic cascade. Here, we examined the clinical (n = 93 epithelial ovarian cancers) and biological (in vitro adhesion, invasion, and survival and in vivo therapeutic targeting) significance of TG2 in ovarian cancer. The overexpression of TG2 was associated with significantly worse overall patient survival in both univariate and multivariate analyses. Transfection of TG2 into SKOV3ip1 cells promoted attachment and spreading on fibronectin-coated surfaces and increased the in vitro invasive potential of these cells. Conversely, TG2 silencing with small interfering RNA (siRNA) of HeyA8 cells significantly decreased the invasive potential of the cells and also increased docetaxel-induced cell death. In vivo therapy experiments using chemotherapy-sensitive (HeyA8) and chemotherapy-resistant (HeyA8-MDR and RMG2) models showed significant antitumor activity both with TG2 siRNA-1,2-dioleoyl-sn-glycero-3-phosphatidylcholine alone and in combination with docetaxel chemotherapy. This antitumor activity was related to decreased proliferation and angiogenesis and increased tumor cell apoptosis in vivo. Taken together, these findings indicate that TG2 overexpression is an adverse prognostic factor in ovarian carcinoma and TG2 targeting may be an attractive therapeutic approach.","author":[{"dropping-particle":"","family":"Hwang","given":"Jee Young","non-dropping-particle":"","parse-names":false,"suffix":""},{"dropping-particle":"","family":"Mangala","given":"Lingegowda S","non-dropping-particle":"","parse-names":false,"suffix":""},{"dropping-particle":"","family":"Fok","given":"Jansina Y","non-dropping-particle":"","parse-names":false,"suffix":""},{"dropping-particle":"","family":"Lin","given":"Yvonne G","non-dropping-particle":"","parse-names":false,"suffix":""},{"dropping-particle":"","family":"Merritt","given":"William M","non-dropping-particle":"","parse-names":false,"suffix":""},{"dropping-particle":"","family":"Spannuth","given":"Whitney A","non-dropping-particle":"","parse-names":false,"suffix":""},{"dropping-particle":"","family":"Nick","given":"Alpa M","non-dropping-particle":"","parse-names":false,"suffix":""},{"dropping-particle":"","family":"Fiterman","given":"Derek J","non-dropping-particle":"","parse-names":false,"suffix":""},{"dropping-particle":"","family":"Vivas-Mejia","given":"Pablo E","non-dropping-particle":"","parse-names":false,"suffix":""},{"dropping-particle":"","family":"Deavers","given":"Michael T","non-dropping-particle":"","parse-names":false,"suffix":""},{"dropping-particle":"","family":"Coleman","given":"Robert L","non-dropping-particle":"","parse-names":false,"suffix":""},{"dropping-particle":"","family":"Lopez-Berestein","given":"Gabriel","non-dropping-particle":"","parse-names":false,"suffix":""},{"dropping-particle":"","family":"Mehta","given":"Kapil","non-dropping-particle":"","parse-names":false,"suffix":""},{"dropping-particle":"","family":"Sood","given":"Anil K","non-dropping-particle":"","parse-names":false,"suffix":""}],"container-title":"Cancer research","id":"ITEM-1","issue":"14","issued":{"date-parts":[["2008","7"]]},"page":"5849-5858","title":"Clinical and biological significance of tissue transglutaminase in ovarian carcinoma.","type":"article-journal","volume":"68"},"uris":["http://www.mendeley.com/documents/?uuid=97497c89-6095-4921-8890-79b1669db2a2"]}],"mendeley":{"formattedCitation":"(Hwang et al., 2008)","plainTextFormattedCitation":"(Hwang et al., 2008)","previouslyFormattedCitation":"&lt;sup&gt;16&lt;/sup&gt;"},"properties":{"noteIndex":0},"schema":"https://github.com/citation-style-language/schema/raw/master/csl-citation.json"}</w:instrText>
            </w:r>
            <w:r w:rsidRPr="0037738B">
              <w:rPr>
                <w:rFonts w:cs="Arial"/>
                <w:szCs w:val="20"/>
              </w:rPr>
              <w:fldChar w:fldCharType="separate"/>
            </w:r>
            <w:r w:rsidRPr="00F5221A">
              <w:rPr>
                <w:rFonts w:cs="Arial"/>
                <w:noProof/>
                <w:szCs w:val="20"/>
              </w:rPr>
              <w:t>(Hwang et al., 2008)</w:t>
            </w:r>
            <w:r w:rsidRPr="0037738B">
              <w:rPr>
                <w:rFonts w:cs="Arial"/>
                <w:szCs w:val="20"/>
              </w:rPr>
              <w:fldChar w:fldCharType="end"/>
            </w:r>
          </w:p>
        </w:tc>
        <w:tc>
          <w:tcPr>
            <w:tcW w:w="1121" w:type="dxa"/>
            <w:noWrap/>
            <w:hideMark/>
          </w:tcPr>
          <w:p w:rsidR="00041CA7" w:rsidRPr="0037738B" w:rsidRDefault="00041CA7" w:rsidP="00041CA7">
            <w:pPr>
              <w:rPr>
                <w:rFonts w:cs="Arial"/>
                <w:szCs w:val="20"/>
              </w:rPr>
            </w:pPr>
            <w:r w:rsidRPr="0037738B">
              <w:rPr>
                <w:rFonts w:cs="Arial"/>
                <w:szCs w:val="20"/>
              </w:rPr>
              <w:t>USA</w:t>
            </w:r>
          </w:p>
        </w:tc>
        <w:tc>
          <w:tcPr>
            <w:tcW w:w="1160" w:type="dxa"/>
            <w:noWrap/>
            <w:hideMark/>
          </w:tcPr>
          <w:p w:rsidR="00041CA7" w:rsidRPr="0037738B" w:rsidRDefault="00041CA7" w:rsidP="00041CA7">
            <w:pPr>
              <w:rPr>
                <w:rFonts w:cs="Arial"/>
                <w:szCs w:val="20"/>
              </w:rPr>
            </w:pPr>
            <w:r w:rsidRPr="0037738B">
              <w:rPr>
                <w:rFonts w:cs="Arial"/>
                <w:szCs w:val="20"/>
              </w:rPr>
              <w:t>NR</w:t>
            </w:r>
          </w:p>
        </w:tc>
        <w:tc>
          <w:tcPr>
            <w:tcW w:w="990" w:type="dxa"/>
            <w:noWrap/>
            <w:hideMark/>
          </w:tcPr>
          <w:p w:rsidR="00041CA7" w:rsidRPr="0037738B" w:rsidRDefault="00041CA7" w:rsidP="00041CA7">
            <w:pPr>
              <w:rPr>
                <w:rFonts w:cs="Arial"/>
                <w:szCs w:val="20"/>
              </w:rPr>
            </w:pPr>
            <w:r w:rsidRPr="0037738B">
              <w:rPr>
                <w:rFonts w:cs="Arial"/>
                <w:szCs w:val="20"/>
              </w:rPr>
              <w:t>93</w:t>
            </w:r>
          </w:p>
        </w:tc>
        <w:tc>
          <w:tcPr>
            <w:tcW w:w="1146" w:type="dxa"/>
            <w:noWrap/>
            <w:hideMark/>
          </w:tcPr>
          <w:p w:rsidR="00041CA7" w:rsidRPr="0037738B" w:rsidRDefault="00041CA7" w:rsidP="00041CA7">
            <w:pPr>
              <w:rPr>
                <w:rFonts w:cs="Arial"/>
                <w:szCs w:val="20"/>
              </w:rPr>
            </w:pPr>
            <w:r w:rsidRPr="0037738B">
              <w:rPr>
                <w:rFonts w:cs="Arial"/>
                <w:szCs w:val="20"/>
              </w:rPr>
              <w:t xml:space="preserve">Ovarian </w:t>
            </w:r>
          </w:p>
        </w:tc>
        <w:tc>
          <w:tcPr>
            <w:tcW w:w="829" w:type="dxa"/>
            <w:noWrap/>
            <w:hideMark/>
          </w:tcPr>
          <w:p w:rsidR="00041CA7" w:rsidRPr="0037738B" w:rsidRDefault="00041CA7" w:rsidP="00041CA7">
            <w:pPr>
              <w:rPr>
                <w:rFonts w:cs="Arial"/>
                <w:szCs w:val="20"/>
              </w:rPr>
            </w:pPr>
            <w:r w:rsidRPr="0037738B">
              <w:rPr>
                <w:rFonts w:cs="Arial"/>
                <w:szCs w:val="20"/>
              </w:rPr>
              <w:t>61</w:t>
            </w:r>
          </w:p>
        </w:tc>
        <w:tc>
          <w:tcPr>
            <w:tcW w:w="720" w:type="dxa"/>
            <w:noWrap/>
            <w:hideMark/>
          </w:tcPr>
          <w:p w:rsidR="00041CA7" w:rsidRPr="0037738B" w:rsidRDefault="00041CA7" w:rsidP="00041CA7">
            <w:pPr>
              <w:rPr>
                <w:rFonts w:cs="Arial"/>
                <w:szCs w:val="20"/>
              </w:rPr>
            </w:pPr>
            <w:r w:rsidRPr="0037738B">
              <w:rPr>
                <w:rFonts w:cs="Arial"/>
                <w:szCs w:val="20"/>
              </w:rPr>
              <w:t>32</w:t>
            </w:r>
          </w:p>
        </w:tc>
        <w:tc>
          <w:tcPr>
            <w:tcW w:w="1109" w:type="dxa"/>
            <w:noWrap/>
            <w:hideMark/>
          </w:tcPr>
          <w:p w:rsidR="00041CA7" w:rsidRPr="0037738B" w:rsidRDefault="00041CA7" w:rsidP="00041CA7">
            <w:pPr>
              <w:rPr>
                <w:rFonts w:cs="Arial"/>
                <w:szCs w:val="20"/>
              </w:rPr>
            </w:pPr>
            <w:r w:rsidRPr="0037738B">
              <w:rPr>
                <w:rFonts w:cs="Arial"/>
                <w:szCs w:val="20"/>
              </w:rPr>
              <w:t xml:space="preserve">  OS</w:t>
            </w:r>
          </w:p>
        </w:tc>
      </w:tr>
    </w:tbl>
    <w:p w:rsidR="00533608" w:rsidRDefault="00533608"/>
    <w:p w:rsidR="00041CA7" w:rsidRDefault="00533608" w:rsidP="00041CA7">
      <w:pPr>
        <w:pStyle w:val="NormalWeb"/>
        <w:spacing w:line="480" w:lineRule="auto"/>
        <w:jc w:val="both"/>
        <w:rPr>
          <w:rFonts w:cs="Arial"/>
          <w:b/>
          <w:bCs/>
        </w:rPr>
      </w:pPr>
      <w:r w:rsidRPr="00F5221A">
        <w:rPr>
          <w:rFonts w:ascii="Arial" w:hAnsi="Arial" w:cs="Arial"/>
          <w:b/>
          <w:bCs/>
          <w:color w:val="252525"/>
          <w:sz w:val="20"/>
          <w:szCs w:val="20"/>
        </w:rPr>
        <w:t>Table 1:</w:t>
      </w:r>
      <w:r w:rsidRPr="00F5221A">
        <w:rPr>
          <w:rStyle w:val="Strong"/>
          <w:rFonts w:ascii="Arial" w:hAnsi="Arial" w:cs="Arial"/>
          <w:b w:val="0"/>
          <w:bCs w:val="0"/>
          <w:color w:val="252525"/>
          <w:sz w:val="20"/>
          <w:szCs w:val="20"/>
        </w:rPr>
        <w:t xml:space="preserve"> </w:t>
      </w:r>
      <w:r w:rsidRPr="00F5221A">
        <w:rPr>
          <w:rStyle w:val="Strong"/>
          <w:rFonts w:ascii="Arial" w:hAnsi="Arial" w:cs="Arial"/>
          <w:color w:val="252525"/>
          <w:sz w:val="20"/>
          <w:szCs w:val="20"/>
        </w:rPr>
        <w:t>Characteristics of included studies</w:t>
      </w:r>
      <w:r>
        <w:rPr>
          <w:rStyle w:val="Strong"/>
          <w:rFonts w:ascii="Arial" w:hAnsi="Arial" w:cs="Arial"/>
          <w:color w:val="252525"/>
          <w:sz w:val="20"/>
          <w:szCs w:val="20"/>
        </w:rPr>
        <w:t>:</w:t>
      </w:r>
      <w:r w:rsidR="00041CA7" w:rsidRPr="00041CA7">
        <w:rPr>
          <w:rFonts w:cs="Arial"/>
          <w:b/>
          <w:bCs/>
        </w:rPr>
        <w:t xml:space="preserve"> </w:t>
      </w:r>
    </w:p>
    <w:p w:rsidR="00041CA7" w:rsidRPr="00B07B63" w:rsidRDefault="00041CA7" w:rsidP="00041CA7">
      <w:pPr>
        <w:pStyle w:val="NormalWeb"/>
        <w:spacing w:line="480" w:lineRule="auto"/>
        <w:jc w:val="both"/>
        <w:rPr>
          <w:rFonts w:ascii="Arial" w:hAnsi="Arial" w:cs="Arial"/>
          <w:color w:val="252525"/>
          <w:sz w:val="20"/>
          <w:szCs w:val="20"/>
        </w:rPr>
      </w:pPr>
      <w:r w:rsidRPr="00890C14">
        <w:rPr>
          <w:rFonts w:cs="Arial"/>
          <w:b/>
          <w:bCs/>
        </w:rPr>
        <w:lastRenderedPageBreak/>
        <w:t>Abbreviations:</w:t>
      </w:r>
      <w:r>
        <w:rPr>
          <w:rFonts w:cs="Arial"/>
        </w:rPr>
        <w:t xml:space="preserve"> OS, </w:t>
      </w:r>
      <w:r w:rsidRPr="00C22D15">
        <w:rPr>
          <w:rFonts w:cs="Arial"/>
        </w:rPr>
        <w:t>O</w:t>
      </w:r>
      <w:r>
        <w:rPr>
          <w:rFonts w:cs="Arial"/>
        </w:rPr>
        <w:t xml:space="preserve">verall survival; DFS, </w:t>
      </w:r>
      <w:r w:rsidRPr="00C22D15">
        <w:rPr>
          <w:rFonts w:cs="Arial"/>
        </w:rPr>
        <w:t>Di</w:t>
      </w:r>
      <w:r>
        <w:rPr>
          <w:rFonts w:cs="Arial"/>
        </w:rPr>
        <w:t>sease free survival; NR, Not reported; NSCLC,</w:t>
      </w:r>
      <w:r w:rsidRPr="00C22D15">
        <w:rPr>
          <w:rFonts w:cs="Arial"/>
        </w:rPr>
        <w:t xml:space="preserve"> N</w:t>
      </w:r>
      <w:r>
        <w:rPr>
          <w:rFonts w:cs="Arial"/>
        </w:rPr>
        <w:t xml:space="preserve">on-small cell lung cancer; RCC, </w:t>
      </w:r>
      <w:r w:rsidRPr="00C22D15">
        <w:rPr>
          <w:rFonts w:cs="Arial"/>
        </w:rPr>
        <w:t>Renal cell car</w:t>
      </w:r>
      <w:r>
        <w:rPr>
          <w:rFonts w:cs="Arial"/>
        </w:rPr>
        <w:t xml:space="preserve">cinoma; LSCC, </w:t>
      </w:r>
      <w:r w:rsidRPr="00C22D15">
        <w:rPr>
          <w:rFonts w:cs="Arial"/>
        </w:rPr>
        <w:t xml:space="preserve">Laryngeal </w:t>
      </w:r>
      <w:r>
        <w:rPr>
          <w:rFonts w:cs="Arial"/>
        </w:rPr>
        <w:t xml:space="preserve">squamous cell carcinoma: CCRCC, </w:t>
      </w:r>
      <w:r w:rsidRPr="00C22D15">
        <w:rPr>
          <w:rFonts w:cs="Arial"/>
        </w:rPr>
        <w:t>C</w:t>
      </w:r>
      <w:r>
        <w:rPr>
          <w:rFonts w:cs="Arial"/>
        </w:rPr>
        <w:t>lear cell renal cell carcinoma.</w:t>
      </w:r>
    </w:p>
    <w:p w:rsidR="00041CA7" w:rsidRDefault="00041CA7" w:rsidP="00041CA7">
      <w:pPr>
        <w:pBdr>
          <w:top w:val="none" w:sz="4" w:space="0" w:color="auto"/>
          <w:left w:val="none" w:sz="4" w:space="0" w:color="auto"/>
          <w:bottom w:val="none" w:sz="4" w:space="0" w:color="auto"/>
          <w:right w:val="none" w:sz="4" w:space="0" w:color="auto"/>
          <w:between w:val="none" w:sz="4" w:space="0" w:color="auto"/>
          <w:bar w:val="none" w:sz="4" w:color="auto"/>
        </w:pBdr>
        <w:jc w:val="both"/>
        <w:rPr>
          <w:b/>
          <w:bCs/>
        </w:rPr>
      </w:pPr>
      <w:r w:rsidRPr="00041CA7">
        <w:rPr>
          <w:b/>
          <w:bCs/>
        </w:rPr>
        <w:t>Figure legends:</w:t>
      </w:r>
    </w:p>
    <w:p w:rsidR="00041CA7" w:rsidRPr="00041CA7" w:rsidRDefault="00041CA7" w:rsidP="00041CA7">
      <w:pPr>
        <w:pBdr>
          <w:top w:val="none" w:sz="4" w:space="0" w:color="auto"/>
          <w:left w:val="none" w:sz="4" w:space="0" w:color="auto"/>
          <w:bottom w:val="none" w:sz="4" w:space="0" w:color="auto"/>
          <w:right w:val="none" w:sz="4" w:space="0" w:color="auto"/>
          <w:between w:val="none" w:sz="4" w:space="0" w:color="auto"/>
          <w:bar w:val="none" w:sz="4" w:color="auto"/>
        </w:pBdr>
        <w:jc w:val="both"/>
        <w:rPr>
          <w:b/>
          <w:bCs/>
        </w:rPr>
      </w:pPr>
      <w:r>
        <w:rPr>
          <w:rFonts w:ascii="Times New Roman" w:hAnsi="Times New Roman"/>
          <w:sz w:val="24"/>
        </w:rPr>
        <w:t xml:space="preserve"> </w:t>
      </w:r>
      <w:r>
        <w:rPr>
          <w:rFonts w:cs="Arial"/>
          <w:b/>
        </w:rPr>
        <w:t>Figure</w:t>
      </w:r>
      <w:r w:rsidRPr="004E47D8">
        <w:rPr>
          <w:rFonts w:cs="Arial"/>
          <w:b/>
        </w:rPr>
        <w:t>1.</w:t>
      </w:r>
      <w:r w:rsidRPr="004E47D8">
        <w:rPr>
          <w:rFonts w:cs="Arial"/>
        </w:rPr>
        <w:t>The PRISMA flow diagram.</w:t>
      </w:r>
      <w:r>
        <w:rPr>
          <w:rFonts w:ascii="Times New Roman" w:hAnsi="Times New Roman"/>
          <w:sz w:val="24"/>
        </w:rPr>
        <w:t xml:space="preserve">                              </w:t>
      </w:r>
    </w:p>
    <w:p w:rsidR="00041CA7" w:rsidRDefault="00041CA7" w:rsidP="00041CA7">
      <w:pPr>
        <w:jc w:val="both"/>
        <w:rPr>
          <w:rFonts w:cs="Arial"/>
        </w:rPr>
      </w:pPr>
      <w:r>
        <w:rPr>
          <w:rFonts w:cs="Arial"/>
          <w:b/>
          <w:bCs/>
          <w:szCs w:val="20"/>
        </w:rPr>
        <w:t xml:space="preserve"> </w:t>
      </w:r>
      <w:r w:rsidRPr="00EC3BF2">
        <w:rPr>
          <w:rFonts w:cs="Arial"/>
          <w:b/>
          <w:bCs/>
          <w:szCs w:val="20"/>
        </w:rPr>
        <w:t xml:space="preserve">Figure: 2 </w:t>
      </w:r>
      <w:r w:rsidRPr="004E47D8">
        <w:rPr>
          <w:rFonts w:cs="Arial"/>
        </w:rPr>
        <w:t xml:space="preserve">The Funnel plot of the association between TG2 expression and disease-free </w:t>
      </w:r>
      <w:r>
        <w:rPr>
          <w:rFonts w:cs="Arial"/>
        </w:rPr>
        <w:t xml:space="preserve">  </w:t>
      </w:r>
      <w:r w:rsidRPr="004E47D8">
        <w:rPr>
          <w:rFonts w:cs="Arial"/>
        </w:rPr>
        <w:t>survival (DFS)</w:t>
      </w:r>
      <w:r>
        <w:rPr>
          <w:rFonts w:cs="Arial"/>
        </w:rPr>
        <w:t xml:space="preserve"> </w:t>
      </w:r>
      <w:r w:rsidRPr="00A76481">
        <w:rPr>
          <w:rFonts w:cs="Arial"/>
        </w:rPr>
        <w:t>showing almost symmetrical with no publication bias</w:t>
      </w:r>
    </w:p>
    <w:p w:rsidR="00041CA7" w:rsidRPr="00041CA7" w:rsidRDefault="00041CA7" w:rsidP="00041CA7">
      <w:pPr>
        <w:jc w:val="both"/>
        <w:rPr>
          <w:rFonts w:cs="Arial"/>
        </w:rPr>
      </w:pPr>
      <w:r w:rsidRPr="004E47D8">
        <w:rPr>
          <w:rFonts w:cs="Arial"/>
          <w:b/>
        </w:rPr>
        <w:t>Figure 3.</w:t>
      </w:r>
      <w:r w:rsidRPr="004E47D8">
        <w:rPr>
          <w:rFonts w:cs="Arial"/>
        </w:rPr>
        <w:t>The Funnel plot of the association between TG2 expression and overall survival (OS)</w:t>
      </w:r>
      <w:r>
        <w:rPr>
          <w:rFonts w:cs="Arial"/>
        </w:rPr>
        <w:t xml:space="preserve"> </w:t>
      </w:r>
      <w:r w:rsidRPr="00A76481">
        <w:rPr>
          <w:rFonts w:cs="Arial"/>
        </w:rPr>
        <w:t>is nearly symmetrical with a weak bias</w:t>
      </w:r>
      <w:r>
        <w:rPr>
          <w:rFonts w:cs="Arial"/>
          <w:color w:val="252525"/>
          <w:szCs w:val="20"/>
        </w:rPr>
        <w:t xml:space="preserve">                                   </w:t>
      </w:r>
    </w:p>
    <w:p w:rsidR="00041CA7" w:rsidRDefault="00041CA7" w:rsidP="00041CA7">
      <w:pPr>
        <w:jc w:val="both"/>
        <w:rPr>
          <w:rFonts w:cs="Arial"/>
        </w:rPr>
      </w:pPr>
      <w:r w:rsidRPr="004E47D8">
        <w:rPr>
          <w:rFonts w:cs="Arial"/>
          <w:b/>
        </w:rPr>
        <w:t>Figure 4.</w:t>
      </w:r>
      <w:r w:rsidRPr="004E47D8">
        <w:rPr>
          <w:rFonts w:cs="Arial"/>
        </w:rPr>
        <w:t>The Forest plot of TG2 expre</w:t>
      </w:r>
      <w:r>
        <w:rPr>
          <w:rFonts w:cs="Arial"/>
        </w:rPr>
        <w:t xml:space="preserve">ssion for overall survival (OS) shows </w:t>
      </w:r>
      <w:r w:rsidRPr="00A76481">
        <w:rPr>
          <w:rFonts w:cs="Arial"/>
        </w:rPr>
        <w:t>having high expression of TG2 caused poor overall survival</w:t>
      </w:r>
    </w:p>
    <w:p w:rsidR="00041CA7" w:rsidRPr="004E47D8" w:rsidRDefault="00041CA7" w:rsidP="00041CA7">
      <w:pPr>
        <w:jc w:val="both"/>
        <w:rPr>
          <w:rFonts w:cs="Arial"/>
        </w:rPr>
      </w:pPr>
      <w:r>
        <w:rPr>
          <w:rFonts w:cs="Arial"/>
          <w:b/>
          <w:bCs/>
          <w:color w:val="000000"/>
          <w:szCs w:val="20"/>
        </w:rPr>
        <w:t xml:space="preserve"> </w:t>
      </w:r>
      <w:r w:rsidRPr="004E47D8">
        <w:rPr>
          <w:rFonts w:cs="Arial"/>
          <w:b/>
        </w:rPr>
        <w:t>Figure 5.</w:t>
      </w:r>
      <w:r w:rsidRPr="004E47D8">
        <w:rPr>
          <w:rFonts w:cs="Arial"/>
        </w:rPr>
        <w:t xml:space="preserve">The Forest plot of TG2 expression </w:t>
      </w:r>
      <w:r>
        <w:rPr>
          <w:rFonts w:cs="Arial"/>
        </w:rPr>
        <w:t xml:space="preserve">for Disease-free survival (DFS) shows </w:t>
      </w:r>
      <w:r w:rsidRPr="00A76481">
        <w:rPr>
          <w:rFonts w:cs="Arial"/>
        </w:rPr>
        <w:t>having high expression of TG2 caused poor</w:t>
      </w:r>
      <w:r w:rsidR="00A9207C">
        <w:rPr>
          <w:rFonts w:cs="Arial"/>
        </w:rPr>
        <w:t xml:space="preserve"> disease-free survival</w:t>
      </w:r>
    </w:p>
    <w:p w:rsidR="00041CA7" w:rsidRDefault="00041CA7" w:rsidP="00041CA7">
      <w:pPr>
        <w:jc w:val="both"/>
        <w:rPr>
          <w:rFonts w:cs="Arial"/>
        </w:rPr>
      </w:pPr>
    </w:p>
    <w:p w:rsidR="00041CA7" w:rsidRPr="004E47D8" w:rsidRDefault="00041CA7" w:rsidP="00041CA7">
      <w:pPr>
        <w:jc w:val="both"/>
        <w:rPr>
          <w:rFonts w:cs="Arial"/>
        </w:rPr>
      </w:pPr>
    </w:p>
    <w:p w:rsidR="00041CA7" w:rsidRPr="004E47D8" w:rsidRDefault="00041CA7" w:rsidP="00041CA7">
      <w:pPr>
        <w:jc w:val="both"/>
        <w:rPr>
          <w:rFonts w:cs="Arial"/>
        </w:rPr>
      </w:pPr>
    </w:p>
    <w:p w:rsidR="00041CA7" w:rsidRPr="00E0734A" w:rsidRDefault="00041CA7" w:rsidP="00041CA7">
      <w:pPr>
        <w:pBdr>
          <w:top w:val="none" w:sz="4" w:space="0" w:color="auto"/>
          <w:left w:val="none" w:sz="4" w:space="0" w:color="auto"/>
          <w:bottom w:val="none" w:sz="4" w:space="0" w:color="auto"/>
          <w:right w:val="none" w:sz="4" w:space="0" w:color="auto"/>
          <w:between w:val="none" w:sz="4" w:space="0" w:color="auto"/>
          <w:bar w:val="none" w:sz="4" w:color="auto"/>
        </w:pBdr>
        <w:jc w:val="both"/>
        <w:rPr>
          <w:rFonts w:ascii="Times New Roman" w:hAnsi="Times New Roman"/>
          <w:sz w:val="24"/>
        </w:rPr>
      </w:pPr>
    </w:p>
    <w:p w:rsidR="00533608" w:rsidRPr="00F5221A" w:rsidRDefault="00533608" w:rsidP="00533608">
      <w:pPr>
        <w:pStyle w:val="NormalWeb"/>
        <w:spacing w:line="480" w:lineRule="auto"/>
        <w:jc w:val="both"/>
        <w:rPr>
          <w:rStyle w:val="Strong"/>
          <w:rFonts w:ascii="Arial" w:hAnsi="Arial" w:cs="Arial"/>
          <w:b w:val="0"/>
          <w:bCs w:val="0"/>
          <w:color w:val="252525"/>
          <w:sz w:val="20"/>
          <w:szCs w:val="20"/>
        </w:rPr>
      </w:pPr>
    </w:p>
    <w:p w:rsidR="00533608" w:rsidRDefault="00533608"/>
    <w:sectPr w:rsidR="00533608" w:rsidSect="002B4BD9">
      <w:headerReference w:type="default" r:id="rId10"/>
      <w:footerReference w:type="even" r:id="rId11"/>
      <w:footerReference w:type="default" r:id="rId12"/>
      <w:headerReference w:type="first" r:id="rId13"/>
      <w:pgSz w:w="12240" w:h="15840"/>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2245" w:rsidRDefault="00422245">
      <w:r>
        <w:separator/>
      </w:r>
    </w:p>
  </w:endnote>
  <w:endnote w:type="continuationSeparator" w:id="0">
    <w:p w:rsidR="00422245" w:rsidRDefault="004222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078" w:rsidRDefault="00A00D4C">
    <w:pPr>
      <w:pStyle w:val="Footer"/>
      <w:framePr w:wrap="around" w:vAnchor="text" w:hAnchor="margin" w:xAlign="center" w:y="1"/>
      <w:rPr>
        <w:rStyle w:val="PageNumber"/>
      </w:rPr>
    </w:pPr>
    <w:r>
      <w:fldChar w:fldCharType="begin"/>
    </w:r>
    <w:r>
      <w:instrText xml:space="preserve">PAGE  </w:instrText>
    </w:r>
    <w:r>
      <w:fldChar w:fldCharType="separate"/>
    </w:r>
    <w:r>
      <w:t>*</w:t>
    </w:r>
    <w:r>
      <w:fldChar w:fldCharType="end"/>
    </w:r>
  </w:p>
  <w:p w:rsidR="007F1078" w:rsidRDefault="007F107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078" w:rsidRDefault="00A00D4C">
    <w:pPr>
      <w:pStyle w:val="Footer"/>
      <w:framePr w:wrap="around" w:vAnchor="text" w:hAnchor="margin" w:xAlign="center" w:y="1"/>
      <w:rPr>
        <w:rStyle w:val="PageNumber"/>
      </w:rPr>
    </w:pPr>
    <w:r>
      <w:fldChar w:fldCharType="begin"/>
    </w:r>
    <w:r>
      <w:instrText xml:space="preserve">PAGE  </w:instrText>
    </w:r>
    <w:r>
      <w:fldChar w:fldCharType="separate"/>
    </w:r>
    <w:r w:rsidR="008F5DC3">
      <w:rPr>
        <w:noProof/>
      </w:rPr>
      <w:t>15</w:t>
    </w:r>
    <w:r>
      <w:fldChar w:fldCharType="end"/>
    </w:r>
  </w:p>
  <w:p w:rsidR="007F1078" w:rsidRDefault="007F107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2245" w:rsidRDefault="00422245">
      <w:r>
        <w:separator/>
      </w:r>
    </w:p>
  </w:footnote>
  <w:footnote w:type="continuationSeparator" w:id="0">
    <w:p w:rsidR="00422245" w:rsidRDefault="004222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078" w:rsidRDefault="007F1078">
    <w:pPr>
      <w:spacing w:line="240"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078" w:rsidRDefault="007F1078">
    <w:pPr>
      <w:spacing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D3193"/>
    <w:multiLevelType w:val="hybridMultilevel"/>
    <w:tmpl w:val="FE6052D0"/>
    <w:lvl w:ilvl="0" w:tplc="77D47000">
      <w:start w:val="1"/>
      <w:numFmt w:val="decimal"/>
      <w:lvlText w:val="%1."/>
      <w:lvlJc w:val="left"/>
      <w:pPr>
        <w:tabs>
          <w:tab w:val="num" w:pos="720"/>
        </w:tabs>
        <w:ind w:left="720" w:hanging="360"/>
      </w:pPr>
      <w:rPr>
        <w:rFonts w:hint="default"/>
        <w:b/>
      </w:rPr>
    </w:lvl>
    <w:lvl w:ilvl="1" w:tplc="39224DEC" w:tentative="1">
      <w:start w:val="1"/>
      <w:numFmt w:val="lowerLetter"/>
      <w:lvlText w:val="%2."/>
      <w:lvlJc w:val="left"/>
      <w:pPr>
        <w:tabs>
          <w:tab w:val="num" w:pos="1440"/>
        </w:tabs>
        <w:ind w:left="1440" w:hanging="360"/>
      </w:pPr>
    </w:lvl>
    <w:lvl w:ilvl="2" w:tplc="A492E5F0" w:tentative="1">
      <w:start w:val="1"/>
      <w:numFmt w:val="lowerRoman"/>
      <w:lvlText w:val="%3."/>
      <w:lvlJc w:val="right"/>
      <w:pPr>
        <w:tabs>
          <w:tab w:val="num" w:pos="2160"/>
        </w:tabs>
        <w:ind w:left="2160" w:hanging="180"/>
      </w:pPr>
    </w:lvl>
    <w:lvl w:ilvl="3" w:tplc="E1F4F1D6" w:tentative="1">
      <w:start w:val="1"/>
      <w:numFmt w:val="decimal"/>
      <w:lvlText w:val="%4."/>
      <w:lvlJc w:val="left"/>
      <w:pPr>
        <w:tabs>
          <w:tab w:val="num" w:pos="2880"/>
        </w:tabs>
        <w:ind w:left="2880" w:hanging="360"/>
      </w:pPr>
    </w:lvl>
    <w:lvl w:ilvl="4" w:tplc="564AE8F8" w:tentative="1">
      <w:start w:val="1"/>
      <w:numFmt w:val="lowerLetter"/>
      <w:lvlText w:val="%5."/>
      <w:lvlJc w:val="left"/>
      <w:pPr>
        <w:tabs>
          <w:tab w:val="num" w:pos="3600"/>
        </w:tabs>
        <w:ind w:left="3600" w:hanging="360"/>
      </w:pPr>
    </w:lvl>
    <w:lvl w:ilvl="5" w:tplc="06BE2AC8" w:tentative="1">
      <w:start w:val="1"/>
      <w:numFmt w:val="lowerRoman"/>
      <w:lvlText w:val="%6."/>
      <w:lvlJc w:val="right"/>
      <w:pPr>
        <w:tabs>
          <w:tab w:val="num" w:pos="4320"/>
        </w:tabs>
        <w:ind w:left="4320" w:hanging="180"/>
      </w:pPr>
    </w:lvl>
    <w:lvl w:ilvl="6" w:tplc="A9F4734C" w:tentative="1">
      <w:start w:val="1"/>
      <w:numFmt w:val="decimal"/>
      <w:lvlText w:val="%7."/>
      <w:lvlJc w:val="left"/>
      <w:pPr>
        <w:tabs>
          <w:tab w:val="num" w:pos="5040"/>
        </w:tabs>
        <w:ind w:left="5040" w:hanging="360"/>
      </w:pPr>
    </w:lvl>
    <w:lvl w:ilvl="7" w:tplc="9000CBC0" w:tentative="1">
      <w:start w:val="1"/>
      <w:numFmt w:val="lowerLetter"/>
      <w:lvlText w:val="%8."/>
      <w:lvlJc w:val="left"/>
      <w:pPr>
        <w:tabs>
          <w:tab w:val="num" w:pos="5760"/>
        </w:tabs>
        <w:ind w:left="5760" w:hanging="360"/>
      </w:pPr>
    </w:lvl>
    <w:lvl w:ilvl="8" w:tplc="05607868" w:tentative="1">
      <w:start w:val="1"/>
      <w:numFmt w:val="lowerRoman"/>
      <w:lvlText w:val="%9."/>
      <w:lvlJc w:val="right"/>
      <w:pPr>
        <w:tabs>
          <w:tab w:val="num" w:pos="6480"/>
        </w:tabs>
        <w:ind w:left="6480" w:hanging="180"/>
      </w:pPr>
    </w:lvl>
  </w:abstractNum>
  <w:abstractNum w:abstractNumId="1">
    <w:nsid w:val="3C3A4A92"/>
    <w:multiLevelType w:val="hybridMultilevel"/>
    <w:tmpl w:val="ED78994A"/>
    <w:lvl w:ilvl="0" w:tplc="2834D748">
      <w:start w:val="1"/>
      <w:numFmt w:val="decimal"/>
      <w:lvlText w:val="%1."/>
      <w:lvlJc w:val="left"/>
      <w:pPr>
        <w:tabs>
          <w:tab w:val="num" w:pos="720"/>
        </w:tabs>
        <w:ind w:left="720" w:hanging="360"/>
      </w:pPr>
      <w:rPr>
        <w:rFonts w:hint="default"/>
      </w:rPr>
    </w:lvl>
    <w:lvl w:ilvl="1" w:tplc="9670DE0A" w:tentative="1">
      <w:start w:val="1"/>
      <w:numFmt w:val="lowerLetter"/>
      <w:lvlText w:val="%2."/>
      <w:lvlJc w:val="left"/>
      <w:pPr>
        <w:tabs>
          <w:tab w:val="num" w:pos="1440"/>
        </w:tabs>
        <w:ind w:left="1440" w:hanging="360"/>
      </w:pPr>
    </w:lvl>
    <w:lvl w:ilvl="2" w:tplc="C7B04086" w:tentative="1">
      <w:start w:val="1"/>
      <w:numFmt w:val="lowerRoman"/>
      <w:lvlText w:val="%3."/>
      <w:lvlJc w:val="right"/>
      <w:pPr>
        <w:tabs>
          <w:tab w:val="num" w:pos="2160"/>
        </w:tabs>
        <w:ind w:left="2160" w:hanging="180"/>
      </w:pPr>
    </w:lvl>
    <w:lvl w:ilvl="3" w:tplc="B3F0ACE6" w:tentative="1">
      <w:start w:val="1"/>
      <w:numFmt w:val="decimal"/>
      <w:lvlText w:val="%4."/>
      <w:lvlJc w:val="left"/>
      <w:pPr>
        <w:tabs>
          <w:tab w:val="num" w:pos="2880"/>
        </w:tabs>
        <w:ind w:left="2880" w:hanging="360"/>
      </w:pPr>
    </w:lvl>
    <w:lvl w:ilvl="4" w:tplc="74F08B1A" w:tentative="1">
      <w:start w:val="1"/>
      <w:numFmt w:val="lowerLetter"/>
      <w:lvlText w:val="%5."/>
      <w:lvlJc w:val="left"/>
      <w:pPr>
        <w:tabs>
          <w:tab w:val="num" w:pos="3600"/>
        </w:tabs>
        <w:ind w:left="3600" w:hanging="360"/>
      </w:pPr>
    </w:lvl>
    <w:lvl w:ilvl="5" w:tplc="E6FCD680" w:tentative="1">
      <w:start w:val="1"/>
      <w:numFmt w:val="lowerRoman"/>
      <w:lvlText w:val="%6."/>
      <w:lvlJc w:val="right"/>
      <w:pPr>
        <w:tabs>
          <w:tab w:val="num" w:pos="4320"/>
        </w:tabs>
        <w:ind w:left="4320" w:hanging="180"/>
      </w:pPr>
    </w:lvl>
    <w:lvl w:ilvl="6" w:tplc="AEAA451C" w:tentative="1">
      <w:start w:val="1"/>
      <w:numFmt w:val="decimal"/>
      <w:lvlText w:val="%7."/>
      <w:lvlJc w:val="left"/>
      <w:pPr>
        <w:tabs>
          <w:tab w:val="num" w:pos="5040"/>
        </w:tabs>
        <w:ind w:left="5040" w:hanging="360"/>
      </w:pPr>
    </w:lvl>
    <w:lvl w:ilvl="7" w:tplc="A57C31C8" w:tentative="1">
      <w:start w:val="1"/>
      <w:numFmt w:val="lowerLetter"/>
      <w:lvlText w:val="%8."/>
      <w:lvlJc w:val="left"/>
      <w:pPr>
        <w:tabs>
          <w:tab w:val="num" w:pos="5760"/>
        </w:tabs>
        <w:ind w:left="5760" w:hanging="360"/>
      </w:pPr>
    </w:lvl>
    <w:lvl w:ilvl="8" w:tplc="1D104F46" w:tentative="1">
      <w:start w:val="1"/>
      <w:numFmt w:val="lowerRoman"/>
      <w:lvlText w:val="%9."/>
      <w:lvlJc w:val="right"/>
      <w:pPr>
        <w:tabs>
          <w:tab w:val="num" w:pos="6480"/>
        </w:tabs>
        <w:ind w:left="6480" w:hanging="180"/>
      </w:pPr>
    </w:lvl>
  </w:abstractNum>
  <w:abstractNum w:abstractNumId="2">
    <w:nsid w:val="41565058"/>
    <w:multiLevelType w:val="hybridMultilevel"/>
    <w:tmpl w:val="2E2A6A9E"/>
    <w:lvl w:ilvl="0" w:tplc="99B8CBDC">
      <w:start w:val="1"/>
      <w:numFmt w:val="decimal"/>
      <w:lvlText w:val="%1."/>
      <w:lvlJc w:val="left"/>
      <w:pPr>
        <w:tabs>
          <w:tab w:val="num" w:pos="720"/>
        </w:tabs>
        <w:ind w:left="720" w:hanging="360"/>
      </w:pPr>
    </w:lvl>
    <w:lvl w:ilvl="1" w:tplc="5D38B4D2" w:tentative="1">
      <w:start w:val="1"/>
      <w:numFmt w:val="lowerLetter"/>
      <w:lvlText w:val="%2."/>
      <w:lvlJc w:val="left"/>
      <w:pPr>
        <w:tabs>
          <w:tab w:val="num" w:pos="1440"/>
        </w:tabs>
        <w:ind w:left="1440" w:hanging="360"/>
      </w:pPr>
    </w:lvl>
    <w:lvl w:ilvl="2" w:tplc="7CE8530E" w:tentative="1">
      <w:start w:val="1"/>
      <w:numFmt w:val="lowerRoman"/>
      <w:lvlText w:val="%3."/>
      <w:lvlJc w:val="right"/>
      <w:pPr>
        <w:tabs>
          <w:tab w:val="num" w:pos="2160"/>
        </w:tabs>
        <w:ind w:left="2160" w:hanging="180"/>
      </w:pPr>
    </w:lvl>
    <w:lvl w:ilvl="3" w:tplc="C630C090" w:tentative="1">
      <w:start w:val="1"/>
      <w:numFmt w:val="decimal"/>
      <w:lvlText w:val="%4."/>
      <w:lvlJc w:val="left"/>
      <w:pPr>
        <w:tabs>
          <w:tab w:val="num" w:pos="2880"/>
        </w:tabs>
        <w:ind w:left="2880" w:hanging="360"/>
      </w:pPr>
    </w:lvl>
    <w:lvl w:ilvl="4" w:tplc="E1BA44E2" w:tentative="1">
      <w:start w:val="1"/>
      <w:numFmt w:val="lowerLetter"/>
      <w:lvlText w:val="%5."/>
      <w:lvlJc w:val="left"/>
      <w:pPr>
        <w:tabs>
          <w:tab w:val="num" w:pos="3600"/>
        </w:tabs>
        <w:ind w:left="3600" w:hanging="360"/>
      </w:pPr>
    </w:lvl>
    <w:lvl w:ilvl="5" w:tplc="23E08FC4" w:tentative="1">
      <w:start w:val="1"/>
      <w:numFmt w:val="lowerRoman"/>
      <w:lvlText w:val="%6."/>
      <w:lvlJc w:val="right"/>
      <w:pPr>
        <w:tabs>
          <w:tab w:val="num" w:pos="4320"/>
        </w:tabs>
        <w:ind w:left="4320" w:hanging="180"/>
      </w:pPr>
    </w:lvl>
    <w:lvl w:ilvl="6" w:tplc="CCF20E28" w:tentative="1">
      <w:start w:val="1"/>
      <w:numFmt w:val="decimal"/>
      <w:lvlText w:val="%7."/>
      <w:lvlJc w:val="left"/>
      <w:pPr>
        <w:tabs>
          <w:tab w:val="num" w:pos="5040"/>
        </w:tabs>
        <w:ind w:left="5040" w:hanging="360"/>
      </w:pPr>
    </w:lvl>
    <w:lvl w:ilvl="7" w:tplc="76006CCE" w:tentative="1">
      <w:start w:val="1"/>
      <w:numFmt w:val="lowerLetter"/>
      <w:lvlText w:val="%8."/>
      <w:lvlJc w:val="left"/>
      <w:pPr>
        <w:tabs>
          <w:tab w:val="num" w:pos="5760"/>
        </w:tabs>
        <w:ind w:left="5760" w:hanging="360"/>
      </w:pPr>
    </w:lvl>
    <w:lvl w:ilvl="8" w:tplc="804C776C" w:tentative="1">
      <w:start w:val="1"/>
      <w:numFmt w:val="lowerRoman"/>
      <w:lvlText w:val="%9."/>
      <w:lvlJc w:val="right"/>
      <w:pPr>
        <w:tabs>
          <w:tab w:val="num" w:pos="6480"/>
        </w:tabs>
        <w:ind w:left="6480" w:hanging="180"/>
      </w:pPr>
    </w:lvl>
  </w:abstractNum>
  <w:abstractNum w:abstractNumId="3">
    <w:nsid w:val="450174C5"/>
    <w:multiLevelType w:val="hybridMultilevel"/>
    <w:tmpl w:val="110A206A"/>
    <w:lvl w:ilvl="0" w:tplc="F210FFAE">
      <w:start w:val="1"/>
      <w:numFmt w:val="decimal"/>
      <w:lvlText w:val="%1."/>
      <w:lvlJc w:val="left"/>
      <w:pPr>
        <w:tabs>
          <w:tab w:val="num" w:pos="720"/>
        </w:tabs>
        <w:ind w:left="720" w:hanging="360"/>
      </w:pPr>
      <w:rPr>
        <w:rFonts w:hint="default"/>
        <w:b w:val="0"/>
        <w:sz w:val="20"/>
        <w:szCs w:val="20"/>
      </w:rPr>
    </w:lvl>
    <w:lvl w:ilvl="1" w:tplc="619C3C38" w:tentative="1">
      <w:start w:val="1"/>
      <w:numFmt w:val="lowerLetter"/>
      <w:lvlText w:val="%2."/>
      <w:lvlJc w:val="left"/>
      <w:pPr>
        <w:tabs>
          <w:tab w:val="num" w:pos="1440"/>
        </w:tabs>
        <w:ind w:left="1440" w:hanging="360"/>
      </w:pPr>
    </w:lvl>
    <w:lvl w:ilvl="2" w:tplc="86A84F08" w:tentative="1">
      <w:start w:val="1"/>
      <w:numFmt w:val="lowerRoman"/>
      <w:lvlText w:val="%3."/>
      <w:lvlJc w:val="right"/>
      <w:pPr>
        <w:tabs>
          <w:tab w:val="num" w:pos="2160"/>
        </w:tabs>
        <w:ind w:left="2160" w:hanging="180"/>
      </w:pPr>
    </w:lvl>
    <w:lvl w:ilvl="3" w:tplc="344EF134" w:tentative="1">
      <w:start w:val="1"/>
      <w:numFmt w:val="decimal"/>
      <w:lvlText w:val="%4."/>
      <w:lvlJc w:val="left"/>
      <w:pPr>
        <w:tabs>
          <w:tab w:val="num" w:pos="2880"/>
        </w:tabs>
        <w:ind w:left="2880" w:hanging="360"/>
      </w:pPr>
    </w:lvl>
    <w:lvl w:ilvl="4" w:tplc="DC428984" w:tentative="1">
      <w:start w:val="1"/>
      <w:numFmt w:val="lowerLetter"/>
      <w:lvlText w:val="%5."/>
      <w:lvlJc w:val="left"/>
      <w:pPr>
        <w:tabs>
          <w:tab w:val="num" w:pos="3600"/>
        </w:tabs>
        <w:ind w:left="3600" w:hanging="360"/>
      </w:pPr>
    </w:lvl>
    <w:lvl w:ilvl="5" w:tplc="36E44112" w:tentative="1">
      <w:start w:val="1"/>
      <w:numFmt w:val="lowerRoman"/>
      <w:lvlText w:val="%6."/>
      <w:lvlJc w:val="right"/>
      <w:pPr>
        <w:tabs>
          <w:tab w:val="num" w:pos="4320"/>
        </w:tabs>
        <w:ind w:left="4320" w:hanging="180"/>
      </w:pPr>
    </w:lvl>
    <w:lvl w:ilvl="6" w:tplc="9C12DE0C" w:tentative="1">
      <w:start w:val="1"/>
      <w:numFmt w:val="decimal"/>
      <w:lvlText w:val="%7."/>
      <w:lvlJc w:val="left"/>
      <w:pPr>
        <w:tabs>
          <w:tab w:val="num" w:pos="5040"/>
        </w:tabs>
        <w:ind w:left="5040" w:hanging="360"/>
      </w:pPr>
    </w:lvl>
    <w:lvl w:ilvl="7" w:tplc="EBE2E7BC" w:tentative="1">
      <w:start w:val="1"/>
      <w:numFmt w:val="lowerLetter"/>
      <w:lvlText w:val="%8."/>
      <w:lvlJc w:val="left"/>
      <w:pPr>
        <w:tabs>
          <w:tab w:val="num" w:pos="5760"/>
        </w:tabs>
        <w:ind w:left="5760" w:hanging="360"/>
      </w:pPr>
    </w:lvl>
    <w:lvl w:ilvl="8" w:tplc="CC22CF68" w:tentative="1">
      <w:start w:val="1"/>
      <w:numFmt w:val="lowerRoman"/>
      <w:lvlText w:val="%9."/>
      <w:lvlJc w:val="right"/>
      <w:pPr>
        <w:tabs>
          <w:tab w:val="num" w:pos="6480"/>
        </w:tabs>
        <w:ind w:left="6480" w:hanging="180"/>
      </w:pPr>
    </w:lvl>
  </w:abstractNum>
  <w:abstractNum w:abstractNumId="4">
    <w:nsid w:val="4A334070"/>
    <w:multiLevelType w:val="hybridMultilevel"/>
    <w:tmpl w:val="87AC4EFC"/>
    <w:lvl w:ilvl="0" w:tplc="896C8F5E">
      <w:start w:val="1"/>
      <w:numFmt w:val="bullet"/>
      <w:lvlText w:val=""/>
      <w:lvlJc w:val="left"/>
      <w:pPr>
        <w:ind w:left="720" w:hanging="360"/>
      </w:pPr>
      <w:rPr>
        <w:rFonts w:ascii="Symbol" w:hAnsi="Symbol" w:hint="default"/>
      </w:rPr>
    </w:lvl>
    <w:lvl w:ilvl="1" w:tplc="6DA49274" w:tentative="1">
      <w:start w:val="1"/>
      <w:numFmt w:val="bullet"/>
      <w:lvlText w:val="o"/>
      <w:lvlJc w:val="left"/>
      <w:pPr>
        <w:ind w:left="1440" w:hanging="360"/>
      </w:pPr>
      <w:rPr>
        <w:rFonts w:ascii="Courier New" w:hAnsi="Courier New" w:cs="Courier New" w:hint="default"/>
      </w:rPr>
    </w:lvl>
    <w:lvl w:ilvl="2" w:tplc="081EAF02" w:tentative="1">
      <w:start w:val="1"/>
      <w:numFmt w:val="bullet"/>
      <w:lvlText w:val=""/>
      <w:lvlJc w:val="left"/>
      <w:pPr>
        <w:ind w:left="2160" w:hanging="360"/>
      </w:pPr>
      <w:rPr>
        <w:rFonts w:ascii="Wingdings" w:hAnsi="Wingdings" w:hint="default"/>
      </w:rPr>
    </w:lvl>
    <w:lvl w:ilvl="3" w:tplc="4DBCACCA" w:tentative="1">
      <w:start w:val="1"/>
      <w:numFmt w:val="bullet"/>
      <w:lvlText w:val=""/>
      <w:lvlJc w:val="left"/>
      <w:pPr>
        <w:ind w:left="2880" w:hanging="360"/>
      </w:pPr>
      <w:rPr>
        <w:rFonts w:ascii="Symbol" w:hAnsi="Symbol" w:hint="default"/>
      </w:rPr>
    </w:lvl>
    <w:lvl w:ilvl="4" w:tplc="3594D866" w:tentative="1">
      <w:start w:val="1"/>
      <w:numFmt w:val="bullet"/>
      <w:lvlText w:val="o"/>
      <w:lvlJc w:val="left"/>
      <w:pPr>
        <w:ind w:left="3600" w:hanging="360"/>
      </w:pPr>
      <w:rPr>
        <w:rFonts w:ascii="Courier New" w:hAnsi="Courier New" w:cs="Courier New" w:hint="default"/>
      </w:rPr>
    </w:lvl>
    <w:lvl w:ilvl="5" w:tplc="5680C36C" w:tentative="1">
      <w:start w:val="1"/>
      <w:numFmt w:val="bullet"/>
      <w:lvlText w:val=""/>
      <w:lvlJc w:val="left"/>
      <w:pPr>
        <w:ind w:left="4320" w:hanging="360"/>
      </w:pPr>
      <w:rPr>
        <w:rFonts w:ascii="Wingdings" w:hAnsi="Wingdings" w:hint="default"/>
      </w:rPr>
    </w:lvl>
    <w:lvl w:ilvl="6" w:tplc="B5620554" w:tentative="1">
      <w:start w:val="1"/>
      <w:numFmt w:val="bullet"/>
      <w:lvlText w:val=""/>
      <w:lvlJc w:val="left"/>
      <w:pPr>
        <w:ind w:left="5040" w:hanging="360"/>
      </w:pPr>
      <w:rPr>
        <w:rFonts w:ascii="Symbol" w:hAnsi="Symbol" w:hint="default"/>
      </w:rPr>
    </w:lvl>
    <w:lvl w:ilvl="7" w:tplc="DA0C8108" w:tentative="1">
      <w:start w:val="1"/>
      <w:numFmt w:val="bullet"/>
      <w:lvlText w:val="o"/>
      <w:lvlJc w:val="left"/>
      <w:pPr>
        <w:ind w:left="5760" w:hanging="360"/>
      </w:pPr>
      <w:rPr>
        <w:rFonts w:ascii="Courier New" w:hAnsi="Courier New" w:cs="Courier New" w:hint="default"/>
      </w:rPr>
    </w:lvl>
    <w:lvl w:ilvl="8" w:tplc="8E3C314C" w:tentative="1">
      <w:start w:val="1"/>
      <w:numFmt w:val="bullet"/>
      <w:lvlText w:val=""/>
      <w:lvlJc w:val="left"/>
      <w:pPr>
        <w:ind w:left="6480" w:hanging="360"/>
      </w:pPr>
      <w:rPr>
        <w:rFonts w:ascii="Wingdings" w:hAnsi="Wingdings" w:hint="default"/>
      </w:rPr>
    </w:lvl>
  </w:abstractNum>
  <w:abstractNum w:abstractNumId="5">
    <w:nsid w:val="5DD15B64"/>
    <w:multiLevelType w:val="multilevel"/>
    <w:tmpl w:val="C0FABCB8"/>
    <w:lvl w:ilvl="0">
      <w:start w:val="1"/>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
  </w:num>
  <w:num w:numId="2">
    <w:abstractNumId w:val="0"/>
  </w:num>
  <w:num w:numId="3">
    <w:abstractNumId w:val="3"/>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ENInstantFormat&gt;"/>
    <w:docVar w:name="EN.Libraries" w:val="&lt;ENLibraries&gt;&lt;Libraries&gt;&lt;item&gt;Contraceptives Implantable-Converted.enl&lt;/item&gt;&lt;/Libraries&gt;&lt;/ENLibraries&gt;"/>
  </w:docVars>
  <w:rsids>
    <w:rsidRoot w:val="00B30BC3"/>
    <w:rsid w:val="00006E2A"/>
    <w:rsid w:val="00033695"/>
    <w:rsid w:val="000342A0"/>
    <w:rsid w:val="00035CCC"/>
    <w:rsid w:val="00041CA7"/>
    <w:rsid w:val="00043C1E"/>
    <w:rsid w:val="0005257A"/>
    <w:rsid w:val="00054361"/>
    <w:rsid w:val="00062025"/>
    <w:rsid w:val="00062A19"/>
    <w:rsid w:val="000666AF"/>
    <w:rsid w:val="0007252D"/>
    <w:rsid w:val="0008401B"/>
    <w:rsid w:val="00087F9B"/>
    <w:rsid w:val="00094397"/>
    <w:rsid w:val="000A4388"/>
    <w:rsid w:val="000B2BC9"/>
    <w:rsid w:val="000C59ED"/>
    <w:rsid w:val="000D3E37"/>
    <w:rsid w:val="000E6B48"/>
    <w:rsid w:val="000E7758"/>
    <w:rsid w:val="00117777"/>
    <w:rsid w:val="00127CD5"/>
    <w:rsid w:val="00131911"/>
    <w:rsid w:val="001655A6"/>
    <w:rsid w:val="0017004E"/>
    <w:rsid w:val="00170F20"/>
    <w:rsid w:val="00173279"/>
    <w:rsid w:val="00181541"/>
    <w:rsid w:val="001833CA"/>
    <w:rsid w:val="00191F49"/>
    <w:rsid w:val="001E7479"/>
    <w:rsid w:val="00203209"/>
    <w:rsid w:val="00217D65"/>
    <w:rsid w:val="0022632E"/>
    <w:rsid w:val="00240E76"/>
    <w:rsid w:val="00246A32"/>
    <w:rsid w:val="00270A96"/>
    <w:rsid w:val="00272487"/>
    <w:rsid w:val="00285503"/>
    <w:rsid w:val="00286E82"/>
    <w:rsid w:val="00294CB0"/>
    <w:rsid w:val="002A2D9E"/>
    <w:rsid w:val="002A77CD"/>
    <w:rsid w:val="002B4BD9"/>
    <w:rsid w:val="002D1A3E"/>
    <w:rsid w:val="002F3B87"/>
    <w:rsid w:val="002F4012"/>
    <w:rsid w:val="003155A1"/>
    <w:rsid w:val="00320521"/>
    <w:rsid w:val="00324666"/>
    <w:rsid w:val="0037212B"/>
    <w:rsid w:val="0038573C"/>
    <w:rsid w:val="0038598C"/>
    <w:rsid w:val="0039041E"/>
    <w:rsid w:val="003948EC"/>
    <w:rsid w:val="003A6F39"/>
    <w:rsid w:val="003B4083"/>
    <w:rsid w:val="003D69BD"/>
    <w:rsid w:val="003D6D13"/>
    <w:rsid w:val="00410570"/>
    <w:rsid w:val="00411796"/>
    <w:rsid w:val="004219C9"/>
    <w:rsid w:val="00422245"/>
    <w:rsid w:val="00423EE6"/>
    <w:rsid w:val="00431388"/>
    <w:rsid w:val="00451206"/>
    <w:rsid w:val="00473BF1"/>
    <w:rsid w:val="004754C9"/>
    <w:rsid w:val="004B52C5"/>
    <w:rsid w:val="004C5313"/>
    <w:rsid w:val="004C5DB2"/>
    <w:rsid w:val="004E0368"/>
    <w:rsid w:val="004E2F6D"/>
    <w:rsid w:val="004E782D"/>
    <w:rsid w:val="00511DB2"/>
    <w:rsid w:val="00533608"/>
    <w:rsid w:val="00553800"/>
    <w:rsid w:val="00556F09"/>
    <w:rsid w:val="00565970"/>
    <w:rsid w:val="005A6431"/>
    <w:rsid w:val="005B64D9"/>
    <w:rsid w:val="005C45DD"/>
    <w:rsid w:val="005D0F98"/>
    <w:rsid w:val="005E1ECB"/>
    <w:rsid w:val="00600B5C"/>
    <w:rsid w:val="0060400B"/>
    <w:rsid w:val="00611C5F"/>
    <w:rsid w:val="00612C41"/>
    <w:rsid w:val="00616A5D"/>
    <w:rsid w:val="0062140C"/>
    <w:rsid w:val="00646CF0"/>
    <w:rsid w:val="00661C2D"/>
    <w:rsid w:val="00662E52"/>
    <w:rsid w:val="00664525"/>
    <w:rsid w:val="00667BDF"/>
    <w:rsid w:val="00680193"/>
    <w:rsid w:val="006C5368"/>
    <w:rsid w:val="006C58F2"/>
    <w:rsid w:val="006C6E88"/>
    <w:rsid w:val="006D0474"/>
    <w:rsid w:val="006D142F"/>
    <w:rsid w:val="006D4AC5"/>
    <w:rsid w:val="006E7713"/>
    <w:rsid w:val="00711171"/>
    <w:rsid w:val="00712ED2"/>
    <w:rsid w:val="00723455"/>
    <w:rsid w:val="007265D3"/>
    <w:rsid w:val="00740F67"/>
    <w:rsid w:val="00745C2A"/>
    <w:rsid w:val="00753E6B"/>
    <w:rsid w:val="00776A7C"/>
    <w:rsid w:val="00777DFF"/>
    <w:rsid w:val="00780A29"/>
    <w:rsid w:val="007900DA"/>
    <w:rsid w:val="007A1BDB"/>
    <w:rsid w:val="007A2AB8"/>
    <w:rsid w:val="007A3BEE"/>
    <w:rsid w:val="007C30BC"/>
    <w:rsid w:val="007E39E1"/>
    <w:rsid w:val="007E5D6F"/>
    <w:rsid w:val="007F1078"/>
    <w:rsid w:val="007F32DA"/>
    <w:rsid w:val="007F3E8B"/>
    <w:rsid w:val="00827FC5"/>
    <w:rsid w:val="00852799"/>
    <w:rsid w:val="008663A4"/>
    <w:rsid w:val="0088598F"/>
    <w:rsid w:val="00887016"/>
    <w:rsid w:val="00890C14"/>
    <w:rsid w:val="008A08C0"/>
    <w:rsid w:val="008A4036"/>
    <w:rsid w:val="008A52A5"/>
    <w:rsid w:val="008A7595"/>
    <w:rsid w:val="008B697C"/>
    <w:rsid w:val="008B7AD5"/>
    <w:rsid w:val="008C361E"/>
    <w:rsid w:val="008E3EA8"/>
    <w:rsid w:val="008F5DC3"/>
    <w:rsid w:val="00900663"/>
    <w:rsid w:val="00901244"/>
    <w:rsid w:val="0091401F"/>
    <w:rsid w:val="009147B3"/>
    <w:rsid w:val="00927DE6"/>
    <w:rsid w:val="009345FC"/>
    <w:rsid w:val="00937F3D"/>
    <w:rsid w:val="009407D0"/>
    <w:rsid w:val="00946800"/>
    <w:rsid w:val="009563F4"/>
    <w:rsid w:val="00956C4D"/>
    <w:rsid w:val="009828D3"/>
    <w:rsid w:val="00992CB9"/>
    <w:rsid w:val="009A1F5A"/>
    <w:rsid w:val="009B1D49"/>
    <w:rsid w:val="009D3AD0"/>
    <w:rsid w:val="00A00D4C"/>
    <w:rsid w:val="00A10913"/>
    <w:rsid w:val="00A20FFB"/>
    <w:rsid w:val="00A30952"/>
    <w:rsid w:val="00A3756A"/>
    <w:rsid w:val="00A445D7"/>
    <w:rsid w:val="00A6170F"/>
    <w:rsid w:val="00A63CD7"/>
    <w:rsid w:val="00A70251"/>
    <w:rsid w:val="00A9207C"/>
    <w:rsid w:val="00AB389E"/>
    <w:rsid w:val="00AB47E4"/>
    <w:rsid w:val="00AC1F93"/>
    <w:rsid w:val="00AC5480"/>
    <w:rsid w:val="00AD76B0"/>
    <w:rsid w:val="00AE5062"/>
    <w:rsid w:val="00AE5B65"/>
    <w:rsid w:val="00AF26CF"/>
    <w:rsid w:val="00B07B63"/>
    <w:rsid w:val="00B26A6E"/>
    <w:rsid w:val="00B30BC3"/>
    <w:rsid w:val="00B7570E"/>
    <w:rsid w:val="00B82724"/>
    <w:rsid w:val="00B86FEB"/>
    <w:rsid w:val="00B96017"/>
    <w:rsid w:val="00BB027B"/>
    <w:rsid w:val="00C43B3D"/>
    <w:rsid w:val="00C548FC"/>
    <w:rsid w:val="00C701F9"/>
    <w:rsid w:val="00C75B67"/>
    <w:rsid w:val="00C94612"/>
    <w:rsid w:val="00CB0023"/>
    <w:rsid w:val="00CC1ADF"/>
    <w:rsid w:val="00CD0A17"/>
    <w:rsid w:val="00CD758F"/>
    <w:rsid w:val="00CE79D7"/>
    <w:rsid w:val="00CE7DDC"/>
    <w:rsid w:val="00D00B4B"/>
    <w:rsid w:val="00D10823"/>
    <w:rsid w:val="00D20F53"/>
    <w:rsid w:val="00D26069"/>
    <w:rsid w:val="00D40F08"/>
    <w:rsid w:val="00D50641"/>
    <w:rsid w:val="00D51863"/>
    <w:rsid w:val="00D55D8F"/>
    <w:rsid w:val="00D578A6"/>
    <w:rsid w:val="00D700C3"/>
    <w:rsid w:val="00D7204D"/>
    <w:rsid w:val="00D81B3E"/>
    <w:rsid w:val="00D94F22"/>
    <w:rsid w:val="00DB0A0D"/>
    <w:rsid w:val="00DE5F42"/>
    <w:rsid w:val="00DF4C7F"/>
    <w:rsid w:val="00DF6A1F"/>
    <w:rsid w:val="00E031E1"/>
    <w:rsid w:val="00E0734A"/>
    <w:rsid w:val="00E105EA"/>
    <w:rsid w:val="00E1216B"/>
    <w:rsid w:val="00E45ED2"/>
    <w:rsid w:val="00E5083F"/>
    <w:rsid w:val="00E96D45"/>
    <w:rsid w:val="00EC0D75"/>
    <w:rsid w:val="00EC3BF2"/>
    <w:rsid w:val="00ED4D96"/>
    <w:rsid w:val="00EE0017"/>
    <w:rsid w:val="00EE2FBA"/>
    <w:rsid w:val="00EF4997"/>
    <w:rsid w:val="00F03012"/>
    <w:rsid w:val="00F05A9C"/>
    <w:rsid w:val="00F05E46"/>
    <w:rsid w:val="00F16121"/>
    <w:rsid w:val="00F210A1"/>
    <w:rsid w:val="00F24210"/>
    <w:rsid w:val="00F41860"/>
    <w:rsid w:val="00F424C5"/>
    <w:rsid w:val="00F5221A"/>
    <w:rsid w:val="00F56A5E"/>
    <w:rsid w:val="00F67733"/>
    <w:rsid w:val="00F82795"/>
    <w:rsid w:val="00F91124"/>
    <w:rsid w:val="00F9503E"/>
    <w:rsid w:val="00FA2EA1"/>
    <w:rsid w:val="00FB5A89"/>
    <w:rsid w:val="00FB6795"/>
    <w:rsid w:val="00FC05F2"/>
    <w:rsid w:val="00FD4807"/>
    <w:rsid w:val="00FD7FF5"/>
    <w:rsid w:val="00FF2660"/>
    <w:rsid w:val="00FF6EA8"/>
  </w:rsids>
  <m:mathPr>
    <m:mathFont m:val="Cambria Math"/>
    <m:brkBin m:val="before"/>
    <m:brkBinSub m:val="--"/>
    <m:smallFrac m:val="0"/>
    <m:dispDef/>
    <m:lMargin m:val="0"/>
    <m:rMargin m:val="0"/>
    <m:defJc m:val="centerGroup"/>
    <m:wrapIndent m:val="1440"/>
    <m:intLim m:val="subSup"/>
    <m:naryLim m:val="undOvr"/>
  </m:mathPr>
  <w:themeFontLang w:val="en-AU" w:bidi="bn-B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bn-BD"/>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9"/>
    <w:qFormat/>
    <w:pPr>
      <w:spacing w:line="480" w:lineRule="auto"/>
    </w:pPr>
    <w:rPr>
      <w:rFonts w:ascii="Arial" w:hAnsi="Arial"/>
      <w:szCs w:val="24"/>
      <w:lang w:bidi="ar-SA"/>
    </w:rPr>
  </w:style>
  <w:style w:type="paragraph" w:styleId="Heading1">
    <w:name w:val="heading 1"/>
    <w:basedOn w:val="Normal"/>
    <w:next w:val="Normal"/>
    <w:link w:val="Heading1Char"/>
    <w:uiPriority w:val="9"/>
    <w:qFormat/>
    <w:pPr>
      <w:keepNext/>
      <w:spacing w:before="240" w:after="60"/>
      <w:outlineLvl w:val="0"/>
    </w:pPr>
    <w:rPr>
      <w:rFonts w:cs="Arial"/>
      <w:b/>
      <w:bCs/>
      <w:sz w:val="32"/>
      <w:szCs w:val="32"/>
    </w:rPr>
  </w:style>
  <w:style w:type="paragraph" w:styleId="Heading2">
    <w:name w:val="heading 2"/>
    <w:basedOn w:val="Normal"/>
    <w:next w:val="Normal"/>
    <w:link w:val="Heading2Char"/>
    <w:uiPriority w:val="99"/>
    <w:qFormat/>
    <w:pPr>
      <w:keepNext/>
      <w:spacing w:before="240" w:after="60"/>
      <w:outlineLvl w:val="1"/>
    </w:pPr>
    <w:rPr>
      <w:rFonts w:cs="Arial"/>
      <w:b/>
      <w:bCs/>
      <w:i/>
      <w:iCs/>
      <w:sz w:val="28"/>
      <w:szCs w:val="28"/>
    </w:rPr>
  </w:style>
  <w:style w:type="paragraph" w:styleId="Heading3">
    <w:name w:val="heading 3"/>
    <w:basedOn w:val="Normal"/>
    <w:next w:val="Normal"/>
    <w:link w:val="Heading3Char"/>
    <w:uiPriority w:val="99"/>
    <w:qFormat/>
    <w:pPr>
      <w:keepNext/>
      <w:spacing w:before="240" w:after="60"/>
      <w:outlineLvl w:val="2"/>
    </w:pPr>
    <w:rPr>
      <w:rFonts w:cs="Arial"/>
      <w:b/>
      <w:bCs/>
      <w:sz w:val="26"/>
      <w:szCs w:val="26"/>
    </w:rPr>
  </w:style>
  <w:style w:type="paragraph" w:styleId="Heading4">
    <w:name w:val="heading 4"/>
    <w:basedOn w:val="Normal"/>
    <w:next w:val="Normal"/>
    <w:link w:val="Heading4Char"/>
    <w:uiPriority w:val="9"/>
    <w:semiHidden/>
    <w:unhideWhenUsed/>
    <w:qFormat/>
    <w:pPr>
      <w:keepNext/>
      <w:keepLines/>
      <w:spacing w:before="200"/>
      <w:outlineLvl w:val="3"/>
    </w:pPr>
    <w:rPr>
      <w:rFonts w:ascii="Calibri Light" w:hAnsi="Calibri Light" w:cs="Vrinda"/>
      <w:b/>
      <w:bCs/>
      <w:i/>
      <w:iCs/>
      <w:color w:val="4472C4"/>
    </w:rPr>
  </w:style>
  <w:style w:type="paragraph" w:styleId="Heading5">
    <w:name w:val="heading 5"/>
    <w:basedOn w:val="Normal"/>
    <w:next w:val="Normal"/>
    <w:link w:val="Heading5Char"/>
    <w:uiPriority w:val="9"/>
    <w:semiHidden/>
    <w:unhideWhenUsed/>
    <w:qFormat/>
    <w:pPr>
      <w:keepNext/>
      <w:keepLines/>
      <w:spacing w:before="200"/>
      <w:outlineLvl w:val="4"/>
    </w:pPr>
    <w:rPr>
      <w:rFonts w:ascii="Calibri Light" w:hAnsi="Calibri Light" w:cs="Vrinda"/>
      <w:color w:val="1F3763"/>
    </w:rPr>
  </w:style>
  <w:style w:type="paragraph" w:styleId="Heading6">
    <w:name w:val="heading 6"/>
    <w:basedOn w:val="Normal"/>
    <w:next w:val="Normal"/>
    <w:link w:val="Heading6Char"/>
    <w:uiPriority w:val="9"/>
    <w:semiHidden/>
    <w:unhideWhenUsed/>
    <w:qFormat/>
    <w:pPr>
      <w:keepNext/>
      <w:keepLines/>
      <w:spacing w:before="200"/>
      <w:outlineLvl w:val="5"/>
    </w:pPr>
    <w:rPr>
      <w:rFonts w:ascii="Calibri Light" w:hAnsi="Calibri Light" w:cs="Vrinda"/>
      <w:i/>
      <w:iCs/>
      <w:color w:val="1F3763"/>
    </w:rPr>
  </w:style>
  <w:style w:type="paragraph" w:styleId="Heading7">
    <w:name w:val="heading 7"/>
    <w:basedOn w:val="Normal"/>
    <w:next w:val="Normal"/>
    <w:link w:val="Heading7Char"/>
    <w:uiPriority w:val="9"/>
    <w:semiHidden/>
    <w:unhideWhenUsed/>
    <w:qFormat/>
    <w:pPr>
      <w:keepNext/>
      <w:keepLines/>
      <w:spacing w:before="200"/>
      <w:outlineLvl w:val="6"/>
    </w:pPr>
    <w:rPr>
      <w:rFonts w:ascii="Calibri Light" w:hAnsi="Calibri Light" w:cs="Vrinda"/>
      <w:i/>
      <w:iCs/>
      <w:color w:val="404040"/>
    </w:rPr>
  </w:style>
  <w:style w:type="paragraph" w:styleId="Heading8">
    <w:name w:val="heading 8"/>
    <w:basedOn w:val="Normal"/>
    <w:next w:val="Normal"/>
    <w:link w:val="Heading8Char"/>
    <w:uiPriority w:val="9"/>
    <w:semiHidden/>
    <w:unhideWhenUsed/>
    <w:qFormat/>
    <w:pPr>
      <w:keepNext/>
      <w:keepLines/>
      <w:spacing w:before="200"/>
      <w:outlineLvl w:val="7"/>
    </w:pPr>
    <w:rPr>
      <w:rFonts w:ascii="Calibri Light" w:hAnsi="Calibri Light" w:cs="Vrinda"/>
      <w:color w:val="404040"/>
      <w:szCs w:val="20"/>
    </w:rPr>
  </w:style>
  <w:style w:type="paragraph" w:styleId="Heading9">
    <w:name w:val="heading 9"/>
    <w:basedOn w:val="Normal"/>
    <w:next w:val="Normal"/>
    <w:link w:val="Heading9Char"/>
    <w:uiPriority w:val="9"/>
    <w:semiHidden/>
    <w:unhideWhenUsed/>
    <w:qFormat/>
    <w:pPr>
      <w:keepNext/>
      <w:keepLines/>
      <w:spacing w:before="200"/>
      <w:outlineLvl w:val="8"/>
    </w:pPr>
    <w:rPr>
      <w:rFonts w:ascii="Calibri Light" w:hAnsi="Calibri Light" w:cs="Vrind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Pr>
      <w:lang w:bidi="ar-SA"/>
    </w:rPr>
  </w:style>
  <w:style w:type="character" w:customStyle="1" w:styleId="Heading1Char">
    <w:name w:val="Heading 1 Char"/>
    <w:link w:val="Heading1"/>
    <w:uiPriority w:val="9"/>
    <w:rPr>
      <w:rFonts w:ascii="Calibri Light" w:eastAsia="Times New Roman" w:hAnsi="Calibri Light" w:cs="Vrinda"/>
      <w:b/>
      <w:bCs/>
      <w:color w:val="2F5496"/>
      <w:sz w:val="28"/>
      <w:szCs w:val="28"/>
    </w:rPr>
  </w:style>
  <w:style w:type="character" w:customStyle="1" w:styleId="Heading2Char">
    <w:name w:val="Heading 2 Char"/>
    <w:link w:val="Heading2"/>
    <w:uiPriority w:val="9"/>
    <w:rPr>
      <w:rFonts w:ascii="Calibri Light" w:eastAsia="Times New Roman" w:hAnsi="Calibri Light" w:cs="Vrinda"/>
      <w:b/>
      <w:bCs/>
      <w:color w:val="4472C4"/>
      <w:sz w:val="26"/>
      <w:szCs w:val="26"/>
    </w:rPr>
  </w:style>
  <w:style w:type="character" w:customStyle="1" w:styleId="Heading3Char">
    <w:name w:val="Heading 3 Char"/>
    <w:link w:val="Heading3"/>
    <w:uiPriority w:val="9"/>
    <w:rPr>
      <w:rFonts w:ascii="Calibri Light" w:eastAsia="Times New Roman" w:hAnsi="Calibri Light" w:cs="Vrinda"/>
      <w:b/>
      <w:bCs/>
      <w:color w:val="4472C4"/>
    </w:rPr>
  </w:style>
  <w:style w:type="character" w:customStyle="1" w:styleId="Heading4Char">
    <w:name w:val="Heading 4 Char"/>
    <w:link w:val="Heading4"/>
    <w:uiPriority w:val="9"/>
    <w:rPr>
      <w:rFonts w:ascii="Calibri Light" w:eastAsia="Times New Roman" w:hAnsi="Calibri Light" w:cs="Vrinda"/>
      <w:b/>
      <w:bCs/>
      <w:i/>
      <w:iCs/>
      <w:color w:val="4472C4"/>
    </w:rPr>
  </w:style>
  <w:style w:type="character" w:customStyle="1" w:styleId="Heading5Char">
    <w:name w:val="Heading 5 Char"/>
    <w:link w:val="Heading5"/>
    <w:uiPriority w:val="9"/>
    <w:rPr>
      <w:rFonts w:ascii="Calibri Light" w:eastAsia="Times New Roman" w:hAnsi="Calibri Light" w:cs="Vrinda"/>
      <w:color w:val="1F3763"/>
    </w:rPr>
  </w:style>
  <w:style w:type="character" w:customStyle="1" w:styleId="Heading6Char">
    <w:name w:val="Heading 6 Char"/>
    <w:link w:val="Heading6"/>
    <w:uiPriority w:val="9"/>
    <w:rPr>
      <w:rFonts w:ascii="Calibri Light" w:eastAsia="Times New Roman" w:hAnsi="Calibri Light" w:cs="Vrinda"/>
      <w:i/>
      <w:iCs/>
      <w:color w:val="1F3763"/>
    </w:rPr>
  </w:style>
  <w:style w:type="character" w:customStyle="1" w:styleId="Heading7Char">
    <w:name w:val="Heading 7 Char"/>
    <w:link w:val="Heading7"/>
    <w:uiPriority w:val="9"/>
    <w:rPr>
      <w:rFonts w:ascii="Calibri Light" w:eastAsia="Times New Roman" w:hAnsi="Calibri Light" w:cs="Vrinda"/>
      <w:i/>
      <w:iCs/>
      <w:color w:val="404040"/>
    </w:rPr>
  </w:style>
  <w:style w:type="character" w:customStyle="1" w:styleId="Heading8Char">
    <w:name w:val="Heading 8 Char"/>
    <w:link w:val="Heading8"/>
    <w:uiPriority w:val="9"/>
    <w:rPr>
      <w:rFonts w:ascii="Calibri Light" w:eastAsia="Times New Roman" w:hAnsi="Calibri Light" w:cs="Vrinda"/>
      <w:color w:val="404040"/>
      <w:sz w:val="20"/>
      <w:szCs w:val="20"/>
    </w:rPr>
  </w:style>
  <w:style w:type="character" w:customStyle="1" w:styleId="Heading9Char">
    <w:name w:val="Heading 9 Char"/>
    <w:link w:val="Heading9"/>
    <w:uiPriority w:val="9"/>
    <w:rPr>
      <w:rFonts w:ascii="Calibri Light" w:eastAsia="Times New Roman" w:hAnsi="Calibri Light" w:cs="Vrinda"/>
      <w:i/>
      <w:iCs/>
      <w:color w:val="404040"/>
      <w:sz w:val="20"/>
      <w:szCs w:val="20"/>
    </w:rPr>
  </w:style>
  <w:style w:type="paragraph" w:styleId="Title">
    <w:name w:val="Title"/>
    <w:basedOn w:val="Normal"/>
    <w:next w:val="Normal"/>
    <w:link w:val="TitleChar"/>
    <w:uiPriority w:val="10"/>
    <w:qFormat/>
    <w:pPr>
      <w:pBdr>
        <w:bottom w:val="single" w:sz="8" w:space="4" w:color="4472C4"/>
      </w:pBdr>
      <w:spacing w:after="300" w:line="240" w:lineRule="auto"/>
      <w:contextualSpacing/>
    </w:pPr>
    <w:rPr>
      <w:rFonts w:ascii="Calibri Light" w:hAnsi="Calibri Light" w:cs="Vrinda"/>
      <w:color w:val="323E4F"/>
      <w:spacing w:val="5"/>
      <w:sz w:val="52"/>
      <w:szCs w:val="52"/>
    </w:rPr>
  </w:style>
  <w:style w:type="character" w:customStyle="1" w:styleId="TitleChar">
    <w:name w:val="Title Char"/>
    <w:link w:val="Title"/>
    <w:uiPriority w:val="10"/>
    <w:rPr>
      <w:rFonts w:ascii="Calibri Light" w:eastAsia="Times New Roman" w:hAnsi="Calibri Light" w:cs="Vrinda"/>
      <w:color w:val="323E4F"/>
      <w:spacing w:val="5"/>
      <w:sz w:val="52"/>
      <w:szCs w:val="52"/>
    </w:rPr>
  </w:style>
  <w:style w:type="paragraph" w:styleId="Subtitle">
    <w:name w:val="Subtitle"/>
    <w:basedOn w:val="Normal"/>
    <w:next w:val="Normal"/>
    <w:link w:val="SubtitleChar"/>
    <w:uiPriority w:val="11"/>
    <w:qFormat/>
    <w:rPr>
      <w:rFonts w:ascii="Calibri Light" w:hAnsi="Calibri Light" w:cs="Vrinda"/>
      <w:i/>
      <w:iCs/>
      <w:color w:val="4472C4"/>
      <w:spacing w:val="15"/>
      <w:sz w:val="24"/>
    </w:rPr>
  </w:style>
  <w:style w:type="character" w:customStyle="1" w:styleId="SubtitleChar">
    <w:name w:val="Subtitle Char"/>
    <w:link w:val="Subtitle"/>
    <w:uiPriority w:val="11"/>
    <w:rPr>
      <w:rFonts w:ascii="Calibri Light" w:eastAsia="Times New Roman" w:hAnsi="Calibri Light" w:cs="Vrinda"/>
      <w:i/>
      <w:iCs/>
      <w:color w:val="4472C4"/>
      <w:spacing w:val="15"/>
      <w:sz w:val="24"/>
      <w:szCs w:val="24"/>
    </w:rPr>
  </w:style>
  <w:style w:type="character" w:styleId="SubtleEmphasis">
    <w:name w:val="Subtle Emphasis"/>
    <w:uiPriority w:val="19"/>
    <w:qFormat/>
    <w:rPr>
      <w:i/>
      <w:iCs/>
      <w:color w:val="808080"/>
    </w:rPr>
  </w:style>
  <w:style w:type="character" w:styleId="IntenseEmphasis">
    <w:name w:val="Intense Emphasis"/>
    <w:uiPriority w:val="21"/>
    <w:qFormat/>
    <w:rPr>
      <w:b/>
      <w:bCs/>
      <w:i/>
      <w:iCs/>
      <w:color w:val="4472C4"/>
    </w:rPr>
  </w:style>
  <w:style w:type="character" w:styleId="Strong">
    <w:name w:val="Strong"/>
    <w:uiPriority w:val="22"/>
    <w:qFormat/>
    <w:rPr>
      <w:b/>
      <w:bCs/>
    </w:rPr>
  </w:style>
  <w:style w:type="paragraph" w:styleId="Quote">
    <w:name w:val="Quote"/>
    <w:basedOn w:val="Normal"/>
    <w:next w:val="Normal"/>
    <w:link w:val="QuoteChar"/>
    <w:uiPriority w:val="29"/>
    <w:qFormat/>
    <w:rPr>
      <w:i/>
      <w:iCs/>
      <w:color w:val="000000"/>
    </w:rPr>
  </w:style>
  <w:style w:type="character" w:customStyle="1" w:styleId="QuoteChar">
    <w:name w:val="Quote Char"/>
    <w:link w:val="Quote"/>
    <w:uiPriority w:val="29"/>
    <w:rPr>
      <w:i/>
      <w:iCs/>
      <w:color w:val="000000"/>
    </w:rPr>
  </w:style>
  <w:style w:type="paragraph" w:styleId="IntenseQuote">
    <w:name w:val="Intense Quote"/>
    <w:basedOn w:val="Normal"/>
    <w:next w:val="Normal"/>
    <w:link w:val="IntenseQuoteChar"/>
    <w:uiPriority w:val="30"/>
    <w:qFormat/>
    <w:pPr>
      <w:pBdr>
        <w:bottom w:val="single" w:sz="4" w:space="4" w:color="4472C4"/>
      </w:pBdr>
      <w:spacing w:before="200" w:after="280"/>
      <w:ind w:left="936" w:right="936"/>
    </w:pPr>
    <w:rPr>
      <w:b/>
      <w:bCs/>
      <w:i/>
      <w:iCs/>
      <w:color w:val="4472C4"/>
    </w:rPr>
  </w:style>
  <w:style w:type="character" w:customStyle="1" w:styleId="IntenseQuoteChar">
    <w:name w:val="Intense Quote Char"/>
    <w:link w:val="IntenseQuote"/>
    <w:uiPriority w:val="30"/>
    <w:rPr>
      <w:b/>
      <w:bCs/>
      <w:i/>
      <w:iCs/>
      <w:color w:val="4472C4"/>
    </w:rPr>
  </w:style>
  <w:style w:type="character" w:styleId="SubtleReference">
    <w:name w:val="Subtle Reference"/>
    <w:uiPriority w:val="31"/>
    <w:qFormat/>
    <w:rPr>
      <w:smallCaps/>
      <w:color w:val="ED7D31"/>
      <w:u w:val="single"/>
    </w:rPr>
  </w:style>
  <w:style w:type="character" w:styleId="IntenseReference">
    <w:name w:val="Intense Reference"/>
    <w:uiPriority w:val="32"/>
    <w:qFormat/>
    <w:rPr>
      <w:b/>
      <w:bCs/>
      <w:smallCaps/>
      <w:color w:val="ED7D31"/>
      <w:spacing w:val="5"/>
      <w:u w:val="single"/>
    </w:rPr>
  </w:style>
  <w:style w:type="character" w:styleId="BookTitle">
    <w:name w:val="Book Title"/>
    <w:uiPriority w:val="33"/>
    <w:qFormat/>
    <w:rPr>
      <w:b/>
      <w:bCs/>
      <w:smallCaps/>
      <w:spacing w:val="5"/>
    </w:rPr>
  </w:style>
  <w:style w:type="paragraph" w:styleId="ListParagraph">
    <w:name w:val="List Paragraph"/>
    <w:basedOn w:val="Normal"/>
    <w:uiPriority w:val="34"/>
    <w:qFormat/>
    <w:pPr>
      <w:ind w:left="720"/>
      <w:contextualSpacing/>
    </w:pPr>
  </w:style>
  <w:style w:type="paragraph" w:styleId="FootnoteText">
    <w:name w:val="footnote text"/>
    <w:basedOn w:val="Normal"/>
    <w:link w:val="FootnoteTextChar"/>
    <w:uiPriority w:val="99"/>
    <w:semiHidden/>
    <w:unhideWhenUsed/>
    <w:pPr>
      <w:spacing w:line="240" w:lineRule="auto"/>
    </w:pPr>
    <w:rPr>
      <w:szCs w:val="20"/>
    </w:rPr>
  </w:style>
  <w:style w:type="character" w:customStyle="1" w:styleId="FootnoteTextChar">
    <w:name w:val="Footnote Text Char"/>
    <w:link w:val="FootnoteText"/>
    <w:uiPriority w:val="99"/>
    <w:semiHidden/>
    <w:rPr>
      <w:sz w:val="20"/>
      <w:szCs w:val="20"/>
    </w:rPr>
  </w:style>
  <w:style w:type="character" w:styleId="FootnoteReference">
    <w:name w:val="footnote reference"/>
    <w:uiPriority w:val="99"/>
    <w:semiHidden/>
    <w:unhideWhenUsed/>
    <w:rPr>
      <w:vertAlign w:val="superscript"/>
    </w:rPr>
  </w:style>
  <w:style w:type="paragraph" w:styleId="EndnoteText">
    <w:name w:val="endnote text"/>
    <w:basedOn w:val="Normal"/>
    <w:link w:val="EndnoteTextChar"/>
    <w:uiPriority w:val="99"/>
    <w:semiHidden/>
    <w:unhideWhenUsed/>
    <w:pPr>
      <w:spacing w:line="240" w:lineRule="auto"/>
    </w:pPr>
    <w:rPr>
      <w:szCs w:val="20"/>
    </w:rPr>
  </w:style>
  <w:style w:type="character" w:customStyle="1" w:styleId="EndnoteTextChar">
    <w:name w:val="Endnote Text Char"/>
    <w:link w:val="EndnoteText"/>
    <w:uiPriority w:val="99"/>
    <w:semiHidden/>
    <w:rPr>
      <w:sz w:val="20"/>
      <w:szCs w:val="20"/>
    </w:rPr>
  </w:style>
  <w:style w:type="character" w:styleId="EndnoteReference">
    <w:name w:val="endnote reference"/>
    <w:uiPriority w:val="99"/>
    <w:semiHidden/>
    <w:unhideWhenUsed/>
    <w:rPr>
      <w:vertAlign w:val="superscript"/>
    </w:rPr>
  </w:style>
  <w:style w:type="paragraph" w:styleId="PlainText">
    <w:name w:val="Plain Text"/>
    <w:basedOn w:val="Normal"/>
    <w:link w:val="PlainTextChar"/>
    <w:uiPriority w:val="99"/>
    <w:semiHidden/>
    <w:unhideWhenUsed/>
    <w:pPr>
      <w:spacing w:line="240" w:lineRule="auto"/>
    </w:pPr>
    <w:rPr>
      <w:rFonts w:ascii="Courier New" w:hAnsi="Courier New" w:cs="Courier New"/>
      <w:sz w:val="21"/>
      <w:szCs w:val="21"/>
    </w:rPr>
  </w:style>
  <w:style w:type="character" w:customStyle="1" w:styleId="PlainTextChar">
    <w:name w:val="Plain Text Char"/>
    <w:link w:val="PlainText"/>
    <w:uiPriority w:val="99"/>
    <w:rPr>
      <w:rFonts w:ascii="Courier New" w:hAnsi="Courier New" w:cs="Courier New"/>
      <w:sz w:val="21"/>
      <w:szCs w:val="21"/>
    </w:rPr>
  </w:style>
  <w:style w:type="character" w:customStyle="1" w:styleId="FooterChar">
    <w:name w:val="Footer Char"/>
    <w:basedOn w:val="DefaultParagraphFont"/>
    <w:link w:val="Footer"/>
    <w:uiPriority w:val="99"/>
  </w:style>
  <w:style w:type="paragraph" w:styleId="Caption">
    <w:name w:val="caption"/>
    <w:basedOn w:val="Normal"/>
    <w:next w:val="Normal"/>
    <w:uiPriority w:val="35"/>
    <w:unhideWhenUsed/>
    <w:qFormat/>
    <w:pPr>
      <w:spacing w:after="200" w:line="240" w:lineRule="auto"/>
    </w:pPr>
    <w:rPr>
      <w:i/>
      <w:iCs/>
      <w:color w:val="44546A"/>
      <w:sz w:val="18"/>
      <w:szCs w:val="18"/>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uiPriority w:val="99"/>
  </w:style>
  <w:style w:type="character" w:styleId="Emphasis">
    <w:name w:val="Emphasis"/>
    <w:uiPriority w:val="20"/>
    <w:qFormat/>
    <w:rPr>
      <w:b/>
      <w:bCs/>
      <w:i w:val="0"/>
      <w:iCs w:val="0"/>
    </w:rPr>
  </w:style>
  <w:style w:type="character" w:styleId="Hyperlink">
    <w:name w:val="Hyperlink"/>
    <w:uiPriority w:val="99"/>
    <w:rPr>
      <w:color w:val="0000FF"/>
      <w:u w:val="single"/>
    </w:rPr>
  </w:style>
  <w:style w:type="character" w:styleId="CommentReference">
    <w:name w:val="annotation reference"/>
    <w:uiPriority w:val="99"/>
    <w:semiHidden/>
    <w:rPr>
      <w:sz w:val="16"/>
      <w:szCs w:val="16"/>
    </w:rPr>
  </w:style>
  <w:style w:type="paragraph" w:styleId="CommentText">
    <w:name w:val="annotation text"/>
    <w:basedOn w:val="Normal"/>
    <w:uiPriority w:val="99"/>
    <w:semiHidden/>
    <w:rPr>
      <w:szCs w:val="20"/>
    </w:rPr>
  </w:style>
  <w:style w:type="paragraph" w:styleId="CommentSubject">
    <w:name w:val="annotation subject"/>
    <w:basedOn w:val="CommentText"/>
    <w:next w:val="CommentText"/>
    <w:uiPriority w:val="99"/>
    <w:semiHidden/>
    <w:rPr>
      <w:b/>
      <w:bCs/>
    </w:rPr>
  </w:style>
  <w:style w:type="paragraph" w:styleId="BalloonText">
    <w:name w:val="Balloon Text"/>
    <w:basedOn w:val="Normal"/>
    <w:uiPriority w:val="99"/>
    <w:semiHidden/>
    <w:rPr>
      <w:rFonts w:ascii="Tahoma" w:hAnsi="Tahoma" w:cs="Tahoma"/>
      <w:sz w:val="16"/>
      <w:szCs w:val="16"/>
    </w:rPr>
  </w:style>
  <w:style w:type="character" w:styleId="LineNumber">
    <w:name w:val="line number"/>
    <w:uiPriority w:val="99"/>
  </w:style>
  <w:style w:type="paragraph" w:styleId="Header">
    <w:name w:val="header"/>
    <w:basedOn w:val="Normal"/>
    <w:link w:val="HeaderChar"/>
    <w:uiPriority w:val="99"/>
    <w:pPr>
      <w:tabs>
        <w:tab w:val="center" w:pos="4680"/>
        <w:tab w:val="right" w:pos="9360"/>
      </w:tabs>
    </w:pPr>
  </w:style>
  <w:style w:type="character" w:customStyle="1" w:styleId="HeaderChar">
    <w:name w:val="Header Char"/>
    <w:link w:val="Header"/>
    <w:uiPriority w:val="99"/>
    <w:rPr>
      <w:rFonts w:ascii="Arial" w:hAnsi="Arial"/>
      <w:szCs w:val="24"/>
      <w:lang w:val="en-US" w:eastAsia="en-US"/>
    </w:rPr>
  </w:style>
  <w:style w:type="paragraph" w:styleId="NormalWeb">
    <w:name w:val="Normal (Web)"/>
    <w:basedOn w:val="Normal"/>
    <w:uiPriority w:val="99"/>
    <w:unhideWhenUsed/>
    <w:rsid w:val="008A7595"/>
    <w:pPr>
      <w:spacing w:before="100" w:beforeAutospacing="1" w:after="100" w:afterAutospacing="1" w:line="240" w:lineRule="auto"/>
    </w:pPr>
    <w:rPr>
      <w:rFonts w:ascii="Times New Roman" w:hAnsi="Times New Roman"/>
      <w:sz w:val="24"/>
      <w:lang w:bidi="bn-BD"/>
    </w:rPr>
  </w:style>
  <w:style w:type="table" w:styleId="TableGrid">
    <w:name w:val="Table Grid"/>
    <w:basedOn w:val="TableNormal"/>
    <w:uiPriority w:val="59"/>
    <w:rsid w:val="00890C14"/>
    <w:rPr>
      <w:rFonts w:ascii="Calibri" w:eastAsia="Calibri" w:hAnsi="Calibri" w:cs="Vrinda"/>
      <w:sz w:val="22"/>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bn-BD"/>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9"/>
    <w:qFormat/>
    <w:pPr>
      <w:spacing w:line="480" w:lineRule="auto"/>
    </w:pPr>
    <w:rPr>
      <w:rFonts w:ascii="Arial" w:hAnsi="Arial"/>
      <w:szCs w:val="24"/>
      <w:lang w:bidi="ar-SA"/>
    </w:rPr>
  </w:style>
  <w:style w:type="paragraph" w:styleId="Heading1">
    <w:name w:val="heading 1"/>
    <w:basedOn w:val="Normal"/>
    <w:next w:val="Normal"/>
    <w:link w:val="Heading1Char"/>
    <w:uiPriority w:val="9"/>
    <w:qFormat/>
    <w:pPr>
      <w:keepNext/>
      <w:spacing w:before="240" w:after="60"/>
      <w:outlineLvl w:val="0"/>
    </w:pPr>
    <w:rPr>
      <w:rFonts w:cs="Arial"/>
      <w:b/>
      <w:bCs/>
      <w:sz w:val="32"/>
      <w:szCs w:val="32"/>
    </w:rPr>
  </w:style>
  <w:style w:type="paragraph" w:styleId="Heading2">
    <w:name w:val="heading 2"/>
    <w:basedOn w:val="Normal"/>
    <w:next w:val="Normal"/>
    <w:link w:val="Heading2Char"/>
    <w:uiPriority w:val="99"/>
    <w:qFormat/>
    <w:pPr>
      <w:keepNext/>
      <w:spacing w:before="240" w:after="60"/>
      <w:outlineLvl w:val="1"/>
    </w:pPr>
    <w:rPr>
      <w:rFonts w:cs="Arial"/>
      <w:b/>
      <w:bCs/>
      <w:i/>
      <w:iCs/>
      <w:sz w:val="28"/>
      <w:szCs w:val="28"/>
    </w:rPr>
  </w:style>
  <w:style w:type="paragraph" w:styleId="Heading3">
    <w:name w:val="heading 3"/>
    <w:basedOn w:val="Normal"/>
    <w:next w:val="Normal"/>
    <w:link w:val="Heading3Char"/>
    <w:uiPriority w:val="99"/>
    <w:qFormat/>
    <w:pPr>
      <w:keepNext/>
      <w:spacing w:before="240" w:after="60"/>
      <w:outlineLvl w:val="2"/>
    </w:pPr>
    <w:rPr>
      <w:rFonts w:cs="Arial"/>
      <w:b/>
      <w:bCs/>
      <w:sz w:val="26"/>
      <w:szCs w:val="26"/>
    </w:rPr>
  </w:style>
  <w:style w:type="paragraph" w:styleId="Heading4">
    <w:name w:val="heading 4"/>
    <w:basedOn w:val="Normal"/>
    <w:next w:val="Normal"/>
    <w:link w:val="Heading4Char"/>
    <w:uiPriority w:val="9"/>
    <w:semiHidden/>
    <w:unhideWhenUsed/>
    <w:qFormat/>
    <w:pPr>
      <w:keepNext/>
      <w:keepLines/>
      <w:spacing w:before="200"/>
      <w:outlineLvl w:val="3"/>
    </w:pPr>
    <w:rPr>
      <w:rFonts w:ascii="Calibri Light" w:hAnsi="Calibri Light" w:cs="Vrinda"/>
      <w:b/>
      <w:bCs/>
      <w:i/>
      <w:iCs/>
      <w:color w:val="4472C4"/>
    </w:rPr>
  </w:style>
  <w:style w:type="paragraph" w:styleId="Heading5">
    <w:name w:val="heading 5"/>
    <w:basedOn w:val="Normal"/>
    <w:next w:val="Normal"/>
    <w:link w:val="Heading5Char"/>
    <w:uiPriority w:val="9"/>
    <w:semiHidden/>
    <w:unhideWhenUsed/>
    <w:qFormat/>
    <w:pPr>
      <w:keepNext/>
      <w:keepLines/>
      <w:spacing w:before="200"/>
      <w:outlineLvl w:val="4"/>
    </w:pPr>
    <w:rPr>
      <w:rFonts w:ascii="Calibri Light" w:hAnsi="Calibri Light" w:cs="Vrinda"/>
      <w:color w:val="1F3763"/>
    </w:rPr>
  </w:style>
  <w:style w:type="paragraph" w:styleId="Heading6">
    <w:name w:val="heading 6"/>
    <w:basedOn w:val="Normal"/>
    <w:next w:val="Normal"/>
    <w:link w:val="Heading6Char"/>
    <w:uiPriority w:val="9"/>
    <w:semiHidden/>
    <w:unhideWhenUsed/>
    <w:qFormat/>
    <w:pPr>
      <w:keepNext/>
      <w:keepLines/>
      <w:spacing w:before="200"/>
      <w:outlineLvl w:val="5"/>
    </w:pPr>
    <w:rPr>
      <w:rFonts w:ascii="Calibri Light" w:hAnsi="Calibri Light" w:cs="Vrinda"/>
      <w:i/>
      <w:iCs/>
      <w:color w:val="1F3763"/>
    </w:rPr>
  </w:style>
  <w:style w:type="paragraph" w:styleId="Heading7">
    <w:name w:val="heading 7"/>
    <w:basedOn w:val="Normal"/>
    <w:next w:val="Normal"/>
    <w:link w:val="Heading7Char"/>
    <w:uiPriority w:val="9"/>
    <w:semiHidden/>
    <w:unhideWhenUsed/>
    <w:qFormat/>
    <w:pPr>
      <w:keepNext/>
      <w:keepLines/>
      <w:spacing w:before="200"/>
      <w:outlineLvl w:val="6"/>
    </w:pPr>
    <w:rPr>
      <w:rFonts w:ascii="Calibri Light" w:hAnsi="Calibri Light" w:cs="Vrinda"/>
      <w:i/>
      <w:iCs/>
      <w:color w:val="404040"/>
    </w:rPr>
  </w:style>
  <w:style w:type="paragraph" w:styleId="Heading8">
    <w:name w:val="heading 8"/>
    <w:basedOn w:val="Normal"/>
    <w:next w:val="Normal"/>
    <w:link w:val="Heading8Char"/>
    <w:uiPriority w:val="9"/>
    <w:semiHidden/>
    <w:unhideWhenUsed/>
    <w:qFormat/>
    <w:pPr>
      <w:keepNext/>
      <w:keepLines/>
      <w:spacing w:before="200"/>
      <w:outlineLvl w:val="7"/>
    </w:pPr>
    <w:rPr>
      <w:rFonts w:ascii="Calibri Light" w:hAnsi="Calibri Light" w:cs="Vrinda"/>
      <w:color w:val="404040"/>
      <w:szCs w:val="20"/>
    </w:rPr>
  </w:style>
  <w:style w:type="paragraph" w:styleId="Heading9">
    <w:name w:val="heading 9"/>
    <w:basedOn w:val="Normal"/>
    <w:next w:val="Normal"/>
    <w:link w:val="Heading9Char"/>
    <w:uiPriority w:val="9"/>
    <w:semiHidden/>
    <w:unhideWhenUsed/>
    <w:qFormat/>
    <w:pPr>
      <w:keepNext/>
      <w:keepLines/>
      <w:spacing w:before="200"/>
      <w:outlineLvl w:val="8"/>
    </w:pPr>
    <w:rPr>
      <w:rFonts w:ascii="Calibri Light" w:hAnsi="Calibri Light" w:cs="Vrind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Pr>
      <w:lang w:bidi="ar-SA"/>
    </w:rPr>
  </w:style>
  <w:style w:type="character" w:customStyle="1" w:styleId="Heading1Char">
    <w:name w:val="Heading 1 Char"/>
    <w:link w:val="Heading1"/>
    <w:uiPriority w:val="9"/>
    <w:rPr>
      <w:rFonts w:ascii="Calibri Light" w:eastAsia="Times New Roman" w:hAnsi="Calibri Light" w:cs="Vrinda"/>
      <w:b/>
      <w:bCs/>
      <w:color w:val="2F5496"/>
      <w:sz w:val="28"/>
      <w:szCs w:val="28"/>
    </w:rPr>
  </w:style>
  <w:style w:type="character" w:customStyle="1" w:styleId="Heading2Char">
    <w:name w:val="Heading 2 Char"/>
    <w:link w:val="Heading2"/>
    <w:uiPriority w:val="9"/>
    <w:rPr>
      <w:rFonts w:ascii="Calibri Light" w:eastAsia="Times New Roman" w:hAnsi="Calibri Light" w:cs="Vrinda"/>
      <w:b/>
      <w:bCs/>
      <w:color w:val="4472C4"/>
      <w:sz w:val="26"/>
      <w:szCs w:val="26"/>
    </w:rPr>
  </w:style>
  <w:style w:type="character" w:customStyle="1" w:styleId="Heading3Char">
    <w:name w:val="Heading 3 Char"/>
    <w:link w:val="Heading3"/>
    <w:uiPriority w:val="9"/>
    <w:rPr>
      <w:rFonts w:ascii="Calibri Light" w:eastAsia="Times New Roman" w:hAnsi="Calibri Light" w:cs="Vrinda"/>
      <w:b/>
      <w:bCs/>
      <w:color w:val="4472C4"/>
    </w:rPr>
  </w:style>
  <w:style w:type="character" w:customStyle="1" w:styleId="Heading4Char">
    <w:name w:val="Heading 4 Char"/>
    <w:link w:val="Heading4"/>
    <w:uiPriority w:val="9"/>
    <w:rPr>
      <w:rFonts w:ascii="Calibri Light" w:eastAsia="Times New Roman" w:hAnsi="Calibri Light" w:cs="Vrinda"/>
      <w:b/>
      <w:bCs/>
      <w:i/>
      <w:iCs/>
      <w:color w:val="4472C4"/>
    </w:rPr>
  </w:style>
  <w:style w:type="character" w:customStyle="1" w:styleId="Heading5Char">
    <w:name w:val="Heading 5 Char"/>
    <w:link w:val="Heading5"/>
    <w:uiPriority w:val="9"/>
    <w:rPr>
      <w:rFonts w:ascii="Calibri Light" w:eastAsia="Times New Roman" w:hAnsi="Calibri Light" w:cs="Vrinda"/>
      <w:color w:val="1F3763"/>
    </w:rPr>
  </w:style>
  <w:style w:type="character" w:customStyle="1" w:styleId="Heading6Char">
    <w:name w:val="Heading 6 Char"/>
    <w:link w:val="Heading6"/>
    <w:uiPriority w:val="9"/>
    <w:rPr>
      <w:rFonts w:ascii="Calibri Light" w:eastAsia="Times New Roman" w:hAnsi="Calibri Light" w:cs="Vrinda"/>
      <w:i/>
      <w:iCs/>
      <w:color w:val="1F3763"/>
    </w:rPr>
  </w:style>
  <w:style w:type="character" w:customStyle="1" w:styleId="Heading7Char">
    <w:name w:val="Heading 7 Char"/>
    <w:link w:val="Heading7"/>
    <w:uiPriority w:val="9"/>
    <w:rPr>
      <w:rFonts w:ascii="Calibri Light" w:eastAsia="Times New Roman" w:hAnsi="Calibri Light" w:cs="Vrinda"/>
      <w:i/>
      <w:iCs/>
      <w:color w:val="404040"/>
    </w:rPr>
  </w:style>
  <w:style w:type="character" w:customStyle="1" w:styleId="Heading8Char">
    <w:name w:val="Heading 8 Char"/>
    <w:link w:val="Heading8"/>
    <w:uiPriority w:val="9"/>
    <w:rPr>
      <w:rFonts w:ascii="Calibri Light" w:eastAsia="Times New Roman" w:hAnsi="Calibri Light" w:cs="Vrinda"/>
      <w:color w:val="404040"/>
      <w:sz w:val="20"/>
      <w:szCs w:val="20"/>
    </w:rPr>
  </w:style>
  <w:style w:type="character" w:customStyle="1" w:styleId="Heading9Char">
    <w:name w:val="Heading 9 Char"/>
    <w:link w:val="Heading9"/>
    <w:uiPriority w:val="9"/>
    <w:rPr>
      <w:rFonts w:ascii="Calibri Light" w:eastAsia="Times New Roman" w:hAnsi="Calibri Light" w:cs="Vrinda"/>
      <w:i/>
      <w:iCs/>
      <w:color w:val="404040"/>
      <w:sz w:val="20"/>
      <w:szCs w:val="20"/>
    </w:rPr>
  </w:style>
  <w:style w:type="paragraph" w:styleId="Title">
    <w:name w:val="Title"/>
    <w:basedOn w:val="Normal"/>
    <w:next w:val="Normal"/>
    <w:link w:val="TitleChar"/>
    <w:uiPriority w:val="10"/>
    <w:qFormat/>
    <w:pPr>
      <w:pBdr>
        <w:bottom w:val="single" w:sz="8" w:space="4" w:color="4472C4"/>
      </w:pBdr>
      <w:spacing w:after="300" w:line="240" w:lineRule="auto"/>
      <w:contextualSpacing/>
    </w:pPr>
    <w:rPr>
      <w:rFonts w:ascii="Calibri Light" w:hAnsi="Calibri Light" w:cs="Vrinda"/>
      <w:color w:val="323E4F"/>
      <w:spacing w:val="5"/>
      <w:sz w:val="52"/>
      <w:szCs w:val="52"/>
    </w:rPr>
  </w:style>
  <w:style w:type="character" w:customStyle="1" w:styleId="TitleChar">
    <w:name w:val="Title Char"/>
    <w:link w:val="Title"/>
    <w:uiPriority w:val="10"/>
    <w:rPr>
      <w:rFonts w:ascii="Calibri Light" w:eastAsia="Times New Roman" w:hAnsi="Calibri Light" w:cs="Vrinda"/>
      <w:color w:val="323E4F"/>
      <w:spacing w:val="5"/>
      <w:sz w:val="52"/>
      <w:szCs w:val="52"/>
    </w:rPr>
  </w:style>
  <w:style w:type="paragraph" w:styleId="Subtitle">
    <w:name w:val="Subtitle"/>
    <w:basedOn w:val="Normal"/>
    <w:next w:val="Normal"/>
    <w:link w:val="SubtitleChar"/>
    <w:uiPriority w:val="11"/>
    <w:qFormat/>
    <w:rPr>
      <w:rFonts w:ascii="Calibri Light" w:hAnsi="Calibri Light" w:cs="Vrinda"/>
      <w:i/>
      <w:iCs/>
      <w:color w:val="4472C4"/>
      <w:spacing w:val="15"/>
      <w:sz w:val="24"/>
    </w:rPr>
  </w:style>
  <w:style w:type="character" w:customStyle="1" w:styleId="SubtitleChar">
    <w:name w:val="Subtitle Char"/>
    <w:link w:val="Subtitle"/>
    <w:uiPriority w:val="11"/>
    <w:rPr>
      <w:rFonts w:ascii="Calibri Light" w:eastAsia="Times New Roman" w:hAnsi="Calibri Light" w:cs="Vrinda"/>
      <w:i/>
      <w:iCs/>
      <w:color w:val="4472C4"/>
      <w:spacing w:val="15"/>
      <w:sz w:val="24"/>
      <w:szCs w:val="24"/>
    </w:rPr>
  </w:style>
  <w:style w:type="character" w:styleId="SubtleEmphasis">
    <w:name w:val="Subtle Emphasis"/>
    <w:uiPriority w:val="19"/>
    <w:qFormat/>
    <w:rPr>
      <w:i/>
      <w:iCs/>
      <w:color w:val="808080"/>
    </w:rPr>
  </w:style>
  <w:style w:type="character" w:styleId="IntenseEmphasis">
    <w:name w:val="Intense Emphasis"/>
    <w:uiPriority w:val="21"/>
    <w:qFormat/>
    <w:rPr>
      <w:b/>
      <w:bCs/>
      <w:i/>
      <w:iCs/>
      <w:color w:val="4472C4"/>
    </w:rPr>
  </w:style>
  <w:style w:type="character" w:styleId="Strong">
    <w:name w:val="Strong"/>
    <w:uiPriority w:val="22"/>
    <w:qFormat/>
    <w:rPr>
      <w:b/>
      <w:bCs/>
    </w:rPr>
  </w:style>
  <w:style w:type="paragraph" w:styleId="Quote">
    <w:name w:val="Quote"/>
    <w:basedOn w:val="Normal"/>
    <w:next w:val="Normal"/>
    <w:link w:val="QuoteChar"/>
    <w:uiPriority w:val="29"/>
    <w:qFormat/>
    <w:rPr>
      <w:i/>
      <w:iCs/>
      <w:color w:val="000000"/>
    </w:rPr>
  </w:style>
  <w:style w:type="character" w:customStyle="1" w:styleId="QuoteChar">
    <w:name w:val="Quote Char"/>
    <w:link w:val="Quote"/>
    <w:uiPriority w:val="29"/>
    <w:rPr>
      <w:i/>
      <w:iCs/>
      <w:color w:val="000000"/>
    </w:rPr>
  </w:style>
  <w:style w:type="paragraph" w:styleId="IntenseQuote">
    <w:name w:val="Intense Quote"/>
    <w:basedOn w:val="Normal"/>
    <w:next w:val="Normal"/>
    <w:link w:val="IntenseQuoteChar"/>
    <w:uiPriority w:val="30"/>
    <w:qFormat/>
    <w:pPr>
      <w:pBdr>
        <w:bottom w:val="single" w:sz="4" w:space="4" w:color="4472C4"/>
      </w:pBdr>
      <w:spacing w:before="200" w:after="280"/>
      <w:ind w:left="936" w:right="936"/>
    </w:pPr>
    <w:rPr>
      <w:b/>
      <w:bCs/>
      <w:i/>
      <w:iCs/>
      <w:color w:val="4472C4"/>
    </w:rPr>
  </w:style>
  <w:style w:type="character" w:customStyle="1" w:styleId="IntenseQuoteChar">
    <w:name w:val="Intense Quote Char"/>
    <w:link w:val="IntenseQuote"/>
    <w:uiPriority w:val="30"/>
    <w:rPr>
      <w:b/>
      <w:bCs/>
      <w:i/>
      <w:iCs/>
      <w:color w:val="4472C4"/>
    </w:rPr>
  </w:style>
  <w:style w:type="character" w:styleId="SubtleReference">
    <w:name w:val="Subtle Reference"/>
    <w:uiPriority w:val="31"/>
    <w:qFormat/>
    <w:rPr>
      <w:smallCaps/>
      <w:color w:val="ED7D31"/>
      <w:u w:val="single"/>
    </w:rPr>
  </w:style>
  <w:style w:type="character" w:styleId="IntenseReference">
    <w:name w:val="Intense Reference"/>
    <w:uiPriority w:val="32"/>
    <w:qFormat/>
    <w:rPr>
      <w:b/>
      <w:bCs/>
      <w:smallCaps/>
      <w:color w:val="ED7D31"/>
      <w:spacing w:val="5"/>
      <w:u w:val="single"/>
    </w:rPr>
  </w:style>
  <w:style w:type="character" w:styleId="BookTitle">
    <w:name w:val="Book Title"/>
    <w:uiPriority w:val="33"/>
    <w:qFormat/>
    <w:rPr>
      <w:b/>
      <w:bCs/>
      <w:smallCaps/>
      <w:spacing w:val="5"/>
    </w:rPr>
  </w:style>
  <w:style w:type="paragraph" w:styleId="ListParagraph">
    <w:name w:val="List Paragraph"/>
    <w:basedOn w:val="Normal"/>
    <w:uiPriority w:val="34"/>
    <w:qFormat/>
    <w:pPr>
      <w:ind w:left="720"/>
      <w:contextualSpacing/>
    </w:pPr>
  </w:style>
  <w:style w:type="paragraph" w:styleId="FootnoteText">
    <w:name w:val="footnote text"/>
    <w:basedOn w:val="Normal"/>
    <w:link w:val="FootnoteTextChar"/>
    <w:uiPriority w:val="99"/>
    <w:semiHidden/>
    <w:unhideWhenUsed/>
    <w:pPr>
      <w:spacing w:line="240" w:lineRule="auto"/>
    </w:pPr>
    <w:rPr>
      <w:szCs w:val="20"/>
    </w:rPr>
  </w:style>
  <w:style w:type="character" w:customStyle="1" w:styleId="FootnoteTextChar">
    <w:name w:val="Footnote Text Char"/>
    <w:link w:val="FootnoteText"/>
    <w:uiPriority w:val="99"/>
    <w:semiHidden/>
    <w:rPr>
      <w:sz w:val="20"/>
      <w:szCs w:val="20"/>
    </w:rPr>
  </w:style>
  <w:style w:type="character" w:styleId="FootnoteReference">
    <w:name w:val="footnote reference"/>
    <w:uiPriority w:val="99"/>
    <w:semiHidden/>
    <w:unhideWhenUsed/>
    <w:rPr>
      <w:vertAlign w:val="superscript"/>
    </w:rPr>
  </w:style>
  <w:style w:type="paragraph" w:styleId="EndnoteText">
    <w:name w:val="endnote text"/>
    <w:basedOn w:val="Normal"/>
    <w:link w:val="EndnoteTextChar"/>
    <w:uiPriority w:val="99"/>
    <w:semiHidden/>
    <w:unhideWhenUsed/>
    <w:pPr>
      <w:spacing w:line="240" w:lineRule="auto"/>
    </w:pPr>
    <w:rPr>
      <w:szCs w:val="20"/>
    </w:rPr>
  </w:style>
  <w:style w:type="character" w:customStyle="1" w:styleId="EndnoteTextChar">
    <w:name w:val="Endnote Text Char"/>
    <w:link w:val="EndnoteText"/>
    <w:uiPriority w:val="99"/>
    <w:semiHidden/>
    <w:rPr>
      <w:sz w:val="20"/>
      <w:szCs w:val="20"/>
    </w:rPr>
  </w:style>
  <w:style w:type="character" w:styleId="EndnoteReference">
    <w:name w:val="endnote reference"/>
    <w:uiPriority w:val="99"/>
    <w:semiHidden/>
    <w:unhideWhenUsed/>
    <w:rPr>
      <w:vertAlign w:val="superscript"/>
    </w:rPr>
  </w:style>
  <w:style w:type="paragraph" w:styleId="PlainText">
    <w:name w:val="Plain Text"/>
    <w:basedOn w:val="Normal"/>
    <w:link w:val="PlainTextChar"/>
    <w:uiPriority w:val="99"/>
    <w:semiHidden/>
    <w:unhideWhenUsed/>
    <w:pPr>
      <w:spacing w:line="240" w:lineRule="auto"/>
    </w:pPr>
    <w:rPr>
      <w:rFonts w:ascii="Courier New" w:hAnsi="Courier New" w:cs="Courier New"/>
      <w:sz w:val="21"/>
      <w:szCs w:val="21"/>
    </w:rPr>
  </w:style>
  <w:style w:type="character" w:customStyle="1" w:styleId="PlainTextChar">
    <w:name w:val="Plain Text Char"/>
    <w:link w:val="PlainText"/>
    <w:uiPriority w:val="99"/>
    <w:rPr>
      <w:rFonts w:ascii="Courier New" w:hAnsi="Courier New" w:cs="Courier New"/>
      <w:sz w:val="21"/>
      <w:szCs w:val="21"/>
    </w:rPr>
  </w:style>
  <w:style w:type="character" w:customStyle="1" w:styleId="FooterChar">
    <w:name w:val="Footer Char"/>
    <w:basedOn w:val="DefaultParagraphFont"/>
    <w:link w:val="Footer"/>
    <w:uiPriority w:val="99"/>
  </w:style>
  <w:style w:type="paragraph" w:styleId="Caption">
    <w:name w:val="caption"/>
    <w:basedOn w:val="Normal"/>
    <w:next w:val="Normal"/>
    <w:uiPriority w:val="35"/>
    <w:unhideWhenUsed/>
    <w:qFormat/>
    <w:pPr>
      <w:spacing w:after="200" w:line="240" w:lineRule="auto"/>
    </w:pPr>
    <w:rPr>
      <w:i/>
      <w:iCs/>
      <w:color w:val="44546A"/>
      <w:sz w:val="18"/>
      <w:szCs w:val="18"/>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uiPriority w:val="99"/>
  </w:style>
  <w:style w:type="character" w:styleId="Emphasis">
    <w:name w:val="Emphasis"/>
    <w:uiPriority w:val="20"/>
    <w:qFormat/>
    <w:rPr>
      <w:b/>
      <w:bCs/>
      <w:i w:val="0"/>
      <w:iCs w:val="0"/>
    </w:rPr>
  </w:style>
  <w:style w:type="character" w:styleId="Hyperlink">
    <w:name w:val="Hyperlink"/>
    <w:uiPriority w:val="99"/>
    <w:rPr>
      <w:color w:val="0000FF"/>
      <w:u w:val="single"/>
    </w:rPr>
  </w:style>
  <w:style w:type="character" w:styleId="CommentReference">
    <w:name w:val="annotation reference"/>
    <w:uiPriority w:val="99"/>
    <w:semiHidden/>
    <w:rPr>
      <w:sz w:val="16"/>
      <w:szCs w:val="16"/>
    </w:rPr>
  </w:style>
  <w:style w:type="paragraph" w:styleId="CommentText">
    <w:name w:val="annotation text"/>
    <w:basedOn w:val="Normal"/>
    <w:uiPriority w:val="99"/>
    <w:semiHidden/>
    <w:rPr>
      <w:szCs w:val="20"/>
    </w:rPr>
  </w:style>
  <w:style w:type="paragraph" w:styleId="CommentSubject">
    <w:name w:val="annotation subject"/>
    <w:basedOn w:val="CommentText"/>
    <w:next w:val="CommentText"/>
    <w:uiPriority w:val="99"/>
    <w:semiHidden/>
    <w:rPr>
      <w:b/>
      <w:bCs/>
    </w:rPr>
  </w:style>
  <w:style w:type="paragraph" w:styleId="BalloonText">
    <w:name w:val="Balloon Text"/>
    <w:basedOn w:val="Normal"/>
    <w:uiPriority w:val="99"/>
    <w:semiHidden/>
    <w:rPr>
      <w:rFonts w:ascii="Tahoma" w:hAnsi="Tahoma" w:cs="Tahoma"/>
      <w:sz w:val="16"/>
      <w:szCs w:val="16"/>
    </w:rPr>
  </w:style>
  <w:style w:type="character" w:styleId="LineNumber">
    <w:name w:val="line number"/>
    <w:uiPriority w:val="99"/>
  </w:style>
  <w:style w:type="paragraph" w:styleId="Header">
    <w:name w:val="header"/>
    <w:basedOn w:val="Normal"/>
    <w:link w:val="HeaderChar"/>
    <w:uiPriority w:val="99"/>
    <w:pPr>
      <w:tabs>
        <w:tab w:val="center" w:pos="4680"/>
        <w:tab w:val="right" w:pos="9360"/>
      </w:tabs>
    </w:pPr>
  </w:style>
  <w:style w:type="character" w:customStyle="1" w:styleId="HeaderChar">
    <w:name w:val="Header Char"/>
    <w:link w:val="Header"/>
    <w:uiPriority w:val="99"/>
    <w:rPr>
      <w:rFonts w:ascii="Arial" w:hAnsi="Arial"/>
      <w:szCs w:val="24"/>
      <w:lang w:val="en-US" w:eastAsia="en-US"/>
    </w:rPr>
  </w:style>
  <w:style w:type="paragraph" w:styleId="NormalWeb">
    <w:name w:val="Normal (Web)"/>
    <w:basedOn w:val="Normal"/>
    <w:uiPriority w:val="99"/>
    <w:unhideWhenUsed/>
    <w:rsid w:val="008A7595"/>
    <w:pPr>
      <w:spacing w:before="100" w:beforeAutospacing="1" w:after="100" w:afterAutospacing="1" w:line="240" w:lineRule="auto"/>
    </w:pPr>
    <w:rPr>
      <w:rFonts w:ascii="Times New Roman" w:hAnsi="Times New Roman"/>
      <w:sz w:val="24"/>
      <w:lang w:bidi="bn-BD"/>
    </w:rPr>
  </w:style>
  <w:style w:type="table" w:styleId="TableGrid">
    <w:name w:val="Table Grid"/>
    <w:basedOn w:val="TableNormal"/>
    <w:uiPriority w:val="59"/>
    <w:rsid w:val="00890C14"/>
    <w:rPr>
      <w:rFonts w:ascii="Calibri" w:eastAsia="Calibri" w:hAnsi="Calibri" w:cs="Vrinda"/>
      <w:sz w:val="22"/>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3049503">
      <w:bodyDiv w:val="1"/>
      <w:marLeft w:val="0"/>
      <w:marRight w:val="0"/>
      <w:marTop w:val="0"/>
      <w:marBottom w:val="0"/>
      <w:divBdr>
        <w:top w:val="none" w:sz="0" w:space="0" w:color="auto"/>
        <w:left w:val="none" w:sz="0" w:space="0" w:color="auto"/>
        <w:bottom w:val="none" w:sz="0" w:space="0" w:color="auto"/>
        <w:right w:val="none" w:sz="0" w:space="0" w:color="auto"/>
      </w:divBdr>
    </w:div>
    <w:div w:id="634063614">
      <w:bodyDiv w:val="1"/>
      <w:marLeft w:val="0"/>
      <w:marRight w:val="0"/>
      <w:marTop w:val="0"/>
      <w:marBottom w:val="0"/>
      <w:divBdr>
        <w:top w:val="none" w:sz="0" w:space="0" w:color="auto"/>
        <w:left w:val="none" w:sz="0" w:space="0" w:color="auto"/>
        <w:bottom w:val="none" w:sz="0" w:space="0" w:color="auto"/>
        <w:right w:val="none" w:sz="0" w:space="0" w:color="auto"/>
      </w:divBdr>
    </w:div>
    <w:div w:id="695083724">
      <w:bodyDiv w:val="1"/>
      <w:marLeft w:val="0"/>
      <w:marRight w:val="0"/>
      <w:marTop w:val="0"/>
      <w:marBottom w:val="0"/>
      <w:divBdr>
        <w:top w:val="none" w:sz="0" w:space="0" w:color="auto"/>
        <w:left w:val="none" w:sz="0" w:space="0" w:color="auto"/>
        <w:bottom w:val="none" w:sz="0" w:space="0" w:color="auto"/>
        <w:right w:val="none" w:sz="0" w:space="0" w:color="auto"/>
      </w:divBdr>
      <w:divsChild>
        <w:div w:id="308485679">
          <w:marLeft w:val="0"/>
          <w:marRight w:val="0"/>
          <w:marTop w:val="0"/>
          <w:marBottom w:val="0"/>
          <w:divBdr>
            <w:top w:val="none" w:sz="0" w:space="0" w:color="auto"/>
            <w:left w:val="none" w:sz="0" w:space="0" w:color="auto"/>
            <w:bottom w:val="none" w:sz="0" w:space="0" w:color="auto"/>
            <w:right w:val="none" w:sz="0" w:space="0" w:color="auto"/>
          </w:divBdr>
        </w:div>
        <w:div w:id="1895656576">
          <w:marLeft w:val="0"/>
          <w:marRight w:val="0"/>
          <w:marTop w:val="0"/>
          <w:marBottom w:val="0"/>
          <w:divBdr>
            <w:top w:val="none" w:sz="0" w:space="0" w:color="auto"/>
            <w:left w:val="none" w:sz="0" w:space="0" w:color="auto"/>
            <w:bottom w:val="none" w:sz="0" w:space="0" w:color="auto"/>
            <w:right w:val="none" w:sz="0" w:space="0" w:color="auto"/>
          </w:divBdr>
        </w:div>
        <w:div w:id="79303429">
          <w:marLeft w:val="0"/>
          <w:marRight w:val="0"/>
          <w:marTop w:val="0"/>
          <w:marBottom w:val="0"/>
          <w:divBdr>
            <w:top w:val="none" w:sz="0" w:space="0" w:color="auto"/>
            <w:left w:val="none" w:sz="0" w:space="0" w:color="auto"/>
            <w:bottom w:val="none" w:sz="0" w:space="0" w:color="auto"/>
            <w:right w:val="none" w:sz="0" w:space="0" w:color="auto"/>
          </w:divBdr>
        </w:div>
        <w:div w:id="564876403">
          <w:marLeft w:val="0"/>
          <w:marRight w:val="0"/>
          <w:marTop w:val="0"/>
          <w:marBottom w:val="0"/>
          <w:divBdr>
            <w:top w:val="none" w:sz="0" w:space="0" w:color="auto"/>
            <w:left w:val="none" w:sz="0" w:space="0" w:color="auto"/>
            <w:bottom w:val="none" w:sz="0" w:space="0" w:color="auto"/>
            <w:right w:val="none" w:sz="0" w:space="0" w:color="auto"/>
          </w:divBdr>
        </w:div>
        <w:div w:id="1424037401">
          <w:marLeft w:val="0"/>
          <w:marRight w:val="0"/>
          <w:marTop w:val="0"/>
          <w:marBottom w:val="0"/>
          <w:divBdr>
            <w:top w:val="none" w:sz="0" w:space="0" w:color="auto"/>
            <w:left w:val="none" w:sz="0" w:space="0" w:color="auto"/>
            <w:bottom w:val="none" w:sz="0" w:space="0" w:color="auto"/>
            <w:right w:val="none" w:sz="0" w:space="0" w:color="auto"/>
          </w:divBdr>
        </w:div>
        <w:div w:id="1047753317">
          <w:marLeft w:val="0"/>
          <w:marRight w:val="0"/>
          <w:marTop w:val="0"/>
          <w:marBottom w:val="0"/>
          <w:divBdr>
            <w:top w:val="none" w:sz="0" w:space="0" w:color="auto"/>
            <w:left w:val="none" w:sz="0" w:space="0" w:color="auto"/>
            <w:bottom w:val="none" w:sz="0" w:space="0" w:color="auto"/>
            <w:right w:val="none" w:sz="0" w:space="0" w:color="auto"/>
          </w:divBdr>
        </w:div>
        <w:div w:id="1108696938">
          <w:marLeft w:val="0"/>
          <w:marRight w:val="0"/>
          <w:marTop w:val="0"/>
          <w:marBottom w:val="0"/>
          <w:divBdr>
            <w:top w:val="none" w:sz="0" w:space="0" w:color="auto"/>
            <w:left w:val="none" w:sz="0" w:space="0" w:color="auto"/>
            <w:bottom w:val="none" w:sz="0" w:space="0" w:color="auto"/>
            <w:right w:val="none" w:sz="0" w:space="0" w:color="auto"/>
          </w:divBdr>
        </w:div>
        <w:div w:id="2123769349">
          <w:marLeft w:val="0"/>
          <w:marRight w:val="0"/>
          <w:marTop w:val="0"/>
          <w:marBottom w:val="0"/>
          <w:divBdr>
            <w:top w:val="none" w:sz="0" w:space="0" w:color="auto"/>
            <w:left w:val="none" w:sz="0" w:space="0" w:color="auto"/>
            <w:bottom w:val="none" w:sz="0" w:space="0" w:color="auto"/>
            <w:right w:val="none" w:sz="0" w:space="0" w:color="auto"/>
          </w:divBdr>
        </w:div>
      </w:divsChild>
    </w:div>
    <w:div w:id="922295808">
      <w:bodyDiv w:val="1"/>
      <w:marLeft w:val="0"/>
      <w:marRight w:val="0"/>
      <w:marTop w:val="0"/>
      <w:marBottom w:val="0"/>
      <w:divBdr>
        <w:top w:val="none" w:sz="0" w:space="0" w:color="auto"/>
        <w:left w:val="none" w:sz="0" w:space="0" w:color="auto"/>
        <w:bottom w:val="none" w:sz="0" w:space="0" w:color="auto"/>
        <w:right w:val="none" w:sz="0" w:space="0" w:color="auto"/>
      </w:divBdr>
    </w:div>
    <w:div w:id="1054502216">
      <w:bodyDiv w:val="1"/>
      <w:marLeft w:val="0"/>
      <w:marRight w:val="0"/>
      <w:marTop w:val="0"/>
      <w:marBottom w:val="0"/>
      <w:divBdr>
        <w:top w:val="none" w:sz="0" w:space="0" w:color="auto"/>
        <w:left w:val="none" w:sz="0" w:space="0" w:color="auto"/>
        <w:bottom w:val="none" w:sz="0" w:space="0" w:color="auto"/>
        <w:right w:val="none" w:sz="0" w:space="0" w:color="auto"/>
      </w:divBdr>
    </w:div>
    <w:div w:id="1170827375">
      <w:bodyDiv w:val="1"/>
      <w:marLeft w:val="0"/>
      <w:marRight w:val="0"/>
      <w:marTop w:val="0"/>
      <w:marBottom w:val="0"/>
      <w:divBdr>
        <w:top w:val="none" w:sz="0" w:space="0" w:color="auto"/>
        <w:left w:val="none" w:sz="0" w:space="0" w:color="auto"/>
        <w:bottom w:val="none" w:sz="0" w:space="0" w:color="auto"/>
        <w:right w:val="none" w:sz="0" w:space="0" w:color="auto"/>
      </w:divBdr>
    </w:div>
    <w:div w:id="1248926278">
      <w:bodyDiv w:val="1"/>
      <w:marLeft w:val="0"/>
      <w:marRight w:val="0"/>
      <w:marTop w:val="0"/>
      <w:marBottom w:val="0"/>
      <w:divBdr>
        <w:top w:val="none" w:sz="0" w:space="0" w:color="auto"/>
        <w:left w:val="none" w:sz="0" w:space="0" w:color="auto"/>
        <w:bottom w:val="none" w:sz="0" w:space="0" w:color="auto"/>
        <w:right w:val="none" w:sz="0" w:space="0" w:color="auto"/>
      </w:divBdr>
    </w:div>
    <w:div w:id="1316567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orcid.org/0000-0003-1308-8569"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Arab" typeface="Times New Roman"/>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Light"/>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Light"/>
        <a:font script="Olck" typeface="Nirmala UI"/>
        <a:font script="Lisu" typeface="Segoe UI"/>
        <a:font script="Sora" typeface="Nirmala UI"/>
      </a:majorFont>
      <a:minorFont>
        <a:latin typeface="Calibri"/>
        <a:ea typeface=""/>
        <a:cs typeface=""/>
        <a:font script="Arab" typeface="Arial"/>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明朝"/>
        <a:font script="Olck" typeface="Nirmala UI"/>
        <a:font script="Lisu" typeface="Segoe UI"/>
        <a:font script="Sora" typeface="Nirmala U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50452E-A798-41B1-915E-05DF35E16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15</Pages>
  <Words>22612</Words>
  <Characters>128895</Characters>
  <Application>Microsoft Office Word</Application>
  <DocSecurity>0</DocSecurity>
  <Lines>1074</Lines>
  <Paragraphs>302</Paragraphs>
  <ScaleCrop>false</ScaleCrop>
  <HeadingPairs>
    <vt:vector size="2" baseType="variant">
      <vt:variant>
        <vt:lpstr>Title</vt:lpstr>
      </vt:variant>
      <vt:variant>
        <vt:i4>1</vt:i4>
      </vt:variant>
    </vt:vector>
  </HeadingPairs>
  <TitlesOfParts>
    <vt:vector size="1" baseType="lpstr">
      <vt:lpstr>Manuscript template</vt:lpstr>
    </vt:vector>
  </TitlesOfParts>
  <Company>Dove Medical Press</Company>
  <LinksUpToDate>false</LinksUpToDate>
  <CharactersWithSpaces>151205</CharactersWithSpaces>
  <SharedDoc>false</SharedDoc>
  <HLinks>
    <vt:vector size="36" baseType="variant">
      <vt:variant>
        <vt:i4>1048578</vt:i4>
      </vt:variant>
      <vt:variant>
        <vt:i4>15</vt:i4>
      </vt:variant>
      <vt:variant>
        <vt:i4>0</vt:i4>
      </vt:variant>
      <vt:variant>
        <vt:i4>5</vt:i4>
      </vt:variant>
      <vt:variant>
        <vt:lpwstr>https://www.dovepress.com/author_guidelines.php?content_id=3511</vt:lpwstr>
      </vt:variant>
      <vt:variant>
        <vt:lpwstr/>
      </vt:variant>
      <vt:variant>
        <vt:i4>6881324</vt:i4>
      </vt:variant>
      <vt:variant>
        <vt:i4>12</vt:i4>
      </vt:variant>
      <vt:variant>
        <vt:i4>0</vt:i4>
      </vt:variant>
      <vt:variant>
        <vt:i4>5</vt:i4>
      </vt:variant>
      <vt:variant>
        <vt:lpwstr>http://www.ncbi.nlm.nih.gov/sites/entrez?Db=pubmed&amp;Cmd=Search&amp;Term=%22Efficacy%20of%20Vasopressin%20Antagonism%20in%20Heart%20Failure%20Outcome%20Study%20With%20Tolvaptan%20(EVEREST)%20Investigators%22%5BCorporate%20Author%5D&amp;itool=EntrezSystem2.PEntrez.Pubmed.Pubmed_ResultsPanel.Pubmed_DiscoveryPanel.Pubmed_RVAbstractPlus</vt:lpwstr>
      </vt:variant>
      <vt:variant>
        <vt:lpwstr/>
      </vt:variant>
      <vt:variant>
        <vt:i4>5177376</vt:i4>
      </vt:variant>
      <vt:variant>
        <vt:i4>9</vt:i4>
      </vt:variant>
      <vt:variant>
        <vt:i4>0</vt:i4>
      </vt:variant>
      <vt:variant>
        <vt:i4>5</vt:i4>
      </vt:variant>
      <vt:variant>
        <vt:lpwstr>http://www.ncbi.nlm.nih.gov/sites/entrez?Db=pubmed&amp;Cmd=Search&amp;Term=%22Burnett%20JC%20Jr%22%5BAuthor%5D&amp;itool=EntrezSystem2.PEntrez.Pubmed.Pubmed_ResultsPanel.Pubmed_DiscoveryPanel.Pubmed_RVAbstractPlus</vt:lpwstr>
      </vt:variant>
      <vt:variant>
        <vt:lpwstr/>
      </vt:variant>
      <vt:variant>
        <vt:i4>6488138</vt:i4>
      </vt:variant>
      <vt:variant>
        <vt:i4>6</vt:i4>
      </vt:variant>
      <vt:variant>
        <vt:i4>0</vt:i4>
      </vt:variant>
      <vt:variant>
        <vt:i4>5</vt:i4>
      </vt:variant>
      <vt:variant>
        <vt:lpwstr>http://www.ncbi.nlm.nih.gov/sites/entrez?Db=pubmed&amp;Cmd=Search&amp;Term=%22Konstam%20MA%22%5BAuthor%5D&amp;itool=EntrezSystem2.PEntrez.Pubmed.Pubmed_ResultsPanel.Pubmed_DiscoveryPanel.Pubmed_RVAbstractPlus</vt:lpwstr>
      </vt:variant>
      <vt:variant>
        <vt:lpwstr/>
      </vt:variant>
      <vt:variant>
        <vt:i4>7733341</vt:i4>
      </vt:variant>
      <vt:variant>
        <vt:i4>3</vt:i4>
      </vt:variant>
      <vt:variant>
        <vt:i4>0</vt:i4>
      </vt:variant>
      <vt:variant>
        <vt:i4>5</vt:i4>
      </vt:variant>
      <vt:variant>
        <vt:lpwstr>http://www.ncbi.nlm.nih.gov/sites/entrez?Db=pubmed&amp;Cmd=Search&amp;Term=%22Gheorghiade%20M%22%5BAuthor%5D&amp;itool=EntrezSystem2.PEntrez.Pubmed.Pubmed_ResultsPanel.Pubmed_DiscoveryPanel.Pubmed_RVAbstractPlus</vt:lpwstr>
      </vt:variant>
      <vt:variant>
        <vt:lpwstr/>
      </vt:variant>
      <vt:variant>
        <vt:i4>4849753</vt:i4>
      </vt:variant>
      <vt:variant>
        <vt:i4>0</vt:i4>
      </vt:variant>
      <vt:variant>
        <vt:i4>0</vt:i4>
      </vt:variant>
      <vt:variant>
        <vt:i4>5</vt:i4>
      </vt:variant>
      <vt:variant>
        <vt:lpwstr>http://www.dovepress.com/author_guidelines.php?folder_id=208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Manuscript template</dc:title>
  <dc:creator>Angela Jones</dc:creator>
  <cp:lastModifiedBy>ASUS</cp:lastModifiedBy>
  <cp:revision>11</cp:revision>
  <dcterms:created xsi:type="dcterms:W3CDTF">2023-04-05T09:56:00Z</dcterms:created>
  <dcterms:modified xsi:type="dcterms:W3CDTF">2023-04-08T09:56:00Z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bbab825-a111-45e4-86a1-18cee0005896_Enabled">
    <vt:lpwstr>true</vt:lpwstr>
  </property>
  <property fmtid="{D5CDD505-2E9C-101B-9397-08002B2CF9AE}" pid="3" name="MSIP_Label_2bbab825-a111-45e4-86a1-18cee0005896_SetDate">
    <vt:lpwstr>2022-06-22T01:38:32Z</vt:lpwstr>
  </property>
  <property fmtid="{D5CDD505-2E9C-101B-9397-08002B2CF9AE}" pid="4" name="MSIP_Label_2bbab825-a111-45e4-86a1-18cee0005896_Method">
    <vt:lpwstr>Standard</vt:lpwstr>
  </property>
  <property fmtid="{D5CDD505-2E9C-101B-9397-08002B2CF9AE}" pid="5" name="MSIP_Label_2bbab825-a111-45e4-86a1-18cee0005896_Name">
    <vt:lpwstr>2bbab825-a111-45e4-86a1-18cee0005896</vt:lpwstr>
  </property>
  <property fmtid="{D5CDD505-2E9C-101B-9397-08002B2CF9AE}" pid="6" name="MSIP_Label_2bbab825-a111-45e4-86a1-18cee0005896_SiteId">
    <vt:lpwstr>2567d566-604c-408a-8a60-55d0dc9d9d6b</vt:lpwstr>
  </property>
  <property fmtid="{D5CDD505-2E9C-101B-9397-08002B2CF9AE}" pid="7" name="MSIP_Label_2bbab825-a111-45e4-86a1-18cee0005896_ActionId">
    <vt:lpwstr>0936c748-9820-4e4e-a7fa-9383c967e889</vt:lpwstr>
  </property>
  <property fmtid="{D5CDD505-2E9C-101B-9397-08002B2CF9AE}" pid="8" name="MSIP_Label_2bbab825-a111-45e4-86a1-18cee0005896_ContentBits">
    <vt:lpwstr>2</vt:lpwstr>
  </property>
  <property fmtid="{D5CDD505-2E9C-101B-9397-08002B2CF9AE}" pid="9" name="Mendeley Document_1">
    <vt:lpwstr>True</vt:lpwstr>
  </property>
  <property fmtid="{D5CDD505-2E9C-101B-9397-08002B2CF9AE}" pid="10" name="Mendeley Recent Style Id 0_1">
    <vt:lpwstr>http://www.zotero.org/styles/american-medical-association</vt:lpwstr>
  </property>
  <property fmtid="{D5CDD505-2E9C-101B-9397-08002B2CF9AE}" pid="11" name="Mendeley Recent Style Name 0_1">
    <vt:lpwstr>American Medical Association 11th edition</vt:lpwstr>
  </property>
  <property fmtid="{D5CDD505-2E9C-101B-9397-08002B2CF9AE}" pid="12" name="Mendeley Recent Style Id 1_1">
    <vt:lpwstr>http://www.zotero.org/styles/american-political-science-association</vt:lpwstr>
  </property>
  <property fmtid="{D5CDD505-2E9C-101B-9397-08002B2CF9AE}" pid="13" name="Mendeley Recent Style Name 1_1">
    <vt:lpwstr>American Political Science Association</vt:lpwstr>
  </property>
  <property fmtid="{D5CDD505-2E9C-101B-9397-08002B2CF9AE}" pid="14" name="Mendeley Recent Style Id 2_1">
    <vt:lpwstr>http://www.zotero.org/styles/apa</vt:lpwstr>
  </property>
  <property fmtid="{D5CDD505-2E9C-101B-9397-08002B2CF9AE}" pid="15" name="Mendeley Recent Style Name 2_1">
    <vt:lpwstr>American Psychological Association 7th edition</vt:lpwstr>
  </property>
  <property fmtid="{D5CDD505-2E9C-101B-9397-08002B2CF9AE}" pid="16" name="Mendeley Recent Style Id 3_1">
    <vt:lpwstr>http://www.zotero.org/styles/american-sociological-association</vt:lpwstr>
  </property>
  <property fmtid="{D5CDD505-2E9C-101B-9397-08002B2CF9AE}" pid="17" name="Mendeley Recent Style Name 3_1">
    <vt:lpwstr>American Sociological Association 6th edition</vt:lpwstr>
  </property>
  <property fmtid="{D5CDD505-2E9C-101B-9397-08002B2CF9AE}" pid="18" name="Mendeley Recent Style Id 4_1">
    <vt:lpwstr>http://www.zotero.org/styles/chicago-author-date</vt:lpwstr>
  </property>
  <property fmtid="{D5CDD505-2E9C-101B-9397-08002B2CF9AE}" pid="19" name="Mendeley Recent Style Name 4_1">
    <vt:lpwstr>Chicago Manual of Style 17th edition (author-date)</vt:lpwstr>
  </property>
  <property fmtid="{D5CDD505-2E9C-101B-9397-08002B2CF9AE}" pid="20" name="Mendeley Recent Style Id 5_1">
    <vt:lpwstr>http://www.zotero.org/styles/harvard-cite-them-right</vt:lpwstr>
  </property>
  <property fmtid="{D5CDD505-2E9C-101B-9397-08002B2CF9AE}" pid="21" name="Mendeley Recent Style Name 5_1">
    <vt:lpwstr>Cite Them Right 11th edition - Harvard</vt:lpwstr>
  </property>
  <property fmtid="{D5CDD505-2E9C-101B-9397-08002B2CF9AE}" pid="22" name="Mendeley Recent Style Id 6_1">
    <vt:lpwstr>http://www.zotero.org/styles/ieee</vt:lpwstr>
  </property>
  <property fmtid="{D5CDD505-2E9C-101B-9397-08002B2CF9AE}" pid="23" name="Mendeley Recent Style Name 6_1">
    <vt:lpwstr>IEEE</vt:lpwstr>
  </property>
  <property fmtid="{D5CDD505-2E9C-101B-9397-08002B2CF9AE}" pid="24" name="Mendeley Recent Style Id 7_1">
    <vt:lpwstr>http://www.zotero.org/styles/modern-humanities-research-association</vt:lpwstr>
  </property>
  <property fmtid="{D5CDD505-2E9C-101B-9397-08002B2CF9AE}" pid="25" name="Mendeley Recent Style Name 7_1">
    <vt:lpwstr>Modern Humanities Research Association 3rd edition (note with bibliography)</vt:lpwstr>
  </property>
  <property fmtid="{D5CDD505-2E9C-101B-9397-08002B2CF9AE}" pid="26" name="Mendeley Recent Style Id 8_1">
    <vt:lpwstr>http://www.zotero.org/styles/modern-language-association</vt:lpwstr>
  </property>
  <property fmtid="{D5CDD505-2E9C-101B-9397-08002B2CF9AE}" pid="27" name="Mendeley Recent Style Name 8_1">
    <vt:lpwstr>Modern Language Association 9th edition</vt:lpwstr>
  </property>
  <property fmtid="{D5CDD505-2E9C-101B-9397-08002B2CF9AE}" pid="28" name="Mendeley Recent Style Id 9_1">
    <vt:lpwstr>http://www.zotero.org/styles/nature</vt:lpwstr>
  </property>
  <property fmtid="{D5CDD505-2E9C-101B-9397-08002B2CF9AE}" pid="29" name="Mendeley Recent Style Name 9_1">
    <vt:lpwstr>Nature</vt:lpwstr>
  </property>
  <property fmtid="{D5CDD505-2E9C-101B-9397-08002B2CF9AE}" pid="30" name="Mendeley Citation Style_1">
    <vt:lpwstr>http://www.zotero.org/styles/apa</vt:lpwstr>
  </property>
  <property fmtid="{D5CDD505-2E9C-101B-9397-08002B2CF9AE}" pid="31" name="Mendeley Unique User Id_1">
    <vt:lpwstr>5bd753ed-fe0e-3e87-bd0b-90a2d3523166</vt:lpwstr>
  </property>
</Properties>
</file>